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205105</wp:posOffset>
            </wp:positionH>
            <wp:positionV relativeFrom="page">
              <wp:posOffset>727710</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686435</wp:posOffset>
            </wp:positionV>
            <wp:extent cx="713867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16510"/>
                    </a:xfrm>
                    <a:prstGeom prst="rect">
                      <a:avLst/>
                    </a:prstGeom>
                    <a:noFill/>
                  </pic:spPr>
                </pic:pic>
              </a:graphicData>
            </a:graphic>
          </wp:anchor>
        </w:drawing>
        <w:t>UNITED STATES SECURITIES AND EXCHANGE COMMISSION</w:t>
      </w:r>
    </w:p>
    <w:p>
      <w:pPr>
        <w:spacing w:after="0" w:line="111" w:lineRule="exact"/>
        <w:rPr>
          <w:sz w:val="24"/>
          <w:szCs w:val="24"/>
          <w:color w:val="auto"/>
        </w:rPr>
      </w:pPr>
    </w:p>
    <w:p>
      <w:pPr>
        <w:jc w:val="center"/>
        <w:ind w:right="20"/>
        <w:spacing w:after="0"/>
        <w:rPr>
          <w:sz w:val="20"/>
          <w:szCs w:val="20"/>
          <w:color w:val="auto"/>
        </w:rPr>
      </w:pPr>
      <w:r>
        <w:rPr>
          <w:rFonts w:ascii="Arial" w:cs="Arial" w:eastAsia="Arial" w:hAnsi="Arial"/>
          <w:sz w:val="21"/>
          <w:szCs w:val="21"/>
          <w:b w:val="1"/>
          <w:bCs w:val="1"/>
          <w:color w:val="auto"/>
        </w:rPr>
        <w:t>Washington, D.C. 20549</w:t>
      </w:r>
    </w:p>
    <w:p>
      <w:pPr>
        <w:spacing w:after="0" w:line="143"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Form 10-Q</w:t>
      </w:r>
    </w:p>
    <w:p>
      <w:pPr>
        <w:spacing w:after="0" w:line="200" w:lineRule="exact"/>
        <w:rPr>
          <w:sz w:val="24"/>
          <w:szCs w:val="24"/>
          <w:color w:val="auto"/>
        </w:rPr>
      </w:pPr>
    </w:p>
    <w:p>
      <w:pPr>
        <w:spacing w:after="0" w:line="219" w:lineRule="exact"/>
        <w:rPr>
          <w:sz w:val="24"/>
          <w:szCs w:val="24"/>
          <w:color w:val="auto"/>
        </w:rPr>
      </w:pPr>
    </w:p>
    <w:p>
      <w:pPr>
        <w:ind w:left="340" w:hanging="337"/>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72" w:lineRule="exact"/>
        <w:rPr>
          <w:sz w:val="24"/>
          <w:szCs w:val="24"/>
          <w:color w:val="auto"/>
        </w:rPr>
      </w:pPr>
    </w:p>
    <w:p>
      <w:pPr>
        <w:ind w:left="620"/>
        <w:spacing w:after="0"/>
        <w:rPr>
          <w:sz w:val="20"/>
          <w:szCs w:val="20"/>
          <w:color w:val="auto"/>
        </w:rPr>
      </w:pPr>
      <w:r>
        <w:rPr>
          <w:rFonts w:ascii="Arial" w:cs="Arial" w:eastAsia="Arial" w:hAnsi="Arial"/>
          <w:sz w:val="16"/>
          <w:szCs w:val="16"/>
          <w:b w:val="1"/>
          <w:bCs w:val="1"/>
          <w:color w:val="auto"/>
        </w:rPr>
        <w:t>For the quarterly period ended September 30, 2024</w:t>
      </w:r>
    </w:p>
    <w:p>
      <w:pPr>
        <w:spacing w:after="0" w:line="8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95" w:lineRule="exact"/>
        <w:rPr>
          <w:sz w:val="24"/>
          <w:szCs w:val="24"/>
          <w:color w:val="auto"/>
        </w:rPr>
      </w:pPr>
    </w:p>
    <w:p>
      <w:pPr>
        <w:ind w:left="340" w:hanging="337"/>
        <w:spacing w:after="0"/>
        <w:tabs>
          <w:tab w:leader="none" w:pos="340" w:val="left"/>
        </w:tabs>
        <w:numPr>
          <w:ilvl w:val="0"/>
          <w:numId w:val="2"/>
        </w:numPr>
        <w:rPr>
          <w:rFonts w:ascii="MS PGothic" w:cs="MS PGothic" w:eastAsia="MS PGothic" w:hAnsi="MS PGothic"/>
          <w:sz w:val="16"/>
          <w:szCs w:val="16"/>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72" w:lineRule="exact"/>
        <w:rPr>
          <w:sz w:val="24"/>
          <w:szCs w:val="24"/>
          <w:color w:val="auto"/>
        </w:rPr>
      </w:pPr>
    </w:p>
    <w:p>
      <w:pPr>
        <w:ind w:left="620"/>
        <w:spacing w:after="0"/>
        <w:tabs>
          <w:tab w:leader="none" w:pos="3160" w:val="left"/>
        </w:tabs>
        <w:rPr>
          <w:sz w:val="20"/>
          <w:szCs w:val="20"/>
          <w:color w:val="auto"/>
        </w:rPr>
      </w:pPr>
      <w:r>
        <w:rPr>
          <w:rFonts w:ascii="Arial" w:cs="Arial" w:eastAsia="Arial" w:hAnsi="Arial"/>
          <w:sz w:val="16"/>
          <w:szCs w:val="16"/>
          <w:b w:val="1"/>
          <w:bCs w:val="1"/>
          <w:color w:val="auto"/>
        </w:rPr>
        <w:t>For the transition period from</w:t>
        <w:tab/>
        <w:t>to</w:t>
      </w:r>
    </w:p>
    <w:p>
      <w:pPr>
        <w:spacing w:after="0" w:line="10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Commission file number: 0-50231</w:t>
      </w:r>
    </w:p>
    <w:p>
      <w:pPr>
        <w:spacing w:after="0" w:line="161" w:lineRule="exact"/>
        <w:rPr>
          <w:sz w:val="24"/>
          <w:szCs w:val="24"/>
          <w:color w:val="auto"/>
        </w:rPr>
      </w:pPr>
    </w:p>
    <w:p>
      <w:pPr>
        <w:jc w:val="center"/>
        <w:ind w:right="20"/>
        <w:spacing w:after="0"/>
        <w:rPr>
          <w:sz w:val="20"/>
          <w:szCs w:val="20"/>
          <w:color w:val="auto"/>
        </w:rPr>
      </w:pPr>
      <w:r>
        <w:rPr>
          <w:rFonts w:ascii="Arial" w:cs="Arial" w:eastAsia="Arial" w:hAnsi="Arial"/>
          <w:sz w:val="34"/>
          <w:szCs w:val="34"/>
          <w:b w:val="1"/>
          <w:bCs w:val="1"/>
          <w:color w:val="auto"/>
        </w:rPr>
        <w:t>Federal National Mortgage Association</w:t>
      </w:r>
    </w:p>
    <w:p>
      <w:pPr>
        <w:spacing w:after="0" w:line="90" w:lineRule="exact"/>
        <w:rPr>
          <w:sz w:val="24"/>
          <w:szCs w:val="24"/>
          <w:color w:val="auto"/>
        </w:rPr>
      </w:pPr>
    </w:p>
    <w:p>
      <w:pPr>
        <w:jc w:val="center"/>
        <w:ind w:right="20"/>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54" w:lineRule="exact"/>
        <w:rPr>
          <w:sz w:val="24"/>
          <w:szCs w:val="24"/>
          <w:color w:val="auto"/>
        </w:rPr>
      </w:pPr>
    </w:p>
    <w:p>
      <w:pPr>
        <w:jc w:val="center"/>
        <w:ind w:right="20"/>
        <w:spacing w:after="0"/>
        <w:rPr>
          <w:sz w:val="20"/>
          <w:szCs w:val="20"/>
          <w:color w:val="auto"/>
        </w:rPr>
      </w:pPr>
      <w:r>
        <w:rPr>
          <w:rFonts w:ascii="Arial" w:cs="Arial" w:eastAsia="Arial" w:hAnsi="Arial"/>
          <w:sz w:val="34"/>
          <w:szCs w:val="34"/>
          <w:b w:val="1"/>
          <w:bCs w:val="1"/>
          <w:color w:val="auto"/>
        </w:rPr>
        <w:t>Fannie Mae</w:t>
      </w:r>
    </w:p>
    <w:p>
      <w:pPr>
        <w:spacing w:after="0" w:line="129" w:lineRule="exact"/>
        <w:rPr>
          <w:sz w:val="24"/>
          <w:szCs w:val="24"/>
          <w:color w:val="auto"/>
        </w:rPr>
      </w:pPr>
    </w:p>
    <w:tbl>
      <w:tblPr>
        <w:tblLayout w:type="fixed"/>
        <w:tblInd w:w="320" w:type="dxa"/>
        <w:tblCellMar>
          <w:top w:w="0" w:type="dxa"/>
          <w:left w:w="0" w:type="dxa"/>
          <w:bottom w:w="0" w:type="dxa"/>
          <w:right w:w="0" w:type="dxa"/>
        </w:tblCellMar>
      </w:tblPr>
      <w:tr>
        <w:trPr>
          <w:trHeight w:val="227"/>
        </w:trPr>
        <w:tc>
          <w:tcPr>
            <w:tcW w:w="298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rPr>
              <w:t>Federally chartered corporation</w:t>
            </w:r>
          </w:p>
        </w:tc>
        <w:tc>
          <w:tcPr>
            <w:tcW w:w="172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rPr>
              <w:t>52-0883107</w:t>
            </w:r>
          </w:p>
        </w:tc>
        <w:tc>
          <w:tcPr>
            <w:tcW w:w="296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rPr>
              <w:t>1100 15th Street, NW</w:t>
            </w:r>
          </w:p>
        </w:tc>
        <w:tc>
          <w:tcPr>
            <w:tcW w:w="2960" w:type="dxa"/>
            <w:vAlign w:val="bottom"/>
            <w:tcBorders>
              <w:top w:val="single" w:sz="8" w:color="auto"/>
            </w:tcBorders>
          </w:tcPr>
          <w:p>
            <w:pPr>
              <w:jc w:val="right"/>
              <w:ind w:right="848"/>
              <w:spacing w:after="0"/>
              <w:rPr>
                <w:sz w:val="20"/>
                <w:szCs w:val="20"/>
                <w:color w:val="auto"/>
              </w:rPr>
            </w:pPr>
            <w:r>
              <w:rPr>
                <w:rFonts w:ascii="Arial" w:cs="Arial" w:eastAsia="Arial" w:hAnsi="Arial"/>
                <w:sz w:val="15"/>
                <w:szCs w:val="15"/>
                <w:b w:val="1"/>
                <w:bCs w:val="1"/>
                <w:color w:val="auto"/>
              </w:rPr>
              <w:t>800  232-6643</w:t>
            </w:r>
          </w:p>
        </w:tc>
      </w:tr>
      <w:tr>
        <w:trPr>
          <w:trHeight w:val="668"/>
        </w:trPr>
        <w:tc>
          <w:tcPr>
            <w:tcW w:w="29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5"/>
                <w:szCs w:val="15"/>
                <w:b w:val="1"/>
                <w:bCs w:val="1"/>
                <w:color w:val="auto"/>
              </w:rPr>
              <w:t>Washington,  DC  20005</w:t>
            </w:r>
          </w:p>
        </w:tc>
        <w:tc>
          <w:tcPr>
            <w:tcW w:w="2960" w:type="dxa"/>
            <w:vAlign w:val="bottom"/>
          </w:tcPr>
          <w:p>
            <w:pPr>
              <w:spacing w:after="0"/>
              <w:rPr>
                <w:sz w:val="24"/>
                <w:szCs w:val="24"/>
                <w:color w:val="auto"/>
              </w:rPr>
            </w:pPr>
          </w:p>
        </w:tc>
      </w:tr>
      <w:tr>
        <w:trPr>
          <w:trHeight w:val="142"/>
        </w:trPr>
        <w:tc>
          <w:tcPr>
            <w:tcW w:w="2980" w:type="dxa"/>
            <w:vAlign w:val="bottom"/>
          </w:tcPr>
          <w:p>
            <w:pPr>
              <w:jc w:val="center"/>
              <w:spacing w:after="0" w:line="142" w:lineRule="exact"/>
              <w:rPr>
                <w:sz w:val="20"/>
                <w:szCs w:val="20"/>
                <w:color w:val="auto"/>
              </w:rPr>
            </w:pPr>
            <w:r>
              <w:rPr>
                <w:rFonts w:ascii="Arial" w:cs="Arial" w:eastAsia="Arial" w:hAnsi="Arial"/>
                <w:sz w:val="14"/>
                <w:szCs w:val="14"/>
                <w:i w:val="1"/>
                <w:iCs w:val="1"/>
                <w:color w:val="auto"/>
                <w:w w:val="98"/>
              </w:rPr>
              <w:t>(State or other jurisdiction of</w:t>
            </w:r>
          </w:p>
        </w:tc>
        <w:tc>
          <w:tcPr>
            <w:tcW w:w="1720" w:type="dxa"/>
            <w:vAlign w:val="bottom"/>
          </w:tcPr>
          <w:p>
            <w:pPr>
              <w:jc w:val="center"/>
              <w:spacing w:after="0" w:line="142" w:lineRule="exact"/>
              <w:rPr>
                <w:sz w:val="20"/>
                <w:szCs w:val="20"/>
                <w:color w:val="auto"/>
              </w:rPr>
            </w:pPr>
            <w:r>
              <w:rPr>
                <w:rFonts w:ascii="Arial" w:cs="Arial" w:eastAsia="Arial" w:hAnsi="Arial"/>
                <w:sz w:val="14"/>
                <w:szCs w:val="14"/>
                <w:i w:val="1"/>
                <w:iCs w:val="1"/>
                <w:color w:val="auto"/>
                <w:w w:val="97"/>
              </w:rPr>
              <w:t>(I.R.S. Employer</w:t>
            </w:r>
          </w:p>
        </w:tc>
        <w:tc>
          <w:tcPr>
            <w:tcW w:w="2960" w:type="dxa"/>
            <w:vAlign w:val="bottom"/>
          </w:tcPr>
          <w:p>
            <w:pPr>
              <w:jc w:val="center"/>
              <w:spacing w:after="0" w:line="142" w:lineRule="exact"/>
              <w:rPr>
                <w:sz w:val="20"/>
                <w:szCs w:val="20"/>
                <w:color w:val="auto"/>
              </w:rPr>
            </w:pPr>
            <w:r>
              <w:rPr>
                <w:rFonts w:ascii="Arial" w:cs="Arial" w:eastAsia="Arial" w:hAnsi="Arial"/>
                <w:sz w:val="14"/>
                <w:szCs w:val="14"/>
                <w:i w:val="1"/>
                <w:iCs w:val="1"/>
                <w:color w:val="auto"/>
                <w:w w:val="97"/>
              </w:rPr>
              <w:t>(Address of principal executive offices,</w:t>
            </w:r>
          </w:p>
        </w:tc>
        <w:tc>
          <w:tcPr>
            <w:tcW w:w="2960" w:type="dxa"/>
            <w:vAlign w:val="bottom"/>
          </w:tcPr>
          <w:p>
            <w:pPr>
              <w:jc w:val="center"/>
              <w:ind w:left="88"/>
              <w:spacing w:after="0" w:line="142" w:lineRule="exact"/>
              <w:rPr>
                <w:sz w:val="20"/>
                <w:szCs w:val="20"/>
                <w:color w:val="auto"/>
              </w:rPr>
            </w:pPr>
            <w:r>
              <w:rPr>
                <w:rFonts w:ascii="Arial" w:cs="Arial" w:eastAsia="Arial" w:hAnsi="Arial"/>
                <w:sz w:val="14"/>
                <w:szCs w:val="14"/>
                <w:i w:val="1"/>
                <w:iCs w:val="1"/>
                <w:color w:val="auto"/>
                <w:w w:val="97"/>
              </w:rPr>
              <w:t>(Registrant’s telephone number, including</w:t>
            </w:r>
          </w:p>
        </w:tc>
      </w:tr>
      <w:tr>
        <w:trPr>
          <w:trHeight w:val="175"/>
        </w:trPr>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w w:val="98"/>
              </w:rPr>
              <w:t>incorporation or organization)</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w w:val="99"/>
              </w:rPr>
              <w:t>Identification No.)</w:t>
            </w: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w w:val="98"/>
              </w:rPr>
              <w:t>including zip code)</w:t>
            </w:r>
          </w:p>
        </w:tc>
        <w:tc>
          <w:tcPr>
            <w:tcW w:w="296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i w:val="1"/>
                <w:iCs w:val="1"/>
                <w:color w:val="auto"/>
                <w:w w:val="98"/>
              </w:rPr>
              <w:t>area code)</w:t>
            </w:r>
          </w:p>
        </w:tc>
      </w:tr>
    </w:tbl>
    <w:p>
      <w:pPr>
        <w:spacing w:after="0" w:line="184"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53" w:lineRule="exact"/>
        <w:rPr>
          <w:sz w:val="24"/>
          <w:szCs w:val="24"/>
          <w:color w:val="auto"/>
        </w:rPr>
      </w:pPr>
    </w:p>
    <w:tbl>
      <w:tblPr>
        <w:tblLayout w:type="fixed"/>
        <w:tblInd w:w="10" w:type="dxa"/>
        <w:tblCellMar>
          <w:top w:w="0" w:type="dxa"/>
          <w:left w:w="0" w:type="dxa"/>
          <w:bottom w:w="0" w:type="dxa"/>
          <w:right w:w="0" w:type="dxa"/>
        </w:tblCellMar>
      </w:tblPr>
      <w:tr>
        <w:trPr>
          <w:trHeight w:val="219"/>
        </w:trPr>
        <w:tc>
          <w:tcPr>
            <w:tcW w:w="2440" w:type="dxa"/>
            <w:vAlign w:val="bottom"/>
            <w:tcBorders>
              <w:top w:val="single" w:sz="8" w:color="auto"/>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5"/>
                <w:szCs w:val="15"/>
                <w:b w:val="1"/>
                <w:bCs w:val="1"/>
                <w:color w:val="auto"/>
              </w:rPr>
              <w:t>Title of each class</w:t>
            </w:r>
          </w:p>
        </w:tc>
        <w:tc>
          <w:tcPr>
            <w:tcW w:w="2420" w:type="dxa"/>
            <w:vAlign w:val="bottom"/>
            <w:tcBorders>
              <w:top w:val="single" w:sz="8" w:color="auto"/>
              <w:bottom w:val="single" w:sz="8" w:color="auto"/>
              <w:right w:val="single" w:sz="8" w:color="auto"/>
            </w:tcBorders>
          </w:tcPr>
          <w:p>
            <w:pPr>
              <w:ind w:left="520"/>
              <w:spacing w:after="0"/>
              <w:rPr>
                <w:sz w:val="20"/>
                <w:szCs w:val="20"/>
                <w:color w:val="auto"/>
              </w:rPr>
            </w:pPr>
            <w:r>
              <w:rPr>
                <w:rFonts w:ascii="Arial" w:cs="Arial" w:eastAsia="Arial" w:hAnsi="Arial"/>
                <w:sz w:val="15"/>
                <w:szCs w:val="15"/>
                <w:b w:val="1"/>
                <w:bCs w:val="1"/>
                <w:color w:val="auto"/>
              </w:rPr>
              <w:t>Trading Symbol(s)</w:t>
            </w:r>
          </w:p>
        </w:tc>
        <w:tc>
          <w:tcPr>
            <w:tcW w:w="6400" w:type="dxa"/>
            <w:vAlign w:val="bottom"/>
            <w:tcBorders>
              <w:top w:val="single" w:sz="8" w:color="auto"/>
              <w:bottom w:val="single" w:sz="8" w:color="auto"/>
              <w:right w:val="single" w:sz="8" w:color="auto"/>
            </w:tcBorders>
          </w:tcPr>
          <w:p>
            <w:pPr>
              <w:ind w:left="1560"/>
              <w:spacing w:after="0"/>
              <w:rPr>
                <w:sz w:val="20"/>
                <w:szCs w:val="20"/>
                <w:color w:val="auto"/>
              </w:rPr>
            </w:pPr>
            <w:r>
              <w:rPr>
                <w:rFonts w:ascii="Arial" w:cs="Arial" w:eastAsia="Arial" w:hAnsi="Arial"/>
                <w:sz w:val="15"/>
                <w:szCs w:val="15"/>
                <w:b w:val="1"/>
                <w:bCs w:val="1"/>
                <w:color w:val="auto"/>
              </w:rPr>
              <w:t>Name of each exchange on which registered</w:t>
            </w:r>
          </w:p>
        </w:tc>
      </w:tr>
      <w:tr>
        <w:trPr>
          <w:trHeight w:val="198"/>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None</w:t>
            </w:r>
          </w:p>
        </w:tc>
        <w:tc>
          <w:tcPr>
            <w:tcW w:w="2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N/A</w:t>
            </w:r>
          </w:p>
        </w:tc>
        <w:tc>
          <w:tcPr>
            <w:tcW w:w="6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N/A</w:t>
            </w:r>
          </w:p>
        </w:tc>
      </w:tr>
    </w:tbl>
    <w:p>
      <w:pPr>
        <w:spacing w:after="0" w:line="133" w:lineRule="exact"/>
        <w:rPr>
          <w:sz w:val="24"/>
          <w:szCs w:val="24"/>
          <w:color w:val="auto"/>
        </w:rPr>
      </w:pPr>
    </w:p>
    <w:p>
      <w:pPr>
        <w:jc w:val="both"/>
        <w:ind w:right="400"/>
        <w:spacing w:after="0" w:line="20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2" w:lineRule="exact"/>
        <w:rPr>
          <w:sz w:val="24"/>
          <w:szCs w:val="24"/>
          <w:color w:val="auto"/>
        </w:rPr>
      </w:pPr>
    </w:p>
    <w:p>
      <w:pPr>
        <w:ind w:right="420"/>
        <w:spacing w:after="0" w:line="213"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1" w:lineRule="exact"/>
        <w:rPr>
          <w:sz w:val="24"/>
          <w:szCs w:val="24"/>
          <w:color w:val="auto"/>
        </w:rPr>
      </w:pPr>
    </w:p>
    <w:p>
      <w:pPr>
        <w:ind w:right="140"/>
        <w:spacing w:after="0" w:line="27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1" w:lineRule="exact"/>
        <w:rPr>
          <w:sz w:val="24"/>
          <w:szCs w:val="24"/>
          <w:color w:val="auto"/>
        </w:rPr>
      </w:pPr>
    </w:p>
    <w:tbl>
      <w:tblPr>
        <w:tblLayout w:type="fixed"/>
        <w:tblInd w:w="360" w:type="dxa"/>
        <w:tblCellMar>
          <w:top w:w="0" w:type="dxa"/>
          <w:left w:w="0" w:type="dxa"/>
          <w:bottom w:w="0" w:type="dxa"/>
          <w:right w:w="0" w:type="dxa"/>
        </w:tblCellMar>
      </w:tblPr>
      <w:tr>
        <w:trPr>
          <w:trHeight w:val="229"/>
        </w:trPr>
        <w:tc>
          <w:tcPr>
            <w:tcW w:w="188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120" w:type="dxa"/>
            <w:vAlign w:val="bottom"/>
          </w:tcPr>
          <w:p>
            <w:pPr>
              <w:ind w:left="340"/>
              <w:spacing w:after="0" w:line="151" w:lineRule="exact"/>
              <w:rPr>
                <w:sz w:val="20"/>
                <w:szCs w:val="20"/>
                <w:color w:val="auto"/>
              </w:rPr>
            </w:pPr>
            <w:r>
              <w:rPr>
                <w:rFonts w:ascii="MS PGothic" w:cs="MS PGothic" w:eastAsia="MS PGothic" w:hAnsi="MS PGothic"/>
                <w:sz w:val="15"/>
                <w:szCs w:val="15"/>
                <w:color w:val="auto"/>
              </w:rPr>
              <w:t>☐</w:t>
            </w:r>
          </w:p>
        </w:tc>
        <w:tc>
          <w:tcPr>
            <w:tcW w:w="4860" w:type="dxa"/>
            <w:vAlign w:val="bottom"/>
          </w:tcPr>
          <w:p>
            <w:pPr>
              <w:ind w:left="2620"/>
              <w:spacing w:after="0"/>
              <w:rPr>
                <w:sz w:val="20"/>
                <w:szCs w:val="20"/>
                <w:color w:val="auto"/>
              </w:rPr>
            </w:pPr>
            <w:r>
              <w:rPr>
                <w:rFonts w:ascii="Arial" w:cs="Arial" w:eastAsia="Arial" w:hAnsi="Arial"/>
                <w:sz w:val="15"/>
                <w:szCs w:val="15"/>
                <w:color w:val="auto"/>
              </w:rPr>
              <w:t>Accelerated filer</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6"/>
        </w:trPr>
        <w:tc>
          <w:tcPr>
            <w:tcW w:w="1880" w:type="dxa"/>
            <w:vAlign w:val="bottom"/>
          </w:tcPr>
          <w:p>
            <w:pPr>
              <w:spacing w:after="0"/>
              <w:rPr>
                <w:sz w:val="20"/>
                <w:szCs w:val="20"/>
                <w:color w:val="auto"/>
              </w:rPr>
            </w:pPr>
            <w:r>
              <w:rPr>
                <w:rFonts w:ascii="Arial" w:cs="Arial" w:eastAsia="Arial" w:hAnsi="Arial"/>
                <w:sz w:val="15"/>
                <w:szCs w:val="15"/>
                <w:color w:val="auto"/>
              </w:rPr>
              <w:t>Non-accelerated filer</w:t>
            </w:r>
          </w:p>
        </w:tc>
        <w:tc>
          <w:tcPr>
            <w:tcW w:w="3120" w:type="dxa"/>
            <w:vAlign w:val="bottom"/>
          </w:tcPr>
          <w:p>
            <w:pPr>
              <w:ind w:left="340"/>
              <w:spacing w:after="0" w:line="151" w:lineRule="exact"/>
              <w:rPr>
                <w:sz w:val="20"/>
                <w:szCs w:val="20"/>
                <w:color w:val="auto"/>
              </w:rPr>
            </w:pPr>
            <w:r>
              <w:rPr>
                <w:rFonts w:ascii="MS PGothic" w:cs="MS PGothic" w:eastAsia="MS PGothic" w:hAnsi="MS PGothic"/>
                <w:sz w:val="15"/>
                <w:szCs w:val="15"/>
                <w:color w:val="auto"/>
              </w:rPr>
              <w:t>☐</w:t>
            </w:r>
          </w:p>
        </w:tc>
        <w:tc>
          <w:tcPr>
            <w:tcW w:w="4860" w:type="dxa"/>
            <w:vAlign w:val="bottom"/>
          </w:tcPr>
          <w:p>
            <w:pPr>
              <w:ind w:left="2620"/>
              <w:spacing w:after="0"/>
              <w:rPr>
                <w:sz w:val="20"/>
                <w:szCs w:val="20"/>
                <w:color w:val="auto"/>
              </w:rPr>
            </w:pPr>
            <w:r>
              <w:rPr>
                <w:rFonts w:ascii="Arial" w:cs="Arial" w:eastAsia="Arial" w:hAnsi="Arial"/>
                <w:sz w:val="15"/>
                <w:szCs w:val="15"/>
                <w:color w:val="auto"/>
              </w:rPr>
              <w:t>Smaller reporting company</w:t>
            </w:r>
          </w:p>
        </w:tc>
        <w:tc>
          <w:tcPr>
            <w:tcW w:w="5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60"/>
        </w:trPr>
        <w:tc>
          <w:tcPr>
            <w:tcW w:w="18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4860" w:type="dxa"/>
            <w:vAlign w:val="bottom"/>
          </w:tcPr>
          <w:p>
            <w:pPr>
              <w:ind w:left="2620"/>
              <w:spacing w:after="0"/>
              <w:rPr>
                <w:sz w:val="20"/>
                <w:szCs w:val="20"/>
                <w:color w:val="auto"/>
              </w:rPr>
            </w:pPr>
            <w:r>
              <w:rPr>
                <w:rFonts w:ascii="Arial" w:cs="Arial" w:eastAsia="Arial" w:hAnsi="Arial"/>
                <w:sz w:val="15"/>
                <w:szCs w:val="15"/>
                <w:color w:val="auto"/>
              </w:rPr>
              <w:t>Emerging growth company</w:t>
            </w:r>
          </w:p>
        </w:tc>
        <w:tc>
          <w:tcPr>
            <w:tcW w:w="5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114" w:lineRule="exact"/>
        <w:rPr>
          <w:sz w:val="24"/>
          <w:szCs w:val="24"/>
          <w:color w:val="auto"/>
        </w:rPr>
      </w:pPr>
    </w:p>
    <w:p>
      <w:pPr>
        <w:ind w:right="80"/>
        <w:spacing w:after="0" w:line="222"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5" w:lineRule="exact"/>
        <w:rPr>
          <w:sz w:val="24"/>
          <w:szCs w:val="24"/>
          <w:color w:val="auto"/>
        </w:rPr>
      </w:pPr>
    </w:p>
    <w:p>
      <w:pPr>
        <w:ind w:right="2200"/>
        <w:spacing w:after="0" w:line="300" w:lineRule="exact"/>
        <w:rPr>
          <w:sz w:val="20"/>
          <w:szCs w:val="20"/>
          <w:color w:val="auto"/>
        </w:rPr>
      </w:pPr>
      <w:r>
        <w:rPr>
          <w:rFonts w:ascii="Arial" w:cs="Arial" w:eastAsia="Arial" w:hAnsi="Arial"/>
          <w:sz w:val="16"/>
          <w:szCs w:val="16"/>
          <w:color w:val="auto"/>
        </w:rPr>
        <w:t>Indicate by check mark whether the registrant is a shell company (as defined in Rule 12b-2 of the Exchange Act). Yes</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October 14, 2024, there were 1,158,087,567 shares of common stock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707390</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106045</wp:posOffset>
            </wp:positionV>
            <wp:extent cx="711390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3905" cy="165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81915</wp:posOffset>
            </wp:positionV>
            <wp:extent cx="71139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3905" cy="8255"/>
                    </a:xfrm>
                    <a:prstGeom prst="rect">
                      <a:avLst/>
                    </a:prstGeom>
                    <a:noFill/>
                  </pic:spPr>
                </pic:pic>
              </a:graphicData>
            </a:graphic>
          </wp:anchor>
        </w:drawing>
      </w:r>
    </w:p>
    <w:p>
      <w:pPr>
        <w:sectPr>
          <w:pgSz w:w="11900" w:h="16838" w:orient="portrait"/>
          <w:cols w:equalWidth="0" w:num="1">
            <w:col w:w="11260"/>
          </w:cols>
          <w:pgMar w:left="320" w:top="1285" w:right="31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24"/>
          <w:szCs w:val="24"/>
          <w:b w:val="1"/>
          <w:bCs w:val="1"/>
          <w:color w:val="05314D"/>
        </w:rPr>
        <w:t>TABLE OF CONTENTS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100" w:type="dxa"/>
            <w:vAlign w:val="bottom"/>
            <w:tcBorders>
              <w:top w:val="single" w:sz="8" w:color="2C6937"/>
              <w:bottom w:val="single" w:sz="8" w:color="2C6937"/>
            </w:tcBorders>
            <w:gridSpan w:val="2"/>
            <w:vMerge w:val="restart"/>
          </w:tcPr>
          <w:p>
            <w:pPr>
              <w:ind w:left="20"/>
              <w:spacing w:after="0"/>
              <w:rPr>
                <w:sz w:val="20"/>
                <w:szCs w:val="20"/>
                <w:color w:val="auto"/>
              </w:rPr>
            </w:pPr>
            <w:r>
              <w:rPr>
                <w:rFonts w:ascii="Arial" w:cs="Arial" w:eastAsia="Arial" w:hAnsi="Arial"/>
                <w:sz w:val="15"/>
                <w:szCs w:val="15"/>
                <w:b w:val="1"/>
                <w:bCs w:val="1"/>
                <w:color w:val="auto"/>
              </w:rPr>
              <w:t>PART I—Financial Information</w:t>
            </w:r>
          </w:p>
        </w:tc>
        <w:tc>
          <w:tcPr>
            <w:tcW w:w="1580" w:type="dxa"/>
            <w:vAlign w:val="bottom"/>
            <w:tcBorders>
              <w:top w:val="single" w:sz="8" w:color="2C6937"/>
            </w:tcBorders>
          </w:tcPr>
          <w:p>
            <w:pPr>
              <w:spacing w:after="0"/>
              <w:rPr>
                <w:sz w:val="15"/>
                <w:szCs w:val="15"/>
                <w:color w:val="auto"/>
              </w:rPr>
            </w:pPr>
          </w:p>
        </w:tc>
        <w:tc>
          <w:tcPr>
            <w:tcW w:w="380" w:type="dxa"/>
            <w:vAlign w:val="bottom"/>
            <w:tcBorders>
              <w:top w:val="single" w:sz="8" w:color="2C6937"/>
              <w:bottom w:val="single" w:sz="8" w:color="auto"/>
            </w:tcBorders>
            <w:gridSpan w:val="3"/>
          </w:tcPr>
          <w:p>
            <w:pPr>
              <w:spacing w:after="0"/>
              <w:rPr>
                <w:sz w:val="20"/>
                <w:szCs w:val="20"/>
                <w:color w:val="auto"/>
              </w:rPr>
            </w:pPr>
            <w:r>
              <w:rPr>
                <w:rFonts w:ascii="Arial" w:cs="Arial" w:eastAsia="Arial" w:hAnsi="Arial"/>
                <w:sz w:val="15"/>
                <w:szCs w:val="15"/>
                <w:b w:val="1"/>
                <w:bCs w:val="1"/>
                <w:color w:val="auto"/>
              </w:rPr>
              <w:t>Page</w:t>
            </w:r>
          </w:p>
        </w:tc>
        <w:tc>
          <w:tcPr>
            <w:tcW w:w="160" w:type="dxa"/>
            <w:vAlign w:val="bottom"/>
            <w:tcBorders>
              <w:top w:val="single" w:sz="8" w:color="2C6937"/>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9100" w:type="dxa"/>
            <w:vAlign w:val="bottom"/>
            <w:gridSpan w:val="2"/>
            <w:vMerge w:val="continue"/>
          </w:tcPr>
          <w:p>
            <w:pPr>
              <w:spacing w:after="0"/>
              <w:rPr>
                <w:sz w:val="16"/>
                <w:szCs w:val="16"/>
                <w:color w:val="auto"/>
              </w:rPr>
            </w:pPr>
          </w:p>
        </w:tc>
        <w:tc>
          <w:tcPr>
            <w:tcW w:w="2100" w:type="dxa"/>
            <w:vAlign w:val="bottom"/>
            <w:gridSpan w:val="6"/>
          </w:tcPr>
          <w:p>
            <w:pPr>
              <w:jc w:val="right"/>
              <w:spacing w:after="0"/>
              <w:rPr>
                <w:sz w:val="20"/>
                <w:szCs w:val="20"/>
                <w:color w:val="auto"/>
              </w:rPr>
            </w:pPr>
            <w:r>
              <w:rPr>
                <w:rFonts w:ascii="Arial" w:cs="Arial" w:eastAsia="Arial" w:hAnsi="Arial"/>
                <w:sz w:val="15"/>
                <w:szCs w:val="15"/>
                <w:color w:val="0000FF"/>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60" w:type="dxa"/>
            <w:vAlign w:val="bottom"/>
          </w:tcPr>
          <w:p>
            <w:pPr>
              <w:ind w:left="20"/>
              <w:spacing w:after="0"/>
              <w:rPr>
                <w:sz w:val="20"/>
                <w:szCs w:val="20"/>
                <w:color w:val="auto"/>
              </w:rPr>
            </w:pPr>
            <w:r>
              <w:rPr>
                <w:rFonts w:ascii="Arial" w:cs="Arial" w:eastAsia="Arial" w:hAnsi="Arial"/>
                <w:sz w:val="15"/>
                <w:szCs w:val="15"/>
                <w:color w:val="auto"/>
              </w:rPr>
              <w:t>Item 1.</w:t>
            </w:r>
          </w:p>
        </w:tc>
        <w:tc>
          <w:tcPr>
            <w:tcW w:w="8340" w:type="dxa"/>
            <w:vAlign w:val="bottom"/>
          </w:tcPr>
          <w:p>
            <w:pPr>
              <w:ind w:left="280"/>
              <w:spacing w:after="0"/>
              <w:rPr>
                <w:sz w:val="20"/>
                <w:szCs w:val="20"/>
                <w:color w:val="auto"/>
              </w:rPr>
            </w:pPr>
            <w:r>
              <w:rPr>
                <w:rFonts w:ascii="Arial" w:cs="Arial" w:eastAsia="Arial" w:hAnsi="Arial"/>
                <w:sz w:val="15"/>
                <w:szCs w:val="15"/>
                <w:color w:val="auto"/>
              </w:rPr>
              <w:t>Financial Statements</w:t>
            </w:r>
          </w:p>
        </w:tc>
        <w:tc>
          <w:tcPr>
            <w:tcW w:w="1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8340" w:type="dxa"/>
            <w:vAlign w:val="bottom"/>
          </w:tcPr>
          <w:p>
            <w:pPr>
              <w:ind w:left="280"/>
              <w:spacing w:after="0" w:line="169" w:lineRule="exact"/>
              <w:rPr>
                <w:sz w:val="20"/>
                <w:szCs w:val="20"/>
                <w:color w:val="auto"/>
              </w:rPr>
            </w:pPr>
            <w:r>
              <w:rPr>
                <w:rFonts w:ascii="Arial" w:cs="Arial" w:eastAsia="Arial" w:hAnsi="Arial"/>
                <w:sz w:val="15"/>
                <w:szCs w:val="15"/>
                <w:color w:val="auto"/>
              </w:rPr>
              <w:t>Condensed Consolidated Balance Sheets</w:t>
            </w:r>
          </w:p>
        </w:tc>
        <w:tc>
          <w:tcPr>
            <w:tcW w:w="1920" w:type="dxa"/>
            <w:vAlign w:val="bottom"/>
            <w:gridSpan w:val="3"/>
          </w:tcPr>
          <w:p>
            <w:pPr>
              <w:spacing w:after="0"/>
              <w:rPr>
                <w:sz w:val="14"/>
                <w:szCs w:val="14"/>
                <w:color w:val="auto"/>
              </w:rPr>
            </w:pPr>
          </w:p>
        </w:tc>
        <w:tc>
          <w:tcPr>
            <w:tcW w:w="180" w:type="dxa"/>
            <w:vAlign w:val="bottom"/>
            <w:tcBorders>
              <w:bottom w:val="single" w:sz="8" w:color="0000FF"/>
            </w:tcBorders>
            <w:gridSpan w:val="3"/>
          </w:tcPr>
          <w:p>
            <w:pPr>
              <w:jc w:val="right"/>
              <w:spacing w:after="0" w:line="169" w:lineRule="exact"/>
              <w:rPr>
                <w:sz w:val="20"/>
                <w:szCs w:val="20"/>
                <w:color w:val="auto"/>
              </w:rPr>
            </w:pPr>
            <w:r>
              <w:rPr>
                <w:rFonts w:ascii="Arial" w:cs="Arial" w:eastAsia="Arial" w:hAnsi="Arial"/>
                <w:sz w:val="15"/>
                <w:szCs w:val="15"/>
                <w:color w:val="0000FF"/>
                <w:w w:val="95"/>
              </w:rPr>
              <w:t>64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Condensed Consolidated Statements of Operations and Comprehensive Income</w:t>
            </w:r>
          </w:p>
        </w:tc>
        <w:tc>
          <w:tcPr>
            <w:tcW w:w="192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65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Condensed Consolidated Statements of Cash Flows</w:t>
            </w:r>
          </w:p>
        </w:tc>
        <w:tc>
          <w:tcPr>
            <w:tcW w:w="192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66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Condensed Consolidated Statements of Changes in Equity</w:t>
            </w:r>
          </w:p>
        </w:tc>
        <w:tc>
          <w:tcPr>
            <w:tcW w:w="192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67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1—Summary of Significant Accounting Policies</w:t>
            </w:r>
          </w:p>
        </w:tc>
        <w:tc>
          <w:tcPr>
            <w:tcW w:w="192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69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2—Conservatorship, Senior Preferred Stock Purchase Agreement and Related Matters</w:t>
            </w:r>
          </w:p>
        </w:tc>
        <w:tc>
          <w:tcPr>
            <w:tcW w:w="192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3—Consolidations and Transfers of Financial Assets</w:t>
            </w:r>
          </w:p>
        </w:tc>
        <w:tc>
          <w:tcPr>
            <w:tcW w:w="192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72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4—Mortgage Loans</w:t>
            </w:r>
          </w:p>
        </w:tc>
        <w:tc>
          <w:tcPr>
            <w:tcW w:w="192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73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5—Allowance for Loan Losses</w:t>
            </w:r>
          </w:p>
        </w:tc>
        <w:tc>
          <w:tcPr>
            <w:tcW w:w="192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88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6—Investments in Securities</w:t>
            </w:r>
          </w:p>
        </w:tc>
        <w:tc>
          <w:tcPr>
            <w:tcW w:w="192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90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7—Financial Guarantees</w:t>
            </w:r>
          </w:p>
        </w:tc>
        <w:tc>
          <w:tcPr>
            <w:tcW w:w="192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92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8—Short-Term and Long-Term Debt</w:t>
            </w:r>
          </w:p>
        </w:tc>
        <w:tc>
          <w:tcPr>
            <w:tcW w:w="192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93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9—Derivative Instruments</w:t>
            </w:r>
          </w:p>
        </w:tc>
        <w:tc>
          <w:tcPr>
            <w:tcW w:w="192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94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10—Segment Reporting</w:t>
            </w:r>
          </w:p>
        </w:tc>
        <w:tc>
          <w:tcPr>
            <w:tcW w:w="192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99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11—Concentrations of Credit Risk</w:t>
            </w:r>
          </w:p>
        </w:tc>
        <w:tc>
          <w:tcPr>
            <w:tcW w:w="2100" w:type="dxa"/>
            <w:vAlign w:val="bottom"/>
            <w:gridSpan w:val="6"/>
          </w:tcPr>
          <w:p>
            <w:pPr>
              <w:jc w:val="right"/>
              <w:spacing w:after="0"/>
              <w:rPr>
                <w:sz w:val="20"/>
                <w:szCs w:val="20"/>
                <w:color w:val="auto"/>
              </w:rPr>
            </w:pPr>
            <w:r>
              <w:rPr>
                <w:rFonts w:ascii="Arial" w:cs="Arial" w:eastAsia="Arial" w:hAnsi="Arial"/>
                <w:sz w:val="15"/>
                <w:szCs w:val="15"/>
                <w:color w:val="0000FF"/>
              </w:rPr>
              <w:t>101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900" w:type="dxa"/>
            <w:vAlign w:val="bottom"/>
            <w:tcBorders>
              <w:right w:val="single" w:sz="8" w:color="0000FF"/>
            </w:tcBorders>
            <w:gridSpan w:val="2"/>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12—Netting Arrangements</w:t>
            </w:r>
          </w:p>
        </w:tc>
        <w:tc>
          <w:tcPr>
            <w:tcW w:w="2100" w:type="dxa"/>
            <w:vAlign w:val="bottom"/>
            <w:gridSpan w:val="6"/>
          </w:tcPr>
          <w:p>
            <w:pPr>
              <w:jc w:val="right"/>
              <w:spacing w:after="0"/>
              <w:rPr>
                <w:sz w:val="20"/>
                <w:szCs w:val="20"/>
                <w:color w:val="auto"/>
              </w:rPr>
            </w:pPr>
            <w:r>
              <w:rPr>
                <w:rFonts w:ascii="Arial" w:cs="Arial" w:eastAsia="Arial" w:hAnsi="Arial"/>
                <w:sz w:val="15"/>
                <w:szCs w:val="15"/>
                <w:color w:val="0000FF"/>
              </w:rPr>
              <w:t>106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900" w:type="dxa"/>
            <w:vAlign w:val="bottom"/>
            <w:tcBorders>
              <w:right w:val="single" w:sz="8" w:color="0000FF"/>
            </w:tcBorders>
            <w:gridSpan w:val="2"/>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13—Fair Value</w:t>
            </w:r>
          </w:p>
        </w:tc>
        <w:tc>
          <w:tcPr>
            <w:tcW w:w="2100" w:type="dxa"/>
            <w:vAlign w:val="bottom"/>
            <w:gridSpan w:val="6"/>
          </w:tcPr>
          <w:p>
            <w:pPr>
              <w:jc w:val="right"/>
              <w:spacing w:after="0"/>
              <w:rPr>
                <w:sz w:val="20"/>
                <w:szCs w:val="20"/>
                <w:color w:val="auto"/>
              </w:rPr>
            </w:pPr>
            <w:r>
              <w:rPr>
                <w:rFonts w:ascii="Arial" w:cs="Arial" w:eastAsia="Arial" w:hAnsi="Arial"/>
                <w:sz w:val="15"/>
                <w:szCs w:val="15"/>
                <w:color w:val="0000FF"/>
              </w:rPr>
              <w:t>107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900" w:type="dxa"/>
            <w:vAlign w:val="bottom"/>
            <w:tcBorders>
              <w:right w:val="single" w:sz="8" w:color="0000FF"/>
            </w:tcBorders>
            <w:gridSpan w:val="2"/>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14—Commitments and Contingencies</w:t>
            </w:r>
          </w:p>
        </w:tc>
        <w:tc>
          <w:tcPr>
            <w:tcW w:w="2100" w:type="dxa"/>
            <w:vAlign w:val="bottom"/>
            <w:gridSpan w:val="6"/>
          </w:tcPr>
          <w:p>
            <w:pPr>
              <w:jc w:val="right"/>
              <w:spacing w:after="0"/>
              <w:rPr>
                <w:sz w:val="20"/>
                <w:szCs w:val="20"/>
                <w:color w:val="auto"/>
              </w:rPr>
            </w:pPr>
            <w:r>
              <w:rPr>
                <w:rFonts w:ascii="Arial" w:cs="Arial" w:eastAsia="Arial" w:hAnsi="Arial"/>
                <w:sz w:val="15"/>
                <w:szCs w:val="15"/>
                <w:color w:val="0000FF"/>
              </w:rPr>
              <w:t>116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900" w:type="dxa"/>
            <w:vAlign w:val="bottom"/>
            <w:tcBorders>
              <w:right w:val="single" w:sz="8" w:color="0000FF"/>
            </w:tcBorders>
            <w:gridSpan w:val="2"/>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15—Regulatory Capital Requirements</w:t>
            </w:r>
          </w:p>
        </w:tc>
        <w:tc>
          <w:tcPr>
            <w:tcW w:w="2100" w:type="dxa"/>
            <w:vAlign w:val="bottom"/>
            <w:gridSpan w:val="6"/>
          </w:tcPr>
          <w:p>
            <w:pPr>
              <w:jc w:val="right"/>
              <w:spacing w:after="0"/>
              <w:rPr>
                <w:sz w:val="20"/>
                <w:szCs w:val="20"/>
                <w:color w:val="auto"/>
              </w:rPr>
            </w:pPr>
            <w:r>
              <w:rPr>
                <w:rFonts w:ascii="Arial" w:cs="Arial" w:eastAsia="Arial" w:hAnsi="Arial"/>
                <w:sz w:val="15"/>
                <w:szCs w:val="15"/>
                <w:color w:val="0000FF"/>
              </w:rPr>
              <w:t>117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ind w:left="20"/>
              <w:spacing w:after="0"/>
              <w:rPr>
                <w:sz w:val="20"/>
                <w:szCs w:val="20"/>
                <w:color w:val="auto"/>
              </w:rPr>
            </w:pPr>
            <w:r>
              <w:rPr>
                <w:rFonts w:ascii="Arial" w:cs="Arial" w:eastAsia="Arial" w:hAnsi="Arial"/>
                <w:sz w:val="15"/>
                <w:szCs w:val="15"/>
                <w:color w:val="auto"/>
              </w:rPr>
              <w:t>Item 2.</w:t>
            </w:r>
          </w:p>
        </w:tc>
        <w:tc>
          <w:tcPr>
            <w:tcW w:w="8340" w:type="dxa"/>
            <w:vAlign w:val="bottom"/>
          </w:tcPr>
          <w:p>
            <w:pPr>
              <w:ind w:left="280"/>
              <w:spacing w:after="0"/>
              <w:rPr>
                <w:sz w:val="20"/>
                <w:szCs w:val="20"/>
                <w:color w:val="auto"/>
              </w:rPr>
            </w:pPr>
            <w:r>
              <w:rPr>
                <w:rFonts w:ascii="Arial" w:cs="Arial" w:eastAsia="Arial" w:hAnsi="Arial"/>
                <w:sz w:val="15"/>
                <w:szCs w:val="15"/>
                <w:color w:val="auto"/>
              </w:rPr>
              <w:t>Management’s Discussion and Analysis of Financial Condition and Results of Operations</w:t>
            </w:r>
          </w:p>
        </w:tc>
        <w:tc>
          <w:tcPr>
            <w:tcW w:w="1900" w:type="dxa"/>
            <w:vAlign w:val="bottom"/>
            <w:gridSpan w:val="2"/>
          </w:tcPr>
          <w:p>
            <w:pPr>
              <w:spacing w:after="0"/>
              <w:rPr>
                <w:sz w:val="16"/>
                <w:szCs w:val="16"/>
                <w:color w:val="auto"/>
              </w:rPr>
            </w:pPr>
          </w:p>
        </w:tc>
        <w:tc>
          <w:tcPr>
            <w:tcW w:w="100" w:type="dxa"/>
            <w:vAlign w:val="bottom"/>
            <w:tcBorders>
              <w:top w:val="single" w:sz="8" w:color="0000FF"/>
            </w:tcBorders>
            <w:gridSpan w:val="3"/>
          </w:tcPr>
          <w:p>
            <w:pPr>
              <w:spacing w:after="0"/>
              <w:rPr>
                <w:sz w:val="16"/>
                <w:szCs w:val="16"/>
                <w:color w:val="auto"/>
              </w:rPr>
            </w:pPr>
          </w:p>
        </w:tc>
        <w:tc>
          <w:tcPr>
            <w:tcW w:w="10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5"/>
                <w:szCs w:val="15"/>
                <w:color w:val="0000FF"/>
                <w:w w:val="95"/>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About Fannie Mae</w:t>
            </w:r>
          </w:p>
        </w:tc>
        <w:tc>
          <w:tcPr>
            <w:tcW w:w="2000" w:type="dxa"/>
            <w:vAlign w:val="bottom"/>
            <w:gridSpan w:val="5"/>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Executive Summary</w:t>
            </w:r>
          </w:p>
        </w:tc>
        <w:tc>
          <w:tcPr>
            <w:tcW w:w="2000" w:type="dxa"/>
            <w:vAlign w:val="bottom"/>
            <w:gridSpan w:val="5"/>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Legislation and Regulation</w:t>
            </w:r>
          </w:p>
        </w:tc>
        <w:tc>
          <w:tcPr>
            <w:tcW w:w="2000" w:type="dxa"/>
            <w:vAlign w:val="bottom"/>
            <w:gridSpan w:val="5"/>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Key Market Economic Indicators</w:t>
            </w:r>
          </w:p>
        </w:tc>
        <w:tc>
          <w:tcPr>
            <w:tcW w:w="2000" w:type="dxa"/>
            <w:vAlign w:val="bottom"/>
            <w:gridSpan w:val="5"/>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Consolidated Results of Operations</w:t>
            </w:r>
          </w:p>
        </w:tc>
        <w:tc>
          <w:tcPr>
            <w:tcW w:w="2000" w:type="dxa"/>
            <w:vAlign w:val="bottom"/>
            <w:gridSpan w:val="5"/>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Consolidated Balance Sheet Analysis</w:t>
            </w:r>
          </w:p>
        </w:tc>
        <w:tc>
          <w:tcPr>
            <w:tcW w:w="192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Retained Mortgage Portfolio</w:t>
            </w:r>
          </w:p>
        </w:tc>
        <w:tc>
          <w:tcPr>
            <w:tcW w:w="192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Guaranty Book of Business</w:t>
            </w:r>
          </w:p>
        </w:tc>
        <w:tc>
          <w:tcPr>
            <w:tcW w:w="192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Business Segments</w:t>
            </w:r>
          </w:p>
        </w:tc>
        <w:tc>
          <w:tcPr>
            <w:tcW w:w="192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Single-Family Business</w:t>
            </w:r>
          </w:p>
        </w:tc>
        <w:tc>
          <w:tcPr>
            <w:tcW w:w="192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Single-Family Mortgage Market</w:t>
            </w:r>
          </w:p>
        </w:tc>
        <w:tc>
          <w:tcPr>
            <w:tcW w:w="192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Single-Family Mortgage-Related Securities Issuances Share</w:t>
            </w:r>
          </w:p>
        </w:tc>
        <w:tc>
          <w:tcPr>
            <w:tcW w:w="192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Single-Family Business Metrics</w:t>
            </w:r>
          </w:p>
        </w:tc>
        <w:tc>
          <w:tcPr>
            <w:tcW w:w="192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Single-Family Business Financial Results</w:t>
            </w:r>
          </w:p>
        </w:tc>
        <w:tc>
          <w:tcPr>
            <w:tcW w:w="192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Single-Family Mortgage Credit Risk Management</w:t>
            </w:r>
          </w:p>
        </w:tc>
        <w:tc>
          <w:tcPr>
            <w:tcW w:w="192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Multifamily Business</w:t>
            </w:r>
          </w:p>
        </w:tc>
        <w:tc>
          <w:tcPr>
            <w:tcW w:w="192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37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Multifamily Mortgage Market</w:t>
            </w:r>
          </w:p>
        </w:tc>
        <w:tc>
          <w:tcPr>
            <w:tcW w:w="192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37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Multifamily Business Metrics</w:t>
            </w:r>
          </w:p>
        </w:tc>
        <w:tc>
          <w:tcPr>
            <w:tcW w:w="192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Multifamily Business Financial Results</w:t>
            </w:r>
          </w:p>
        </w:tc>
        <w:tc>
          <w:tcPr>
            <w:tcW w:w="192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Multifamily Mortgage Credit Risk Management</w:t>
            </w:r>
          </w:p>
        </w:tc>
        <w:tc>
          <w:tcPr>
            <w:tcW w:w="192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Consolidated Credit Ratios and Select Credit Information</w:t>
            </w:r>
          </w:p>
        </w:tc>
        <w:tc>
          <w:tcPr>
            <w:tcW w:w="192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47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Liquidity and Capital Management</w:t>
            </w:r>
          </w:p>
        </w:tc>
        <w:tc>
          <w:tcPr>
            <w:tcW w:w="192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Risk Management</w:t>
            </w:r>
          </w:p>
        </w:tc>
        <w:tc>
          <w:tcPr>
            <w:tcW w:w="192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Institutional Counterparty Credit Risk Management</w:t>
            </w:r>
          </w:p>
        </w:tc>
        <w:tc>
          <w:tcPr>
            <w:tcW w:w="192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Market Risk Management, including Interest-Rate Risk Management</w:t>
            </w:r>
          </w:p>
        </w:tc>
        <w:tc>
          <w:tcPr>
            <w:tcW w:w="192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Critical Accounting Estimates</w:t>
            </w:r>
          </w:p>
        </w:tc>
        <w:tc>
          <w:tcPr>
            <w:tcW w:w="192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57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Impact of Future Adoption of New Accounting Guidance</w:t>
            </w:r>
          </w:p>
        </w:tc>
        <w:tc>
          <w:tcPr>
            <w:tcW w:w="192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60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Forward-Looking Statements</w:t>
            </w:r>
          </w:p>
        </w:tc>
        <w:tc>
          <w:tcPr>
            <w:tcW w:w="1920" w:type="dxa"/>
            <w:vAlign w:val="bottom"/>
            <w:gridSpan w:val="3"/>
          </w:tcPr>
          <w:p>
            <w:pPr>
              <w:spacing w:after="0"/>
              <w:rPr>
                <w:sz w:val="16"/>
                <w:szCs w:val="16"/>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60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474980</wp:posOffset>
            </wp:positionV>
            <wp:extent cx="7007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00"/>
        <w:spacing w:after="0"/>
        <w:tabs>
          <w:tab w:leader="none" w:pos="11060" w:val="left"/>
        </w:tabs>
        <w:rPr>
          <w:sz w:val="20"/>
          <w:szCs w:val="20"/>
          <w:color w:val="auto"/>
        </w:rPr>
      </w:pPr>
      <w:r>
        <w:rPr>
          <w:rFonts w:ascii="Arial" w:cs="Arial" w:eastAsia="Arial" w:hAnsi="Arial"/>
          <w:sz w:val="14"/>
          <w:szCs w:val="14"/>
          <w:color w:val="05314D"/>
        </w:rPr>
        <w:t>Fannie Mae Third Quarter 2024 Form 10-Q</w:t>
      </w:r>
      <w:r>
        <w:rPr>
          <w:sz w:val="20"/>
          <w:szCs w:val="20"/>
          <w:color w:val="auto"/>
        </w:rPr>
        <w:tab/>
      </w:r>
      <w:r>
        <w:rPr>
          <w:rFonts w:ascii="Arial" w:cs="Arial" w:eastAsia="Arial" w:hAnsi="Arial"/>
          <w:sz w:val="9"/>
          <w:szCs w:val="9"/>
          <w:color w:val="05314D"/>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127000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138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2"/>
        </w:trPr>
        <w:tc>
          <w:tcPr>
            <w:tcW w:w="800" w:type="dxa"/>
            <w:vAlign w:val="bottom"/>
          </w:tcPr>
          <w:p>
            <w:pPr>
              <w:spacing w:after="0"/>
              <w:rPr>
                <w:sz w:val="20"/>
                <w:szCs w:val="20"/>
                <w:color w:val="auto"/>
              </w:rPr>
            </w:pPr>
            <w:r>
              <w:rPr>
                <w:rFonts w:ascii="Arial" w:cs="Arial" w:eastAsia="Arial" w:hAnsi="Arial"/>
                <w:sz w:val="15"/>
                <w:szCs w:val="15"/>
                <w:color w:val="auto"/>
              </w:rPr>
              <w:t>Item 3.</w:t>
            </w:r>
          </w:p>
        </w:tc>
        <w:tc>
          <w:tcPr>
            <w:tcW w:w="10120" w:type="dxa"/>
            <w:vAlign w:val="bottom"/>
          </w:tcPr>
          <w:p>
            <w:pPr>
              <w:ind w:left="220"/>
              <w:spacing w:after="0"/>
              <w:rPr>
                <w:sz w:val="20"/>
                <w:szCs w:val="20"/>
                <w:color w:val="auto"/>
              </w:rPr>
            </w:pPr>
            <w:r>
              <w:rPr>
                <w:rFonts w:ascii="Arial" w:cs="Arial" w:eastAsia="Arial" w:hAnsi="Arial"/>
                <w:sz w:val="15"/>
                <w:szCs w:val="15"/>
                <w:color w:val="auto"/>
              </w:rPr>
              <w:t>Quantitative and Qualitative Disclosures about Market Risk</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119</w:t>
            </w:r>
          </w:p>
        </w:tc>
      </w:tr>
      <w:tr>
        <w:trPr>
          <w:trHeight w:val="186"/>
        </w:trPr>
        <w:tc>
          <w:tcPr>
            <w:tcW w:w="800" w:type="dxa"/>
            <w:vAlign w:val="bottom"/>
          </w:tcPr>
          <w:p>
            <w:pPr>
              <w:spacing w:after="0"/>
              <w:rPr>
                <w:sz w:val="20"/>
                <w:szCs w:val="20"/>
                <w:color w:val="auto"/>
              </w:rPr>
            </w:pPr>
            <w:r>
              <w:rPr>
                <w:rFonts w:ascii="Arial" w:cs="Arial" w:eastAsia="Arial" w:hAnsi="Arial"/>
                <w:sz w:val="15"/>
                <w:szCs w:val="15"/>
                <w:color w:val="auto"/>
              </w:rPr>
              <w:t>Item 4.</w:t>
            </w:r>
          </w:p>
        </w:tc>
        <w:tc>
          <w:tcPr>
            <w:tcW w:w="10120" w:type="dxa"/>
            <w:vAlign w:val="bottom"/>
          </w:tcPr>
          <w:p>
            <w:pPr>
              <w:ind w:left="220"/>
              <w:spacing w:after="0"/>
              <w:rPr>
                <w:sz w:val="20"/>
                <w:szCs w:val="20"/>
                <w:color w:val="auto"/>
              </w:rPr>
            </w:pPr>
            <w:r>
              <w:rPr>
                <w:rFonts w:ascii="Arial" w:cs="Arial" w:eastAsia="Arial" w:hAnsi="Arial"/>
                <w:sz w:val="15"/>
                <w:szCs w:val="15"/>
                <w:color w:val="auto"/>
              </w:rPr>
              <w:t>Controls and Procedures</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119</w:t>
            </w:r>
          </w:p>
        </w:tc>
      </w:tr>
      <w:tr>
        <w:trPr>
          <w:trHeight w:val="186"/>
        </w:trPr>
        <w:tc>
          <w:tcPr>
            <w:tcW w:w="10920" w:type="dxa"/>
            <w:vAlign w:val="bottom"/>
            <w:gridSpan w:val="2"/>
          </w:tcPr>
          <w:p>
            <w:pPr>
              <w:spacing w:after="0"/>
              <w:rPr>
                <w:sz w:val="20"/>
                <w:szCs w:val="20"/>
                <w:color w:val="auto"/>
              </w:rPr>
            </w:pPr>
            <w:r>
              <w:rPr>
                <w:rFonts w:ascii="Arial" w:cs="Arial" w:eastAsia="Arial" w:hAnsi="Arial"/>
                <w:sz w:val="15"/>
                <w:szCs w:val="15"/>
                <w:b w:val="1"/>
                <w:bCs w:val="1"/>
                <w:color w:val="auto"/>
              </w:rPr>
              <w:t>PART II—Other Information</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121</w:t>
            </w:r>
          </w:p>
        </w:tc>
      </w:tr>
      <w:tr>
        <w:trPr>
          <w:trHeight w:val="186"/>
        </w:trPr>
        <w:tc>
          <w:tcPr>
            <w:tcW w:w="800" w:type="dxa"/>
            <w:vAlign w:val="bottom"/>
          </w:tcPr>
          <w:p>
            <w:pPr>
              <w:spacing w:after="0"/>
              <w:rPr>
                <w:sz w:val="20"/>
                <w:szCs w:val="20"/>
                <w:color w:val="auto"/>
              </w:rPr>
            </w:pPr>
            <w:r>
              <w:rPr>
                <w:rFonts w:ascii="Arial" w:cs="Arial" w:eastAsia="Arial" w:hAnsi="Arial"/>
                <w:sz w:val="15"/>
                <w:szCs w:val="15"/>
                <w:color w:val="auto"/>
              </w:rPr>
              <w:t>Item 1.</w:t>
            </w:r>
          </w:p>
        </w:tc>
        <w:tc>
          <w:tcPr>
            <w:tcW w:w="10120" w:type="dxa"/>
            <w:vAlign w:val="bottom"/>
          </w:tcPr>
          <w:p>
            <w:pPr>
              <w:ind w:left="220"/>
              <w:spacing w:after="0"/>
              <w:rPr>
                <w:sz w:val="20"/>
                <w:szCs w:val="20"/>
                <w:color w:val="auto"/>
              </w:rPr>
            </w:pPr>
            <w:r>
              <w:rPr>
                <w:rFonts w:ascii="Arial" w:cs="Arial" w:eastAsia="Arial" w:hAnsi="Arial"/>
                <w:sz w:val="15"/>
                <w:szCs w:val="15"/>
                <w:color w:val="auto"/>
              </w:rPr>
              <w:t>Legal Proceedings</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121</w:t>
            </w:r>
          </w:p>
        </w:tc>
      </w:tr>
      <w:tr>
        <w:trPr>
          <w:trHeight w:val="186"/>
        </w:trPr>
        <w:tc>
          <w:tcPr>
            <w:tcW w:w="800" w:type="dxa"/>
            <w:vAlign w:val="bottom"/>
          </w:tcPr>
          <w:p>
            <w:pPr>
              <w:spacing w:after="0"/>
              <w:rPr>
                <w:sz w:val="20"/>
                <w:szCs w:val="20"/>
                <w:color w:val="auto"/>
              </w:rPr>
            </w:pPr>
            <w:r>
              <w:rPr>
                <w:rFonts w:ascii="Arial" w:cs="Arial" w:eastAsia="Arial" w:hAnsi="Arial"/>
                <w:sz w:val="15"/>
                <w:szCs w:val="15"/>
                <w:color w:val="auto"/>
              </w:rPr>
              <w:t>Item 1A.</w:t>
            </w:r>
          </w:p>
        </w:tc>
        <w:tc>
          <w:tcPr>
            <w:tcW w:w="10120" w:type="dxa"/>
            <w:vAlign w:val="bottom"/>
          </w:tcPr>
          <w:p>
            <w:pPr>
              <w:ind w:left="220"/>
              <w:spacing w:after="0"/>
              <w:rPr>
                <w:sz w:val="20"/>
                <w:szCs w:val="20"/>
                <w:color w:val="auto"/>
              </w:rPr>
            </w:pPr>
            <w:r>
              <w:rPr>
                <w:rFonts w:ascii="Arial" w:cs="Arial" w:eastAsia="Arial" w:hAnsi="Arial"/>
                <w:sz w:val="15"/>
                <w:szCs w:val="15"/>
                <w:color w:val="auto"/>
              </w:rPr>
              <w:t>Risk Factors</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122</w:t>
            </w:r>
          </w:p>
        </w:tc>
      </w:tr>
      <w:tr>
        <w:trPr>
          <w:trHeight w:val="186"/>
        </w:trPr>
        <w:tc>
          <w:tcPr>
            <w:tcW w:w="800" w:type="dxa"/>
            <w:vAlign w:val="bottom"/>
          </w:tcPr>
          <w:p>
            <w:pPr>
              <w:spacing w:after="0"/>
              <w:rPr>
                <w:sz w:val="20"/>
                <w:szCs w:val="20"/>
                <w:color w:val="auto"/>
              </w:rPr>
            </w:pPr>
            <w:r>
              <w:rPr>
                <w:rFonts w:ascii="Arial" w:cs="Arial" w:eastAsia="Arial" w:hAnsi="Arial"/>
                <w:sz w:val="15"/>
                <w:szCs w:val="15"/>
                <w:color w:val="auto"/>
              </w:rPr>
              <w:t>Item 2.</w:t>
            </w:r>
          </w:p>
        </w:tc>
        <w:tc>
          <w:tcPr>
            <w:tcW w:w="10120" w:type="dxa"/>
            <w:vAlign w:val="bottom"/>
          </w:tcPr>
          <w:p>
            <w:pPr>
              <w:ind w:left="220"/>
              <w:spacing w:after="0"/>
              <w:rPr>
                <w:sz w:val="20"/>
                <w:szCs w:val="20"/>
                <w:color w:val="auto"/>
              </w:rPr>
            </w:pPr>
            <w:r>
              <w:rPr>
                <w:rFonts w:ascii="Arial" w:cs="Arial" w:eastAsia="Arial" w:hAnsi="Arial"/>
                <w:sz w:val="15"/>
                <w:szCs w:val="15"/>
                <w:color w:val="auto"/>
              </w:rPr>
              <w:t>Unregistered Sales of Equity Securities and Use of Proceeds</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122</w:t>
            </w:r>
          </w:p>
        </w:tc>
      </w:tr>
      <w:tr>
        <w:trPr>
          <w:trHeight w:val="186"/>
        </w:trPr>
        <w:tc>
          <w:tcPr>
            <w:tcW w:w="800" w:type="dxa"/>
            <w:vAlign w:val="bottom"/>
          </w:tcPr>
          <w:p>
            <w:pPr>
              <w:spacing w:after="0"/>
              <w:rPr>
                <w:sz w:val="20"/>
                <w:szCs w:val="20"/>
                <w:color w:val="auto"/>
              </w:rPr>
            </w:pPr>
            <w:r>
              <w:rPr>
                <w:rFonts w:ascii="Arial" w:cs="Arial" w:eastAsia="Arial" w:hAnsi="Arial"/>
                <w:sz w:val="15"/>
                <w:szCs w:val="15"/>
                <w:color w:val="auto"/>
              </w:rPr>
              <w:t>Item 3.</w:t>
            </w:r>
          </w:p>
        </w:tc>
        <w:tc>
          <w:tcPr>
            <w:tcW w:w="10120" w:type="dxa"/>
            <w:vAlign w:val="bottom"/>
          </w:tcPr>
          <w:p>
            <w:pPr>
              <w:ind w:left="220"/>
              <w:spacing w:after="0"/>
              <w:rPr>
                <w:sz w:val="20"/>
                <w:szCs w:val="20"/>
                <w:color w:val="auto"/>
              </w:rPr>
            </w:pPr>
            <w:r>
              <w:rPr>
                <w:rFonts w:ascii="Arial" w:cs="Arial" w:eastAsia="Arial" w:hAnsi="Arial"/>
                <w:sz w:val="15"/>
                <w:szCs w:val="15"/>
                <w:color w:val="auto"/>
              </w:rPr>
              <w:t>Defaults Upon Senior Securities</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124</w:t>
            </w:r>
          </w:p>
        </w:tc>
      </w:tr>
      <w:tr>
        <w:trPr>
          <w:trHeight w:val="186"/>
        </w:trPr>
        <w:tc>
          <w:tcPr>
            <w:tcW w:w="800" w:type="dxa"/>
            <w:vAlign w:val="bottom"/>
          </w:tcPr>
          <w:p>
            <w:pPr>
              <w:spacing w:after="0"/>
              <w:rPr>
                <w:sz w:val="20"/>
                <w:szCs w:val="20"/>
                <w:color w:val="auto"/>
              </w:rPr>
            </w:pPr>
            <w:r>
              <w:rPr>
                <w:rFonts w:ascii="Arial" w:cs="Arial" w:eastAsia="Arial" w:hAnsi="Arial"/>
                <w:sz w:val="15"/>
                <w:szCs w:val="15"/>
                <w:color w:val="auto"/>
              </w:rPr>
              <w:t>Item 4.</w:t>
            </w:r>
          </w:p>
        </w:tc>
        <w:tc>
          <w:tcPr>
            <w:tcW w:w="10120" w:type="dxa"/>
            <w:vAlign w:val="bottom"/>
          </w:tcPr>
          <w:p>
            <w:pPr>
              <w:ind w:left="220"/>
              <w:spacing w:after="0"/>
              <w:rPr>
                <w:sz w:val="20"/>
                <w:szCs w:val="20"/>
                <w:color w:val="auto"/>
              </w:rPr>
            </w:pPr>
            <w:r>
              <w:rPr>
                <w:rFonts w:ascii="Arial" w:cs="Arial" w:eastAsia="Arial" w:hAnsi="Arial"/>
                <w:sz w:val="15"/>
                <w:szCs w:val="15"/>
                <w:color w:val="auto"/>
              </w:rPr>
              <w:t>Mine Safety Disclosures</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124</w:t>
            </w:r>
          </w:p>
        </w:tc>
      </w:tr>
      <w:tr>
        <w:trPr>
          <w:trHeight w:val="186"/>
        </w:trPr>
        <w:tc>
          <w:tcPr>
            <w:tcW w:w="800" w:type="dxa"/>
            <w:vAlign w:val="bottom"/>
          </w:tcPr>
          <w:p>
            <w:pPr>
              <w:spacing w:after="0"/>
              <w:rPr>
                <w:sz w:val="20"/>
                <w:szCs w:val="20"/>
                <w:color w:val="auto"/>
              </w:rPr>
            </w:pPr>
            <w:r>
              <w:rPr>
                <w:rFonts w:ascii="Arial" w:cs="Arial" w:eastAsia="Arial" w:hAnsi="Arial"/>
                <w:sz w:val="15"/>
                <w:szCs w:val="15"/>
                <w:color w:val="auto"/>
              </w:rPr>
              <w:t>Item 5.</w:t>
            </w:r>
          </w:p>
        </w:tc>
        <w:tc>
          <w:tcPr>
            <w:tcW w:w="10120" w:type="dxa"/>
            <w:vAlign w:val="bottom"/>
          </w:tcPr>
          <w:p>
            <w:pPr>
              <w:ind w:left="220"/>
              <w:spacing w:after="0"/>
              <w:rPr>
                <w:sz w:val="20"/>
                <w:szCs w:val="20"/>
                <w:color w:val="auto"/>
              </w:rPr>
            </w:pPr>
            <w:r>
              <w:rPr>
                <w:rFonts w:ascii="Arial" w:cs="Arial" w:eastAsia="Arial" w:hAnsi="Arial"/>
                <w:sz w:val="15"/>
                <w:szCs w:val="15"/>
                <w:color w:val="auto"/>
              </w:rPr>
              <w:t>Other Information</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124</w:t>
            </w:r>
          </w:p>
        </w:tc>
      </w:tr>
      <w:tr>
        <w:trPr>
          <w:trHeight w:val="186"/>
        </w:trPr>
        <w:tc>
          <w:tcPr>
            <w:tcW w:w="800" w:type="dxa"/>
            <w:vAlign w:val="bottom"/>
          </w:tcPr>
          <w:p>
            <w:pPr>
              <w:spacing w:after="0"/>
              <w:rPr>
                <w:sz w:val="20"/>
                <w:szCs w:val="20"/>
                <w:color w:val="auto"/>
              </w:rPr>
            </w:pPr>
            <w:r>
              <w:rPr>
                <w:rFonts w:ascii="Arial" w:cs="Arial" w:eastAsia="Arial" w:hAnsi="Arial"/>
                <w:sz w:val="15"/>
                <w:szCs w:val="15"/>
                <w:color w:val="auto"/>
              </w:rPr>
              <w:t>Item 6.</w:t>
            </w:r>
          </w:p>
        </w:tc>
        <w:tc>
          <w:tcPr>
            <w:tcW w:w="10120" w:type="dxa"/>
            <w:vAlign w:val="bottom"/>
          </w:tcPr>
          <w:p>
            <w:pPr>
              <w:ind w:left="220"/>
              <w:spacing w:after="0"/>
              <w:rPr>
                <w:sz w:val="20"/>
                <w:szCs w:val="20"/>
                <w:color w:val="auto"/>
              </w:rPr>
            </w:pPr>
            <w:r>
              <w:rPr>
                <w:rFonts w:ascii="Arial" w:cs="Arial" w:eastAsia="Arial" w:hAnsi="Arial"/>
                <w:sz w:val="15"/>
                <w:szCs w:val="15"/>
                <w:color w:val="auto"/>
              </w:rPr>
              <w:t>Exhibits</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125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474980</wp:posOffset>
            </wp:positionV>
            <wp:extent cx="7007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80"/>
        <w:spacing w:after="0"/>
        <w:tabs>
          <w:tab w:leader="none" w:pos="11000" w:val="left"/>
        </w:tabs>
        <w:rPr>
          <w:sz w:val="20"/>
          <w:szCs w:val="20"/>
          <w:color w:val="auto"/>
        </w:rPr>
      </w:pPr>
      <w:r>
        <w:rPr>
          <w:rFonts w:ascii="Arial" w:cs="Arial" w:eastAsia="Arial" w:hAnsi="Arial"/>
          <w:sz w:val="14"/>
          <w:szCs w:val="14"/>
          <w:color w:val="05314D"/>
        </w:rPr>
        <w:t>Fannie Mae Third Quarter 2024 Form 10-Q</w:t>
      </w:r>
      <w:r>
        <w:rPr>
          <w:sz w:val="20"/>
          <w:szCs w:val="20"/>
          <w:color w:val="auto"/>
        </w:rPr>
        <w:tab/>
      </w:r>
      <w:r>
        <w:rPr>
          <w:rFonts w:ascii="Arial" w:cs="Arial" w:eastAsia="Arial" w:hAnsi="Arial"/>
          <w:sz w:val="13"/>
          <w:szCs w:val="13"/>
          <w:color w:val="05314D"/>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127000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60" w:top="1398" w:right="359" w:bottom="1440" w:gutter="0" w:footer="0" w:header="0"/>
        </w:sectPr>
      </w:pPr>
    </w:p>
    <w:bookmarkStart w:id="3" w:name="page4"/>
    <w:bookmarkEnd w:id="3"/>
    <w:p>
      <w:pPr>
        <w:ind w:left="9480"/>
        <w:spacing w:after="0"/>
        <w:rPr>
          <w:sz w:val="20"/>
          <w:szCs w:val="20"/>
          <w:color w:val="auto"/>
        </w:rPr>
      </w:pPr>
      <w:r>
        <w:rPr>
          <w:rFonts w:ascii="Arial" w:cs="Arial" w:eastAsia="Arial" w:hAnsi="Arial"/>
          <w:sz w:val="14"/>
          <w:szCs w:val="14"/>
          <w:color w:val="001543"/>
        </w:rPr>
        <w:t>MD&amp;A | About Fannie 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Georgia" w:cs="Georgia" w:eastAsia="Georgia" w:hAnsi="Georgia"/>
          <w:sz w:val="31"/>
          <w:szCs w:val="31"/>
          <w:b w:val="1"/>
          <w:bCs w:val="1"/>
          <w:color w:val="05314D"/>
        </w:rPr>
        <w:t>PART I—FINANCIAL INFORMATION</w:t>
      </w:r>
    </w:p>
    <w:p>
      <w:pPr>
        <w:spacing w:after="0" w:line="185" w:lineRule="exact"/>
        <w:rPr>
          <w:sz w:val="20"/>
          <w:szCs w:val="20"/>
          <w:color w:val="auto"/>
        </w:rPr>
      </w:pPr>
    </w:p>
    <w:p>
      <w:pPr>
        <w:ind w:right="720"/>
        <w:spacing w:after="0" w:line="254" w:lineRule="auto"/>
        <w:rPr>
          <w:sz w:val="20"/>
          <w:szCs w:val="20"/>
          <w:color w:val="auto"/>
        </w:rPr>
      </w:pPr>
      <w:r>
        <w:rPr>
          <w:rFonts w:ascii="Georgia" w:cs="Georgia" w:eastAsia="Georgia" w:hAnsi="Georgia"/>
          <w:sz w:val="27"/>
          <w:szCs w:val="27"/>
          <w:b w:val="1"/>
          <w:bCs w:val="1"/>
          <w:color w:val="05314D"/>
        </w:rPr>
        <w:t>Item 2. Management’s Discussion and Analysis of Financial Condition and Results of Operations</w:t>
      </w:r>
    </w:p>
    <w:p>
      <w:pPr>
        <w:spacing w:after="0" w:line="60"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i w:val="1"/>
          <w:iCs w:val="1"/>
          <w:color w:val="auto"/>
        </w:rPr>
        <w:t>You should read this Management’s Discussion and Analysis of Financial Condition and Results of Operations (“MD&amp;A”) in conjunction with our unaudited condensed consolidated financial statements and related notes in this report and the more detailed information in our annual report on Form 10-K for the year ended December 31, 2023 (“2023 Form 10-K”). You can find a “Glossary of Terms Used in This Report” in MD&amp;A in our 2023 Form 10-K.</w:t>
      </w:r>
    </w:p>
    <w:p>
      <w:pPr>
        <w:spacing w:after="0" w:line="47" w:lineRule="exact"/>
        <w:rPr>
          <w:sz w:val="20"/>
          <w:szCs w:val="20"/>
          <w:color w:val="auto"/>
        </w:rPr>
      </w:pPr>
    </w:p>
    <w:p>
      <w:pPr>
        <w:ind w:right="300"/>
        <w:spacing w:after="0" w:line="271" w:lineRule="auto"/>
        <w:rPr>
          <w:sz w:val="20"/>
          <w:szCs w:val="20"/>
          <w:color w:val="auto"/>
        </w:rPr>
      </w:pPr>
      <w:r>
        <w:rPr>
          <w:rFonts w:ascii="Arial" w:cs="Arial" w:eastAsia="Arial" w:hAnsi="Arial"/>
          <w:sz w:val="16"/>
          <w:szCs w:val="16"/>
          <w:i w:val="1"/>
          <w:iCs w:val="1"/>
          <w:color w:val="auto"/>
        </w:rPr>
        <w:t>This report includes forward-looking statements based on management’s current expectations that are subject to significant uncertainties. Future events and our results may differ materially from those reflected in our forward-looking statements due to a variety of factors, including those discussed in “Forward-Looking Statements,” “Risk Factors” and elsewhere in this report and in our 2023 Form 10-K.</w:t>
      </w:r>
    </w:p>
    <w:p>
      <w:pPr>
        <w:spacing w:after="0" w:line="104"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About Fannie 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38670"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03" w:lineRule="exact"/>
        <w:rPr>
          <w:sz w:val="20"/>
          <w:szCs w:val="20"/>
          <w:color w:val="auto"/>
        </w:rPr>
      </w:pPr>
    </w:p>
    <w:p>
      <w:pPr>
        <w:ind w:right="100"/>
        <w:spacing w:after="0" w:line="310" w:lineRule="auto"/>
        <w:rPr>
          <w:sz w:val="20"/>
          <w:szCs w:val="20"/>
          <w:color w:val="auto"/>
        </w:rPr>
      </w:pPr>
      <w:r>
        <w:rPr>
          <w:rFonts w:ascii="Arial" w:cs="Arial" w:eastAsia="Arial" w:hAnsi="Arial"/>
          <w:sz w:val="16"/>
          <w:szCs w:val="16"/>
          <w:color w:val="auto"/>
        </w:rPr>
        <w:t>Fannie Mae is a leading source of financing for residential mortgages in the United States. We provided $273.9 billion in liquidity to the mortgage market in the first nine months of 2024, which enabled the financing of approximately 993,000 home purchases, refinancings, and rental units.</w:t>
      </w:r>
    </w:p>
    <w:p>
      <w:pPr>
        <w:spacing w:after="0" w:line="2"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We are a government-sponsored, stockholder-owned corporation, chartered by Congress to provide liquidity and stability to the U.S. housing market and to promote access to mortgage credit. We primarily do this by buying residential mortgage loans that are originated by lenders. We place these loans into trusts and issue guaranteed mortgage-backed securities (“MBS” or “Fannie Mae MBS”) that global investors buy from us. We do not originate mortgage loans or lend money directly to borrowers.</w:t>
      </w:r>
    </w:p>
    <w:p>
      <w:pPr>
        <w:spacing w:after="0" w:line="48"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We support both single-family and multifamily housing. Our Single-Family business provides financing for properties that have four or fewer residential units. Our Multifamily business provides financing for residential buildings with five or more units. As of June 30, 2024 (the latest date for which information is available), Fannie Mae owned or guaranteed an estimated 26% of single-family mortgage debt outstanding and an estimated 21% of multifamily mortgage debt outstanding in the United States.</w:t>
      </w:r>
    </w:p>
    <w:p>
      <w:pPr>
        <w:spacing w:after="0" w:line="35"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We provide a guaranty on the MBS that we issue. If a borrower fails to make a payment on a mortgage loan that is included in a Fannie Mae MBS, we pay the shortfall amount to the MBS investor. In exchange for providing this guaranty, we receive a guaranty fee. Guaranty fees are the primary source of our revenues.</w:t>
      </w:r>
    </w:p>
    <w:p>
      <w:pPr>
        <w:spacing w:after="0" w:line="24"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Because we assume the credit risk for mortgage loans in our MBS, our earnings are affected by the credit performance of these loans. Credit risk management is therefore key to our business and financial results. To help manage our mortgage credit risk exposure, and in response to capital and other requirements, we transfer some of our credit risk exposure to third parties through credit risk transfer transactions and mortgage insurance. For a discussion of how we manage credit risk, see “MD&amp;A—Single-Family Business—Single-Family Mortgage Credit Risk Management” and “MD&amp;A— Multifamily Business—Multifamily Mortgage Credit Risk Management” in this report and in our 2023 Form 10-K.</w:t>
      </w:r>
    </w:p>
    <w:p>
      <w:pPr>
        <w:spacing w:after="0" w:line="38"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We are in conservatorship, with the Federal Housing Finance Agency (“FHFA”) as our conservator. During conservatorship, our Board has no fiduciary duties to the company or its stockholders, as they owe their fiduciary duties of care and loyalty solely to FHFA as conservator. Conservatorship and our agreements with the U.S. Department of the Treasury (“Treasury”) significantly restrict our business activities and stockholder rights. For more information about the impact of conservatorship and these agreements on our business, stockholders, and our uncertain future, see “Business—Conservatorship and Treasury Agreements” and “Risk Factors—GSE and Conservatorship Risk” in our 2023 Form 10-K.</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0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2024 Form 10-Q</w:t>
            </w:r>
          </w:p>
        </w:tc>
        <w:tc>
          <w:tcPr>
            <w:tcW w:w="424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00" w:type="dxa"/>
            <w:vAlign w:val="bottom"/>
            <w:tcBorders>
              <w:bottom w:val="single" w:sz="8" w:color="9A9A9A"/>
            </w:tcBorders>
          </w:tcPr>
          <w:p>
            <w:pPr>
              <w:spacing w:after="0"/>
              <w:rPr>
                <w:sz w:val="17"/>
                <w:szCs w:val="17"/>
                <w:color w:val="auto"/>
              </w:rPr>
            </w:pPr>
          </w:p>
        </w:tc>
        <w:tc>
          <w:tcPr>
            <w:tcW w:w="42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4" w:name="page5"/>
    <w:bookmarkEnd w:id="4"/>
    <w:p>
      <w:pPr>
        <w:ind w:left="9380"/>
        <w:spacing w:after="0"/>
        <w:rPr>
          <w:sz w:val="20"/>
          <w:szCs w:val="20"/>
          <w:color w:val="auto"/>
        </w:rPr>
      </w:pPr>
      <w:r>
        <w:rPr>
          <w:rFonts w:ascii="Arial" w:cs="Arial" w:eastAsia="Arial" w:hAnsi="Arial"/>
          <w:sz w:val="14"/>
          <w:szCs w:val="14"/>
          <w:color w:val="001543"/>
        </w:rPr>
        <w:t>MD&amp;A | 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153" w:lineRule="exact"/>
        <w:rPr>
          <w:sz w:val="20"/>
          <w:szCs w:val="20"/>
          <w:color w:val="auto"/>
        </w:rPr>
      </w:pPr>
    </w:p>
    <w:p>
      <w:pPr>
        <w:ind w:right="340"/>
        <w:spacing w:after="0" w:line="291" w:lineRule="auto"/>
        <w:rPr>
          <w:sz w:val="20"/>
          <w:szCs w:val="20"/>
          <w:color w:val="auto"/>
        </w:rPr>
      </w:pPr>
      <w:r>
        <w:rPr>
          <w:rFonts w:ascii="Arial" w:cs="Arial" w:eastAsia="Arial" w:hAnsi="Arial"/>
          <w:sz w:val="16"/>
          <w:szCs w:val="16"/>
          <w:i w:val="1"/>
          <w:iCs w:val="1"/>
          <w:color w:val="auto"/>
        </w:rPr>
        <w:t>Please read this summary together with our MD&amp;A, our condensed consolidated financial statements as of September 30, 2024 and the accompanying notes.</w:t>
      </w:r>
    </w:p>
    <w:p>
      <w:pPr>
        <w:spacing w:after="0" w:line="62"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Overview of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62230</wp:posOffset>
            </wp:positionV>
            <wp:extent cx="5419090" cy="23577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19090" cy="235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Summary of Financial Results</w:t>
      </w:r>
    </w:p>
    <w:p>
      <w:pPr>
        <w:spacing w:after="0" w:line="10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Quarterly Results</w:t>
      </w:r>
    </w:p>
    <w:p>
      <w:pPr>
        <w:spacing w:after="0" w:line="80" w:lineRule="exact"/>
        <w:rPr>
          <w:sz w:val="20"/>
          <w:szCs w:val="20"/>
          <w:color w:val="auto"/>
        </w:rPr>
      </w:pPr>
    </w:p>
    <w:p>
      <w:pPr>
        <w:ind w:left="620" w:hanging="307"/>
        <w:spacing w:after="0"/>
        <w:tabs>
          <w:tab w:leader="none" w:pos="62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were relatively flat in the third quarter of 2024 compared with the third quarter of 2023.</w:t>
      </w:r>
    </w:p>
    <w:p>
      <w:pPr>
        <w:spacing w:after="0" w:line="86" w:lineRule="exact"/>
        <w:rPr>
          <w:rFonts w:ascii="Arial" w:cs="Arial" w:eastAsia="Arial" w:hAnsi="Arial"/>
          <w:sz w:val="16"/>
          <w:szCs w:val="16"/>
          <w:i w:val="1"/>
          <w:iCs w:val="1"/>
          <w:color w:val="auto"/>
        </w:rPr>
      </w:pPr>
    </w:p>
    <w:p>
      <w:pPr>
        <w:ind w:left="620" w:right="80" w:hanging="307"/>
        <w:spacing w:after="0" w:line="293" w:lineRule="auto"/>
        <w:tabs>
          <w:tab w:leader="none" w:pos="612"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Net income </w:t>
      </w:r>
      <w:r>
        <w:rPr>
          <w:rFonts w:ascii="Arial" w:cs="Arial" w:eastAsia="Arial" w:hAnsi="Arial"/>
          <w:sz w:val="16"/>
          <w:szCs w:val="16"/>
          <w:color w:val="auto"/>
        </w:rPr>
        <w:t>decreased $655 million in the third quarter of 2024 compared with the third quarter of 2023, primarily driven by a decrease in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gains and a decrease in benefit for credit losses.</w:t>
      </w:r>
    </w:p>
    <w:p>
      <w:pPr>
        <w:spacing w:after="0" w:line="67"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Year-to-Date Results</w:t>
      </w:r>
    </w:p>
    <w:p>
      <w:pPr>
        <w:spacing w:after="0" w:line="67" w:lineRule="exact"/>
        <w:rPr>
          <w:sz w:val="20"/>
          <w:szCs w:val="20"/>
          <w:color w:val="auto"/>
        </w:rPr>
      </w:pPr>
    </w:p>
    <w:p>
      <w:pPr>
        <w:ind w:left="620" w:right="420" w:hanging="307"/>
        <w:spacing w:after="0" w:line="293" w:lineRule="auto"/>
        <w:tabs>
          <w:tab w:leader="none" w:pos="612"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increased $522 million in the first nine months of 2024 compared with the first nine months of 2023, driven by an increase in net</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income.</w:t>
      </w:r>
    </w:p>
    <w:p>
      <w:pPr>
        <w:spacing w:after="0" w:line="27" w:lineRule="exact"/>
        <w:rPr>
          <w:rFonts w:ascii="Arial" w:cs="Arial" w:eastAsia="Arial" w:hAnsi="Arial"/>
          <w:sz w:val="16"/>
          <w:szCs w:val="16"/>
          <w:i w:val="1"/>
          <w:iCs w:val="1"/>
          <w:color w:val="auto"/>
        </w:rPr>
      </w:pPr>
    </w:p>
    <w:p>
      <w:pPr>
        <w:ind w:left="620" w:right="160" w:hanging="307"/>
        <w:spacing w:after="0" w:line="293" w:lineRule="auto"/>
        <w:tabs>
          <w:tab w:leader="none" w:pos="612"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Net income </w:t>
      </w:r>
      <w:r>
        <w:rPr>
          <w:rFonts w:ascii="Arial" w:cs="Arial" w:eastAsia="Arial" w:hAnsi="Arial"/>
          <w:sz w:val="16"/>
          <w:szCs w:val="16"/>
          <w:color w:val="auto"/>
        </w:rPr>
        <w:t>decreased $617 million in the first nine months of 2024 compared with the first nine months of 2023, primarily driven by a decrease in</w:t>
      </w:r>
      <w:r>
        <w:rPr>
          <w:rFonts w:ascii="Arial" w:cs="Arial" w:eastAsia="Arial" w:hAnsi="Arial"/>
          <w:sz w:val="16"/>
          <w:szCs w:val="16"/>
          <w:i w:val="1"/>
          <w:iCs w:val="1"/>
          <w:color w:val="auto"/>
        </w:rPr>
        <w:t xml:space="preserve"> </w:t>
      </w:r>
      <w:r>
        <w:rPr>
          <w:rFonts w:ascii="Arial" w:cs="Arial" w:eastAsia="Arial" w:hAnsi="Arial"/>
          <w:sz w:val="16"/>
          <w:szCs w:val="16"/>
          <w:color w:val="auto"/>
        </w:rPr>
        <w:t>benefit for credit losses and a decrease in fair value gains. This was partially offset by an increase in net interest income.</w:t>
      </w:r>
    </w:p>
    <w:p>
      <w:pPr>
        <w:spacing w:after="0" w:line="14" w:lineRule="exact"/>
        <w:rPr>
          <w:rFonts w:ascii="Arial" w:cs="Arial" w:eastAsia="Arial" w:hAnsi="Arial"/>
          <w:sz w:val="16"/>
          <w:szCs w:val="16"/>
          <w:color w:val="auto"/>
        </w:rPr>
      </w:pPr>
    </w:p>
    <w:p>
      <w:pPr>
        <w:ind w:left="620" w:hanging="307"/>
        <w:spacing w:after="0"/>
        <w:tabs>
          <w:tab w:leader="none" w:pos="62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Net worth </w:t>
      </w:r>
      <w:r>
        <w:rPr>
          <w:rFonts w:ascii="Arial" w:cs="Arial" w:eastAsia="Arial" w:hAnsi="Arial"/>
          <w:sz w:val="16"/>
          <w:szCs w:val="16"/>
          <w:color w:val="auto"/>
        </w:rPr>
        <w:t>increased to $90.5 billion as of September 30, 2024 from $77.7 billion as of December 31, 2023.</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For more information on the drivers of our financial results, see “Consolidated Results of Operations.”</w:t>
      </w:r>
    </w:p>
    <w:p>
      <w:pPr>
        <w:spacing w:after="0" w:line="184"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Legislation and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138670"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The information in this section updates and supplements information regarding legislative, regulatory, conservatorship and other matters affecting our business set forth in “Business—Conservatorship and Treasury Agreements” and “Business—Legislation and Regulation” in our 2023 Form 10-K, as well as in “MD&amp;A—Legislation and Regulation” in our Form 10-Q for the quarter ended March 31, 2024 (“First Quarter 2024 Form 10-Q”) and in our Form 10-Q for the quarter ended June 30, 2024 (“Second Quarter 2024 Form 10-Q”). Also see “Risk Factors” in our 2023 Form 10-K for discussions of risks relating to legislative and regulatory matters.</w:t>
      </w:r>
    </w:p>
    <w:p>
      <w:pPr>
        <w:spacing w:after="0" w:line="84"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Proposed 2025-2027 Housing Goals</w:t>
      </w:r>
    </w:p>
    <w:p>
      <w:pPr>
        <w:spacing w:after="0" w:line="76"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We are subject to housing goals, which require that a specified amount of the mortgage loans we acquire meet requirements relating to affordability or location. Our housing goals are set by FHFA in accordance with the Federal Housing Enterprises Financial Safety and Soundness Act of 1992, as amended (the “GSE Act”). In August 2024, FHFA published a proposed rule that would establish single-family and multifamily housing goals for Fannie Mae and Freddie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0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2024 Form 10-Q</w:t>
            </w:r>
          </w:p>
        </w:tc>
        <w:tc>
          <w:tcPr>
            <w:tcW w:w="424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800" w:type="dxa"/>
            <w:vAlign w:val="bottom"/>
            <w:tcBorders>
              <w:bottom w:val="single" w:sz="8" w:color="9A9A9A"/>
            </w:tcBorders>
          </w:tcPr>
          <w:p>
            <w:pPr>
              <w:spacing w:after="0"/>
              <w:rPr>
                <w:sz w:val="16"/>
                <w:szCs w:val="16"/>
                <w:color w:val="auto"/>
              </w:rPr>
            </w:pPr>
          </w:p>
        </w:tc>
        <w:tc>
          <w:tcPr>
            <w:tcW w:w="424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5" w:name="page6"/>
    <w:bookmarkEnd w:id="5"/>
    <w:p>
      <w:pPr>
        <w:ind w:left="9000"/>
        <w:spacing w:after="0"/>
        <w:rPr>
          <w:sz w:val="20"/>
          <w:szCs w:val="20"/>
          <w:color w:val="auto"/>
        </w:rPr>
      </w:pPr>
      <w:r>
        <w:rPr>
          <w:rFonts w:ascii="Arial" w:cs="Arial" w:eastAsia="Arial" w:hAnsi="Arial"/>
          <w:sz w:val="14"/>
          <w:szCs w:val="14"/>
          <w:color w:val="001543"/>
        </w:rPr>
        <w:t>MD&amp;A | Legislation and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right="200"/>
        <w:spacing w:after="0" w:line="293" w:lineRule="auto"/>
        <w:rPr>
          <w:sz w:val="20"/>
          <w:szCs w:val="20"/>
          <w:color w:val="auto"/>
        </w:rPr>
      </w:pPr>
      <w:r>
        <w:rPr>
          <w:rFonts w:ascii="Arial" w:cs="Arial" w:eastAsia="Arial" w:hAnsi="Arial"/>
          <w:sz w:val="16"/>
          <w:szCs w:val="16"/>
          <w:color w:val="auto"/>
        </w:rPr>
        <w:t>Mac for 2025 through 2027. Comments on the proposed rule were due in October 2024. See “Risk Factors—GSE and Conservatorship Risk” in our 2023 Form 10-K for a discussion of how pursuing our housing goals may materially adversely affect our business, results of operations and financial condition.</w:t>
      </w:r>
    </w:p>
    <w:p>
      <w:pPr>
        <w:spacing w:after="0" w:line="54"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Proposed Single-Family Housing Goals</w:t>
      </w:r>
    </w:p>
    <w:p>
      <w:pPr>
        <w:spacing w:after="0" w:line="80"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color w:val="auto"/>
        </w:rPr>
        <w:t>Under FHFA’s proposed rule, FHFA would continue to evaluate our performance against the single-family housing goals using a two-part approach that compares the goals-qualifying share of our single-family mortgage acquisitions against both a benchmark level and a market level. To meet a single-family housing goal or subgoal, the percentage of our mortgage acquisitions that meet each goal or subgoal must equal or exceed either the benchmark level set in advance by FHFA or the market level for that year. The market level is determined retrospectively each year based on actual goals-qualifying originations in the overall market as measured by Home Mortgage Disclosure Act data for that year. Typically, this data is made available by the third quarter of the following year.</w:t>
      </w:r>
    </w:p>
    <w:p>
      <w:pPr>
        <w:spacing w:after="0" w:line="4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table below sets forth the single-family housing goal benchmarks applicable to Fannie Mae for 2024, as compared with FHFA’s proposed single-family housing goal benchmarks for 2025 through 2027.</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Current and Proposed Single-Family Housing Goals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080" w:type="dxa"/>
            <w:vAlign w:val="bottom"/>
            <w:tcBorders>
              <w:top w:val="single" w:sz="8" w:color="2C6937"/>
            </w:tcBorders>
          </w:tcPr>
          <w:p>
            <w:pPr>
              <w:spacing w:after="0"/>
              <w:rPr>
                <w:sz w:val="13"/>
                <w:szCs w:val="13"/>
                <w:color w:val="auto"/>
              </w:rPr>
            </w:pPr>
          </w:p>
        </w:tc>
        <w:tc>
          <w:tcPr>
            <w:tcW w:w="1580" w:type="dxa"/>
            <w:vAlign w:val="bottom"/>
            <w:tcBorders>
              <w:top w:val="single" w:sz="8" w:color="2C6937"/>
            </w:tcBorders>
            <w:gridSpan w:val="2"/>
            <w:vMerge w:val="restart"/>
          </w:tcPr>
          <w:p>
            <w:pPr>
              <w:jc w:val="right"/>
              <w:ind w:right="300"/>
              <w:spacing w:after="0"/>
              <w:rPr>
                <w:sz w:val="20"/>
                <w:szCs w:val="20"/>
                <w:color w:val="auto"/>
              </w:rPr>
            </w:pPr>
            <w:r>
              <w:rPr>
                <w:rFonts w:ascii="Arial" w:cs="Arial" w:eastAsia="Arial" w:hAnsi="Arial"/>
                <w:sz w:val="15"/>
                <w:szCs w:val="15"/>
                <w:b w:val="1"/>
                <w:bCs w:val="1"/>
                <w:color w:val="auto"/>
              </w:rPr>
              <w:t>2024 Benchmark</w:t>
            </w:r>
          </w:p>
        </w:tc>
        <w:tc>
          <w:tcPr>
            <w:tcW w:w="1340" w:type="dxa"/>
            <w:vAlign w:val="bottom"/>
            <w:tcBorders>
              <w:top w:val="single" w:sz="8" w:color="2C6937"/>
            </w:tcBorders>
          </w:tcPr>
          <w:p>
            <w:pPr>
              <w:jc w:val="center"/>
              <w:spacing w:after="0" w:line="161" w:lineRule="exact"/>
              <w:rPr>
                <w:sz w:val="20"/>
                <w:szCs w:val="20"/>
                <w:color w:val="auto"/>
              </w:rPr>
            </w:pPr>
            <w:r>
              <w:rPr>
                <w:rFonts w:ascii="Arial" w:cs="Arial" w:eastAsia="Arial" w:hAnsi="Arial"/>
                <w:sz w:val="15"/>
                <w:szCs w:val="15"/>
                <w:b w:val="1"/>
                <w:bCs w:val="1"/>
                <w:color w:val="auto"/>
              </w:rPr>
              <w:t>Proposed</w:t>
            </w:r>
          </w:p>
        </w:tc>
        <w:tc>
          <w:tcPr>
            <w:tcW w:w="240" w:type="dxa"/>
            <w:vAlign w:val="bottom"/>
            <w:tcBorders>
              <w:top w:val="single" w:sz="8" w:color="2C6937"/>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080" w:type="dxa"/>
            <w:vAlign w:val="bottom"/>
          </w:tcPr>
          <w:p>
            <w:pPr>
              <w:spacing w:after="0"/>
              <w:rPr>
                <w:sz w:val="13"/>
                <w:szCs w:val="13"/>
                <w:color w:val="auto"/>
              </w:rPr>
            </w:pPr>
          </w:p>
        </w:tc>
        <w:tc>
          <w:tcPr>
            <w:tcW w:w="1580" w:type="dxa"/>
            <w:vAlign w:val="bottom"/>
            <w:gridSpan w:val="2"/>
            <w:vMerge w:val="continue"/>
          </w:tcPr>
          <w:p>
            <w:pPr>
              <w:spacing w:after="0"/>
              <w:rPr>
                <w:sz w:val="13"/>
                <w:szCs w:val="13"/>
                <w:color w:val="auto"/>
              </w:rPr>
            </w:pPr>
          </w:p>
        </w:tc>
        <w:tc>
          <w:tcPr>
            <w:tcW w:w="1340" w:type="dxa"/>
            <w:vAlign w:val="bottom"/>
          </w:tcPr>
          <w:p>
            <w:pPr>
              <w:jc w:val="center"/>
              <w:spacing w:after="0" w:line="155" w:lineRule="exact"/>
              <w:rPr>
                <w:sz w:val="20"/>
                <w:szCs w:val="20"/>
                <w:color w:val="auto"/>
              </w:rPr>
            </w:pPr>
            <w:r>
              <w:rPr>
                <w:rFonts w:ascii="Arial" w:cs="Arial" w:eastAsia="Arial" w:hAnsi="Arial"/>
                <w:sz w:val="15"/>
                <w:szCs w:val="15"/>
                <w:b w:val="1"/>
                <w:bCs w:val="1"/>
                <w:color w:val="auto"/>
              </w:rPr>
              <w:t>Benchmark Level</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8080" w:type="dxa"/>
            <w:vAlign w:val="bottom"/>
          </w:tcPr>
          <w:p>
            <w:pPr>
              <w:spacing w:after="0"/>
              <w:rPr>
                <w:sz w:val="17"/>
                <w:szCs w:val="17"/>
                <w:color w:val="auto"/>
              </w:rPr>
            </w:pPr>
          </w:p>
        </w:tc>
        <w:tc>
          <w:tcPr>
            <w:tcW w:w="1340" w:type="dxa"/>
            <w:vAlign w:val="bottom"/>
            <w:tcBorders>
              <w:bottom w:val="single" w:sz="8" w:color="2C6937"/>
            </w:tcBorders>
          </w:tcPr>
          <w:p>
            <w:pPr>
              <w:jc w:val="right"/>
              <w:ind w:right="343"/>
              <w:spacing w:after="0" w:line="207" w:lineRule="exact"/>
              <w:rPr>
                <w:sz w:val="20"/>
                <w:szCs w:val="20"/>
                <w:color w:val="auto"/>
              </w:rPr>
            </w:pPr>
            <w:r>
              <w:rPr>
                <w:rFonts w:ascii="Arial" w:cs="Arial" w:eastAsia="Arial" w:hAnsi="Arial"/>
                <w:sz w:val="15"/>
                <w:szCs w:val="15"/>
                <w:b w:val="1"/>
                <w:bCs w:val="1"/>
                <w:color w:val="auto"/>
              </w:rPr>
              <w:t>Level</w:t>
            </w:r>
            <w:r>
              <w:rPr>
                <w:rFonts w:ascii="Arial" w:cs="Arial" w:eastAsia="Arial" w:hAnsi="Arial"/>
                <w:sz w:val="20"/>
                <w:szCs w:val="20"/>
                <w:b w:val="1"/>
                <w:bCs w:val="1"/>
                <w:color w:val="auto"/>
                <w:vertAlign w:val="superscript"/>
              </w:rPr>
              <w:t>(1)</w:t>
            </w:r>
          </w:p>
        </w:tc>
        <w:tc>
          <w:tcPr>
            <w:tcW w:w="240" w:type="dxa"/>
            <w:vAlign w:val="bottom"/>
          </w:tcPr>
          <w:p>
            <w:pPr>
              <w:spacing w:after="0"/>
              <w:rPr>
                <w:sz w:val="17"/>
                <w:szCs w:val="17"/>
                <w:color w:val="auto"/>
              </w:rPr>
            </w:pPr>
          </w:p>
        </w:tc>
        <w:tc>
          <w:tcPr>
            <w:tcW w:w="1340" w:type="dxa"/>
            <w:vAlign w:val="bottom"/>
            <w:tcBorders>
              <w:bottom w:val="single" w:sz="8" w:color="2C6937"/>
            </w:tcBorders>
          </w:tcPr>
          <w:p>
            <w:pPr>
              <w:jc w:val="center"/>
              <w:spacing w:after="0" w:line="207" w:lineRule="exact"/>
              <w:rPr>
                <w:sz w:val="20"/>
                <w:szCs w:val="20"/>
                <w:color w:val="auto"/>
              </w:rPr>
            </w:pPr>
            <w:r>
              <w:rPr>
                <w:rFonts w:ascii="Arial" w:cs="Arial" w:eastAsia="Arial" w:hAnsi="Arial"/>
                <w:sz w:val="15"/>
                <w:szCs w:val="15"/>
                <w:b w:val="1"/>
                <w:bCs w:val="1"/>
                <w:color w:val="auto"/>
                <w:w w:val="97"/>
              </w:rPr>
              <w:t>2025-2027</w:t>
            </w:r>
            <w:r>
              <w:rPr>
                <w:rFonts w:ascii="Arial" w:cs="Arial" w:eastAsia="Arial" w:hAnsi="Arial"/>
                <w:sz w:val="20"/>
                <w:szCs w:val="20"/>
                <w:b w:val="1"/>
                <w:bCs w:val="1"/>
                <w:color w:val="auto"/>
                <w:w w:val="97"/>
                <w:vertAlign w:val="superscript"/>
              </w:rPr>
              <w:t>(1)</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080" w:type="dxa"/>
            <w:vAlign w:val="bottom"/>
          </w:tcPr>
          <w:p>
            <w:pPr>
              <w:ind w:left="20"/>
              <w:spacing w:after="0" w:line="200" w:lineRule="exact"/>
              <w:rPr>
                <w:sz w:val="20"/>
                <w:szCs w:val="20"/>
                <w:color w:val="auto"/>
              </w:rPr>
            </w:pPr>
            <w:r>
              <w:rPr>
                <w:rFonts w:ascii="Arial" w:cs="Arial" w:eastAsia="Arial" w:hAnsi="Arial"/>
                <w:sz w:val="15"/>
                <w:szCs w:val="15"/>
                <w:color w:val="auto"/>
              </w:rPr>
              <w:t>Low-income home purchase goal</w:t>
            </w:r>
            <w:r>
              <w:rPr>
                <w:rFonts w:ascii="Arial" w:cs="Arial" w:eastAsia="Arial" w:hAnsi="Arial"/>
                <w:sz w:val="20"/>
                <w:szCs w:val="20"/>
                <w:color w:val="auto"/>
                <w:vertAlign w:val="superscript"/>
              </w:rPr>
              <w:t>(2)</w:t>
            </w:r>
          </w:p>
        </w:tc>
        <w:tc>
          <w:tcPr>
            <w:tcW w:w="1580" w:type="dxa"/>
            <w:vAlign w:val="bottom"/>
            <w:gridSpan w:val="2"/>
          </w:tcPr>
          <w:p>
            <w:pPr>
              <w:jc w:val="right"/>
              <w:ind w:right="60"/>
              <w:spacing w:after="0"/>
              <w:rPr>
                <w:sz w:val="20"/>
                <w:szCs w:val="20"/>
                <w:color w:val="auto"/>
              </w:rPr>
            </w:pPr>
            <w:r>
              <w:rPr>
                <w:rFonts w:ascii="Arial" w:cs="Arial" w:eastAsia="Arial" w:hAnsi="Arial"/>
                <w:sz w:val="15"/>
                <w:szCs w:val="15"/>
                <w:color w:val="auto"/>
              </w:rPr>
              <w:t>28 %</w:t>
            </w:r>
          </w:p>
        </w:tc>
        <w:tc>
          <w:tcPr>
            <w:tcW w:w="1340" w:type="dxa"/>
            <w:vAlign w:val="bottom"/>
          </w:tcPr>
          <w:p>
            <w:pPr>
              <w:jc w:val="right"/>
              <w:spacing w:after="0"/>
              <w:rPr>
                <w:sz w:val="20"/>
                <w:szCs w:val="20"/>
                <w:color w:val="auto"/>
              </w:rPr>
            </w:pPr>
            <w:r>
              <w:rPr>
                <w:rFonts w:ascii="Arial" w:cs="Arial" w:eastAsia="Arial" w:hAnsi="Arial"/>
                <w:sz w:val="15"/>
                <w:szCs w:val="15"/>
                <w:color w:val="auto"/>
              </w:rPr>
              <w:t>25</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8080" w:type="dxa"/>
            <w:vAlign w:val="bottom"/>
          </w:tcPr>
          <w:p>
            <w:pPr>
              <w:ind w:left="20"/>
              <w:spacing w:after="0" w:line="207" w:lineRule="exact"/>
              <w:rPr>
                <w:sz w:val="20"/>
                <w:szCs w:val="20"/>
                <w:color w:val="auto"/>
              </w:rPr>
            </w:pPr>
            <w:r>
              <w:rPr>
                <w:rFonts w:ascii="Arial" w:cs="Arial" w:eastAsia="Arial" w:hAnsi="Arial"/>
                <w:sz w:val="15"/>
                <w:szCs w:val="15"/>
                <w:color w:val="auto"/>
              </w:rPr>
              <w:t>Very low-income home purchase goal</w:t>
            </w:r>
            <w:r>
              <w:rPr>
                <w:rFonts w:ascii="Arial" w:cs="Arial" w:eastAsia="Arial" w:hAnsi="Arial"/>
                <w:sz w:val="20"/>
                <w:szCs w:val="20"/>
                <w:color w:val="auto"/>
                <w:vertAlign w:val="superscript"/>
              </w:rPr>
              <w:t>(3)</w:t>
            </w:r>
          </w:p>
        </w:tc>
        <w:tc>
          <w:tcPr>
            <w:tcW w:w="1340" w:type="dxa"/>
            <w:vAlign w:val="bottom"/>
          </w:tcPr>
          <w:p>
            <w:pPr>
              <w:jc w:val="right"/>
              <w:ind w:right="3"/>
              <w:spacing w:after="0"/>
              <w:rPr>
                <w:sz w:val="20"/>
                <w:szCs w:val="20"/>
                <w:color w:val="auto"/>
              </w:rPr>
            </w:pPr>
            <w:r>
              <w:rPr>
                <w:rFonts w:ascii="Arial" w:cs="Arial" w:eastAsia="Arial" w:hAnsi="Arial"/>
                <w:sz w:val="15"/>
                <w:szCs w:val="15"/>
                <w:color w:val="auto"/>
              </w:rPr>
              <w:t>7</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6</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080" w:type="dxa"/>
            <w:vAlign w:val="bottom"/>
          </w:tcPr>
          <w:p>
            <w:pPr>
              <w:ind w:left="20"/>
              <w:spacing w:after="0" w:line="207" w:lineRule="exact"/>
              <w:rPr>
                <w:sz w:val="20"/>
                <w:szCs w:val="20"/>
                <w:color w:val="auto"/>
              </w:rPr>
            </w:pPr>
            <w:r>
              <w:rPr>
                <w:rFonts w:ascii="Arial" w:cs="Arial" w:eastAsia="Arial" w:hAnsi="Arial"/>
                <w:sz w:val="15"/>
                <w:szCs w:val="15"/>
                <w:color w:val="auto"/>
              </w:rPr>
              <w:t>Minority census tracts home purchase subgoal</w:t>
            </w:r>
            <w:r>
              <w:rPr>
                <w:rFonts w:ascii="Arial" w:cs="Arial" w:eastAsia="Arial" w:hAnsi="Arial"/>
                <w:sz w:val="20"/>
                <w:szCs w:val="20"/>
                <w:color w:val="auto"/>
                <w:vertAlign w:val="superscript"/>
              </w:rPr>
              <w:t>(4)</w:t>
            </w:r>
          </w:p>
        </w:tc>
        <w:tc>
          <w:tcPr>
            <w:tcW w:w="1340" w:type="dxa"/>
            <w:vAlign w:val="bottom"/>
          </w:tcPr>
          <w:p>
            <w:pPr>
              <w:jc w:val="right"/>
              <w:ind w:right="3"/>
              <w:spacing w:after="0"/>
              <w:rPr>
                <w:sz w:val="20"/>
                <w:szCs w:val="20"/>
                <w:color w:val="auto"/>
              </w:rPr>
            </w:pPr>
            <w:r>
              <w:rPr>
                <w:rFonts w:ascii="Arial" w:cs="Arial" w:eastAsia="Arial" w:hAnsi="Arial"/>
                <w:sz w:val="15"/>
                <w:szCs w:val="15"/>
                <w:color w:val="auto"/>
              </w:rPr>
              <w:t>10</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12</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080" w:type="dxa"/>
            <w:vAlign w:val="bottom"/>
          </w:tcPr>
          <w:p>
            <w:pPr>
              <w:ind w:left="20"/>
              <w:spacing w:after="0" w:line="207" w:lineRule="exact"/>
              <w:rPr>
                <w:sz w:val="20"/>
                <w:szCs w:val="20"/>
                <w:color w:val="auto"/>
              </w:rPr>
            </w:pPr>
            <w:r>
              <w:rPr>
                <w:rFonts w:ascii="Arial" w:cs="Arial" w:eastAsia="Arial" w:hAnsi="Arial"/>
                <w:sz w:val="15"/>
                <w:szCs w:val="15"/>
                <w:color w:val="auto"/>
              </w:rPr>
              <w:t>Low-income census tracts home purchase subgoal</w:t>
            </w:r>
            <w:r>
              <w:rPr>
                <w:rFonts w:ascii="Arial" w:cs="Arial" w:eastAsia="Arial" w:hAnsi="Arial"/>
                <w:sz w:val="20"/>
                <w:szCs w:val="20"/>
                <w:color w:val="auto"/>
                <w:vertAlign w:val="superscript"/>
              </w:rPr>
              <w:t>(5)</w:t>
            </w:r>
          </w:p>
        </w:tc>
        <w:tc>
          <w:tcPr>
            <w:tcW w:w="1340" w:type="dxa"/>
            <w:vAlign w:val="bottom"/>
          </w:tcPr>
          <w:p>
            <w:pPr>
              <w:jc w:val="right"/>
              <w:ind w:right="3"/>
              <w:spacing w:after="0"/>
              <w:rPr>
                <w:sz w:val="20"/>
                <w:szCs w:val="20"/>
                <w:color w:val="auto"/>
              </w:rPr>
            </w:pPr>
            <w:r>
              <w:rPr>
                <w:rFonts w:ascii="Arial" w:cs="Arial" w:eastAsia="Arial" w:hAnsi="Arial"/>
                <w:sz w:val="15"/>
                <w:szCs w:val="15"/>
                <w:color w:val="auto"/>
              </w:rPr>
              <w:t>4</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4</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8080" w:type="dxa"/>
            <w:vAlign w:val="bottom"/>
          </w:tcPr>
          <w:p>
            <w:pPr>
              <w:ind w:left="20"/>
              <w:spacing w:after="0"/>
              <w:rPr>
                <w:sz w:val="20"/>
                <w:szCs w:val="20"/>
                <w:color w:val="auto"/>
              </w:rPr>
            </w:pPr>
            <w:r>
              <w:rPr>
                <w:rFonts w:ascii="Arial" w:cs="Arial" w:eastAsia="Arial" w:hAnsi="Arial"/>
                <w:sz w:val="15"/>
                <w:szCs w:val="15"/>
                <w:color w:val="auto"/>
              </w:rPr>
              <w:t>Low-income refinance goal</w:t>
            </w:r>
            <w:r>
              <w:rPr>
                <w:rFonts w:ascii="Arial" w:cs="Arial" w:eastAsia="Arial" w:hAnsi="Arial"/>
                <w:sz w:val="20"/>
                <w:szCs w:val="20"/>
                <w:color w:val="auto"/>
                <w:vertAlign w:val="superscript"/>
              </w:rPr>
              <w:t>(6)</w:t>
            </w:r>
          </w:p>
        </w:tc>
        <w:tc>
          <w:tcPr>
            <w:tcW w:w="1340" w:type="dxa"/>
            <w:vAlign w:val="bottom"/>
          </w:tcPr>
          <w:p>
            <w:pPr>
              <w:jc w:val="right"/>
              <w:ind w:right="3"/>
              <w:spacing w:after="0"/>
              <w:rPr>
                <w:sz w:val="20"/>
                <w:szCs w:val="20"/>
                <w:color w:val="auto"/>
              </w:rPr>
            </w:pPr>
            <w:r>
              <w:rPr>
                <w:rFonts w:ascii="Arial" w:cs="Arial" w:eastAsia="Arial" w:hAnsi="Arial"/>
                <w:sz w:val="15"/>
                <w:szCs w:val="15"/>
                <w:color w:val="auto"/>
              </w:rPr>
              <w:t>26</w:t>
            </w:r>
          </w:p>
        </w:tc>
        <w:tc>
          <w:tcPr>
            <w:tcW w:w="2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26</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220" w:hanging="217"/>
        <w:spacing w:after="0"/>
        <w:tabs>
          <w:tab w:leader="none" w:pos="22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The FHFA benchmarks are expressed as a percentage of the total number of goal-eligible single-family mortgages acquired during the year.</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Home purchase mortgages on single-family, owner-occupied properties to borrowers with incomes no greater than 80% of area median income.</w:t>
      </w:r>
    </w:p>
    <w:p>
      <w:pPr>
        <w:spacing w:after="0" w:line="38"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Home purchase mortgages on single-family, owner-occupied properties to borrowers with incomes no greater than 50% of area median income.</w:t>
      </w:r>
    </w:p>
    <w:p>
      <w:pPr>
        <w:spacing w:after="0" w:line="38" w:lineRule="exact"/>
        <w:rPr>
          <w:rFonts w:ascii="Arial" w:cs="Arial" w:eastAsia="Arial" w:hAnsi="Arial"/>
          <w:sz w:val="18"/>
          <w:szCs w:val="18"/>
          <w:color w:val="auto"/>
          <w:vertAlign w:val="superscript"/>
        </w:rPr>
      </w:pPr>
    </w:p>
    <w:p>
      <w:pPr>
        <w:ind w:left="240" w:right="100" w:hanging="237"/>
        <w:spacing w:after="0" w:line="219" w:lineRule="auto"/>
        <w:tabs>
          <w:tab w:leader="none" w:pos="308"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Home purchase mortgages on single-family, owner-occupied properties to borrowers with incomes no greater than 100% of area median income in minority census tracts. Minority census tracts are those that have a minority population of at least 30% and a median income of less than 100% of area median income.</w:t>
      </w:r>
    </w:p>
    <w:p>
      <w:pPr>
        <w:spacing w:after="0" w:line="13" w:lineRule="exact"/>
        <w:rPr>
          <w:rFonts w:ascii="Arial" w:cs="Arial" w:eastAsia="Arial" w:hAnsi="Arial"/>
          <w:sz w:val="18"/>
          <w:szCs w:val="18"/>
          <w:color w:val="auto"/>
          <w:vertAlign w:val="superscript"/>
        </w:rPr>
      </w:pPr>
    </w:p>
    <w:p>
      <w:pPr>
        <w:ind w:left="260" w:hanging="257"/>
        <w:spacing w:after="0"/>
        <w:tabs>
          <w:tab w:leader="none" w:pos="260" w:val="left"/>
        </w:tabs>
        <w:numPr>
          <w:ilvl w:val="0"/>
          <w:numId w:val="5"/>
        </w:numPr>
        <w:rPr>
          <w:rFonts w:ascii="Arial" w:cs="Arial" w:eastAsia="Arial" w:hAnsi="Arial"/>
          <w:sz w:val="8"/>
          <w:szCs w:val="8"/>
          <w:color w:val="auto"/>
        </w:rPr>
      </w:pPr>
      <w:r>
        <w:rPr>
          <w:rFonts w:ascii="Arial" w:cs="Arial" w:eastAsia="Arial" w:hAnsi="Arial"/>
          <w:sz w:val="13"/>
          <w:szCs w:val="13"/>
          <w:color w:val="auto"/>
        </w:rPr>
        <w:t>(i) Home purchase mortgages on single-family, owner-occupied properties to borrowers (regardless of income) in low-income census tracts that are not minority census tracts, and</w:t>
      </w:r>
    </w:p>
    <w:p>
      <w:pPr>
        <w:spacing w:after="0" w:line="30" w:lineRule="exact"/>
        <w:rPr>
          <w:rFonts w:ascii="Arial" w:cs="Arial" w:eastAsia="Arial" w:hAnsi="Arial"/>
          <w:sz w:val="8"/>
          <w:szCs w:val="8"/>
          <w:color w:val="auto"/>
        </w:rPr>
      </w:pPr>
    </w:p>
    <w:p>
      <w:pPr>
        <w:ind w:left="240" w:right="40" w:hanging="5"/>
        <w:spacing w:after="0" w:line="260" w:lineRule="auto"/>
        <w:tabs>
          <w:tab w:leader="none" w:pos="431" w:val="left"/>
        </w:tabs>
        <w:numPr>
          <w:ilvl w:val="1"/>
          <w:numId w:val="5"/>
        </w:numPr>
        <w:rPr>
          <w:rFonts w:ascii="Arial" w:cs="Arial" w:eastAsia="Arial" w:hAnsi="Arial"/>
          <w:sz w:val="14"/>
          <w:szCs w:val="14"/>
          <w:color w:val="auto"/>
        </w:rPr>
      </w:pPr>
      <w:r>
        <w:rPr>
          <w:rFonts w:ascii="Arial" w:cs="Arial" w:eastAsia="Arial" w:hAnsi="Arial"/>
          <w:sz w:val="14"/>
          <w:szCs w:val="14"/>
          <w:color w:val="auto"/>
        </w:rPr>
        <w:t>home purchase mortgages on single-family, owner-occupied properties to borrowers with incomes greater than 100% of area median income in low-income census tracts that are also minority census tracts. Low income census tracts are those where the median income is no greater than 80% of area median income.</w:t>
      </w:r>
    </w:p>
    <w:p>
      <w:pPr>
        <w:ind w:left="220" w:hanging="217"/>
        <w:spacing w:after="0"/>
        <w:tabs>
          <w:tab w:leader="none" w:pos="22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Refinance mortgages on single-family, owner-occupied properties to borrowers with incomes no greater than 80% of area median income.</w:t>
      </w:r>
    </w:p>
    <w:p>
      <w:pPr>
        <w:spacing w:after="0" w:line="53"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The low-income areas housing goal benchmark level was not included in the proposed rule. Under the existing regulation, the benchmark level for the low-income areas home purchase goal will be the sum of the benchmark levels for the minority census tracts subgoal and the low-income census tracts subgoal established above, plus an additional amount that will be determined separately by FHFA by notice that takes into account families in disaster areas with incomes no greater than 100% of area median income.</w:t>
      </w:r>
    </w:p>
    <w:p>
      <w:pPr>
        <w:spacing w:after="0" w:line="38"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The proposed rule would establish new criteria for assessing whether a housing plan would be required for failing to meet certain single-family housing goals. By statute, if FHFA determines that we did not meet a feasible housing goal, FHFA may require that we submit a housing plan describing the steps that we will take to improve our performance. Under the proposed rule, FHFA generally would not require that we submit a housing plan if our performance meets or exceeds the market level for the goal minus a specified enforcement factor. FHFA stated that the proposed enforcement factors address, in part, the uncertainty in forecasting the market several years in advance, as well as the time lag in determining the actual market level retrospectively.</w:t>
      </w:r>
    </w:p>
    <w:p>
      <w:pPr>
        <w:spacing w:after="0" w:line="77"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Proposed Multifamily Housing Goals</w:t>
      </w:r>
    </w:p>
    <w:p>
      <w:pPr>
        <w:spacing w:after="0" w:line="80" w:lineRule="exact"/>
        <w:rPr>
          <w:sz w:val="20"/>
          <w:szCs w:val="20"/>
          <w:color w:val="auto"/>
        </w:rPr>
      </w:pPr>
    </w:p>
    <w:p>
      <w:pPr>
        <w:ind w:right="400"/>
        <w:spacing w:after="0" w:line="272" w:lineRule="auto"/>
        <w:rPr>
          <w:sz w:val="20"/>
          <w:szCs w:val="20"/>
          <w:color w:val="auto"/>
        </w:rPr>
      </w:pPr>
      <w:r>
        <w:rPr>
          <w:rFonts w:ascii="Arial" w:cs="Arial" w:eastAsia="Arial" w:hAnsi="Arial"/>
          <w:sz w:val="16"/>
          <w:szCs w:val="16"/>
          <w:color w:val="auto"/>
        </w:rPr>
        <w:t>Under FHFA’s proposed rule, FHFA would continue to evaluate our multifamily housing goals performance against the benchmark levels only. Both the multifamily housing goal benchmarks for 2024 and FHFA’s proposed multifamily housing goal benchmarks for 2025 through 2027 are based on the percentage share of the goal-eligible units in our annual multifamily loan acquisitions that are affordable to each income category.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0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2024 Form 10-Q</w:t>
            </w:r>
          </w:p>
        </w:tc>
        <w:tc>
          <w:tcPr>
            <w:tcW w:w="424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800" w:type="dxa"/>
            <w:vAlign w:val="bottom"/>
            <w:tcBorders>
              <w:bottom w:val="single" w:sz="8" w:color="9A9A9A"/>
            </w:tcBorders>
          </w:tcPr>
          <w:p>
            <w:pPr>
              <w:spacing w:after="0"/>
              <w:rPr>
                <w:sz w:val="16"/>
                <w:szCs w:val="16"/>
                <w:color w:val="auto"/>
              </w:rPr>
            </w:pPr>
          </w:p>
        </w:tc>
        <w:tc>
          <w:tcPr>
            <w:tcW w:w="424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6" w:name="page7"/>
    <w:bookmarkEnd w:id="6"/>
    <w:p>
      <w:pPr>
        <w:ind w:left="9000"/>
        <w:spacing w:after="0"/>
        <w:rPr>
          <w:sz w:val="20"/>
          <w:szCs w:val="20"/>
          <w:color w:val="auto"/>
        </w:rPr>
      </w:pPr>
      <w:r>
        <w:rPr>
          <w:rFonts w:ascii="Arial" w:cs="Arial" w:eastAsia="Arial" w:hAnsi="Arial"/>
          <w:sz w:val="14"/>
          <w:szCs w:val="14"/>
          <w:color w:val="001543"/>
        </w:rPr>
        <w:t>MD&amp;A | Legislation and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380"/>
        <w:spacing w:after="0" w:line="293" w:lineRule="auto"/>
        <w:rPr>
          <w:sz w:val="20"/>
          <w:szCs w:val="20"/>
          <w:color w:val="auto"/>
        </w:rPr>
      </w:pPr>
      <w:r>
        <w:rPr>
          <w:rFonts w:ascii="Arial" w:cs="Arial" w:eastAsia="Arial" w:hAnsi="Arial"/>
          <w:sz w:val="16"/>
          <w:szCs w:val="16"/>
          <w:color w:val="auto"/>
        </w:rPr>
        <w:t>The table below sets forth the multifamily housing goal benchmarks applicable to Fannie Mae for 2024, as compared with FHFA’s proposed multifamily housing goal benchmarks for 2025 through 2027.</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Current and Proposed Multifamily Housing Goals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080" w:type="dxa"/>
            <w:vAlign w:val="bottom"/>
            <w:tcBorders>
              <w:top w:val="single" w:sz="8" w:color="2C6937"/>
            </w:tcBorders>
          </w:tcPr>
          <w:p>
            <w:pPr>
              <w:spacing w:after="0"/>
              <w:rPr>
                <w:sz w:val="13"/>
                <w:szCs w:val="13"/>
                <w:color w:val="auto"/>
              </w:rPr>
            </w:pPr>
          </w:p>
        </w:tc>
        <w:tc>
          <w:tcPr>
            <w:tcW w:w="1580" w:type="dxa"/>
            <w:vAlign w:val="bottom"/>
            <w:tcBorders>
              <w:top w:val="single" w:sz="8" w:color="2C6937"/>
            </w:tcBorders>
            <w:gridSpan w:val="2"/>
            <w:vMerge w:val="restart"/>
          </w:tcPr>
          <w:p>
            <w:pPr>
              <w:jc w:val="right"/>
              <w:ind w:right="300"/>
              <w:spacing w:after="0"/>
              <w:rPr>
                <w:sz w:val="20"/>
                <w:szCs w:val="20"/>
                <w:color w:val="auto"/>
              </w:rPr>
            </w:pPr>
            <w:r>
              <w:rPr>
                <w:rFonts w:ascii="Arial" w:cs="Arial" w:eastAsia="Arial" w:hAnsi="Arial"/>
                <w:sz w:val="15"/>
                <w:szCs w:val="15"/>
                <w:b w:val="1"/>
                <w:bCs w:val="1"/>
                <w:color w:val="auto"/>
              </w:rPr>
              <w:t>2024 Benchmark</w:t>
            </w:r>
          </w:p>
        </w:tc>
        <w:tc>
          <w:tcPr>
            <w:tcW w:w="1580" w:type="dxa"/>
            <w:vAlign w:val="bottom"/>
            <w:tcBorders>
              <w:top w:val="single" w:sz="8" w:color="2C6937"/>
            </w:tcBorders>
            <w:gridSpan w:val="2"/>
          </w:tcPr>
          <w:p>
            <w:pPr>
              <w:jc w:val="center"/>
              <w:ind w:right="240"/>
              <w:spacing w:after="0" w:line="161" w:lineRule="exact"/>
              <w:rPr>
                <w:sz w:val="20"/>
                <w:szCs w:val="20"/>
                <w:color w:val="auto"/>
              </w:rPr>
            </w:pPr>
            <w:r>
              <w:rPr>
                <w:rFonts w:ascii="Arial" w:cs="Arial" w:eastAsia="Arial" w:hAnsi="Arial"/>
                <w:sz w:val="15"/>
                <w:szCs w:val="15"/>
                <w:b w:val="1"/>
                <w:bCs w:val="1"/>
                <w:color w:val="auto"/>
              </w:rPr>
              <w:t>Proposed</w:t>
            </w:r>
          </w:p>
        </w:tc>
        <w:tc>
          <w:tcPr>
            <w:tcW w:w="0" w:type="dxa"/>
            <w:vAlign w:val="bottom"/>
          </w:tcPr>
          <w:p>
            <w:pPr>
              <w:spacing w:after="0"/>
              <w:rPr>
                <w:sz w:val="1"/>
                <w:szCs w:val="1"/>
                <w:color w:val="auto"/>
              </w:rPr>
            </w:pPr>
          </w:p>
        </w:tc>
      </w:tr>
      <w:tr>
        <w:trPr>
          <w:trHeight w:val="155"/>
        </w:trPr>
        <w:tc>
          <w:tcPr>
            <w:tcW w:w="8080" w:type="dxa"/>
            <w:vAlign w:val="bottom"/>
          </w:tcPr>
          <w:p>
            <w:pPr>
              <w:spacing w:after="0"/>
              <w:rPr>
                <w:sz w:val="13"/>
                <w:szCs w:val="13"/>
                <w:color w:val="auto"/>
              </w:rPr>
            </w:pPr>
          </w:p>
        </w:tc>
        <w:tc>
          <w:tcPr>
            <w:tcW w:w="1580" w:type="dxa"/>
            <w:vAlign w:val="bottom"/>
            <w:gridSpan w:val="2"/>
            <w:vMerge w:val="continue"/>
          </w:tcPr>
          <w:p>
            <w:pPr>
              <w:spacing w:after="0"/>
              <w:rPr>
                <w:sz w:val="13"/>
                <w:szCs w:val="13"/>
                <w:color w:val="auto"/>
              </w:rPr>
            </w:pPr>
          </w:p>
        </w:tc>
        <w:tc>
          <w:tcPr>
            <w:tcW w:w="1580" w:type="dxa"/>
            <w:vAlign w:val="bottom"/>
            <w:gridSpan w:val="2"/>
          </w:tcPr>
          <w:p>
            <w:pPr>
              <w:jc w:val="center"/>
              <w:ind w:right="240"/>
              <w:spacing w:after="0" w:line="155" w:lineRule="exact"/>
              <w:rPr>
                <w:sz w:val="20"/>
                <w:szCs w:val="20"/>
                <w:color w:val="auto"/>
              </w:rPr>
            </w:pPr>
            <w:r>
              <w:rPr>
                <w:rFonts w:ascii="Arial" w:cs="Arial" w:eastAsia="Arial" w:hAnsi="Arial"/>
                <w:sz w:val="15"/>
                <w:szCs w:val="15"/>
                <w:b w:val="1"/>
                <w:bCs w:val="1"/>
                <w:color w:val="auto"/>
              </w:rPr>
              <w:t>Benchmark Level</w:t>
            </w:r>
          </w:p>
        </w:tc>
        <w:tc>
          <w:tcPr>
            <w:tcW w:w="0" w:type="dxa"/>
            <w:vAlign w:val="bottom"/>
          </w:tcPr>
          <w:p>
            <w:pPr>
              <w:spacing w:after="0"/>
              <w:rPr>
                <w:sz w:val="1"/>
                <w:szCs w:val="1"/>
                <w:color w:val="auto"/>
              </w:rPr>
            </w:pPr>
          </w:p>
        </w:tc>
      </w:tr>
      <w:tr>
        <w:trPr>
          <w:trHeight w:val="206"/>
        </w:trPr>
        <w:tc>
          <w:tcPr>
            <w:tcW w:w="8080" w:type="dxa"/>
            <w:vAlign w:val="bottom"/>
          </w:tcPr>
          <w:p>
            <w:pPr>
              <w:spacing w:after="0"/>
              <w:rPr>
                <w:sz w:val="17"/>
                <w:szCs w:val="17"/>
                <w:color w:val="auto"/>
              </w:rPr>
            </w:pPr>
          </w:p>
        </w:tc>
        <w:tc>
          <w:tcPr>
            <w:tcW w:w="1340" w:type="dxa"/>
            <w:vAlign w:val="bottom"/>
            <w:tcBorders>
              <w:bottom w:val="single" w:sz="8" w:color="2C6937"/>
            </w:tcBorders>
          </w:tcPr>
          <w:p>
            <w:pPr>
              <w:jc w:val="right"/>
              <w:ind w:right="403"/>
              <w:spacing w:after="0"/>
              <w:rPr>
                <w:sz w:val="20"/>
                <w:szCs w:val="20"/>
                <w:color w:val="auto"/>
              </w:rPr>
            </w:pPr>
            <w:r>
              <w:rPr>
                <w:rFonts w:ascii="Arial" w:cs="Arial" w:eastAsia="Arial" w:hAnsi="Arial"/>
                <w:sz w:val="15"/>
                <w:szCs w:val="15"/>
                <w:b w:val="1"/>
                <w:bCs w:val="1"/>
                <w:color w:val="auto"/>
              </w:rPr>
              <w:t>Level</w:t>
            </w:r>
          </w:p>
        </w:tc>
        <w:tc>
          <w:tcPr>
            <w:tcW w:w="240" w:type="dxa"/>
            <w:vAlign w:val="bottom"/>
          </w:tcPr>
          <w:p>
            <w:pPr>
              <w:spacing w:after="0"/>
              <w:rPr>
                <w:sz w:val="17"/>
                <w:szCs w:val="17"/>
                <w:color w:val="auto"/>
              </w:rPr>
            </w:pPr>
          </w:p>
        </w:tc>
        <w:tc>
          <w:tcPr>
            <w:tcW w:w="1340" w:type="dxa"/>
            <w:vAlign w:val="bottom"/>
            <w:tcBorders>
              <w:bottom w:val="single" w:sz="8" w:color="2C6937"/>
            </w:tcBorders>
          </w:tcPr>
          <w:p>
            <w:pPr>
              <w:jc w:val="center"/>
              <w:spacing w:after="0"/>
              <w:rPr>
                <w:sz w:val="20"/>
                <w:szCs w:val="20"/>
                <w:color w:val="auto"/>
              </w:rPr>
            </w:pPr>
            <w:r>
              <w:rPr>
                <w:rFonts w:ascii="Arial" w:cs="Arial" w:eastAsia="Arial" w:hAnsi="Arial"/>
                <w:sz w:val="15"/>
                <w:szCs w:val="15"/>
                <w:b w:val="1"/>
                <w:bCs w:val="1"/>
                <w:color w:val="auto"/>
              </w:rPr>
              <w:t>2025-2027</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080" w:type="dxa"/>
            <w:vAlign w:val="bottom"/>
          </w:tcPr>
          <w:p>
            <w:pPr>
              <w:ind w:left="20"/>
              <w:spacing w:after="0" w:line="200" w:lineRule="exact"/>
              <w:rPr>
                <w:sz w:val="20"/>
                <w:szCs w:val="20"/>
                <w:color w:val="auto"/>
              </w:rPr>
            </w:pPr>
            <w:r>
              <w:rPr>
                <w:rFonts w:ascii="Arial" w:cs="Arial" w:eastAsia="Arial" w:hAnsi="Arial"/>
                <w:sz w:val="15"/>
                <w:szCs w:val="15"/>
                <w:color w:val="auto"/>
              </w:rPr>
              <w:t>Low-income goal</w:t>
            </w:r>
            <w:r>
              <w:rPr>
                <w:rFonts w:ascii="Arial" w:cs="Arial" w:eastAsia="Arial" w:hAnsi="Arial"/>
                <w:sz w:val="20"/>
                <w:szCs w:val="20"/>
                <w:color w:val="auto"/>
                <w:vertAlign w:val="superscript"/>
              </w:rPr>
              <w:t>(1)</w:t>
            </w:r>
          </w:p>
        </w:tc>
        <w:tc>
          <w:tcPr>
            <w:tcW w:w="1580" w:type="dxa"/>
            <w:vAlign w:val="bottom"/>
            <w:gridSpan w:val="2"/>
          </w:tcPr>
          <w:p>
            <w:pPr>
              <w:jc w:val="right"/>
              <w:ind w:right="120"/>
              <w:spacing w:after="0"/>
              <w:rPr>
                <w:sz w:val="20"/>
                <w:szCs w:val="20"/>
                <w:color w:val="auto"/>
              </w:rPr>
            </w:pPr>
            <w:r>
              <w:rPr>
                <w:rFonts w:ascii="Arial" w:cs="Arial" w:eastAsia="Arial" w:hAnsi="Arial"/>
                <w:sz w:val="15"/>
                <w:szCs w:val="15"/>
                <w:color w:val="auto"/>
              </w:rPr>
              <w:t>61 %</w:t>
            </w:r>
          </w:p>
        </w:tc>
        <w:tc>
          <w:tcPr>
            <w:tcW w:w="1580" w:type="dxa"/>
            <w:vAlign w:val="bottom"/>
            <w:gridSpan w:val="2"/>
          </w:tcPr>
          <w:p>
            <w:pPr>
              <w:jc w:val="right"/>
              <w:ind w:right="120"/>
              <w:spacing w:after="0"/>
              <w:rPr>
                <w:sz w:val="20"/>
                <w:szCs w:val="20"/>
                <w:color w:val="auto"/>
              </w:rPr>
            </w:pPr>
            <w:r>
              <w:rPr>
                <w:rFonts w:ascii="Arial" w:cs="Arial" w:eastAsia="Arial" w:hAnsi="Arial"/>
                <w:sz w:val="15"/>
                <w:szCs w:val="15"/>
                <w:color w:val="auto"/>
              </w:rPr>
              <w:t>61 %</w:t>
            </w:r>
          </w:p>
        </w:tc>
        <w:tc>
          <w:tcPr>
            <w:tcW w:w="0" w:type="dxa"/>
            <w:vAlign w:val="bottom"/>
          </w:tcPr>
          <w:p>
            <w:pPr>
              <w:spacing w:after="0"/>
              <w:rPr>
                <w:sz w:val="1"/>
                <w:szCs w:val="1"/>
                <w:color w:val="auto"/>
              </w:rPr>
            </w:pPr>
          </w:p>
        </w:tc>
      </w:tr>
      <w:tr>
        <w:trPr>
          <w:trHeight w:val="206"/>
        </w:trPr>
        <w:tc>
          <w:tcPr>
            <w:tcW w:w="8080" w:type="dxa"/>
            <w:vAlign w:val="bottom"/>
          </w:tcPr>
          <w:p>
            <w:pPr>
              <w:ind w:left="20"/>
              <w:spacing w:after="0" w:line="207" w:lineRule="exact"/>
              <w:rPr>
                <w:sz w:val="20"/>
                <w:szCs w:val="20"/>
                <w:color w:val="auto"/>
              </w:rPr>
            </w:pPr>
            <w:r>
              <w:rPr>
                <w:rFonts w:ascii="Arial" w:cs="Arial" w:eastAsia="Arial" w:hAnsi="Arial"/>
                <w:sz w:val="15"/>
                <w:szCs w:val="15"/>
                <w:color w:val="auto"/>
              </w:rPr>
              <w:t>Very low-income goal</w:t>
            </w:r>
            <w:r>
              <w:rPr>
                <w:rFonts w:ascii="Arial" w:cs="Arial" w:eastAsia="Arial" w:hAnsi="Arial"/>
                <w:sz w:val="20"/>
                <w:szCs w:val="20"/>
                <w:color w:val="auto"/>
                <w:vertAlign w:val="superscript"/>
              </w:rPr>
              <w:t>(2)</w:t>
            </w:r>
          </w:p>
        </w:tc>
        <w:tc>
          <w:tcPr>
            <w:tcW w:w="1340" w:type="dxa"/>
            <w:vAlign w:val="bottom"/>
          </w:tcPr>
          <w:p>
            <w:pPr>
              <w:jc w:val="right"/>
              <w:ind w:right="3"/>
              <w:spacing w:after="0"/>
              <w:rPr>
                <w:sz w:val="20"/>
                <w:szCs w:val="20"/>
                <w:color w:val="auto"/>
              </w:rPr>
            </w:pPr>
            <w:r>
              <w:rPr>
                <w:rFonts w:ascii="Arial" w:cs="Arial" w:eastAsia="Arial" w:hAnsi="Arial"/>
                <w:sz w:val="15"/>
                <w:szCs w:val="15"/>
                <w:color w:val="auto"/>
              </w:rPr>
              <w:t>12</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14</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8080" w:type="dxa"/>
            <w:vAlign w:val="bottom"/>
          </w:tcPr>
          <w:p>
            <w:pPr>
              <w:ind w:left="20"/>
              <w:spacing w:after="0"/>
              <w:rPr>
                <w:sz w:val="20"/>
                <w:szCs w:val="20"/>
                <w:color w:val="auto"/>
              </w:rPr>
            </w:pPr>
            <w:r>
              <w:rPr>
                <w:rFonts w:ascii="Arial" w:cs="Arial" w:eastAsia="Arial" w:hAnsi="Arial"/>
                <w:sz w:val="15"/>
                <w:szCs w:val="15"/>
                <w:color w:val="auto"/>
              </w:rPr>
              <w:t>Small multifamily low-income subgoal</w:t>
            </w:r>
            <w:r>
              <w:rPr>
                <w:rFonts w:ascii="Arial" w:cs="Arial" w:eastAsia="Arial" w:hAnsi="Arial"/>
                <w:sz w:val="20"/>
                <w:szCs w:val="20"/>
                <w:color w:val="auto"/>
                <w:vertAlign w:val="superscript"/>
              </w:rPr>
              <w:t>(3)</w:t>
            </w:r>
          </w:p>
        </w:tc>
        <w:tc>
          <w:tcPr>
            <w:tcW w:w="1340" w:type="dxa"/>
            <w:vAlign w:val="bottom"/>
          </w:tcPr>
          <w:p>
            <w:pPr>
              <w:jc w:val="right"/>
              <w:ind w:right="3"/>
              <w:spacing w:after="0"/>
              <w:rPr>
                <w:sz w:val="20"/>
                <w:szCs w:val="20"/>
                <w:color w:val="auto"/>
              </w:rPr>
            </w:pPr>
            <w:r>
              <w:rPr>
                <w:rFonts w:ascii="Arial" w:cs="Arial" w:eastAsia="Arial" w:hAnsi="Arial"/>
                <w:sz w:val="15"/>
                <w:szCs w:val="15"/>
                <w:color w:val="auto"/>
              </w:rPr>
              <w:t>2.5</w:t>
            </w:r>
          </w:p>
        </w:tc>
        <w:tc>
          <w:tcPr>
            <w:tcW w:w="2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2</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260" w:hanging="257"/>
        <w:spacing w:after="0"/>
        <w:tabs>
          <w:tab w:leader="none" w:pos="2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Affordable to low-income families, defined as families with incomes no greater than 80% of area median income.</w:t>
      </w:r>
    </w:p>
    <w:p>
      <w:pPr>
        <w:spacing w:after="0" w:line="37" w:lineRule="exact"/>
        <w:rPr>
          <w:rFonts w:ascii="Arial" w:cs="Arial" w:eastAsia="Arial" w:hAnsi="Arial"/>
          <w:sz w:val="18"/>
          <w:szCs w:val="18"/>
          <w:color w:val="auto"/>
          <w:vertAlign w:val="superscript"/>
        </w:rPr>
      </w:pPr>
    </w:p>
    <w:p>
      <w:pPr>
        <w:ind w:left="240" w:right="160" w:hanging="237"/>
        <w:spacing w:after="0" w:line="219" w:lineRule="auto"/>
        <w:tabs>
          <w:tab w:leader="none" w:pos="262"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Affordable to very low-income families, defined as families with incomes no greater than 50% of area median income. The current regulation refers to the very low-income housing benchmark level as a subgoal. The proposed rule would refer to it as a goal.</w:t>
      </w:r>
    </w:p>
    <w:p>
      <w:pPr>
        <w:ind w:left="220" w:hanging="217"/>
        <w:spacing w:after="0"/>
        <w:tabs>
          <w:tab w:leader="none" w:pos="22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Units in small multifamily properties (defined as properties with 5 to 50 units) affordable to low-income families.</w:t>
      </w:r>
    </w:p>
    <w:p>
      <w:pPr>
        <w:spacing w:after="0" w:line="8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2023 Housing Goals Performance</w:t>
      </w:r>
    </w:p>
    <w:p>
      <w:pPr>
        <w:spacing w:after="0" w:line="76"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In October 2024, FHFA notified us that it had determined that we met four of our six 2023 single-family housing goals and subgoals, and all of our 2023 multifamily housing goals and subgoals. FHFA determined that we missed the single-family low-income home purchase goal and the single-family very low-income home purchase goal. FHFA also determined that we are not required to submit a housing plan as a result of the two missed single-family goals because those goals were not feasible for us to achieve for 2023. See “Business—Legislation and Regulation—Housing Goals” in our 2023 Form 10-K for more information regarding our 2023 housing goals requirements.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0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2024 Form 10-Q</w:t>
            </w:r>
          </w:p>
        </w:tc>
        <w:tc>
          <w:tcPr>
            <w:tcW w:w="424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800" w:type="dxa"/>
            <w:vAlign w:val="bottom"/>
            <w:tcBorders>
              <w:bottom w:val="single" w:sz="8" w:color="9A9A9A"/>
            </w:tcBorders>
          </w:tcPr>
          <w:p>
            <w:pPr>
              <w:spacing w:after="0"/>
              <w:rPr>
                <w:sz w:val="16"/>
                <w:szCs w:val="16"/>
                <w:color w:val="auto"/>
              </w:rPr>
            </w:pPr>
          </w:p>
        </w:tc>
        <w:tc>
          <w:tcPr>
            <w:tcW w:w="424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7" w:name="page8"/>
    <w:bookmarkEnd w:id="7"/>
    <w:p>
      <w:pPr>
        <w:ind w:left="8640"/>
        <w:spacing w:after="0"/>
        <w:rPr>
          <w:sz w:val="20"/>
          <w:szCs w:val="20"/>
          <w:color w:val="auto"/>
        </w:rPr>
      </w:pPr>
      <w:r>
        <w:rPr>
          <w:rFonts w:ascii="Arial" w:cs="Arial" w:eastAsia="Arial" w:hAnsi="Arial"/>
          <w:sz w:val="14"/>
          <w:szCs w:val="14"/>
          <w:color w:val="001543"/>
        </w:rPr>
        <w:t>MD&amp;A | Key Market Economic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Key Market Economic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In “MD&amp;A—Key Market Economic Indicators” in our 2023 Form 10-K, we discuss how varying macroeconomic conditions can influence our financial results across different business and economic environments, and we provide forecasts and expectations with respect to some of these macroeconomic conditions. Below we provide an update to these forecasts and expectations, as well as updates to certain macroeconomic information. Our forecasts and expectations are based on many assumptions, subject to many uncertainties and may change, perhaps substantially, from our current forecasts and expectations. See “Risk Factors” and “Forward-Looking Statements” in our 2023 Form 10-K and in this report for a discussion of factors that could cause actual results to differ materially from our current forecasts and expectations.</w:t>
      </w:r>
    </w:p>
    <w:p>
      <w:pPr>
        <w:spacing w:after="0" w:line="87"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Interest Rates</w:t>
      </w:r>
    </w:p>
    <w:p>
      <w:pPr>
        <w:spacing w:after="0" w:line="102" w:lineRule="exact"/>
        <w:rPr>
          <w:sz w:val="20"/>
          <w:szCs w:val="20"/>
          <w:color w:val="auto"/>
        </w:rPr>
      </w:pPr>
    </w:p>
    <w:p>
      <w:pPr>
        <w:jc w:val="center"/>
        <w:ind w:right="-59"/>
        <w:spacing w:after="0"/>
        <w:rPr>
          <w:sz w:val="20"/>
          <w:szCs w:val="20"/>
          <w:color w:val="auto"/>
        </w:rPr>
      </w:pPr>
      <w:r>
        <w:rPr>
          <w:rFonts w:ascii="Georgia" w:cs="Georgia" w:eastAsia="Georgia" w:hAnsi="Georgia"/>
          <w:sz w:val="19"/>
          <w:szCs w:val="19"/>
          <w:b w:val="1"/>
          <w:bCs w:val="1"/>
          <w:color w:val="05314D"/>
        </w:rPr>
        <w:t>Selected Benchmark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15240</wp:posOffset>
            </wp:positionV>
            <wp:extent cx="5501005" cy="2160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01005" cy="2160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40" w:right="120" w:hanging="237"/>
        <w:spacing w:after="0" w:line="221" w:lineRule="auto"/>
        <w:tabs>
          <w:tab w:leader="none" w:pos="233"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Refers to the U.S. weekly average fixed-rate mortgage rate according to Freddie Mac’s Primary Mortgage Market Survey</w:t>
      </w:r>
      <w:r>
        <w:rPr>
          <w:rFonts w:ascii="Arial" w:cs="Arial" w:eastAsia="Arial" w:hAnsi="Arial"/>
          <w:sz w:val="17"/>
          <w:szCs w:val="17"/>
          <w:color w:val="auto"/>
          <w:vertAlign w:val="superscript"/>
        </w:rPr>
        <w:t>®</w:t>
      </w:r>
      <w:r>
        <w:rPr>
          <w:rFonts w:ascii="Arial" w:cs="Arial" w:eastAsia="Arial" w:hAnsi="Arial"/>
          <w:sz w:val="14"/>
          <w:szCs w:val="14"/>
          <w:color w:val="auto"/>
        </w:rPr>
        <w:t>. These rates are reported using the latest available data for a given period.</w:t>
      </w:r>
    </w:p>
    <w:p>
      <w:pPr>
        <w:spacing w:after="0" w:line="26"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7"/>
        </w:numPr>
        <w:rPr>
          <w:rFonts w:ascii="Arial" w:cs="Arial" w:eastAsia="Arial" w:hAnsi="Arial"/>
          <w:sz w:val="9"/>
          <w:szCs w:val="9"/>
          <w:color w:val="auto"/>
        </w:rPr>
      </w:pPr>
      <w:r>
        <w:rPr>
          <w:rFonts w:ascii="Arial" w:cs="Arial" w:eastAsia="Arial" w:hAnsi="Arial"/>
          <w:sz w:val="14"/>
          <w:szCs w:val="14"/>
          <w:color w:val="auto"/>
        </w:rPr>
        <w:t>According to Bloomberg.</w:t>
      </w:r>
    </w:p>
    <w:p>
      <w:pPr>
        <w:spacing w:after="0" w:line="19" w:lineRule="exact"/>
        <w:rPr>
          <w:rFonts w:ascii="Arial" w:cs="Arial" w:eastAsia="Arial" w:hAnsi="Arial"/>
          <w:sz w:val="9"/>
          <w:szCs w:val="9"/>
          <w:color w:val="auto"/>
        </w:rPr>
      </w:pPr>
    </w:p>
    <w:p>
      <w:pPr>
        <w:ind w:left="220" w:hanging="217"/>
        <w:spacing w:after="0"/>
        <w:tabs>
          <w:tab w:leader="none" w:pos="22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Refers to the daily rate per the Federal Reserve Bank of New York.</w:t>
      </w:r>
    </w:p>
    <w:p>
      <w:pPr>
        <w:spacing w:after="0" w:line="7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average 30-year fixed-rate mortgage rate at the end of the third quarter of 2024 decreased compared to the end of the second quarter of 2024 and the end of the fourth quarter of 2023.</w:t>
      </w:r>
    </w:p>
    <w:p>
      <w:pPr>
        <w:spacing w:after="0" w:line="6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Home Prices</w:t>
      </w:r>
    </w:p>
    <w:p>
      <w:pPr>
        <w:spacing w:after="0" w:line="217" w:lineRule="exact"/>
        <w:rPr>
          <w:sz w:val="20"/>
          <w:szCs w:val="20"/>
          <w:color w:val="auto"/>
        </w:rPr>
      </w:pPr>
    </w:p>
    <w:p>
      <w:pPr>
        <w:jc w:val="center"/>
        <w:ind w:right="-59"/>
        <w:spacing w:after="0"/>
        <w:rPr>
          <w:sz w:val="20"/>
          <w:szCs w:val="20"/>
          <w:color w:val="auto"/>
        </w:rPr>
      </w:pPr>
      <w:r>
        <w:rPr>
          <w:rFonts w:ascii="Georgia" w:cs="Georgia" w:eastAsia="Georgia" w:hAnsi="Georgia"/>
          <w:sz w:val="19"/>
          <w:szCs w:val="19"/>
          <w:b w:val="1"/>
          <w:bCs w:val="1"/>
          <w:color w:val="05314D"/>
        </w:rPr>
        <w:t>Single-Family Quarterly Home Price Growth (Decline) Rate</w:t>
      </w:r>
      <w:r>
        <w:rPr>
          <w:rFonts w:ascii="Georgia" w:cs="Georgia" w:eastAsia="Georgia" w:hAnsi="Georgia"/>
          <w:sz w:val="24"/>
          <w:szCs w:val="24"/>
          <w:b w:val="1"/>
          <w:bCs w:val="1"/>
          <w:color w:val="05314D"/>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119380</wp:posOffset>
            </wp:positionV>
            <wp:extent cx="5501005" cy="11379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01005" cy="1137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40" w:right="140" w:hanging="237"/>
        <w:spacing w:after="0" w:line="233" w:lineRule="auto"/>
        <w:tabs>
          <w:tab w:leader="none" w:pos="233"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Calculated internally using property data on loans purchased by Fannie Mae, Freddie Mac and other third-party home sales data. Fannie Mae’s home price index is a weighted repeat-transactions index, measuring average price changes in repeat sales on the same properties. Fannie Mae’s home price index excludes prices on properties sold in foreclosure. Fannie Mae’s home price growth rates represent estimates based on non-seasonally adjusted preliminary data and are subject to change as additional data becomes available.</w:t>
      </w:r>
    </w:p>
    <w:p>
      <w:pPr>
        <w:spacing w:after="0" w:line="76" w:lineRule="exact"/>
        <w:rPr>
          <w:sz w:val="20"/>
          <w:szCs w:val="20"/>
          <w:color w:val="auto"/>
        </w:rPr>
      </w:pPr>
    </w:p>
    <w:p>
      <w:pPr>
        <w:jc w:val="both"/>
        <w:ind w:right="20"/>
        <w:spacing w:after="0" w:line="272" w:lineRule="auto"/>
        <w:rPr>
          <w:sz w:val="20"/>
          <w:szCs w:val="20"/>
          <w:color w:val="auto"/>
        </w:rPr>
      </w:pPr>
      <w:r>
        <w:rPr>
          <w:rFonts w:ascii="Arial" w:cs="Arial" w:eastAsia="Arial" w:hAnsi="Arial"/>
          <w:sz w:val="16"/>
          <w:szCs w:val="16"/>
          <w:color w:val="auto"/>
        </w:rPr>
        <w:t>Home prices on a national basis grew by an estimated 5.9% in the first nine months of 2024. Based on our expectation of a slight decrease in home prices in the fourth quarter of 2024, we forecast national home price growth of 5.8% for the full year of 2024. We expect regional variation in the timing and rate of home price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394335</wp:posOffset>
            </wp:positionV>
            <wp:extent cx="70072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ectPr>
          <w:pgSz w:w="11900" w:h="16838" w:orient="portrait"/>
          <w:cols w:equalWidth="0" w:num="1">
            <w:col w:w="11180"/>
          </w:cols>
          <w:pgMar w:left="320" w:top="248"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0"/>
        <w:spacing w:after="0"/>
        <w:tabs>
          <w:tab w:leader="none" w:pos="11020" w:val="left"/>
        </w:tabs>
        <w:rPr>
          <w:sz w:val="20"/>
          <w:szCs w:val="20"/>
          <w:color w:val="auto"/>
        </w:rPr>
      </w:pPr>
      <w:r>
        <w:rPr>
          <w:rFonts w:ascii="Arial" w:cs="Arial" w:eastAsia="Arial" w:hAnsi="Arial"/>
          <w:sz w:val="14"/>
          <w:szCs w:val="14"/>
          <w:color w:val="05314D"/>
        </w:rPr>
        <w:t>Fannie Mae Third Quarter 2024 Form 10-Q</w:t>
      </w:r>
      <w:r>
        <w:rPr>
          <w:sz w:val="20"/>
          <w:szCs w:val="20"/>
          <w:color w:val="auto"/>
        </w:rPr>
        <w:tab/>
      </w:r>
      <w:r>
        <w:rPr>
          <w:rFonts w:ascii="Arial" w:cs="Arial" w:eastAsia="Arial" w:hAnsi="Arial"/>
          <w:sz w:val="14"/>
          <w:szCs w:val="14"/>
          <w:color w:val="05314D"/>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248" w:right="399" w:bottom="1440" w:gutter="0" w:footer="0" w:header="0"/>
          <w:type w:val="continuous"/>
        </w:sectPr>
      </w:pPr>
    </w:p>
    <w:bookmarkStart w:id="8" w:name="page9"/>
    <w:bookmarkEnd w:id="8"/>
    <w:p>
      <w:pPr>
        <w:ind w:left="8640"/>
        <w:spacing w:after="0"/>
        <w:rPr>
          <w:sz w:val="20"/>
          <w:szCs w:val="20"/>
          <w:color w:val="auto"/>
        </w:rPr>
      </w:pPr>
      <w:r>
        <w:rPr>
          <w:rFonts w:ascii="Arial" w:cs="Arial" w:eastAsia="Arial" w:hAnsi="Arial"/>
          <w:sz w:val="14"/>
          <w:szCs w:val="14"/>
          <w:color w:val="001543"/>
        </w:rPr>
        <w:t>MD&amp;A | Key Market Economic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Housing Activity</w:t>
      </w:r>
    </w:p>
    <w:p>
      <w:pPr>
        <w:spacing w:after="0" w:line="153"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New Housing Starts</w:t>
      </w:r>
      <w:r>
        <w:rPr>
          <w:rFonts w:ascii="Georgia" w:cs="Georgia" w:eastAsia="Georgia" w:hAnsi="Georgia"/>
          <w:sz w:val="24"/>
          <w:szCs w:val="24"/>
          <w:b w:val="1"/>
          <w:bCs w:val="1"/>
          <w:color w:val="05314D"/>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-19050</wp:posOffset>
            </wp:positionV>
            <wp:extent cx="5501005" cy="25133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01005" cy="251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hanging="217"/>
        <w:spacing w:after="0"/>
        <w:tabs>
          <w:tab w:leader="none" w:pos="220" w:val="left"/>
        </w:tabs>
        <w:numPr>
          <w:ilvl w:val="0"/>
          <w:numId w:val="9"/>
        </w:numPr>
        <w:rPr>
          <w:rFonts w:ascii="Arial" w:cs="Arial" w:eastAsia="Arial" w:hAnsi="Arial"/>
          <w:sz w:val="9"/>
          <w:szCs w:val="9"/>
          <w:color w:val="auto"/>
        </w:rPr>
      </w:pPr>
      <w:r>
        <w:rPr>
          <w:rFonts w:ascii="Arial" w:cs="Arial" w:eastAsia="Arial" w:hAnsi="Arial"/>
          <w:sz w:val="14"/>
          <w:szCs w:val="14"/>
          <w:color w:val="auto"/>
        </w:rPr>
        <w:t>According to the U.S. Census Bureau and subject to revision.</w:t>
      </w:r>
    </w:p>
    <w:p>
      <w:pPr>
        <w:spacing w:after="0" w:line="95" w:lineRule="exact"/>
        <w:rPr>
          <w:sz w:val="20"/>
          <w:szCs w:val="20"/>
          <w:color w:val="auto"/>
        </w:rPr>
      </w:pPr>
    </w:p>
    <w:p>
      <w:pPr>
        <w:ind w:right="400"/>
        <w:spacing w:after="0" w:line="293" w:lineRule="auto"/>
        <w:rPr>
          <w:sz w:val="20"/>
          <w:szCs w:val="20"/>
          <w:color w:val="auto"/>
        </w:rPr>
      </w:pPr>
      <w:r>
        <w:rPr>
          <w:rFonts w:ascii="Arial" w:cs="Arial" w:eastAsia="Arial" w:hAnsi="Arial"/>
          <w:sz w:val="16"/>
          <w:szCs w:val="16"/>
          <w:color w:val="auto"/>
        </w:rPr>
        <w:t>Single-family housing starts decreased modestly in the third quarter of 2024 compared to the second quarter of 2024. We expect single-family housing starts will be higher in 2024 overall compared to 2023 due to elevated demand for new single-family housing.</w:t>
      </w:r>
    </w:p>
    <w:p>
      <w:pPr>
        <w:spacing w:after="0" w:line="28"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We expect a decline in multifamily housing starts in 2024 overall compared to 2023, due to the large amount of new rental units expected to be completed in 2024.</w:t>
      </w:r>
    </w:p>
    <w:p>
      <w:pPr>
        <w:spacing w:after="0" w:line="4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For further discussion on housing activity, see “Single-Family Business—Single-Family Mortgage Market” and “Multifamily Business—Multifamily Mortgage Market.”</w:t>
      </w:r>
    </w:p>
    <w:p>
      <w:pPr>
        <w:spacing w:after="0" w:line="6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Economic Activity</w:t>
      </w:r>
    </w:p>
    <w:p>
      <w:pPr>
        <w:spacing w:after="0" w:line="167"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GDP and Unemployment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7620</wp:posOffset>
            </wp:positionV>
            <wp:extent cx="5501005" cy="14897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01005" cy="1489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20" w:hanging="217"/>
        <w:spacing w:after="0"/>
        <w:tabs>
          <w:tab w:leader="none" w:pos="22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Real GDP growth (decline) is based on the quarterly series calculated by the Bureau of Economic Analysis and is subject to revision.</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According to the U.S. Bureau of Labor Statistics and subject to revision.</w:t>
      </w:r>
    </w:p>
    <w:p>
      <w:pPr>
        <w:spacing w:after="0" w:line="63" w:lineRule="exact"/>
        <w:rPr>
          <w:sz w:val="20"/>
          <w:szCs w:val="20"/>
          <w:color w:val="auto"/>
        </w:rPr>
      </w:pPr>
    </w:p>
    <w:p>
      <w:pPr>
        <w:ind w:right="80"/>
        <w:spacing w:after="0" w:line="310" w:lineRule="auto"/>
        <w:rPr>
          <w:sz w:val="20"/>
          <w:szCs w:val="20"/>
          <w:color w:val="auto"/>
        </w:rPr>
      </w:pPr>
      <w:r>
        <w:rPr>
          <w:rFonts w:ascii="Arial" w:cs="Arial" w:eastAsia="Arial" w:hAnsi="Arial"/>
          <w:sz w:val="16"/>
          <w:szCs w:val="16"/>
          <w:color w:val="auto"/>
        </w:rPr>
        <w:t>U.S. gross domestic product (“GDP”) increased in the first nine months of 2024. The unemployment rate increased in the first nine months of 2024, and we expect it to continue to increase modestly in the fourth quarter of 2024.</w:t>
      </w:r>
    </w:p>
    <w:p>
      <w:pPr>
        <w:spacing w:after="0" w:line="27"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See “Risk Factors—Market and Industry Risk” and “Risk Factors—Credit Risk” in our 2023 Form 10-K for further discussion of risks to our business and financial results associated with interest rates, home prices, housing activity, and economic conditions.</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0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2024 Form 10-Q</w:t>
            </w:r>
          </w:p>
        </w:tc>
        <w:tc>
          <w:tcPr>
            <w:tcW w:w="424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6</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800" w:type="dxa"/>
            <w:vAlign w:val="bottom"/>
            <w:tcBorders>
              <w:bottom w:val="single" w:sz="8" w:color="9A9A9A"/>
            </w:tcBorders>
          </w:tcPr>
          <w:p>
            <w:pPr>
              <w:spacing w:after="0"/>
              <w:rPr>
                <w:sz w:val="16"/>
                <w:szCs w:val="16"/>
                <w:color w:val="auto"/>
              </w:rPr>
            </w:pPr>
          </w:p>
        </w:tc>
        <w:tc>
          <w:tcPr>
            <w:tcW w:w="424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9" w:name="page10"/>
    <w:bookmarkEnd w:id="9"/>
    <w:p>
      <w:pPr>
        <w:ind w:left="844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This section discusses our condensed consolidated results of operations and should be read together with our condensed consolidated financial statements and the accompanying notes.</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Summary of Condensed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7"/>
              </w:rPr>
              <w:t>For the Three Months Ended</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7"/>
              </w:rPr>
              <w:t>For the Nine Months Ended</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7"/>
        </w:trPr>
        <w:tc>
          <w:tcPr>
            <w:tcW w:w="4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8"/>
              </w:rPr>
              <w:t>September 30,</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8"/>
              </w:rPr>
              <w:t>September 30,</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5"/>
        </w:trPr>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2C6937"/>
              <w:bottom w:val="single" w:sz="8" w:color="2C6937"/>
            </w:tcBorders>
          </w:tcPr>
          <w:p>
            <w:pPr>
              <w:spacing w:after="0"/>
              <w:rPr>
                <w:sz w:val="16"/>
                <w:szCs w:val="16"/>
                <w:color w:val="auto"/>
              </w:rPr>
            </w:pPr>
          </w:p>
        </w:tc>
        <w:tc>
          <w:tcPr>
            <w:tcW w:w="760" w:type="dxa"/>
            <w:vAlign w:val="bottom"/>
            <w:tcBorders>
              <w:top w:val="single" w:sz="8" w:color="2C6937"/>
              <w:bottom w:val="single" w:sz="8" w:color="2C6937"/>
            </w:tcBorders>
          </w:tcPr>
          <w:p>
            <w:pPr>
              <w:jc w:val="right"/>
              <w:ind w:right="264"/>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2C6937"/>
              <w:bottom w:val="single" w:sz="8" w:color="2C6937"/>
            </w:tcBorders>
          </w:tcPr>
          <w:p>
            <w:pPr>
              <w:spacing w:after="0"/>
              <w:rPr>
                <w:sz w:val="16"/>
                <w:szCs w:val="16"/>
                <w:color w:val="auto"/>
              </w:rPr>
            </w:pPr>
          </w:p>
        </w:tc>
        <w:tc>
          <w:tcPr>
            <w:tcW w:w="220" w:type="dxa"/>
            <w:vAlign w:val="bottom"/>
            <w:tcBorders>
              <w:top w:val="single" w:sz="8" w:color="2C6937"/>
              <w:bottom w:val="single" w:sz="8" w:color="2C6937"/>
            </w:tcBorders>
          </w:tcPr>
          <w:p>
            <w:pPr>
              <w:spacing w:after="0"/>
              <w:rPr>
                <w:sz w:val="16"/>
                <w:szCs w:val="16"/>
                <w:color w:val="auto"/>
              </w:rPr>
            </w:pPr>
          </w:p>
        </w:tc>
        <w:tc>
          <w:tcPr>
            <w:tcW w:w="760" w:type="dxa"/>
            <w:vAlign w:val="bottom"/>
            <w:tcBorders>
              <w:top w:val="single" w:sz="8" w:color="2C6937"/>
              <w:bottom w:val="single" w:sz="8" w:color="2C6937"/>
            </w:tcBorders>
          </w:tcPr>
          <w:p>
            <w:pPr>
              <w:jc w:val="right"/>
              <w:ind w:right="26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gridSpan w:val="2"/>
          </w:tcPr>
          <w:p>
            <w:pPr>
              <w:ind w:left="60"/>
              <w:spacing w:after="0"/>
              <w:rPr>
                <w:sz w:val="20"/>
                <w:szCs w:val="20"/>
                <w:color w:val="auto"/>
              </w:rPr>
            </w:pPr>
            <w:r>
              <w:rPr>
                <w:rFonts w:ascii="Arial" w:cs="Arial" w:eastAsia="Arial" w:hAnsi="Arial"/>
                <w:sz w:val="14"/>
                <w:szCs w:val="14"/>
                <w:b w:val="1"/>
                <w:bCs w:val="1"/>
                <w:color w:val="auto"/>
              </w:rPr>
              <w:t>Variance</w:t>
            </w:r>
          </w:p>
        </w:tc>
        <w:tc>
          <w:tcPr>
            <w:tcW w:w="120" w:type="dxa"/>
            <w:vAlign w:val="bottom"/>
            <w:tcBorders>
              <w:top w:val="single" w:sz="8" w:color="2C6937"/>
              <w:bottom w:val="single" w:sz="8" w:color="2C6937"/>
            </w:tcBorders>
          </w:tcPr>
          <w:p>
            <w:pPr>
              <w:spacing w:after="0"/>
              <w:rPr>
                <w:sz w:val="16"/>
                <w:szCs w:val="16"/>
                <w:color w:val="auto"/>
              </w:rPr>
            </w:pPr>
          </w:p>
        </w:tc>
        <w:tc>
          <w:tcPr>
            <w:tcW w:w="860" w:type="dxa"/>
            <w:vAlign w:val="bottom"/>
            <w:tcBorders>
              <w:top w:val="single" w:sz="8" w:color="2C6937"/>
              <w:bottom w:val="single" w:sz="8" w:color="2C6937"/>
            </w:tcBorders>
          </w:tcPr>
          <w:p>
            <w:pPr>
              <w:jc w:val="right"/>
              <w:ind w:right="26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2C6937"/>
              <w:bottom w:val="single" w:sz="8" w:color="2C6937"/>
            </w:tcBorders>
          </w:tcPr>
          <w:p>
            <w:pPr>
              <w:spacing w:after="0"/>
              <w:rPr>
                <w:sz w:val="16"/>
                <w:szCs w:val="16"/>
                <w:color w:val="auto"/>
              </w:rPr>
            </w:pPr>
          </w:p>
        </w:tc>
        <w:tc>
          <w:tcPr>
            <w:tcW w:w="220" w:type="dxa"/>
            <w:vAlign w:val="bottom"/>
            <w:tcBorders>
              <w:top w:val="single" w:sz="8" w:color="2C6937"/>
              <w:bottom w:val="single" w:sz="8" w:color="2C6937"/>
            </w:tcBorders>
          </w:tcPr>
          <w:p>
            <w:pPr>
              <w:spacing w:after="0"/>
              <w:rPr>
                <w:sz w:val="16"/>
                <w:szCs w:val="16"/>
                <w:color w:val="auto"/>
              </w:rPr>
            </w:pPr>
          </w:p>
        </w:tc>
        <w:tc>
          <w:tcPr>
            <w:tcW w:w="760" w:type="dxa"/>
            <w:vAlign w:val="bottom"/>
            <w:tcBorders>
              <w:top w:val="single" w:sz="8" w:color="2C6937"/>
              <w:bottom w:val="single" w:sz="8" w:color="2C6937"/>
            </w:tcBorders>
          </w:tcPr>
          <w:p>
            <w:pPr>
              <w:jc w:val="right"/>
              <w:ind w:right="26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2C6937"/>
            </w:tcBorders>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840" w:type="dxa"/>
            <w:vAlign w:val="bottom"/>
            <w:tcBorders>
              <w:bottom w:val="single" w:sz="8" w:color="2C6937"/>
            </w:tcBorders>
          </w:tcPr>
          <w:p>
            <w:pPr>
              <w:jc w:val="right"/>
              <w:ind w:right="143"/>
              <w:spacing w:after="0"/>
              <w:rPr>
                <w:sz w:val="20"/>
                <w:szCs w:val="20"/>
                <w:color w:val="auto"/>
              </w:rPr>
            </w:pPr>
            <w:r>
              <w:rPr>
                <w:rFonts w:ascii="Arial" w:cs="Arial" w:eastAsia="Arial" w:hAnsi="Arial"/>
                <w:sz w:val="14"/>
                <w:szCs w:val="14"/>
                <w:b w:val="1"/>
                <w:bCs w:val="1"/>
                <w:color w:val="auto"/>
              </w:rPr>
              <w:t>Variance</w:t>
            </w:r>
          </w:p>
        </w:tc>
      </w:tr>
      <w:tr>
        <w:trPr>
          <w:trHeight w:val="185"/>
        </w:trPr>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gridSpan w:val="5"/>
          </w:tcPr>
          <w:p>
            <w:pPr>
              <w:ind w:left="28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7"/>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Net interest income</w:t>
            </w:r>
          </w:p>
        </w:tc>
        <w:tc>
          <w:tcPr>
            <w:tcW w:w="220" w:type="dxa"/>
            <w:vAlign w:val="bottom"/>
          </w:tcPr>
          <w:p>
            <w:pPr>
              <w:jc w:val="right"/>
              <w:ind w:right="45"/>
              <w:spacing w:after="0"/>
              <w:rPr>
                <w:sz w:val="20"/>
                <w:szCs w:val="20"/>
                <w:color w:val="auto"/>
              </w:rPr>
            </w:pPr>
            <w:r>
              <w:rPr>
                <w:rFonts w:ascii="Arial" w:cs="Arial" w:eastAsia="Arial" w:hAnsi="Arial"/>
                <w:sz w:val="15"/>
                <w:szCs w:val="15"/>
                <w:b w:val="1"/>
                <w:bCs w:val="1"/>
                <w:color w:val="auto"/>
                <w:w w:val="95"/>
              </w:rPr>
              <w:t>$</w:t>
            </w: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7,275</w:t>
            </w:r>
          </w:p>
        </w:tc>
        <w:tc>
          <w:tcPr>
            <w:tcW w:w="8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7,220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55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21,566</w:t>
            </w:r>
          </w:p>
        </w:tc>
        <w:tc>
          <w:tcPr>
            <w:tcW w:w="1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21,041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525</w:t>
            </w:r>
          </w:p>
        </w:tc>
      </w:tr>
      <w:tr>
        <w:trPr>
          <w:trHeight w:val="208"/>
        </w:trPr>
        <w:tc>
          <w:tcPr>
            <w:tcW w:w="4760" w:type="dxa"/>
            <w:vAlign w:val="bottom"/>
            <w:tcBorders>
              <w:bottom w:val="single" w:sz="8" w:color="2C6937"/>
            </w:tcBorders>
          </w:tcPr>
          <w:p>
            <w:pPr>
              <w:ind w:left="20"/>
              <w:spacing w:after="0" w:line="207" w:lineRule="exact"/>
              <w:rPr>
                <w:sz w:val="20"/>
                <w:szCs w:val="20"/>
                <w:color w:val="auto"/>
              </w:rPr>
            </w:pPr>
            <w:r>
              <w:rPr>
                <w:rFonts w:ascii="Arial" w:cs="Arial" w:eastAsia="Arial" w:hAnsi="Arial"/>
                <w:sz w:val="15"/>
                <w:szCs w:val="15"/>
                <w:color w:val="auto"/>
              </w:rPr>
              <w:t>Fee and other income</w:t>
            </w:r>
            <w:r>
              <w:rPr>
                <w:rFonts w:ascii="Arial" w:cs="Arial" w:eastAsia="Arial" w:hAnsi="Arial"/>
                <w:sz w:val="20"/>
                <w:szCs w:val="20"/>
                <w:color w:val="auto"/>
                <w:vertAlign w:val="superscript"/>
              </w:rPr>
              <w:t>(1)</w:t>
            </w:r>
          </w:p>
        </w:tc>
        <w:tc>
          <w:tcPr>
            <w:tcW w:w="10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b w:val="1"/>
                <w:bCs w:val="1"/>
                <w:color w:val="auto"/>
              </w:rPr>
              <w:t>66</w:t>
            </w:r>
          </w:p>
        </w:tc>
        <w:tc>
          <w:tcPr>
            <w:tcW w:w="8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76</w:t>
            </w:r>
          </w:p>
        </w:tc>
        <w:tc>
          <w:tcPr>
            <w:tcW w:w="10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206</w:t>
            </w:r>
          </w:p>
        </w:tc>
        <w:tc>
          <w:tcPr>
            <w:tcW w:w="10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209</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w:t>
            </w:r>
          </w:p>
        </w:tc>
      </w:tr>
      <w:tr>
        <w:trPr>
          <w:trHeight w:val="198"/>
        </w:trPr>
        <w:tc>
          <w:tcPr>
            <w:tcW w:w="4860" w:type="dxa"/>
            <w:vAlign w:val="bottom"/>
            <w:gridSpan w:val="2"/>
          </w:tcPr>
          <w:p>
            <w:pPr>
              <w:ind w:left="180"/>
              <w:spacing w:after="0"/>
              <w:rPr>
                <w:sz w:val="20"/>
                <w:szCs w:val="20"/>
                <w:color w:val="auto"/>
              </w:rPr>
            </w:pPr>
            <w:r>
              <w:rPr>
                <w:rFonts w:ascii="Arial" w:cs="Arial" w:eastAsia="Arial" w:hAnsi="Arial"/>
                <w:sz w:val="15"/>
                <w:szCs w:val="15"/>
                <w:color w:val="auto"/>
              </w:rPr>
              <w:t>Net revenues</w:t>
            </w:r>
          </w:p>
        </w:tc>
        <w:tc>
          <w:tcPr>
            <w:tcW w:w="2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7,341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7,296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21,772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21,250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522</w:t>
            </w:r>
          </w:p>
        </w:tc>
      </w:tr>
      <w:tr>
        <w:trPr>
          <w:trHeight w:val="206"/>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Investment gains (losses), net</w:t>
            </w:r>
          </w:p>
        </w:tc>
        <w:tc>
          <w:tcPr>
            <w:tcW w:w="2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12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(28)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w:t>
            </w:r>
          </w:p>
        </w:tc>
      </w:tr>
      <w:tr>
        <w:trPr>
          <w:trHeight w:val="206"/>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Fair value gains (losses), net</w:t>
            </w:r>
          </w:p>
        </w:tc>
        <w:tc>
          <w:tcPr>
            <w:tcW w:w="2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52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795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(743)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979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1,403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(424)</w:t>
            </w:r>
          </w:p>
        </w:tc>
      </w:tr>
      <w:tr>
        <w:trPr>
          <w:trHeight w:val="206"/>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Administrative expenses</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(925)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(897)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(2,793)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(2,629)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(164)</w:t>
            </w:r>
          </w:p>
        </w:tc>
      </w:tr>
      <w:tr>
        <w:trPr>
          <w:trHeight w:val="206"/>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Benefit (provision) for credit losses</w:t>
            </w:r>
          </w:p>
        </w:tc>
        <w:tc>
          <w:tcPr>
            <w:tcW w:w="2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27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652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507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1,786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(1,279)</w:t>
            </w:r>
          </w:p>
        </w:tc>
      </w:tr>
      <w:tr>
        <w:trPr>
          <w:trHeight w:val="206"/>
        </w:trPr>
        <w:tc>
          <w:tcPr>
            <w:tcW w:w="4860" w:type="dxa"/>
            <w:vAlign w:val="bottom"/>
            <w:gridSpan w:val="2"/>
          </w:tcPr>
          <w:p>
            <w:pPr>
              <w:ind w:left="40"/>
              <w:spacing w:after="0" w:line="207" w:lineRule="exact"/>
              <w:rPr>
                <w:sz w:val="20"/>
                <w:szCs w:val="20"/>
                <w:color w:val="auto"/>
              </w:rPr>
            </w:pPr>
            <w:r>
              <w:rPr>
                <w:rFonts w:ascii="Arial" w:cs="Arial" w:eastAsia="Arial" w:hAnsi="Arial"/>
                <w:sz w:val="15"/>
                <w:szCs w:val="15"/>
                <w:color w:val="auto"/>
              </w:rPr>
              <w:t>TCCA fees</w:t>
            </w:r>
            <w:r>
              <w:rPr>
                <w:rFonts w:ascii="Arial" w:cs="Arial" w:eastAsia="Arial" w:hAnsi="Arial"/>
                <w:sz w:val="20"/>
                <w:szCs w:val="20"/>
                <w:color w:val="auto"/>
                <w:vertAlign w:val="superscript"/>
              </w:rPr>
              <w:t>(2)</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(862)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(860)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(2,581)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(2,571)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(10)</w:t>
            </w:r>
          </w:p>
        </w:tc>
      </w:tr>
      <w:tr>
        <w:trPr>
          <w:trHeight w:val="221"/>
        </w:trPr>
        <w:tc>
          <w:tcPr>
            <w:tcW w:w="4860" w:type="dxa"/>
            <w:vAlign w:val="bottom"/>
            <w:gridSpan w:val="2"/>
          </w:tcPr>
          <w:p>
            <w:pPr>
              <w:ind w:left="20"/>
              <w:spacing w:after="0" w:line="221" w:lineRule="exact"/>
              <w:rPr>
                <w:sz w:val="20"/>
                <w:szCs w:val="20"/>
                <w:color w:val="auto"/>
              </w:rPr>
            </w:pPr>
            <w:r>
              <w:rPr>
                <w:rFonts w:ascii="Arial" w:cs="Arial" w:eastAsia="Arial" w:hAnsi="Arial"/>
                <w:sz w:val="15"/>
                <w:szCs w:val="15"/>
                <w:color w:val="auto"/>
              </w:rPr>
              <w:t>Credit enhancement expense</w:t>
            </w:r>
            <w:r>
              <w:rPr>
                <w:rFonts w:ascii="Arial" w:cs="Arial" w:eastAsia="Arial" w:hAnsi="Arial"/>
                <w:sz w:val="20"/>
                <w:szCs w:val="20"/>
                <w:color w:val="auto"/>
                <w:vertAlign w:val="superscript"/>
              </w:rPr>
              <w:t>(3)</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(411)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(1,235)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(1,115)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(120)</w:t>
            </w:r>
          </w:p>
        </w:tc>
      </w:tr>
      <w:tr>
        <w:trPr>
          <w:trHeight w:val="217"/>
        </w:trPr>
        <w:tc>
          <w:tcPr>
            <w:tcW w:w="4860" w:type="dxa"/>
            <w:vAlign w:val="bottom"/>
            <w:gridSpan w:val="2"/>
          </w:tcPr>
          <w:p>
            <w:pPr>
              <w:ind w:left="20"/>
              <w:spacing w:after="0" w:line="217" w:lineRule="exact"/>
              <w:rPr>
                <w:sz w:val="20"/>
                <w:szCs w:val="20"/>
                <w:color w:val="auto"/>
              </w:rPr>
            </w:pPr>
            <w:r>
              <w:rPr>
                <w:rFonts w:ascii="Arial" w:cs="Arial" w:eastAsia="Arial" w:hAnsi="Arial"/>
                <w:sz w:val="15"/>
                <w:szCs w:val="15"/>
                <w:color w:val="auto"/>
              </w:rPr>
              <w:t>Change in expected credit enhancement recoveries</w:t>
            </w:r>
            <w:r>
              <w:rPr>
                <w:rFonts w:ascii="Arial" w:cs="Arial" w:eastAsia="Arial" w:hAnsi="Arial"/>
                <w:sz w:val="20"/>
                <w:szCs w:val="20"/>
                <w:color w:val="auto"/>
                <w:vertAlign w:val="superscript"/>
              </w:rPr>
              <w:t>(4)</w:t>
            </w:r>
          </w:p>
        </w:tc>
        <w:tc>
          <w:tcPr>
            <w:tcW w:w="220" w:type="dxa"/>
            <w:vAlign w:val="bottom"/>
          </w:tcPr>
          <w:p>
            <w:pPr>
              <w:spacing w:after="0"/>
              <w:rPr>
                <w:sz w:val="18"/>
                <w:szCs w:val="18"/>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89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189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357</w:t>
            </w:r>
          </w:p>
        </w:tc>
      </w:tr>
      <w:tr>
        <w:trPr>
          <w:trHeight w:val="208"/>
        </w:trPr>
        <w:tc>
          <w:tcPr>
            <w:tcW w:w="4760" w:type="dxa"/>
            <w:vAlign w:val="bottom"/>
            <w:tcBorders>
              <w:bottom w:val="single" w:sz="8" w:color="2C6937"/>
            </w:tcBorders>
          </w:tcPr>
          <w:p>
            <w:pPr>
              <w:ind w:left="20"/>
              <w:spacing w:after="0" w:line="207" w:lineRule="exact"/>
              <w:rPr>
                <w:sz w:val="20"/>
                <w:szCs w:val="20"/>
                <w:color w:val="auto"/>
              </w:rPr>
            </w:pPr>
            <w:r>
              <w:rPr>
                <w:rFonts w:ascii="Arial" w:cs="Arial" w:eastAsia="Arial" w:hAnsi="Arial"/>
                <w:sz w:val="15"/>
                <w:szCs w:val="15"/>
                <w:color w:val="auto"/>
              </w:rPr>
              <w:t>Other expenses, net</w:t>
            </w:r>
            <w:r>
              <w:rPr>
                <w:rFonts w:ascii="Arial" w:cs="Arial" w:eastAsia="Arial" w:hAnsi="Arial"/>
                <w:sz w:val="20"/>
                <w:szCs w:val="20"/>
                <w:color w:val="auto"/>
                <w:vertAlign w:val="superscript"/>
              </w:rPr>
              <w:t>(5)</w:t>
            </w:r>
          </w:p>
        </w:tc>
        <w:tc>
          <w:tcPr>
            <w:tcW w:w="10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(270)</w:t>
            </w:r>
          </w:p>
        </w:tc>
        <w:tc>
          <w:tcPr>
            <w:tcW w:w="8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(535)</w:t>
            </w:r>
          </w:p>
        </w:tc>
        <w:tc>
          <w:tcPr>
            <w:tcW w:w="10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265</w:t>
            </w:r>
          </w:p>
        </w:tc>
        <w:tc>
          <w:tcPr>
            <w:tcW w:w="10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(720)</w:t>
            </w:r>
          </w:p>
        </w:tc>
        <w:tc>
          <w:tcPr>
            <w:tcW w:w="10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(922)</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202</w:t>
            </w:r>
          </w:p>
        </w:tc>
      </w:tr>
      <w:tr>
        <w:trPr>
          <w:trHeight w:val="198"/>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Income before federal income taxes</w:t>
            </w:r>
          </w:p>
        </w:tc>
        <w:tc>
          <w:tcPr>
            <w:tcW w:w="2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5,053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5,941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(888)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16,090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17,000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(910)</w:t>
            </w:r>
          </w:p>
        </w:tc>
      </w:tr>
      <w:tr>
        <w:trPr>
          <w:trHeight w:val="208"/>
        </w:trPr>
        <w:tc>
          <w:tcPr>
            <w:tcW w:w="47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Provision for federal income taxes</w:t>
            </w:r>
          </w:p>
        </w:tc>
        <w:tc>
          <w:tcPr>
            <w:tcW w:w="10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(1,009)</w:t>
            </w:r>
          </w:p>
        </w:tc>
        <w:tc>
          <w:tcPr>
            <w:tcW w:w="8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(1,242)</w:t>
            </w:r>
          </w:p>
        </w:tc>
        <w:tc>
          <w:tcPr>
            <w:tcW w:w="10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233</w:t>
            </w:r>
          </w:p>
        </w:tc>
        <w:tc>
          <w:tcPr>
            <w:tcW w:w="10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(3,242)</w:t>
            </w:r>
          </w:p>
        </w:tc>
        <w:tc>
          <w:tcPr>
            <w:tcW w:w="10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(3,535)</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293</w:t>
            </w:r>
          </w:p>
        </w:tc>
      </w:tr>
      <w:tr>
        <w:trPr>
          <w:trHeight w:val="199"/>
        </w:trPr>
        <w:tc>
          <w:tcPr>
            <w:tcW w:w="4860" w:type="dxa"/>
            <w:vAlign w:val="bottom"/>
            <w:gridSpan w:val="2"/>
          </w:tcPr>
          <w:p>
            <w:pPr>
              <w:ind w:left="180"/>
              <w:spacing w:after="0"/>
              <w:rPr>
                <w:sz w:val="20"/>
                <w:szCs w:val="20"/>
                <w:color w:val="auto"/>
              </w:rPr>
            </w:pPr>
            <w:r>
              <w:rPr>
                <w:rFonts w:ascii="Arial" w:cs="Arial" w:eastAsia="Arial" w:hAnsi="Arial"/>
                <w:sz w:val="15"/>
                <w:szCs w:val="15"/>
                <w:color w:val="auto"/>
              </w:rPr>
              <w:t>Net income</w:t>
            </w:r>
          </w:p>
        </w:tc>
        <w:tc>
          <w:tcPr>
            <w:tcW w:w="220" w:type="dxa"/>
            <w:vAlign w:val="bottom"/>
          </w:tcPr>
          <w:p>
            <w:pPr>
              <w:jc w:val="right"/>
              <w:ind w:right="45"/>
              <w:spacing w:after="0"/>
              <w:rPr>
                <w:sz w:val="20"/>
                <w:szCs w:val="20"/>
                <w:color w:val="auto"/>
              </w:rPr>
            </w:pPr>
            <w:r>
              <w:rPr>
                <w:rFonts w:ascii="Arial" w:cs="Arial" w:eastAsia="Arial" w:hAnsi="Arial"/>
                <w:sz w:val="15"/>
                <w:szCs w:val="15"/>
                <w:b w:val="1"/>
                <w:bCs w:val="1"/>
                <w:color w:val="auto"/>
                <w:w w:val="95"/>
              </w:rPr>
              <w:t>$</w:t>
            </w: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4,044</w:t>
            </w:r>
          </w:p>
        </w:tc>
        <w:tc>
          <w:tcPr>
            <w:tcW w:w="8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4,699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(655)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12,848</w:t>
            </w:r>
          </w:p>
        </w:tc>
        <w:tc>
          <w:tcPr>
            <w:tcW w:w="1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13,465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(617)</w:t>
            </w:r>
          </w:p>
        </w:tc>
      </w:tr>
      <w:tr>
        <w:trPr>
          <w:trHeight w:val="20"/>
        </w:trPr>
        <w:tc>
          <w:tcPr>
            <w:tcW w:w="47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76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7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7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r>
      <w:tr>
        <w:trPr>
          <w:trHeight w:val="206"/>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Total comprehensive income</w:t>
            </w:r>
          </w:p>
        </w:tc>
        <w:tc>
          <w:tcPr>
            <w:tcW w:w="220" w:type="dxa"/>
            <w:vAlign w:val="bottom"/>
          </w:tcPr>
          <w:p>
            <w:pPr>
              <w:jc w:val="right"/>
              <w:ind w:right="45"/>
              <w:spacing w:after="0"/>
              <w:rPr>
                <w:sz w:val="20"/>
                <w:szCs w:val="20"/>
                <w:color w:val="auto"/>
              </w:rPr>
            </w:pPr>
            <w:r>
              <w:rPr>
                <w:rFonts w:ascii="Arial" w:cs="Arial" w:eastAsia="Arial" w:hAnsi="Arial"/>
                <w:sz w:val="15"/>
                <w:szCs w:val="15"/>
                <w:b w:val="1"/>
                <w:bCs w:val="1"/>
                <w:color w:val="auto"/>
                <w:w w:val="95"/>
              </w:rPr>
              <w:t>$</w:t>
            </w: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4,047</w:t>
            </w:r>
          </w:p>
        </w:tc>
        <w:tc>
          <w:tcPr>
            <w:tcW w:w="8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4,681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(634)</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12,848</w:t>
            </w:r>
          </w:p>
        </w:tc>
        <w:tc>
          <w:tcPr>
            <w:tcW w:w="1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13,448</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(600)</w:t>
            </w:r>
          </w:p>
        </w:tc>
      </w:tr>
    </w:tbl>
    <w:p>
      <w:pPr>
        <w:spacing w:after="0" w:line="114" w:lineRule="exact"/>
        <w:rPr>
          <w:sz w:val="20"/>
          <w:szCs w:val="20"/>
          <w:color w:val="auto"/>
        </w:rPr>
      </w:pPr>
    </w:p>
    <w:p>
      <w:pPr>
        <w:ind w:left="240" w:right="160" w:hanging="237"/>
        <w:spacing w:after="0" w:line="226" w:lineRule="auto"/>
        <w:tabs>
          <w:tab w:leader="none" w:pos="233"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Single-family fee and other income consists primarily of compensation for engaging in structured transactions and providing other lender services. Multifamily fee and other income consists of fees associated with certain Multifamily business activities such as credit enhancements for tax-exempt multifamily housing revenue bonds.</w:t>
      </w:r>
    </w:p>
    <w:p>
      <w:pPr>
        <w:spacing w:after="0" w:line="27" w:lineRule="exact"/>
        <w:rPr>
          <w:rFonts w:ascii="Arial" w:cs="Arial" w:eastAsia="Arial" w:hAnsi="Arial"/>
          <w:sz w:val="18"/>
          <w:szCs w:val="18"/>
          <w:color w:val="auto"/>
          <w:vertAlign w:val="superscript"/>
        </w:rPr>
      </w:pPr>
    </w:p>
    <w:p>
      <w:pPr>
        <w:ind w:left="240" w:right="520" w:hanging="237"/>
        <w:spacing w:after="0" w:line="226" w:lineRule="auto"/>
        <w:tabs>
          <w:tab w:leader="none" w:pos="233"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TCCA fees refers to the expense recognized as a result of the 10 basis point increase in guaranty fees on all single-family mortgages delivered to us on or after April 1, 2012 pursuant to the Temporary Payroll Tax Cut Continuation Act of 2011 and as extended by the Infrastructure Investment and Jobs Act, which we pay to Treasury.</w:t>
      </w:r>
    </w:p>
    <w:p>
      <w:pPr>
        <w:spacing w:after="0" w:line="14" w:lineRule="exact"/>
        <w:rPr>
          <w:rFonts w:ascii="Arial" w:cs="Arial" w:eastAsia="Arial" w:hAnsi="Arial"/>
          <w:sz w:val="18"/>
          <w:szCs w:val="18"/>
          <w:color w:val="auto"/>
          <w:vertAlign w:val="superscript"/>
        </w:rPr>
      </w:pPr>
    </w:p>
    <w:p>
      <w:pPr>
        <w:ind w:left="240" w:right="180" w:hanging="237"/>
        <w:spacing w:after="0" w:line="259" w:lineRule="auto"/>
        <w:tabs>
          <w:tab w:leader="none" w:pos="233" w:val="left"/>
        </w:tabs>
        <w:numPr>
          <w:ilvl w:val="0"/>
          <w:numId w:val="11"/>
        </w:numPr>
        <w:rPr>
          <w:rFonts w:ascii="Arial" w:cs="Arial" w:eastAsia="Arial" w:hAnsi="Arial"/>
          <w:sz w:val="9"/>
          <w:szCs w:val="9"/>
          <w:color w:val="auto"/>
        </w:rPr>
      </w:pPr>
      <w:r>
        <w:rPr>
          <w:rFonts w:ascii="Arial" w:cs="Arial" w:eastAsia="Arial" w:hAnsi="Arial"/>
          <w:sz w:val="14"/>
          <w:szCs w:val="14"/>
          <w:color w:val="auto"/>
        </w:rPr>
        <w:t>Consists of costs associated with our freestanding credit enhancements, which primarily include our Connecticut Avenue Securities</w:t>
      </w:r>
      <w:r>
        <w:rPr>
          <w:rFonts w:ascii="Arial" w:cs="Arial" w:eastAsia="Arial" w:hAnsi="Arial"/>
          <w:sz w:val="8"/>
          <w:szCs w:val="8"/>
          <w:color w:val="auto"/>
        </w:rPr>
        <w:t>®</w:t>
      </w:r>
      <w:r>
        <w:rPr>
          <w:rFonts w:ascii="Arial" w:cs="Arial" w:eastAsia="Arial" w:hAnsi="Arial"/>
          <w:sz w:val="14"/>
          <w:szCs w:val="14"/>
          <w:color w:val="auto"/>
        </w:rPr>
        <w:t xml:space="preserve"> (“CAS”) and Credit Insurance Risk Transfer</w:t>
      </w:r>
      <w:r>
        <w:rPr>
          <w:rFonts w:ascii="Arial" w:cs="Arial" w:eastAsia="Arial" w:hAnsi="Arial"/>
          <w:sz w:val="8"/>
          <w:szCs w:val="8"/>
          <w:color w:val="auto"/>
        </w:rPr>
        <w:t>TM</w:t>
      </w:r>
      <w:r>
        <w:rPr>
          <w:rFonts w:ascii="Arial" w:cs="Arial" w:eastAsia="Arial" w:hAnsi="Arial"/>
          <w:sz w:val="14"/>
          <w:szCs w:val="14"/>
          <w:color w:val="auto"/>
        </w:rPr>
        <w:t xml:space="preserve"> (“CIRT</w:t>
      </w:r>
      <w:r>
        <w:rPr>
          <w:rFonts w:ascii="Arial" w:cs="Arial" w:eastAsia="Arial" w:hAnsi="Arial"/>
          <w:sz w:val="17"/>
          <w:szCs w:val="17"/>
          <w:color w:val="auto"/>
          <w:vertAlign w:val="superscript"/>
        </w:rPr>
        <w:t>TM</w:t>
      </w:r>
      <w:r>
        <w:rPr>
          <w:rFonts w:ascii="Arial" w:cs="Arial" w:eastAsia="Arial" w:hAnsi="Arial"/>
          <w:sz w:val="14"/>
          <w:szCs w:val="14"/>
          <w:color w:val="auto"/>
        </w:rPr>
        <w:t>”) programs, enterprise-paid mortgage insurance and certain lender risk-sharing programs.</w:t>
      </w:r>
    </w:p>
    <w:p>
      <w:pPr>
        <w:spacing w:after="0" w:line="1" w:lineRule="exact"/>
        <w:rPr>
          <w:rFonts w:ascii="Arial" w:cs="Arial" w:eastAsia="Arial" w:hAnsi="Arial"/>
          <w:sz w:val="9"/>
          <w:szCs w:val="9"/>
          <w:color w:val="auto"/>
        </w:rPr>
      </w:pPr>
    </w:p>
    <w:p>
      <w:pPr>
        <w:ind w:left="220" w:hanging="217"/>
        <w:spacing w:after="0" w:line="195" w:lineRule="auto"/>
        <w:tabs>
          <w:tab w:leader="none" w:pos="22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Includes estimated changes in benefits, as well as any realized amounts, from our freestanding credit enhancements.</w:t>
      </w:r>
    </w:p>
    <w:p>
      <w:pPr>
        <w:spacing w:after="0" w:line="38" w:lineRule="exact"/>
        <w:rPr>
          <w:rFonts w:ascii="Arial" w:cs="Arial" w:eastAsia="Arial" w:hAnsi="Arial"/>
          <w:sz w:val="18"/>
          <w:szCs w:val="18"/>
          <w:color w:val="auto"/>
          <w:vertAlign w:val="superscript"/>
        </w:rPr>
      </w:pPr>
    </w:p>
    <w:p>
      <w:pPr>
        <w:ind w:left="240" w:right="440" w:hanging="237"/>
        <w:spacing w:after="0" w:line="219" w:lineRule="auto"/>
        <w:tabs>
          <w:tab w:leader="none" w:pos="233"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Includes debt extinguishment gains and losses, expenses associated with legal claims, foreclosed property income (expense), gains and losses from partnership investments, housing trust fund expenses, loan subservicing costs, and servicer fees paid in connection with certain loss mitigation activities.</w:t>
      </w:r>
    </w:p>
    <w:p>
      <w:pPr>
        <w:spacing w:after="0" w:line="84"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Net Interest Income</w:t>
      </w:r>
    </w:p>
    <w:p>
      <w:pPr>
        <w:spacing w:after="0" w:line="115"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Overview</w:t>
      </w:r>
    </w:p>
    <w:p>
      <w:pPr>
        <w:spacing w:after="0" w:line="93"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color w:val="auto"/>
        </w:rPr>
        <w:t>Our primary source of net interest income is guaranty fees we receive for assuming the credit risk on mortgage loans underlying Fannie Mae MBS held by third parties in our guaranty book of business. We also recognize net interest income on the difference between interest income earned on the assets in our retained mortgage portfolio and our corporate liquidity portfolio (collectively, our “portfolios”) and the interest expense associated with our funding debt. In addition, income or expense from hedge accounting is a component of our net interest income. See “MD&amp;A—Consolidated Results of Operations—Net Interest Income” in our 2023 Form 10-K for a description of the components of our single-family and multifamily guaranty fees and the components of our net interest income from our guaranty book of business, portfolios, and hedge accounting.</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0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2024 Form 10-Q</w:t>
            </w:r>
          </w:p>
        </w:tc>
        <w:tc>
          <w:tcPr>
            <w:tcW w:w="424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7</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800" w:type="dxa"/>
            <w:vAlign w:val="bottom"/>
            <w:tcBorders>
              <w:bottom w:val="single" w:sz="8" w:color="9A9A9A"/>
            </w:tcBorders>
          </w:tcPr>
          <w:p>
            <w:pPr>
              <w:spacing w:after="0"/>
              <w:rPr>
                <w:sz w:val="16"/>
                <w:szCs w:val="16"/>
                <w:color w:val="auto"/>
              </w:rPr>
            </w:pPr>
          </w:p>
        </w:tc>
        <w:tc>
          <w:tcPr>
            <w:tcW w:w="424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0" w:name="page11"/>
    <w:bookmarkEnd w:id="10"/>
    <w:p>
      <w:pPr>
        <w:ind w:left="844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Components of Net Interest Income</w:t>
      </w:r>
    </w:p>
    <w:p>
      <w:pPr>
        <w:spacing w:after="0" w:line="106" w:lineRule="exact"/>
        <w:rPr>
          <w:sz w:val="20"/>
          <w:szCs w:val="20"/>
          <w:color w:val="auto"/>
        </w:rPr>
      </w:pPr>
    </w:p>
    <w:p>
      <w:pPr>
        <w:ind w:right="680"/>
        <w:spacing w:after="0" w:line="293" w:lineRule="auto"/>
        <w:rPr>
          <w:sz w:val="20"/>
          <w:szCs w:val="20"/>
          <w:color w:val="auto"/>
        </w:rPr>
      </w:pPr>
      <w:r>
        <w:rPr>
          <w:rFonts w:ascii="Arial" w:cs="Arial" w:eastAsia="Arial" w:hAnsi="Arial"/>
          <w:sz w:val="16"/>
          <w:szCs w:val="16"/>
          <w:color w:val="auto"/>
        </w:rPr>
        <w:t>The table below displays the components of our net interest income from our guaranty book of business, from our portfolios, as well as from hedge accounting.</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Components of Net Interest Income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280" w:type="dxa"/>
            <w:vAlign w:val="bottom"/>
            <w:tcBorders>
              <w:top w:val="single" w:sz="8" w:color="2C6937"/>
            </w:tcBorders>
          </w:tcPr>
          <w:p>
            <w:pPr>
              <w:spacing w:after="0"/>
              <w:rPr>
                <w:sz w:val="15"/>
                <w:szCs w:val="15"/>
                <w:color w:val="auto"/>
              </w:rPr>
            </w:pPr>
          </w:p>
        </w:tc>
        <w:tc>
          <w:tcPr>
            <w:tcW w:w="100" w:type="dxa"/>
            <w:vAlign w:val="bottom"/>
            <w:tcBorders>
              <w:top w:val="single" w:sz="8" w:color="2C6937"/>
            </w:tcBorders>
          </w:tcPr>
          <w:p>
            <w:pPr>
              <w:spacing w:after="0"/>
              <w:rPr>
                <w:sz w:val="15"/>
                <w:szCs w:val="15"/>
                <w:color w:val="auto"/>
              </w:rPr>
            </w:pPr>
          </w:p>
        </w:tc>
        <w:tc>
          <w:tcPr>
            <w:tcW w:w="2320" w:type="dxa"/>
            <w:vAlign w:val="bottom"/>
            <w:tcBorders>
              <w:top w:val="single" w:sz="8" w:color="2C6937"/>
            </w:tcBorders>
            <w:gridSpan w:val="6"/>
          </w:tcPr>
          <w:p>
            <w:pPr>
              <w:jc w:val="center"/>
              <w:ind w:right="100"/>
              <w:spacing w:after="0"/>
              <w:rPr>
                <w:sz w:val="20"/>
                <w:szCs w:val="20"/>
                <w:color w:val="auto"/>
              </w:rPr>
            </w:pPr>
            <w:r>
              <w:rPr>
                <w:rFonts w:ascii="Arial" w:cs="Arial" w:eastAsia="Arial" w:hAnsi="Arial"/>
                <w:sz w:val="15"/>
                <w:szCs w:val="15"/>
                <w:b w:val="1"/>
                <w:bCs w:val="1"/>
                <w:color w:val="auto"/>
              </w:rPr>
              <w:t>For the Three Months Ended</w:t>
            </w:r>
          </w:p>
        </w:tc>
        <w:tc>
          <w:tcPr>
            <w:tcW w:w="160" w:type="dxa"/>
            <w:vAlign w:val="bottom"/>
            <w:tcBorders>
              <w:top w:val="single" w:sz="8" w:color="2C6937"/>
            </w:tcBorders>
          </w:tcPr>
          <w:p>
            <w:pPr>
              <w:spacing w:after="0"/>
              <w:rPr>
                <w:sz w:val="15"/>
                <w:szCs w:val="15"/>
                <w:color w:val="auto"/>
              </w:rPr>
            </w:pPr>
          </w:p>
        </w:tc>
        <w:tc>
          <w:tcPr>
            <w:tcW w:w="900" w:type="dxa"/>
            <w:vAlign w:val="bottom"/>
            <w:tcBorders>
              <w:top w:val="single" w:sz="8" w:color="2C6937"/>
            </w:tcBorders>
          </w:tcPr>
          <w:p>
            <w:pPr>
              <w:spacing w:after="0"/>
              <w:rPr>
                <w:sz w:val="15"/>
                <w:szCs w:val="15"/>
                <w:color w:val="auto"/>
              </w:rPr>
            </w:pPr>
          </w:p>
        </w:tc>
        <w:tc>
          <w:tcPr>
            <w:tcW w:w="100" w:type="dxa"/>
            <w:vAlign w:val="bottom"/>
            <w:tcBorders>
              <w:top w:val="single" w:sz="8" w:color="2C6937"/>
            </w:tcBorders>
          </w:tcPr>
          <w:p>
            <w:pPr>
              <w:spacing w:after="0"/>
              <w:rPr>
                <w:sz w:val="15"/>
                <w:szCs w:val="15"/>
                <w:color w:val="auto"/>
              </w:rPr>
            </w:pPr>
          </w:p>
        </w:tc>
        <w:tc>
          <w:tcPr>
            <w:tcW w:w="100" w:type="dxa"/>
            <w:vAlign w:val="bottom"/>
            <w:tcBorders>
              <w:top w:val="single" w:sz="8" w:color="2C6937"/>
            </w:tcBorders>
          </w:tcPr>
          <w:p>
            <w:pPr>
              <w:spacing w:after="0"/>
              <w:rPr>
                <w:sz w:val="15"/>
                <w:szCs w:val="15"/>
                <w:color w:val="auto"/>
              </w:rPr>
            </w:pPr>
          </w:p>
        </w:tc>
        <w:tc>
          <w:tcPr>
            <w:tcW w:w="2220" w:type="dxa"/>
            <w:vAlign w:val="bottom"/>
            <w:tcBorders>
              <w:top w:val="single" w:sz="8" w:color="2C6937"/>
            </w:tcBorders>
            <w:gridSpan w:val="5"/>
          </w:tcPr>
          <w:p>
            <w:pPr>
              <w:jc w:val="center"/>
              <w:ind w:right="220"/>
              <w:spacing w:after="0"/>
              <w:rPr>
                <w:sz w:val="20"/>
                <w:szCs w:val="20"/>
                <w:color w:val="auto"/>
              </w:rPr>
            </w:pPr>
            <w:r>
              <w:rPr>
                <w:rFonts w:ascii="Arial" w:cs="Arial" w:eastAsia="Arial" w:hAnsi="Arial"/>
                <w:sz w:val="15"/>
                <w:szCs w:val="15"/>
                <w:b w:val="1"/>
                <w:bCs w:val="1"/>
                <w:color w:val="auto"/>
              </w:rPr>
              <w:t>For the Nine Months Ended</w:t>
            </w:r>
          </w:p>
        </w:tc>
        <w:tc>
          <w:tcPr>
            <w:tcW w:w="160" w:type="dxa"/>
            <w:vAlign w:val="bottom"/>
            <w:tcBorders>
              <w:top w:val="single" w:sz="8" w:color="2C6937"/>
            </w:tcBorders>
          </w:tcPr>
          <w:p>
            <w:pPr>
              <w:spacing w:after="0"/>
              <w:rPr>
                <w:sz w:val="15"/>
                <w:szCs w:val="15"/>
                <w:color w:val="auto"/>
              </w:rPr>
            </w:pPr>
          </w:p>
        </w:tc>
        <w:tc>
          <w:tcPr>
            <w:tcW w:w="900" w:type="dxa"/>
            <w:vAlign w:val="bottom"/>
            <w:tcBorders>
              <w:top w:val="single" w:sz="8" w:color="2C6937"/>
            </w:tcBorders>
          </w:tcPr>
          <w:p>
            <w:pPr>
              <w:spacing w:after="0"/>
              <w:rPr>
                <w:sz w:val="15"/>
                <w:szCs w:val="15"/>
                <w:color w:val="auto"/>
              </w:rPr>
            </w:pPr>
          </w:p>
        </w:tc>
      </w:tr>
      <w:tr>
        <w:trPr>
          <w:trHeight w:val="206"/>
        </w:trPr>
        <w:tc>
          <w:tcPr>
            <w:tcW w:w="4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00" w:type="dxa"/>
            <w:vAlign w:val="bottom"/>
            <w:gridSpan w:val="5"/>
          </w:tcPr>
          <w:p>
            <w:pPr>
              <w:jc w:val="center"/>
              <w:ind w:right="320"/>
              <w:spacing w:after="0"/>
              <w:rPr>
                <w:sz w:val="20"/>
                <w:szCs w:val="20"/>
                <w:color w:val="auto"/>
              </w:rPr>
            </w:pPr>
            <w:r>
              <w:rPr>
                <w:rFonts w:ascii="Arial" w:cs="Arial" w:eastAsia="Arial" w:hAnsi="Arial"/>
                <w:sz w:val="15"/>
                <w:szCs w:val="15"/>
                <w:b w:val="1"/>
                <w:bCs w:val="1"/>
                <w:color w:val="auto"/>
              </w:rPr>
              <w:t>September 30,</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gridSpan w:val="5"/>
          </w:tcPr>
          <w:p>
            <w:pPr>
              <w:jc w:val="center"/>
              <w:ind w:right="200"/>
              <w:spacing w:after="0"/>
              <w:rPr>
                <w:sz w:val="20"/>
                <w:szCs w:val="20"/>
                <w:color w:val="auto"/>
              </w:rPr>
            </w:pPr>
            <w:r>
              <w:rPr>
                <w:rFonts w:ascii="Arial" w:cs="Arial" w:eastAsia="Arial" w:hAnsi="Arial"/>
                <w:sz w:val="15"/>
                <w:szCs w:val="15"/>
                <w:b w:val="1"/>
                <w:bCs w:val="1"/>
                <w:color w:val="auto"/>
              </w:rPr>
              <w:t>September 30,</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9"/>
        </w:trPr>
        <w:tc>
          <w:tcPr>
            <w:tcW w:w="4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2C6937"/>
              <w:bottom w:val="single" w:sz="8" w:color="2C6937"/>
            </w:tcBorders>
          </w:tcPr>
          <w:p>
            <w:pPr>
              <w:spacing w:after="0"/>
              <w:rPr>
                <w:sz w:val="17"/>
                <w:szCs w:val="17"/>
                <w:color w:val="auto"/>
              </w:rPr>
            </w:pPr>
          </w:p>
        </w:tc>
        <w:tc>
          <w:tcPr>
            <w:tcW w:w="840" w:type="dxa"/>
            <w:vAlign w:val="bottom"/>
            <w:tcBorders>
              <w:top w:val="single" w:sz="8" w:color="2C6937"/>
              <w:bottom w:val="single" w:sz="8" w:color="2C6937"/>
            </w:tcBorders>
          </w:tcPr>
          <w:p>
            <w:pPr>
              <w:jc w:val="right"/>
              <w:ind w:right="283"/>
              <w:spacing w:after="0"/>
              <w:rPr>
                <w:sz w:val="20"/>
                <w:szCs w:val="20"/>
                <w:color w:val="auto"/>
              </w:rPr>
            </w:pPr>
            <w:r>
              <w:rPr>
                <w:rFonts w:ascii="Arial" w:cs="Arial" w:eastAsia="Arial" w:hAnsi="Arial"/>
                <w:sz w:val="15"/>
                <w:szCs w:val="15"/>
                <w:b w:val="1"/>
                <w:bCs w:val="1"/>
                <w:color w:val="auto"/>
              </w:rPr>
              <w:t>2024</w:t>
            </w:r>
          </w:p>
        </w:tc>
        <w:tc>
          <w:tcPr>
            <w:tcW w:w="100" w:type="dxa"/>
            <w:vAlign w:val="bottom"/>
            <w:tcBorders>
              <w:top w:val="single" w:sz="8" w:color="2C6937"/>
              <w:bottom w:val="single" w:sz="8" w:color="2C6937"/>
            </w:tcBorders>
          </w:tcPr>
          <w:p>
            <w:pPr>
              <w:spacing w:after="0"/>
              <w:rPr>
                <w:sz w:val="17"/>
                <w:szCs w:val="17"/>
                <w:color w:val="auto"/>
              </w:rPr>
            </w:pPr>
          </w:p>
        </w:tc>
        <w:tc>
          <w:tcPr>
            <w:tcW w:w="220" w:type="dxa"/>
            <w:vAlign w:val="bottom"/>
            <w:tcBorders>
              <w:top w:val="single" w:sz="8" w:color="2C6937"/>
              <w:bottom w:val="single" w:sz="8" w:color="2C6937"/>
            </w:tcBorders>
          </w:tcPr>
          <w:p>
            <w:pPr>
              <w:spacing w:after="0"/>
              <w:rPr>
                <w:sz w:val="17"/>
                <w:szCs w:val="17"/>
                <w:color w:val="auto"/>
              </w:rPr>
            </w:pPr>
          </w:p>
        </w:tc>
        <w:tc>
          <w:tcPr>
            <w:tcW w:w="840" w:type="dxa"/>
            <w:vAlign w:val="bottom"/>
            <w:tcBorders>
              <w:top w:val="single" w:sz="8" w:color="2C6937"/>
              <w:bottom w:val="single" w:sz="8" w:color="2C6937"/>
            </w:tcBorders>
          </w:tcPr>
          <w:p>
            <w:pPr>
              <w:jc w:val="right"/>
              <w:ind w:right="283"/>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bottom w:val="single" w:sz="8" w:color="2C6937"/>
            </w:tcBorders>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000" w:type="dxa"/>
            <w:vAlign w:val="bottom"/>
            <w:tcBorders>
              <w:bottom w:val="single" w:sz="8" w:color="2C6937"/>
            </w:tcBorders>
            <w:gridSpan w:val="2"/>
          </w:tcPr>
          <w:p>
            <w:pPr>
              <w:ind w:left="40"/>
              <w:spacing w:after="0"/>
              <w:rPr>
                <w:sz w:val="20"/>
                <w:szCs w:val="20"/>
                <w:color w:val="auto"/>
              </w:rPr>
            </w:pPr>
            <w:r>
              <w:rPr>
                <w:rFonts w:ascii="Arial" w:cs="Arial" w:eastAsia="Arial" w:hAnsi="Arial"/>
                <w:sz w:val="15"/>
                <w:szCs w:val="15"/>
                <w:b w:val="1"/>
                <w:bCs w:val="1"/>
                <w:color w:val="auto"/>
              </w:rPr>
              <w:t>Variance</w:t>
            </w:r>
          </w:p>
        </w:tc>
        <w:tc>
          <w:tcPr>
            <w:tcW w:w="100" w:type="dxa"/>
            <w:vAlign w:val="bottom"/>
            <w:tcBorders>
              <w:top w:val="single" w:sz="8" w:color="2C6937"/>
              <w:bottom w:val="single" w:sz="8" w:color="2C6937"/>
            </w:tcBorders>
          </w:tcPr>
          <w:p>
            <w:pPr>
              <w:spacing w:after="0"/>
              <w:rPr>
                <w:sz w:val="17"/>
                <w:szCs w:val="17"/>
                <w:color w:val="auto"/>
              </w:rPr>
            </w:pPr>
          </w:p>
        </w:tc>
        <w:tc>
          <w:tcPr>
            <w:tcW w:w="960" w:type="dxa"/>
            <w:vAlign w:val="bottom"/>
            <w:tcBorders>
              <w:top w:val="single" w:sz="8" w:color="2C6937"/>
              <w:bottom w:val="single" w:sz="8" w:color="2C6937"/>
            </w:tcBorders>
          </w:tcPr>
          <w:p>
            <w:pPr>
              <w:jc w:val="right"/>
              <w:ind w:right="283"/>
              <w:spacing w:after="0"/>
              <w:rPr>
                <w:sz w:val="20"/>
                <w:szCs w:val="20"/>
                <w:color w:val="auto"/>
              </w:rPr>
            </w:pPr>
            <w:r>
              <w:rPr>
                <w:rFonts w:ascii="Arial" w:cs="Arial" w:eastAsia="Arial" w:hAnsi="Arial"/>
                <w:sz w:val="15"/>
                <w:szCs w:val="15"/>
                <w:b w:val="1"/>
                <w:bCs w:val="1"/>
                <w:color w:val="auto"/>
              </w:rPr>
              <w:t>2024</w:t>
            </w:r>
          </w:p>
        </w:tc>
        <w:tc>
          <w:tcPr>
            <w:tcW w:w="100" w:type="dxa"/>
            <w:vAlign w:val="bottom"/>
            <w:tcBorders>
              <w:top w:val="single" w:sz="8" w:color="2C6937"/>
              <w:bottom w:val="single" w:sz="8" w:color="2C6937"/>
            </w:tcBorders>
          </w:tcPr>
          <w:p>
            <w:pPr>
              <w:spacing w:after="0"/>
              <w:rPr>
                <w:sz w:val="17"/>
                <w:szCs w:val="17"/>
                <w:color w:val="auto"/>
              </w:rPr>
            </w:pPr>
          </w:p>
        </w:tc>
        <w:tc>
          <w:tcPr>
            <w:tcW w:w="220" w:type="dxa"/>
            <w:vAlign w:val="bottom"/>
            <w:tcBorders>
              <w:top w:val="single" w:sz="8" w:color="2C6937"/>
              <w:bottom w:val="single" w:sz="8" w:color="2C6937"/>
            </w:tcBorders>
          </w:tcPr>
          <w:p>
            <w:pPr>
              <w:spacing w:after="0"/>
              <w:rPr>
                <w:sz w:val="17"/>
                <w:szCs w:val="17"/>
                <w:color w:val="auto"/>
              </w:rPr>
            </w:pPr>
          </w:p>
        </w:tc>
        <w:tc>
          <w:tcPr>
            <w:tcW w:w="840" w:type="dxa"/>
            <w:vAlign w:val="bottom"/>
            <w:tcBorders>
              <w:top w:val="single" w:sz="8" w:color="2C6937"/>
              <w:bottom w:val="single" w:sz="8" w:color="2C6937"/>
            </w:tcBorders>
          </w:tcPr>
          <w:p>
            <w:pPr>
              <w:jc w:val="right"/>
              <w:ind w:right="283"/>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bottom w:val="single" w:sz="8" w:color="2C6937"/>
            </w:tcBorders>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900" w:type="dxa"/>
            <w:vAlign w:val="bottom"/>
            <w:tcBorders>
              <w:bottom w:val="single" w:sz="8" w:color="2C6937"/>
            </w:tcBorders>
          </w:tcPr>
          <w:p>
            <w:pPr>
              <w:jc w:val="right"/>
              <w:ind w:right="143"/>
              <w:spacing w:after="0"/>
              <w:rPr>
                <w:sz w:val="20"/>
                <w:szCs w:val="20"/>
                <w:color w:val="auto"/>
              </w:rPr>
            </w:pPr>
            <w:r>
              <w:rPr>
                <w:rFonts w:ascii="Arial" w:cs="Arial" w:eastAsia="Arial" w:hAnsi="Arial"/>
                <w:sz w:val="15"/>
                <w:szCs w:val="15"/>
                <w:b w:val="1"/>
                <w:bCs w:val="1"/>
                <w:color w:val="auto"/>
              </w:rPr>
              <w:t>Variance</w:t>
            </w:r>
          </w:p>
        </w:tc>
      </w:tr>
      <w:tr>
        <w:trPr>
          <w:trHeight w:val="296"/>
        </w:trPr>
        <w:tc>
          <w:tcPr>
            <w:tcW w:w="4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60" w:type="dxa"/>
            <w:vAlign w:val="bottom"/>
            <w:gridSpan w:val="5"/>
          </w:tcPr>
          <w:p>
            <w:pPr>
              <w:ind w:left="240"/>
              <w:spacing w:after="0"/>
              <w:rPr>
                <w:sz w:val="20"/>
                <w:szCs w:val="20"/>
                <w:color w:val="auto"/>
              </w:rPr>
            </w:pPr>
            <w:r>
              <w:rPr>
                <w:rFonts w:ascii="Arial" w:cs="Arial" w:eastAsia="Arial" w:hAnsi="Arial"/>
                <w:sz w:val="15"/>
                <w:szCs w:val="15"/>
                <w:b w:val="1"/>
                <w:bCs w:val="1"/>
                <w:color w:val="auto"/>
              </w:rPr>
              <w:t>(Dollars in millions)</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01"/>
        </w:trPr>
        <w:tc>
          <w:tcPr>
            <w:tcW w:w="4380" w:type="dxa"/>
            <w:vAlign w:val="bottom"/>
            <w:gridSpan w:val="2"/>
          </w:tcPr>
          <w:p>
            <w:pPr>
              <w:ind w:left="20"/>
              <w:spacing w:after="0"/>
              <w:rPr>
                <w:sz w:val="20"/>
                <w:szCs w:val="20"/>
                <w:color w:val="auto"/>
              </w:rPr>
            </w:pPr>
            <w:r>
              <w:rPr>
                <w:rFonts w:ascii="Arial" w:cs="Arial" w:eastAsia="Arial" w:hAnsi="Arial"/>
                <w:sz w:val="15"/>
                <w:szCs w:val="15"/>
                <w:color w:val="auto"/>
              </w:rPr>
              <w:t>Net interest income from guaranty book of business:</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76"/>
        </w:trPr>
        <w:tc>
          <w:tcPr>
            <w:tcW w:w="4380" w:type="dxa"/>
            <w:vAlign w:val="bottom"/>
            <w:gridSpan w:val="2"/>
          </w:tcPr>
          <w:p>
            <w:pPr>
              <w:ind w:left="180"/>
              <w:spacing w:after="0"/>
              <w:rPr>
                <w:sz w:val="20"/>
                <w:szCs w:val="20"/>
                <w:color w:val="auto"/>
              </w:rPr>
            </w:pPr>
            <w:r>
              <w:rPr>
                <w:rFonts w:ascii="Arial" w:cs="Arial" w:eastAsia="Arial" w:hAnsi="Arial"/>
                <w:sz w:val="15"/>
                <w:szCs w:val="15"/>
                <w:color w:val="auto"/>
              </w:rPr>
              <w:t>Base guaranty fee income</w:t>
            </w:r>
            <w:r>
              <w:rPr>
                <w:rFonts w:ascii="Arial" w:cs="Arial" w:eastAsia="Arial" w:hAnsi="Arial"/>
                <w:sz w:val="20"/>
                <w:szCs w:val="20"/>
                <w:color w:val="auto"/>
                <w:vertAlign w:val="superscript"/>
              </w:rPr>
              <w:t>(1)</w:t>
            </w:r>
          </w:p>
        </w:tc>
        <w:tc>
          <w:tcPr>
            <w:tcW w:w="220" w:type="dxa"/>
            <w:vAlign w:val="bottom"/>
          </w:tcPr>
          <w:p>
            <w:pPr>
              <w:jc w:val="right"/>
              <w:ind w:right="43"/>
              <w:spacing w:after="0"/>
              <w:rPr>
                <w:sz w:val="20"/>
                <w:szCs w:val="20"/>
                <w:color w:val="auto"/>
              </w:rPr>
            </w:pPr>
            <w:r>
              <w:rPr>
                <w:rFonts w:ascii="Arial" w:cs="Arial" w:eastAsia="Arial" w:hAnsi="Arial"/>
                <w:sz w:val="15"/>
                <w:szCs w:val="15"/>
                <w:b w:val="1"/>
                <w:bCs w:val="1"/>
                <w:color w:val="auto"/>
                <w:w w:val="95"/>
              </w:rPr>
              <w:t>$</w:t>
            </w:r>
          </w:p>
        </w:tc>
        <w:tc>
          <w:tcPr>
            <w:tcW w:w="840" w:type="dxa"/>
            <w:vAlign w:val="bottom"/>
          </w:tcPr>
          <w:p>
            <w:pPr>
              <w:jc w:val="right"/>
              <w:ind w:right="3"/>
              <w:spacing w:after="0"/>
              <w:rPr>
                <w:sz w:val="20"/>
                <w:szCs w:val="20"/>
                <w:color w:val="auto"/>
              </w:rPr>
            </w:pPr>
            <w:r>
              <w:rPr>
                <w:rFonts w:ascii="Arial" w:cs="Arial" w:eastAsia="Arial" w:hAnsi="Arial"/>
                <w:sz w:val="15"/>
                <w:szCs w:val="15"/>
                <w:b w:val="1"/>
                <w:bCs w:val="1"/>
                <w:color w:val="auto"/>
              </w:rPr>
              <w:t>4,159</w:t>
            </w:r>
          </w:p>
        </w:tc>
        <w:tc>
          <w:tcPr>
            <w:tcW w:w="100" w:type="dxa"/>
            <w:vAlign w:val="bottom"/>
          </w:tcPr>
          <w:p>
            <w:pPr>
              <w:spacing w:after="0"/>
              <w:rPr>
                <w:sz w:val="24"/>
                <w:szCs w:val="24"/>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4,060</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ind w:right="3"/>
              <w:spacing w:after="0"/>
              <w:rPr>
                <w:sz w:val="20"/>
                <w:szCs w:val="20"/>
                <w:color w:val="auto"/>
              </w:rPr>
            </w:pPr>
            <w:r>
              <w:rPr>
                <w:rFonts w:ascii="Arial" w:cs="Arial" w:eastAsia="Arial" w:hAnsi="Arial"/>
                <w:sz w:val="15"/>
                <w:szCs w:val="15"/>
                <w:color w:val="auto"/>
              </w:rPr>
              <w:t>99</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b w:val="1"/>
                <w:bCs w:val="1"/>
                <w:color w:val="auto"/>
              </w:rPr>
              <w:t>12,357</w:t>
            </w:r>
          </w:p>
        </w:tc>
        <w:tc>
          <w:tcPr>
            <w:tcW w:w="100" w:type="dxa"/>
            <w:vAlign w:val="bottom"/>
          </w:tcPr>
          <w:p>
            <w:pPr>
              <w:spacing w:after="0"/>
              <w:rPr>
                <w:sz w:val="24"/>
                <w:szCs w:val="24"/>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12,077</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280</w:t>
            </w:r>
          </w:p>
        </w:tc>
      </w:tr>
      <w:tr>
        <w:trPr>
          <w:trHeight w:val="309"/>
        </w:trPr>
        <w:tc>
          <w:tcPr>
            <w:tcW w:w="4380" w:type="dxa"/>
            <w:vAlign w:val="bottom"/>
            <w:gridSpan w:val="2"/>
          </w:tcPr>
          <w:p>
            <w:pPr>
              <w:ind w:left="180"/>
              <w:spacing w:after="0"/>
              <w:rPr>
                <w:sz w:val="20"/>
                <w:szCs w:val="20"/>
                <w:color w:val="auto"/>
              </w:rPr>
            </w:pPr>
            <w:r>
              <w:rPr>
                <w:rFonts w:ascii="Arial" w:cs="Arial" w:eastAsia="Arial" w:hAnsi="Arial"/>
                <w:sz w:val="15"/>
                <w:szCs w:val="15"/>
                <w:color w:val="auto"/>
              </w:rPr>
              <w:t>Base guaranty fee income related to TCCA</w:t>
            </w:r>
            <w:r>
              <w:rPr>
                <w:rFonts w:ascii="Arial" w:cs="Arial" w:eastAsia="Arial" w:hAnsi="Arial"/>
                <w:sz w:val="20"/>
                <w:szCs w:val="20"/>
                <w:color w:val="auto"/>
                <w:vertAlign w:val="superscript"/>
              </w:rPr>
              <w:t>(2)</w:t>
            </w:r>
          </w:p>
        </w:tc>
        <w:tc>
          <w:tcPr>
            <w:tcW w:w="220" w:type="dxa"/>
            <w:vAlign w:val="bottom"/>
          </w:tcPr>
          <w:p>
            <w:pPr>
              <w:spacing w:after="0"/>
              <w:rPr>
                <w:sz w:val="24"/>
                <w:szCs w:val="24"/>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b w:val="1"/>
                <w:bCs w:val="1"/>
                <w:color w:val="auto"/>
              </w:rPr>
              <w:t>862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860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3"/>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b w:val="1"/>
                <w:bCs w:val="1"/>
                <w:color w:val="auto"/>
              </w:rPr>
              <w:t>2,581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2,571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10</w:t>
            </w:r>
          </w:p>
        </w:tc>
      </w:tr>
      <w:tr>
        <w:trPr>
          <w:trHeight w:val="257"/>
        </w:trPr>
        <w:tc>
          <w:tcPr>
            <w:tcW w:w="428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Net deferred guaranty fee income</w:t>
            </w:r>
            <w:r>
              <w:rPr>
                <w:rFonts w:ascii="Arial" w:cs="Arial" w:eastAsia="Arial" w:hAnsi="Arial"/>
                <w:sz w:val="20"/>
                <w:szCs w:val="20"/>
                <w:color w:val="auto"/>
                <w:vertAlign w:val="superscript"/>
              </w:rPr>
              <w:t>(3)</w:t>
            </w:r>
          </w:p>
        </w:tc>
        <w:tc>
          <w:tcPr>
            <w:tcW w:w="100" w:type="dxa"/>
            <w:vAlign w:val="bottom"/>
          </w:tcPr>
          <w:p>
            <w:pPr>
              <w:spacing w:after="0"/>
              <w:rPr>
                <w:sz w:val="22"/>
                <w:szCs w:val="22"/>
                <w:color w:val="auto"/>
              </w:rPr>
            </w:pPr>
          </w:p>
        </w:tc>
        <w:tc>
          <w:tcPr>
            <w:tcW w:w="220" w:type="dxa"/>
            <w:vAlign w:val="bottom"/>
            <w:tcBorders>
              <w:bottom w:val="single" w:sz="8" w:color="2C6937"/>
            </w:tcBorders>
          </w:tcPr>
          <w:p>
            <w:pPr>
              <w:spacing w:after="0"/>
              <w:rPr>
                <w:sz w:val="22"/>
                <w:szCs w:val="22"/>
                <w:color w:val="auto"/>
              </w:rPr>
            </w:pPr>
          </w:p>
        </w:tc>
        <w:tc>
          <w:tcPr>
            <w:tcW w:w="84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831</w:t>
            </w:r>
          </w:p>
        </w:tc>
        <w:tc>
          <w:tcPr>
            <w:tcW w:w="100" w:type="dxa"/>
            <w:vAlign w:val="bottom"/>
          </w:tcPr>
          <w:p>
            <w:pPr>
              <w:spacing w:after="0"/>
              <w:rPr>
                <w:sz w:val="22"/>
                <w:szCs w:val="22"/>
                <w:color w:val="auto"/>
              </w:rPr>
            </w:pPr>
          </w:p>
        </w:tc>
        <w:tc>
          <w:tcPr>
            <w:tcW w:w="220" w:type="dxa"/>
            <w:vAlign w:val="bottom"/>
            <w:tcBorders>
              <w:bottom w:val="single" w:sz="8" w:color="2C6937"/>
            </w:tcBorders>
          </w:tcPr>
          <w:p>
            <w:pPr>
              <w:spacing w:after="0"/>
              <w:rPr>
                <w:sz w:val="22"/>
                <w:szCs w:val="22"/>
                <w:color w:val="auto"/>
              </w:rPr>
            </w:pPr>
          </w:p>
        </w:tc>
        <w:tc>
          <w:tcPr>
            <w:tcW w:w="84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942</w:t>
            </w:r>
          </w:p>
        </w:tc>
        <w:tc>
          <w:tcPr>
            <w:tcW w:w="100" w:type="dxa"/>
            <w:vAlign w:val="bottom"/>
          </w:tcPr>
          <w:p>
            <w:pPr>
              <w:spacing w:after="0"/>
              <w:rPr>
                <w:sz w:val="22"/>
                <w:szCs w:val="22"/>
                <w:color w:val="auto"/>
              </w:rPr>
            </w:pPr>
          </w:p>
        </w:tc>
        <w:tc>
          <w:tcPr>
            <w:tcW w:w="160" w:type="dxa"/>
            <w:vAlign w:val="bottom"/>
            <w:tcBorders>
              <w:bottom w:val="single" w:sz="8" w:color="2C6937"/>
            </w:tcBorders>
          </w:tcPr>
          <w:p>
            <w:pPr>
              <w:spacing w:after="0"/>
              <w:rPr>
                <w:sz w:val="22"/>
                <w:szCs w:val="22"/>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(111)</w:t>
            </w:r>
          </w:p>
        </w:tc>
        <w:tc>
          <w:tcPr>
            <w:tcW w:w="100" w:type="dxa"/>
            <w:vAlign w:val="bottom"/>
          </w:tcPr>
          <w:p>
            <w:pPr>
              <w:spacing w:after="0"/>
              <w:rPr>
                <w:sz w:val="22"/>
                <w:szCs w:val="22"/>
                <w:color w:val="auto"/>
              </w:rPr>
            </w:pPr>
          </w:p>
        </w:tc>
        <w:tc>
          <w:tcPr>
            <w:tcW w:w="100" w:type="dxa"/>
            <w:vAlign w:val="bottom"/>
            <w:tcBorders>
              <w:bottom w:val="single" w:sz="8" w:color="2C6937"/>
            </w:tcBorders>
          </w:tcPr>
          <w:p>
            <w:pPr>
              <w:spacing w:after="0"/>
              <w:rPr>
                <w:sz w:val="22"/>
                <w:szCs w:val="22"/>
                <w:color w:val="auto"/>
              </w:rPr>
            </w:pP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2,475</w:t>
            </w:r>
          </w:p>
        </w:tc>
        <w:tc>
          <w:tcPr>
            <w:tcW w:w="100" w:type="dxa"/>
            <w:vAlign w:val="bottom"/>
          </w:tcPr>
          <w:p>
            <w:pPr>
              <w:spacing w:after="0"/>
              <w:rPr>
                <w:sz w:val="22"/>
                <w:szCs w:val="22"/>
                <w:color w:val="auto"/>
              </w:rPr>
            </w:pPr>
          </w:p>
        </w:tc>
        <w:tc>
          <w:tcPr>
            <w:tcW w:w="220" w:type="dxa"/>
            <w:vAlign w:val="bottom"/>
            <w:tcBorders>
              <w:bottom w:val="single" w:sz="8" w:color="2C6937"/>
            </w:tcBorders>
          </w:tcPr>
          <w:p>
            <w:pPr>
              <w:spacing w:after="0"/>
              <w:rPr>
                <w:sz w:val="22"/>
                <w:szCs w:val="22"/>
                <w:color w:val="auto"/>
              </w:rPr>
            </w:pPr>
          </w:p>
        </w:tc>
        <w:tc>
          <w:tcPr>
            <w:tcW w:w="84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2,611</w:t>
            </w:r>
          </w:p>
        </w:tc>
        <w:tc>
          <w:tcPr>
            <w:tcW w:w="100" w:type="dxa"/>
            <w:vAlign w:val="bottom"/>
          </w:tcPr>
          <w:p>
            <w:pPr>
              <w:spacing w:after="0"/>
              <w:rPr>
                <w:sz w:val="22"/>
                <w:szCs w:val="22"/>
                <w:color w:val="auto"/>
              </w:rPr>
            </w:pPr>
          </w:p>
        </w:tc>
        <w:tc>
          <w:tcPr>
            <w:tcW w:w="160" w:type="dxa"/>
            <w:vAlign w:val="bottom"/>
            <w:tcBorders>
              <w:bottom w:val="single" w:sz="8" w:color="2C6937"/>
            </w:tcBorders>
          </w:tcPr>
          <w:p>
            <w:pPr>
              <w:spacing w:after="0"/>
              <w:rPr>
                <w:sz w:val="22"/>
                <w:szCs w:val="22"/>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(136)</w:t>
            </w:r>
          </w:p>
        </w:tc>
      </w:tr>
      <w:tr>
        <w:trPr>
          <w:trHeight w:val="309"/>
        </w:trPr>
        <w:tc>
          <w:tcPr>
            <w:tcW w:w="4380" w:type="dxa"/>
            <w:vAlign w:val="bottom"/>
            <w:gridSpan w:val="2"/>
          </w:tcPr>
          <w:p>
            <w:pPr>
              <w:ind w:left="320"/>
              <w:spacing w:after="0"/>
              <w:rPr>
                <w:sz w:val="20"/>
                <w:szCs w:val="20"/>
                <w:color w:val="auto"/>
              </w:rPr>
            </w:pPr>
            <w:r>
              <w:rPr>
                <w:rFonts w:ascii="Arial" w:cs="Arial" w:eastAsia="Arial" w:hAnsi="Arial"/>
                <w:sz w:val="15"/>
                <w:szCs w:val="15"/>
                <w:color w:val="auto"/>
              </w:rPr>
              <w:t>Total net interest income from guaranty book of business</w:t>
            </w:r>
          </w:p>
        </w:tc>
        <w:tc>
          <w:tcPr>
            <w:tcW w:w="220" w:type="dxa"/>
            <w:vAlign w:val="bottom"/>
          </w:tcPr>
          <w:p>
            <w:pPr>
              <w:spacing w:after="0"/>
              <w:rPr>
                <w:sz w:val="24"/>
                <w:szCs w:val="24"/>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b w:val="1"/>
                <w:bCs w:val="1"/>
                <w:color w:val="auto"/>
              </w:rPr>
              <w:t>5,852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5,862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b w:val="1"/>
                <w:bCs w:val="1"/>
                <w:color w:val="auto"/>
              </w:rPr>
              <w:t>17,413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17,259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154</w:t>
            </w:r>
          </w:p>
        </w:tc>
      </w:tr>
      <w:tr>
        <w:trPr>
          <w:trHeight w:val="278"/>
        </w:trPr>
        <w:tc>
          <w:tcPr>
            <w:tcW w:w="4380" w:type="dxa"/>
            <w:vAlign w:val="bottom"/>
            <w:gridSpan w:val="2"/>
          </w:tcPr>
          <w:p>
            <w:pPr>
              <w:ind w:left="20"/>
              <w:spacing w:after="0"/>
              <w:rPr>
                <w:sz w:val="20"/>
                <w:szCs w:val="20"/>
                <w:color w:val="auto"/>
              </w:rPr>
            </w:pPr>
            <w:r>
              <w:rPr>
                <w:rFonts w:ascii="Arial" w:cs="Arial" w:eastAsia="Arial" w:hAnsi="Arial"/>
                <w:sz w:val="15"/>
                <w:szCs w:val="15"/>
                <w:color w:val="auto"/>
              </w:rPr>
              <w:t>Net interest income from portfolios</w:t>
            </w:r>
            <w:r>
              <w:rPr>
                <w:rFonts w:ascii="Arial" w:cs="Arial" w:eastAsia="Arial" w:hAnsi="Arial"/>
                <w:sz w:val="20"/>
                <w:szCs w:val="20"/>
                <w:color w:val="auto"/>
                <w:vertAlign w:val="superscript"/>
              </w:rPr>
              <w:t>(4)</w:t>
            </w:r>
          </w:p>
        </w:tc>
        <w:tc>
          <w:tcPr>
            <w:tcW w:w="220" w:type="dxa"/>
            <w:vAlign w:val="bottom"/>
          </w:tcPr>
          <w:p>
            <w:pPr>
              <w:spacing w:after="0"/>
              <w:rPr>
                <w:sz w:val="24"/>
                <w:szCs w:val="24"/>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b w:val="1"/>
                <w:bCs w:val="1"/>
                <w:color w:val="auto"/>
              </w:rPr>
              <w:t>1,624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1,596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3"/>
              <w:spacing w:after="0"/>
              <w:rPr>
                <w:sz w:val="20"/>
                <w:szCs w:val="20"/>
                <w:color w:val="auto"/>
              </w:rPr>
            </w:pPr>
            <w:r>
              <w:rPr>
                <w:rFonts w:ascii="Arial" w:cs="Arial" w:eastAsia="Arial" w:hAnsi="Arial"/>
                <w:sz w:val="15"/>
                <w:szCs w:val="15"/>
                <w:color w:val="auto"/>
              </w:rPr>
              <w:t>28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b w:val="1"/>
                <w:bCs w:val="1"/>
                <w:color w:val="auto"/>
              </w:rPr>
              <w:t>4,817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4,554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263</w:t>
            </w:r>
          </w:p>
        </w:tc>
      </w:tr>
      <w:tr>
        <w:trPr>
          <w:trHeight w:val="257"/>
        </w:trPr>
        <w:tc>
          <w:tcPr>
            <w:tcW w:w="42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Income (expense) from hedge accounting</w:t>
            </w:r>
            <w:r>
              <w:rPr>
                <w:rFonts w:ascii="Arial" w:cs="Arial" w:eastAsia="Arial" w:hAnsi="Arial"/>
                <w:sz w:val="20"/>
                <w:szCs w:val="20"/>
                <w:color w:val="auto"/>
                <w:vertAlign w:val="superscript"/>
              </w:rPr>
              <w:t>(5)</w:t>
            </w:r>
          </w:p>
        </w:tc>
        <w:tc>
          <w:tcPr>
            <w:tcW w:w="100" w:type="dxa"/>
            <w:vAlign w:val="bottom"/>
          </w:tcPr>
          <w:p>
            <w:pPr>
              <w:spacing w:after="0"/>
              <w:rPr>
                <w:sz w:val="22"/>
                <w:szCs w:val="22"/>
                <w:color w:val="auto"/>
              </w:rPr>
            </w:pPr>
          </w:p>
        </w:tc>
        <w:tc>
          <w:tcPr>
            <w:tcW w:w="220" w:type="dxa"/>
            <w:vAlign w:val="bottom"/>
            <w:tcBorders>
              <w:bottom w:val="single" w:sz="8" w:color="2C6937"/>
            </w:tcBorders>
          </w:tcPr>
          <w:p>
            <w:pPr>
              <w:spacing w:after="0"/>
              <w:rPr>
                <w:sz w:val="22"/>
                <w:szCs w:val="22"/>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(201)</w:t>
            </w:r>
          </w:p>
        </w:tc>
        <w:tc>
          <w:tcPr>
            <w:tcW w:w="100" w:type="dxa"/>
            <w:vAlign w:val="bottom"/>
          </w:tcPr>
          <w:p>
            <w:pPr>
              <w:spacing w:after="0"/>
              <w:rPr>
                <w:sz w:val="22"/>
                <w:szCs w:val="22"/>
                <w:color w:val="auto"/>
              </w:rPr>
            </w:pPr>
          </w:p>
        </w:tc>
        <w:tc>
          <w:tcPr>
            <w:tcW w:w="220" w:type="dxa"/>
            <w:vAlign w:val="bottom"/>
            <w:tcBorders>
              <w:bottom w:val="single" w:sz="8" w:color="2C6937"/>
            </w:tcBorders>
          </w:tcPr>
          <w:p>
            <w:pPr>
              <w:spacing w:after="0"/>
              <w:rPr>
                <w:sz w:val="22"/>
                <w:szCs w:val="22"/>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(238)</w:t>
            </w:r>
          </w:p>
        </w:tc>
        <w:tc>
          <w:tcPr>
            <w:tcW w:w="100" w:type="dxa"/>
            <w:vAlign w:val="bottom"/>
          </w:tcPr>
          <w:p>
            <w:pPr>
              <w:spacing w:after="0"/>
              <w:rPr>
                <w:sz w:val="22"/>
                <w:szCs w:val="22"/>
                <w:color w:val="auto"/>
              </w:rPr>
            </w:pPr>
          </w:p>
        </w:tc>
        <w:tc>
          <w:tcPr>
            <w:tcW w:w="160" w:type="dxa"/>
            <w:vAlign w:val="bottom"/>
            <w:tcBorders>
              <w:bottom w:val="single" w:sz="8" w:color="2C6937"/>
            </w:tcBorders>
          </w:tcPr>
          <w:p>
            <w:pPr>
              <w:spacing w:after="0"/>
              <w:rPr>
                <w:sz w:val="22"/>
                <w:szCs w:val="22"/>
                <w:color w:val="auto"/>
              </w:rPr>
            </w:pPr>
          </w:p>
        </w:tc>
        <w:tc>
          <w:tcPr>
            <w:tcW w:w="9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37</w:t>
            </w:r>
          </w:p>
        </w:tc>
        <w:tc>
          <w:tcPr>
            <w:tcW w:w="100" w:type="dxa"/>
            <w:vAlign w:val="bottom"/>
          </w:tcPr>
          <w:p>
            <w:pPr>
              <w:spacing w:after="0"/>
              <w:rPr>
                <w:sz w:val="22"/>
                <w:szCs w:val="22"/>
                <w:color w:val="auto"/>
              </w:rPr>
            </w:pPr>
          </w:p>
        </w:tc>
        <w:tc>
          <w:tcPr>
            <w:tcW w:w="100" w:type="dxa"/>
            <w:vAlign w:val="bottom"/>
            <w:tcBorders>
              <w:bottom w:val="single" w:sz="8" w:color="2C6937"/>
            </w:tcBorders>
          </w:tcPr>
          <w:p>
            <w:pPr>
              <w:spacing w:after="0"/>
              <w:rPr>
                <w:sz w:val="22"/>
                <w:szCs w:val="22"/>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(664)</w:t>
            </w:r>
          </w:p>
        </w:tc>
        <w:tc>
          <w:tcPr>
            <w:tcW w:w="100" w:type="dxa"/>
            <w:vAlign w:val="bottom"/>
          </w:tcPr>
          <w:p>
            <w:pPr>
              <w:spacing w:after="0"/>
              <w:rPr>
                <w:sz w:val="22"/>
                <w:szCs w:val="22"/>
                <w:color w:val="auto"/>
              </w:rPr>
            </w:pPr>
          </w:p>
        </w:tc>
        <w:tc>
          <w:tcPr>
            <w:tcW w:w="220" w:type="dxa"/>
            <w:vAlign w:val="bottom"/>
            <w:tcBorders>
              <w:bottom w:val="single" w:sz="8" w:color="2C6937"/>
            </w:tcBorders>
          </w:tcPr>
          <w:p>
            <w:pPr>
              <w:spacing w:after="0"/>
              <w:rPr>
                <w:sz w:val="22"/>
                <w:szCs w:val="22"/>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(772)</w:t>
            </w:r>
          </w:p>
        </w:tc>
        <w:tc>
          <w:tcPr>
            <w:tcW w:w="100" w:type="dxa"/>
            <w:vAlign w:val="bottom"/>
          </w:tcPr>
          <w:p>
            <w:pPr>
              <w:spacing w:after="0"/>
              <w:rPr>
                <w:sz w:val="22"/>
                <w:szCs w:val="22"/>
                <w:color w:val="auto"/>
              </w:rPr>
            </w:pPr>
          </w:p>
        </w:tc>
        <w:tc>
          <w:tcPr>
            <w:tcW w:w="160" w:type="dxa"/>
            <w:vAlign w:val="bottom"/>
            <w:tcBorders>
              <w:bottom w:val="single" w:sz="8" w:color="2C6937"/>
            </w:tcBorders>
          </w:tcPr>
          <w:p>
            <w:pPr>
              <w:spacing w:after="0"/>
              <w:rPr>
                <w:sz w:val="22"/>
                <w:szCs w:val="22"/>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108</w:t>
            </w:r>
          </w:p>
        </w:tc>
      </w:tr>
      <w:tr>
        <w:trPr>
          <w:trHeight w:val="277"/>
        </w:trPr>
        <w:tc>
          <w:tcPr>
            <w:tcW w:w="4380" w:type="dxa"/>
            <w:vAlign w:val="bottom"/>
            <w:gridSpan w:val="2"/>
          </w:tcPr>
          <w:p>
            <w:pPr>
              <w:ind w:left="20"/>
              <w:spacing w:after="0"/>
              <w:rPr>
                <w:sz w:val="20"/>
                <w:szCs w:val="20"/>
                <w:color w:val="auto"/>
              </w:rPr>
            </w:pPr>
            <w:r>
              <w:rPr>
                <w:rFonts w:ascii="Arial" w:cs="Arial" w:eastAsia="Arial" w:hAnsi="Arial"/>
                <w:sz w:val="15"/>
                <w:szCs w:val="15"/>
                <w:color w:val="auto"/>
              </w:rPr>
              <w:t>Total net interest income</w:t>
            </w:r>
          </w:p>
        </w:tc>
        <w:tc>
          <w:tcPr>
            <w:tcW w:w="220" w:type="dxa"/>
            <w:vAlign w:val="bottom"/>
          </w:tcPr>
          <w:p>
            <w:pPr>
              <w:jc w:val="right"/>
              <w:ind w:right="43"/>
              <w:spacing w:after="0"/>
              <w:rPr>
                <w:sz w:val="20"/>
                <w:szCs w:val="20"/>
                <w:color w:val="auto"/>
              </w:rPr>
            </w:pPr>
            <w:r>
              <w:rPr>
                <w:rFonts w:ascii="Arial" w:cs="Arial" w:eastAsia="Arial" w:hAnsi="Arial"/>
                <w:sz w:val="15"/>
                <w:szCs w:val="15"/>
                <w:b w:val="1"/>
                <w:bCs w:val="1"/>
                <w:color w:val="auto"/>
                <w:w w:val="95"/>
              </w:rPr>
              <w:t>$</w:t>
            </w:r>
          </w:p>
        </w:tc>
        <w:tc>
          <w:tcPr>
            <w:tcW w:w="840" w:type="dxa"/>
            <w:vAlign w:val="bottom"/>
          </w:tcPr>
          <w:p>
            <w:pPr>
              <w:jc w:val="right"/>
              <w:ind w:right="3"/>
              <w:spacing w:after="0"/>
              <w:rPr>
                <w:sz w:val="20"/>
                <w:szCs w:val="20"/>
                <w:color w:val="auto"/>
              </w:rPr>
            </w:pPr>
            <w:r>
              <w:rPr>
                <w:rFonts w:ascii="Arial" w:cs="Arial" w:eastAsia="Arial" w:hAnsi="Arial"/>
                <w:sz w:val="15"/>
                <w:szCs w:val="15"/>
                <w:b w:val="1"/>
                <w:bCs w:val="1"/>
                <w:color w:val="auto"/>
              </w:rPr>
              <w:t>7,275</w:t>
            </w:r>
          </w:p>
        </w:tc>
        <w:tc>
          <w:tcPr>
            <w:tcW w:w="100" w:type="dxa"/>
            <w:vAlign w:val="bottom"/>
          </w:tcPr>
          <w:p>
            <w:pPr>
              <w:spacing w:after="0"/>
              <w:rPr>
                <w:sz w:val="24"/>
                <w:szCs w:val="24"/>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7,220</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ind w:right="3"/>
              <w:spacing w:after="0"/>
              <w:rPr>
                <w:sz w:val="20"/>
                <w:szCs w:val="20"/>
                <w:color w:val="auto"/>
              </w:rPr>
            </w:pPr>
            <w:r>
              <w:rPr>
                <w:rFonts w:ascii="Arial" w:cs="Arial" w:eastAsia="Arial" w:hAnsi="Arial"/>
                <w:sz w:val="15"/>
                <w:szCs w:val="15"/>
                <w:color w:val="auto"/>
              </w:rPr>
              <w:t>55</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b w:val="1"/>
                <w:bCs w:val="1"/>
                <w:color w:val="auto"/>
              </w:rPr>
              <w:t>21,566</w:t>
            </w:r>
          </w:p>
        </w:tc>
        <w:tc>
          <w:tcPr>
            <w:tcW w:w="100" w:type="dxa"/>
            <w:vAlign w:val="bottom"/>
          </w:tcPr>
          <w:p>
            <w:pPr>
              <w:spacing w:after="0"/>
              <w:rPr>
                <w:sz w:val="24"/>
                <w:szCs w:val="24"/>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21,041</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525</w:t>
            </w:r>
          </w:p>
        </w:tc>
      </w:tr>
      <w:tr>
        <w:trPr>
          <w:trHeight w:val="20"/>
        </w:trPr>
        <w:tc>
          <w:tcPr>
            <w:tcW w:w="42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9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9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900" w:type="dxa"/>
            <w:vAlign w:val="bottom"/>
            <w:tcBorders>
              <w:top w:val="single" w:sz="8" w:color="2C6937"/>
              <w:bottom w:val="single" w:sz="8" w:color="2C6937"/>
            </w:tcBorders>
          </w:tcPr>
          <w:p>
            <w:pPr>
              <w:spacing w:after="0" w:line="20" w:lineRule="exact"/>
              <w:rPr>
                <w:sz w:val="1"/>
                <w:szCs w:val="1"/>
                <w:color w:val="auto"/>
              </w:rPr>
            </w:pPr>
          </w:p>
        </w:tc>
      </w:tr>
    </w:tbl>
    <w:p>
      <w:pPr>
        <w:spacing w:after="0" w:line="121" w:lineRule="exact"/>
        <w:rPr>
          <w:sz w:val="20"/>
          <w:szCs w:val="20"/>
          <w:color w:val="auto"/>
        </w:rPr>
      </w:pPr>
    </w:p>
    <w:p>
      <w:pPr>
        <w:ind w:left="240" w:right="220" w:hanging="237"/>
        <w:spacing w:after="0" w:line="218" w:lineRule="auto"/>
        <w:tabs>
          <w:tab w:leader="none" w:pos="233"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Excludes revenues generated by the 10 basis point guaranty fee increase we implemented pursuant to the TCCA, the incremental revenue from which is paid to Treasury and not retained by us.</w:t>
      </w:r>
    </w:p>
    <w:p>
      <w:pPr>
        <w:spacing w:after="0" w:line="26" w:lineRule="exact"/>
        <w:rPr>
          <w:rFonts w:ascii="Arial" w:cs="Arial" w:eastAsia="Arial" w:hAnsi="Arial"/>
          <w:sz w:val="18"/>
          <w:szCs w:val="18"/>
          <w:color w:val="auto"/>
          <w:vertAlign w:val="superscript"/>
        </w:rPr>
      </w:pPr>
    </w:p>
    <w:p>
      <w:pPr>
        <w:ind w:left="240" w:right="80" w:hanging="237"/>
        <w:spacing w:after="0" w:line="275" w:lineRule="auto"/>
        <w:tabs>
          <w:tab w:leader="none" w:pos="233" w:val="left"/>
        </w:tabs>
        <w:numPr>
          <w:ilvl w:val="0"/>
          <w:numId w:val="12"/>
        </w:numPr>
        <w:rPr>
          <w:rFonts w:ascii="Arial" w:cs="Arial" w:eastAsia="Arial" w:hAnsi="Arial"/>
          <w:sz w:val="9"/>
          <w:szCs w:val="9"/>
          <w:color w:val="auto"/>
        </w:rPr>
      </w:pPr>
      <w:r>
        <w:rPr>
          <w:rFonts w:ascii="Arial" w:cs="Arial" w:eastAsia="Arial" w:hAnsi="Arial"/>
          <w:sz w:val="14"/>
          <w:szCs w:val="14"/>
          <w:color w:val="auto"/>
        </w:rPr>
        <w:t>Represents revenues generated by the 10 basis point guaranty fee increase we implemented pursuant to the TCCA, the incremental revenue from which is paid to Treasury and not retained by us.</w:t>
      </w:r>
    </w:p>
    <w:p>
      <w:pPr>
        <w:ind w:left="220" w:hanging="217"/>
        <w:spacing w:after="0"/>
        <w:tabs>
          <w:tab w:leader="none" w:pos="22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Excludes the amortization of cost basis adjustments resulting from hedge accounting, which is included in income (expense) from hedge accounting.</w:t>
      </w:r>
    </w:p>
    <w:p>
      <w:pPr>
        <w:spacing w:after="0" w:line="37" w:lineRule="exact"/>
        <w:rPr>
          <w:rFonts w:ascii="Arial" w:cs="Arial" w:eastAsia="Arial" w:hAnsi="Arial"/>
          <w:sz w:val="18"/>
          <w:szCs w:val="18"/>
          <w:color w:val="auto"/>
          <w:vertAlign w:val="superscript"/>
        </w:rPr>
      </w:pPr>
    </w:p>
    <w:p>
      <w:pPr>
        <w:ind w:left="240" w:right="40" w:hanging="237"/>
        <w:spacing w:after="0" w:line="219" w:lineRule="auto"/>
        <w:tabs>
          <w:tab w:leader="none" w:pos="233"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Includes interest income from assets held in our retained mortgage portfolio and our corporate liquidity portfolio, as well as other assets used to support lender liquidity. Also includes interest expense on our funding debt, including outstanding CAS debt.</w:t>
      </w:r>
    </w:p>
    <w:p>
      <w:pPr>
        <w:spacing w:after="0" w:line="13"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12"/>
        </w:numPr>
        <w:rPr>
          <w:rFonts w:ascii="Arial" w:cs="Arial" w:eastAsia="Arial" w:hAnsi="Arial"/>
          <w:sz w:val="9"/>
          <w:szCs w:val="9"/>
          <w:color w:val="auto"/>
        </w:rPr>
      </w:pPr>
      <w:r>
        <w:rPr>
          <w:rFonts w:ascii="Arial" w:cs="Arial" w:eastAsia="Arial" w:hAnsi="Arial"/>
          <w:sz w:val="14"/>
          <w:szCs w:val="14"/>
          <w:color w:val="auto"/>
        </w:rPr>
        <w:t>For more information about our hedge accounting program, see “Note 9, Derivative Instruments.”</w:t>
      </w:r>
    </w:p>
    <w:p>
      <w:pPr>
        <w:spacing w:after="0" w:line="7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Net interest income remained relatively flat in the third quarter of 2024 compared with the third quarter of 2023. Higher income from base guaranty fees and lower expense from hedge accounting was substantially offset by lower net deferred guaranty fee income.</w:t>
      </w:r>
    </w:p>
    <w:p>
      <w:pPr>
        <w:spacing w:after="0" w:line="28" w:lineRule="exact"/>
        <w:rPr>
          <w:sz w:val="20"/>
          <w:szCs w:val="20"/>
          <w:color w:val="auto"/>
        </w:rPr>
      </w:pPr>
    </w:p>
    <w:p>
      <w:pPr>
        <w:ind w:left="620" w:right="180" w:hanging="307"/>
        <w:spacing w:after="0" w:line="293" w:lineRule="auto"/>
        <w:tabs>
          <w:tab w:leader="none" w:pos="612"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Higher base guaranty fee income</w:t>
      </w:r>
      <w:r>
        <w:rPr>
          <w:rFonts w:ascii="Arial" w:cs="Arial" w:eastAsia="Arial" w:hAnsi="Arial"/>
          <w:sz w:val="16"/>
          <w:szCs w:val="16"/>
          <w:color w:val="auto"/>
        </w:rPr>
        <w:t>. Higher average remitted guaranty fees on new acquisitions in our single-family guaranty book of business was</w:t>
      </w:r>
      <w:r>
        <w:rPr>
          <w:rFonts w:ascii="Arial" w:cs="Arial" w:eastAsia="Arial" w:hAnsi="Arial"/>
          <w:sz w:val="16"/>
          <w:szCs w:val="16"/>
          <w:i w:val="1"/>
          <w:iCs w:val="1"/>
          <w:color w:val="auto"/>
        </w:rPr>
        <w:t xml:space="preserve"> </w:t>
      </w:r>
      <w:r>
        <w:rPr>
          <w:rFonts w:ascii="Arial" w:cs="Arial" w:eastAsia="Arial" w:hAnsi="Arial"/>
          <w:sz w:val="16"/>
          <w:szCs w:val="16"/>
          <w:color w:val="auto"/>
        </w:rPr>
        <w:t>the primary driver of the increase in base guaranty fee income in the third quarter of 2024 compared with the third quarter of 2023.</w:t>
      </w:r>
    </w:p>
    <w:p>
      <w:pPr>
        <w:spacing w:after="0" w:line="14" w:lineRule="exact"/>
        <w:rPr>
          <w:rFonts w:ascii="Arial" w:cs="Arial" w:eastAsia="Arial" w:hAnsi="Arial"/>
          <w:sz w:val="16"/>
          <w:szCs w:val="16"/>
          <w:i w:val="1"/>
          <w:iCs w:val="1"/>
          <w:color w:val="auto"/>
        </w:rPr>
      </w:pPr>
    </w:p>
    <w:p>
      <w:pPr>
        <w:ind w:left="620" w:right="100" w:hanging="307"/>
        <w:spacing w:after="0" w:line="283" w:lineRule="auto"/>
        <w:tabs>
          <w:tab w:leader="none" w:pos="612"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Lower expense from hedge accounting</w:t>
      </w:r>
      <w:r>
        <w:rPr>
          <w:rFonts w:ascii="Arial" w:cs="Arial" w:eastAsia="Arial" w:hAnsi="Arial"/>
          <w:sz w:val="16"/>
          <w:szCs w:val="16"/>
          <w:color w:val="auto"/>
        </w:rPr>
        <w:t>. We had lower expense from hedge accounting in the third quarter of 2024 compared with the third quarter</w:t>
      </w:r>
      <w:r>
        <w:rPr>
          <w:rFonts w:ascii="Arial" w:cs="Arial" w:eastAsia="Arial" w:hAnsi="Arial"/>
          <w:sz w:val="16"/>
          <w:szCs w:val="16"/>
          <w:i w:val="1"/>
          <w:iCs w:val="1"/>
          <w:color w:val="auto"/>
        </w:rPr>
        <w:t xml:space="preserve"> </w:t>
      </w:r>
      <w:r>
        <w:rPr>
          <w:rFonts w:ascii="Arial" w:cs="Arial" w:eastAsia="Arial" w:hAnsi="Arial"/>
          <w:sz w:val="16"/>
          <w:szCs w:val="16"/>
          <w:color w:val="auto"/>
        </w:rPr>
        <w:t>of 2023, primarily driven by lower interest expense on derivatives in hedging relationships in the third quarter of 2024 than in the third quarter of 2023.</w:t>
      </w:r>
    </w:p>
    <w:p>
      <w:pPr>
        <w:spacing w:after="0" w:line="236" w:lineRule="exact"/>
        <w:rPr>
          <w:rFonts w:ascii="Arial" w:cs="Arial" w:eastAsia="Arial" w:hAnsi="Arial"/>
          <w:sz w:val="16"/>
          <w:szCs w:val="16"/>
          <w:i w:val="1"/>
          <w:iCs w:val="1"/>
          <w:color w:val="auto"/>
        </w:rPr>
      </w:pPr>
    </w:p>
    <w:p>
      <w:pPr>
        <w:ind w:left="620" w:right="180" w:hanging="307"/>
        <w:spacing w:after="0" w:line="272" w:lineRule="auto"/>
        <w:tabs>
          <w:tab w:leader="none" w:pos="612"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Lower net deferred guaranty fee income. </w:t>
      </w:r>
      <w:r>
        <w:rPr>
          <w:rFonts w:ascii="Arial" w:cs="Arial" w:eastAsia="Arial" w:hAnsi="Arial"/>
          <w:sz w:val="16"/>
          <w:szCs w:val="16"/>
          <w:color w:val="auto"/>
        </w:rPr>
        <w:t>Net amortization income decreased in the third quarter of 2024 compared with the third quarter of 2023,</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due to a lower balance of net unamortized deferred guaranty fees. See “Analysis of Unamortized Deferred Guaranty Fees” below for additional information.</w:t>
      </w:r>
    </w:p>
    <w:p>
      <w:pPr>
        <w:spacing w:after="0" w:line="3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Net interest income increased in the first nine months of 2024 compared with the first nine months of 2023, primarily as a result of higher base guaranty fee income and higher net interest income from portfolios, partially offset by lower net deferred guaranty fee income.</w:t>
      </w:r>
    </w:p>
    <w:p>
      <w:pPr>
        <w:spacing w:after="0" w:line="15" w:lineRule="exact"/>
        <w:rPr>
          <w:sz w:val="20"/>
          <w:szCs w:val="20"/>
          <w:color w:val="auto"/>
        </w:rPr>
      </w:pPr>
    </w:p>
    <w:p>
      <w:pPr>
        <w:ind w:left="620" w:right="180" w:hanging="307"/>
        <w:spacing w:after="0" w:line="310" w:lineRule="auto"/>
        <w:tabs>
          <w:tab w:leader="none" w:pos="612"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Higher base guaranty fee income</w:t>
      </w:r>
      <w:r>
        <w:rPr>
          <w:rFonts w:ascii="Arial" w:cs="Arial" w:eastAsia="Arial" w:hAnsi="Arial"/>
          <w:sz w:val="16"/>
          <w:szCs w:val="16"/>
          <w:color w:val="auto"/>
        </w:rPr>
        <w:t>. Higher average remitted guaranty fees on new acquisitions in our single-family guaranty book of business was</w:t>
      </w:r>
      <w:r>
        <w:rPr>
          <w:rFonts w:ascii="Arial" w:cs="Arial" w:eastAsia="Arial" w:hAnsi="Arial"/>
          <w:sz w:val="16"/>
          <w:szCs w:val="16"/>
          <w:i w:val="1"/>
          <w:iCs w:val="1"/>
          <w:color w:val="auto"/>
        </w:rPr>
        <w:t xml:space="preserve"> </w:t>
      </w:r>
      <w:r>
        <w:rPr>
          <w:rFonts w:ascii="Arial" w:cs="Arial" w:eastAsia="Arial" w:hAnsi="Arial"/>
          <w:sz w:val="16"/>
          <w:szCs w:val="16"/>
          <w:color w:val="auto"/>
        </w:rPr>
        <w:t>the primary driver of the increase in base guaranty fee income in the first nine months of 2024 compared with the first nine months of 2023.</w:t>
      </w:r>
    </w:p>
    <w:p>
      <w:pPr>
        <w:spacing w:after="0" w:line="1" w:lineRule="exact"/>
        <w:rPr>
          <w:rFonts w:ascii="Arial" w:cs="Arial" w:eastAsia="Arial" w:hAnsi="Arial"/>
          <w:sz w:val="16"/>
          <w:szCs w:val="16"/>
          <w:i w:val="1"/>
          <w:iCs w:val="1"/>
          <w:color w:val="auto"/>
        </w:rPr>
      </w:pPr>
    </w:p>
    <w:p>
      <w:pPr>
        <w:jc w:val="both"/>
        <w:ind w:left="620" w:right="260" w:hanging="307"/>
        <w:spacing w:after="0" w:line="272" w:lineRule="auto"/>
        <w:tabs>
          <w:tab w:leader="none" w:pos="612"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Higher net interest income from portfolios. </w:t>
      </w:r>
      <w:r>
        <w:rPr>
          <w:rFonts w:ascii="Arial" w:cs="Arial" w:eastAsia="Arial" w:hAnsi="Arial"/>
          <w:sz w:val="16"/>
          <w:szCs w:val="16"/>
          <w:color w:val="auto"/>
        </w:rPr>
        <w:t>Higher net interest income from portfolios in the first nine months of 2024 compared with the first nine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of 2023 was primarily driven by higher interest rates in the first nine months of 2024 than in the first nine months of 2023 on securities in our corporate liquidity portfolio, primarily securities purchased under agreements to resell.</w:t>
      </w:r>
    </w:p>
    <w:p>
      <w:pPr>
        <w:spacing w:after="0" w:line="31" w:lineRule="exact"/>
        <w:rPr>
          <w:rFonts w:ascii="Arial" w:cs="Arial" w:eastAsia="Arial" w:hAnsi="Arial"/>
          <w:sz w:val="16"/>
          <w:szCs w:val="16"/>
          <w:i w:val="1"/>
          <w:iCs w:val="1"/>
          <w:color w:val="auto"/>
        </w:rPr>
      </w:pPr>
    </w:p>
    <w:p>
      <w:pPr>
        <w:ind w:left="620" w:right="180" w:hanging="307"/>
        <w:spacing w:after="0" w:line="310" w:lineRule="auto"/>
        <w:tabs>
          <w:tab w:leader="none" w:pos="612"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Lower net deferred guaranty fee income. </w:t>
      </w:r>
      <w:r>
        <w:rPr>
          <w:rFonts w:ascii="Arial" w:cs="Arial" w:eastAsia="Arial" w:hAnsi="Arial"/>
          <w:sz w:val="16"/>
          <w:szCs w:val="16"/>
          <w:color w:val="auto"/>
        </w:rPr>
        <w:t>Net amortization income decreased in the first nine months of 2024 compared with the first nine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of 2023, primarily due to a lower balance of unamortized deferred guaranty fees.</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0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2024 Form 10-Q</w:t>
            </w:r>
          </w:p>
        </w:tc>
        <w:tc>
          <w:tcPr>
            <w:tcW w:w="424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8</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00" w:type="dxa"/>
            <w:vAlign w:val="bottom"/>
            <w:tcBorders>
              <w:bottom w:val="single" w:sz="8" w:color="9A9A9A"/>
            </w:tcBorders>
          </w:tcPr>
          <w:p>
            <w:pPr>
              <w:spacing w:after="0"/>
              <w:rPr>
                <w:sz w:val="17"/>
                <w:szCs w:val="17"/>
                <w:color w:val="auto"/>
              </w:rPr>
            </w:pPr>
          </w:p>
        </w:tc>
        <w:tc>
          <w:tcPr>
            <w:tcW w:w="42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1" w:name="page12"/>
    <w:bookmarkEnd w:id="11"/>
    <w:p>
      <w:pPr>
        <w:ind w:left="8440"/>
        <w:spacing w:after="0"/>
        <w:rPr>
          <w:sz w:val="20"/>
          <w:szCs w:val="20"/>
          <w:color w:val="auto"/>
        </w:rPr>
      </w:pPr>
      <w:r>
        <w:rPr>
          <w:rFonts w:ascii="Arial" w:cs="Arial" w:eastAsia="Arial" w:hAnsi="Arial"/>
          <w:sz w:val="13"/>
          <w:szCs w:val="13"/>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24130</wp:posOffset>
            </wp:positionV>
            <wp:extent cx="69996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Analysis of Unamortized Deferred Guaranty Fees</w:t>
      </w:r>
    </w:p>
    <w:p>
      <w:pPr>
        <w:spacing w:after="0" w:line="80" w:lineRule="exact"/>
        <w:rPr>
          <w:sz w:val="20"/>
          <w:szCs w:val="20"/>
          <w:color w:val="auto"/>
        </w:rPr>
      </w:pPr>
    </w:p>
    <w:p>
      <w:pPr>
        <w:ind w:right="660"/>
        <w:spacing w:after="0" w:line="293" w:lineRule="auto"/>
        <w:rPr>
          <w:sz w:val="20"/>
          <w:szCs w:val="20"/>
          <w:color w:val="auto"/>
        </w:rPr>
      </w:pPr>
      <w:r>
        <w:rPr>
          <w:rFonts w:ascii="Arial" w:cs="Arial" w:eastAsia="Arial" w:hAnsi="Arial"/>
          <w:sz w:val="16"/>
          <w:szCs w:val="16"/>
          <w:color w:val="auto"/>
        </w:rPr>
        <w:t>The following charts present information about the interest rates of the loans in our single-family conventional guaranty book of business as well as information about our deferred guaranty fees.</w:t>
      </w:r>
    </w:p>
    <w:p>
      <w:pPr>
        <w:spacing w:after="0" w:line="15" w:lineRule="exact"/>
        <w:rPr>
          <w:sz w:val="20"/>
          <w:szCs w:val="20"/>
          <w:color w:val="auto"/>
        </w:rPr>
      </w:pPr>
    </w:p>
    <w:p>
      <w:pPr>
        <w:ind w:right="80"/>
        <w:spacing w:after="0" w:line="246" w:lineRule="auto"/>
        <w:rPr>
          <w:sz w:val="20"/>
          <w:szCs w:val="20"/>
          <w:color w:val="auto"/>
        </w:rPr>
      </w:pPr>
      <w:r>
        <w:rPr>
          <w:rFonts w:ascii="Arial" w:cs="Arial" w:eastAsia="Arial" w:hAnsi="Arial"/>
          <w:sz w:val="16"/>
          <w:szCs w:val="16"/>
          <w:color w:val="auto"/>
        </w:rPr>
        <w:t>As shown in the chart below (on the left), most of our single-family conventional guaranty book of business as of September 30, 2024 had an interest rate lower than the average 30-year fixed-rate mortgage rate. Per Freddie Mac’s Primary Mortgage Market Survey</w:t>
      </w:r>
      <w:r>
        <w:rPr>
          <w:rFonts w:ascii="Arial" w:cs="Arial" w:eastAsia="Arial" w:hAnsi="Arial"/>
          <w:sz w:val="21"/>
          <w:szCs w:val="21"/>
          <w:b w:val="1"/>
          <w:bCs w:val="1"/>
          <w:color w:val="auto"/>
          <w:vertAlign w:val="superscript"/>
        </w:rPr>
        <w:t>®</w:t>
      </w:r>
      <w:r>
        <w:rPr>
          <w:rFonts w:ascii="Arial" w:cs="Arial" w:eastAsia="Arial" w:hAnsi="Arial"/>
          <w:sz w:val="16"/>
          <w:szCs w:val="16"/>
          <w:color w:val="auto"/>
        </w:rPr>
        <w:t>, as of September 26, 2024, the U.S. weekly average interest rate for a single-family 30-year fixed-rate mortgage was 6.08%. Accordingly, even if interest rates decline meaningfully, most of the borrowers whose mortgage loans are in our single-family conventional guaranty book of business still would not be incentivized to refinance.</w:t>
      </w:r>
    </w:p>
    <w:p>
      <w:pPr>
        <w:spacing w:after="0" w:line="50" w:lineRule="exact"/>
        <w:rPr>
          <w:sz w:val="20"/>
          <w:szCs w:val="20"/>
          <w:color w:val="auto"/>
        </w:rPr>
      </w:pPr>
    </w:p>
    <w:p>
      <w:pPr>
        <w:ind w:right="160"/>
        <w:spacing w:after="0" w:line="272" w:lineRule="auto"/>
        <w:rPr>
          <w:sz w:val="20"/>
          <w:szCs w:val="20"/>
          <w:color w:val="auto"/>
        </w:rPr>
      </w:pPr>
      <w:r>
        <w:rPr>
          <w:rFonts w:ascii="Arial" w:cs="Arial" w:eastAsia="Arial" w:hAnsi="Arial"/>
          <w:sz w:val="16"/>
          <w:szCs w:val="16"/>
          <w:color w:val="auto"/>
        </w:rPr>
        <w:t>The other chart below (on the right) presents guaranty fees that will be amortized into deferred guaranty fee income in future periods, which we refer to as “unamortized deferred guaranty fees,” as described in “MD&amp;A—Consolidated Results of Operations—Net Interest Income—Analysis of Unamortized Deferred Guaranty Fees” in our 2023 Form 10-K.</w:t>
      </w:r>
    </w:p>
    <w:p>
      <w:pPr>
        <w:spacing w:after="0" w:line="200" w:lineRule="exact"/>
        <w:rPr>
          <w:sz w:val="20"/>
          <w:szCs w:val="20"/>
          <w:color w:val="auto"/>
        </w:rPr>
      </w:pP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5980" w:type="dxa"/>
            <w:vAlign w:val="bottom"/>
          </w:tcPr>
          <w:p>
            <w:pPr>
              <w:jc w:val="center"/>
              <w:ind w:right="366"/>
              <w:spacing w:after="0"/>
              <w:rPr>
                <w:sz w:val="20"/>
                <w:szCs w:val="20"/>
                <w:color w:val="auto"/>
              </w:rPr>
            </w:pPr>
            <w:r>
              <w:rPr>
                <w:rFonts w:ascii="Georgia" w:cs="Georgia" w:eastAsia="Georgia" w:hAnsi="Georgia"/>
                <w:sz w:val="19"/>
                <w:szCs w:val="19"/>
                <w:b w:val="1"/>
                <w:bCs w:val="1"/>
                <w:color w:val="001543"/>
                <w:w w:val="99"/>
              </w:rPr>
              <w:t>Interest Rates of Single-Family Conventional Guaranty</w:t>
            </w:r>
          </w:p>
        </w:tc>
        <w:tc>
          <w:tcPr>
            <w:tcW w:w="4320" w:type="dxa"/>
            <w:vAlign w:val="bottom"/>
          </w:tcPr>
          <w:p>
            <w:pPr>
              <w:spacing w:after="0"/>
              <w:rPr>
                <w:sz w:val="18"/>
                <w:szCs w:val="18"/>
                <w:color w:val="auto"/>
              </w:rPr>
            </w:pPr>
          </w:p>
        </w:tc>
      </w:tr>
      <w:tr>
        <w:trPr>
          <w:trHeight w:val="232"/>
        </w:trPr>
        <w:tc>
          <w:tcPr>
            <w:tcW w:w="5980" w:type="dxa"/>
            <w:vAlign w:val="bottom"/>
          </w:tcPr>
          <w:p>
            <w:pPr>
              <w:jc w:val="center"/>
              <w:ind w:right="366"/>
              <w:spacing w:after="0"/>
              <w:rPr>
                <w:sz w:val="20"/>
                <w:szCs w:val="20"/>
                <w:color w:val="auto"/>
              </w:rPr>
            </w:pPr>
            <w:r>
              <w:rPr>
                <w:rFonts w:ascii="Georgia" w:cs="Georgia" w:eastAsia="Georgia" w:hAnsi="Georgia"/>
                <w:sz w:val="19"/>
                <w:szCs w:val="19"/>
                <w:b w:val="1"/>
                <w:bCs w:val="1"/>
                <w:color w:val="001543"/>
                <w:w w:val="99"/>
              </w:rPr>
              <w:t>Book of Business Compared with Average 30-Year Fixed-</w:t>
            </w:r>
          </w:p>
        </w:tc>
        <w:tc>
          <w:tcPr>
            <w:tcW w:w="4320" w:type="dxa"/>
            <w:vAlign w:val="bottom"/>
          </w:tcPr>
          <w:p>
            <w:pPr>
              <w:spacing w:after="0"/>
              <w:rPr>
                <w:sz w:val="20"/>
                <w:szCs w:val="20"/>
                <w:color w:val="auto"/>
              </w:rPr>
            </w:pPr>
          </w:p>
        </w:tc>
      </w:tr>
      <w:tr>
        <w:trPr>
          <w:trHeight w:val="277"/>
        </w:trPr>
        <w:tc>
          <w:tcPr>
            <w:tcW w:w="5980" w:type="dxa"/>
            <w:vAlign w:val="bottom"/>
          </w:tcPr>
          <w:p>
            <w:pPr>
              <w:jc w:val="center"/>
              <w:ind w:right="366"/>
              <w:spacing w:after="0"/>
              <w:rPr>
                <w:sz w:val="20"/>
                <w:szCs w:val="20"/>
                <w:color w:val="auto"/>
              </w:rPr>
            </w:pPr>
            <w:r>
              <w:rPr>
                <w:rFonts w:ascii="Georgia" w:cs="Georgia" w:eastAsia="Georgia" w:hAnsi="Georgia"/>
                <w:sz w:val="19"/>
                <w:szCs w:val="19"/>
                <w:b w:val="1"/>
                <w:bCs w:val="1"/>
                <w:color w:val="001543"/>
                <w:w w:val="99"/>
              </w:rPr>
              <w:t>Rate Mortgage Rate</w:t>
            </w:r>
          </w:p>
        </w:tc>
        <w:tc>
          <w:tcPr>
            <w:tcW w:w="4320" w:type="dxa"/>
            <w:vAlign w:val="bottom"/>
          </w:tcPr>
          <w:p>
            <w:pPr>
              <w:jc w:val="center"/>
              <w:ind w:left="386"/>
              <w:spacing w:after="0"/>
              <w:rPr>
                <w:sz w:val="20"/>
                <w:szCs w:val="20"/>
                <w:color w:val="auto"/>
              </w:rPr>
            </w:pPr>
            <w:r>
              <w:rPr>
                <w:rFonts w:ascii="Georgia" w:cs="Georgia" w:eastAsia="Georgia" w:hAnsi="Georgia"/>
                <w:sz w:val="19"/>
                <w:szCs w:val="19"/>
                <w:b w:val="1"/>
                <w:bCs w:val="1"/>
                <w:color w:val="05314D"/>
                <w:w w:val="98"/>
              </w:rPr>
              <w:t>Unamortized Deferred Guaranty Fees</w:t>
            </w:r>
            <w:r>
              <w:rPr>
                <w:rFonts w:ascii="Georgia" w:cs="Georgia" w:eastAsia="Georgia" w:hAnsi="Georgia"/>
                <w:sz w:val="24"/>
                <w:szCs w:val="24"/>
                <w:b w:val="1"/>
                <w:bCs w:val="1"/>
                <w:color w:val="05314D"/>
                <w:w w:val="98"/>
                <w:vertAlign w:val="superscript"/>
              </w:rPr>
              <w:t>(1)</w:t>
            </w:r>
          </w:p>
        </w:tc>
      </w:tr>
      <w:tr>
        <w:trPr>
          <w:trHeight w:val="213"/>
        </w:trPr>
        <w:tc>
          <w:tcPr>
            <w:tcW w:w="5980" w:type="dxa"/>
            <w:vAlign w:val="bottom"/>
          </w:tcPr>
          <w:p>
            <w:pPr>
              <w:jc w:val="center"/>
              <w:ind w:right="386"/>
              <w:spacing w:after="0" w:line="214" w:lineRule="exact"/>
              <w:rPr>
                <w:sz w:val="20"/>
                <w:szCs w:val="20"/>
                <w:color w:val="auto"/>
              </w:rPr>
            </w:pPr>
            <w:r>
              <w:rPr>
                <w:rFonts w:ascii="Georgia" w:cs="Georgia" w:eastAsia="Georgia" w:hAnsi="Georgia"/>
                <w:sz w:val="19"/>
                <w:szCs w:val="19"/>
                <w:b w:val="1"/>
                <w:bCs w:val="1"/>
                <w:color w:val="05314D"/>
                <w:w w:val="99"/>
              </w:rPr>
              <w:t>As of September 30, 2024</w:t>
            </w:r>
          </w:p>
        </w:tc>
        <w:tc>
          <w:tcPr>
            <w:tcW w:w="4320" w:type="dxa"/>
            <w:vAlign w:val="bottom"/>
          </w:tcPr>
          <w:p>
            <w:pPr>
              <w:jc w:val="center"/>
              <w:ind w:left="366"/>
              <w:spacing w:after="0" w:line="214" w:lineRule="exact"/>
              <w:rPr>
                <w:sz w:val="20"/>
                <w:szCs w:val="20"/>
                <w:color w:val="auto"/>
              </w:rPr>
            </w:pPr>
            <w:r>
              <w:rPr>
                <w:rFonts w:ascii="Georgia" w:cs="Georgia" w:eastAsia="Georgia" w:hAnsi="Georgia"/>
                <w:sz w:val="19"/>
                <w:szCs w:val="19"/>
                <w:b w:val="1"/>
                <w:bCs w:val="1"/>
                <w:color w:val="05314D"/>
                <w:w w:val="98"/>
              </w:rPr>
              <w:t>(Dollars in billions)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869950</wp:posOffset>
            </wp:positionH>
            <wp:positionV relativeFrom="paragraph">
              <wp:posOffset>121920</wp:posOffset>
            </wp:positionV>
            <wp:extent cx="5403215" cy="21202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403215" cy="212026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
        <w:spacing w:after="0"/>
        <w:rPr>
          <w:sz w:val="20"/>
          <w:szCs w:val="20"/>
          <w:color w:val="auto"/>
        </w:rPr>
      </w:pPr>
      <w:r>
        <w:rPr>
          <w:rFonts w:ascii="Arial" w:cs="Arial" w:eastAsia="Arial" w:hAnsi="Arial"/>
          <w:sz w:val="124"/>
          <w:szCs w:val="124"/>
          <w:b w:val="1"/>
          <w:bCs w:val="1"/>
          <w:color w:val="FFB400"/>
        </w:rPr>
        <w:t>—</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124"/>
          <w:szCs w:val="124"/>
          <w:b w:val="1"/>
          <w:bCs w:val="1"/>
          <w:color w:val="05314D"/>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40"/>
        <w:spacing w:after="0" w:line="232" w:lineRule="auto"/>
        <w:rPr>
          <w:sz w:val="20"/>
          <w:szCs w:val="20"/>
          <w:color w:val="auto"/>
        </w:rPr>
      </w:pPr>
      <w:r>
        <w:rPr>
          <w:rFonts w:ascii="Arial" w:cs="Arial" w:eastAsia="Arial" w:hAnsi="Arial"/>
          <w:sz w:val="14"/>
          <w:szCs w:val="14"/>
          <w:color w:val="auto"/>
        </w:rPr>
        <w:t>Represents the average 30-year fixed-rate mortgage rate as of September 26, 2024, according to Freddie Mac’s Primary Mortgage Market Survey</w:t>
      </w:r>
      <w:r>
        <w:rPr>
          <w:rFonts w:ascii="Arial" w:cs="Arial" w:eastAsia="Arial" w:hAnsi="Arial"/>
          <w:sz w:val="17"/>
          <w:szCs w:val="17"/>
          <w:color w:val="auto"/>
          <w:vertAlign w:val="superscript"/>
        </w:rPr>
        <w:t>®</w:t>
      </w:r>
      <w:r>
        <w:rPr>
          <w:rFonts w:ascii="Arial" w:cs="Arial" w:eastAsia="Arial" w:hAnsi="Arial"/>
          <w:sz w:val="14"/>
          <w:szCs w:val="14"/>
          <w:color w:val="auto"/>
        </w:rPr>
        <w:t>, the last published rate for the quarter ending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45" w:lineRule="auto"/>
        <w:rPr>
          <w:sz w:val="20"/>
          <w:szCs w:val="20"/>
          <w:color w:val="auto"/>
        </w:rPr>
      </w:pPr>
      <w:r>
        <w:rPr>
          <w:rFonts w:ascii="Arial" w:cs="Arial" w:eastAsia="Arial" w:hAnsi="Arial"/>
          <w:sz w:val="14"/>
          <w:szCs w:val="14"/>
          <w:color w:val="auto"/>
        </w:rPr>
        <w:t>Represents the percentage of single-family conventional guaranty book of business by select interest rate band based on the current interest rate of the mortgage loans.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55" w:right="80" w:hanging="255"/>
        <w:spacing w:after="0" w:line="200" w:lineRule="auto"/>
        <w:tabs>
          <w:tab w:leader="none" w:pos="255" w:val="left"/>
        </w:tabs>
        <w:numPr>
          <w:ilvl w:val="0"/>
          <w:numId w:val="15"/>
        </w:numPr>
        <w:rPr>
          <w:rFonts w:ascii="Arial" w:cs="Arial" w:eastAsia="Arial" w:hAnsi="Arial"/>
          <w:sz w:val="21"/>
          <w:szCs w:val="21"/>
          <w:color w:val="auto"/>
          <w:vertAlign w:val="superscript"/>
        </w:rPr>
      </w:pPr>
      <w:r>
        <w:rPr>
          <w:rFonts w:ascii="Arial" w:cs="Arial" w:eastAsia="Arial" w:hAnsi="Arial"/>
          <w:sz w:val="14"/>
          <w:szCs w:val="14"/>
          <w:color w:val="auto"/>
        </w:rPr>
        <w:t>Represents the net unamortized cost basis adjustments (consisting of premiums and discounts on single-family and multifamily mortgage loans and debt of consolidated trusts) that will be recognized through deferred guaranty fee income over the remaining contractual life of the mortgage loans or debt. Although we are in a net premium position for both mortgage loans and debt of consolidated trusts, we have a greater amount of premiums with respect to debt of consolidated trusts. Primarily as a result of the upfront fees we charge, the net amortization of these cost basis adjustments will result in income.</w:t>
      </w:r>
    </w:p>
    <w:p>
      <w:pPr>
        <w:spacing w:after="0" w:line="1601" w:lineRule="exact"/>
        <w:rPr>
          <w:sz w:val="20"/>
          <w:szCs w:val="20"/>
          <w:color w:val="auto"/>
        </w:rPr>
      </w:pPr>
    </w:p>
    <w:p>
      <w:pPr>
        <w:sectPr>
          <w:pgSz w:w="11900" w:h="16838" w:orient="portrait"/>
          <w:cols w:equalWidth="0" w:num="3">
            <w:col w:w="1260" w:space="180"/>
            <w:col w:w="4480" w:space="545"/>
            <w:col w:w="4775"/>
          </w:cols>
          <w:pgMar w:left="320" w:top="248" w:right="339" w:bottom="1440" w:gutter="0" w:footer="0" w:header="0"/>
          <w:type w:val="continuous"/>
        </w:sectPr>
      </w:pPr>
    </w:p>
    <w:p>
      <w:pPr>
        <w:ind w:right="100"/>
        <w:spacing w:after="0" w:line="253" w:lineRule="auto"/>
        <w:rPr>
          <w:sz w:val="20"/>
          <w:szCs w:val="20"/>
          <w:color w:val="auto"/>
        </w:rPr>
      </w:pPr>
      <w:r>
        <w:rPr>
          <w:rFonts w:ascii="Arial" w:cs="Arial" w:eastAsia="Arial" w:hAnsi="Arial"/>
          <w:sz w:val="16"/>
          <w:szCs w:val="16"/>
          <w:color w:val="auto"/>
        </w:rPr>
        <w:t>The amount of deferred guaranty fee income we record can vary and is primarily impacted by: (1) the amount of upfront fees we charge on single-family mortgage loans, and (2) changes in interest rates, which affect the premiums and discounts we record on newly acquired mortgage loans and newly created debt of consolidated trusts. The balance of our unamortized deferred guaranty fees decreased as of September 30, 2024, compared with December 31, 2023, largely as a result of amortization of existing premiums on debt of consolidated trusts. In addition, interest-rate-driven pricing changes have increased the premiums on newly acquired loans, which further reduced the balance of unamortized deferred guaranty fees.</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0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2024 Form 10-Q</w:t>
            </w:r>
          </w:p>
        </w:tc>
        <w:tc>
          <w:tcPr>
            <w:tcW w:w="424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9</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00" w:type="dxa"/>
            <w:vAlign w:val="bottom"/>
            <w:tcBorders>
              <w:bottom w:val="single" w:sz="8" w:color="9A9A9A"/>
            </w:tcBorders>
          </w:tcPr>
          <w:p>
            <w:pPr>
              <w:spacing w:after="0"/>
              <w:rPr>
                <w:sz w:val="17"/>
                <w:szCs w:val="17"/>
                <w:color w:val="auto"/>
              </w:rPr>
            </w:pPr>
          </w:p>
        </w:tc>
        <w:tc>
          <w:tcPr>
            <w:tcW w:w="42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12" w:name="page13"/>
    <w:bookmarkEnd w:id="12"/>
    <w:p>
      <w:pPr>
        <w:ind w:left="844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Analysis of Net Interest Income</w:t>
      </w:r>
    </w:p>
    <w:p>
      <w:pPr>
        <w:spacing w:after="0" w:line="80" w:lineRule="exact"/>
        <w:rPr>
          <w:sz w:val="20"/>
          <w:szCs w:val="20"/>
          <w:color w:val="auto"/>
        </w:rPr>
      </w:pPr>
    </w:p>
    <w:p>
      <w:pPr>
        <w:jc w:val="both"/>
        <w:ind w:right="120"/>
        <w:spacing w:after="0" w:line="272" w:lineRule="auto"/>
        <w:rPr>
          <w:sz w:val="20"/>
          <w:szCs w:val="20"/>
          <w:color w:val="auto"/>
        </w:rPr>
      </w:pPr>
      <w:r>
        <w:rPr>
          <w:rFonts w:ascii="Arial" w:cs="Arial" w:eastAsia="Arial" w:hAnsi="Arial"/>
          <w:sz w:val="16"/>
          <w:szCs w:val="16"/>
          <w:color w:val="auto"/>
        </w:rPr>
        <w:t>The table below displays an analysis of our net interest income, average balances and related yields earned on assets and incurred on liabilities. For most components of the average balances, we use a daily weighted average of unpaid principal balance net of unamortized cost basis adjustments. When daily average balance information is not available, such as for mortgage loans, we use monthly averages.</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Analysis of Net Interest Income and Yield</w:t>
      </w:r>
      <w:r>
        <w:rPr>
          <w:rFonts w:ascii="Arial" w:cs="Arial" w:eastAsia="Arial" w:hAnsi="Arial"/>
          <w:sz w:val="24"/>
          <w:szCs w:val="24"/>
          <w:b w:val="1"/>
          <w:bCs w:val="1"/>
          <w:color w:val="05314D"/>
          <w:vertAlign w:val="superscript"/>
        </w:rPr>
        <w:t>(1)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00" w:type="dxa"/>
            <w:vAlign w:val="bottom"/>
            <w:tcBorders>
              <w:top w:val="single" w:sz="8" w:color="2C6937"/>
            </w:tcBorders>
          </w:tcPr>
          <w:p>
            <w:pPr>
              <w:spacing w:after="0"/>
              <w:rPr>
                <w:sz w:val="18"/>
                <w:szCs w:val="18"/>
                <w:color w:val="auto"/>
              </w:rPr>
            </w:pPr>
          </w:p>
        </w:tc>
        <w:tc>
          <w:tcPr>
            <w:tcW w:w="100" w:type="dxa"/>
            <w:vAlign w:val="bottom"/>
            <w:tcBorders>
              <w:top w:val="single" w:sz="8" w:color="2C6937"/>
            </w:tcBorders>
          </w:tcPr>
          <w:p>
            <w:pPr>
              <w:spacing w:after="0"/>
              <w:rPr>
                <w:sz w:val="18"/>
                <w:szCs w:val="18"/>
                <w:color w:val="auto"/>
              </w:rPr>
            </w:pPr>
          </w:p>
        </w:tc>
        <w:tc>
          <w:tcPr>
            <w:tcW w:w="200" w:type="dxa"/>
            <w:vAlign w:val="bottom"/>
            <w:tcBorders>
              <w:top w:val="single" w:sz="8" w:color="2C6937"/>
              <w:bottom w:val="single" w:sz="8" w:color="2C6937"/>
            </w:tcBorders>
          </w:tcPr>
          <w:p>
            <w:pPr>
              <w:spacing w:after="0"/>
              <w:rPr>
                <w:sz w:val="18"/>
                <w:szCs w:val="18"/>
                <w:color w:val="auto"/>
              </w:rPr>
            </w:pPr>
          </w:p>
        </w:tc>
        <w:tc>
          <w:tcPr>
            <w:tcW w:w="94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180" w:type="dxa"/>
            <w:vAlign w:val="bottom"/>
            <w:tcBorders>
              <w:top w:val="single" w:sz="8" w:color="2C6937"/>
              <w:bottom w:val="single" w:sz="8" w:color="2C6937"/>
            </w:tcBorders>
          </w:tcPr>
          <w:p>
            <w:pPr>
              <w:spacing w:after="0"/>
              <w:rPr>
                <w:sz w:val="18"/>
                <w:szCs w:val="18"/>
                <w:color w:val="auto"/>
              </w:rPr>
            </w:pPr>
          </w:p>
        </w:tc>
        <w:tc>
          <w:tcPr>
            <w:tcW w:w="5060" w:type="dxa"/>
            <w:vAlign w:val="bottom"/>
            <w:tcBorders>
              <w:top w:val="single" w:sz="8" w:color="2C6937"/>
              <w:bottom w:val="single" w:sz="8" w:color="2C6937"/>
            </w:tcBorders>
            <w:gridSpan w:val="8"/>
          </w:tcPr>
          <w:p>
            <w:pPr>
              <w:jc w:val="center"/>
              <w:spacing w:after="0"/>
              <w:rPr>
                <w:sz w:val="20"/>
                <w:szCs w:val="20"/>
                <w:color w:val="auto"/>
              </w:rPr>
            </w:pPr>
            <w:r>
              <w:rPr>
                <w:rFonts w:ascii="Arial" w:cs="Arial" w:eastAsia="Arial" w:hAnsi="Arial"/>
                <w:sz w:val="15"/>
                <w:szCs w:val="15"/>
                <w:b w:val="1"/>
                <w:bCs w:val="1"/>
                <w:color w:val="auto"/>
              </w:rPr>
              <w:t>For the Three Months Ended September 30,</w:t>
            </w:r>
          </w:p>
        </w:tc>
        <w:tc>
          <w:tcPr>
            <w:tcW w:w="1360" w:type="dxa"/>
            <w:vAlign w:val="bottom"/>
            <w:tcBorders>
              <w:top w:val="single" w:sz="8" w:color="2C6937"/>
              <w:bottom w:val="single" w:sz="8" w:color="2C6937"/>
            </w:tcBorders>
          </w:tcPr>
          <w:p>
            <w:pPr>
              <w:spacing w:after="0"/>
              <w:rPr>
                <w:sz w:val="18"/>
                <w:szCs w:val="18"/>
                <w:color w:val="auto"/>
              </w:rPr>
            </w:pPr>
          </w:p>
        </w:tc>
      </w:tr>
      <w:tr>
        <w:trPr>
          <w:trHeight w:val="199"/>
        </w:trPr>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94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1080" w:type="dxa"/>
            <w:vAlign w:val="bottom"/>
            <w:tcBorders>
              <w:bottom w:val="single" w:sz="8" w:color="2C6937"/>
            </w:tcBorders>
          </w:tcPr>
          <w:p>
            <w:pPr>
              <w:jc w:val="right"/>
              <w:ind w:right="303"/>
              <w:spacing w:after="0"/>
              <w:rPr>
                <w:sz w:val="20"/>
                <w:szCs w:val="20"/>
                <w:color w:val="auto"/>
              </w:rPr>
            </w:pPr>
            <w:r>
              <w:rPr>
                <w:rFonts w:ascii="Arial" w:cs="Arial" w:eastAsia="Arial" w:hAnsi="Arial"/>
                <w:sz w:val="15"/>
                <w:szCs w:val="15"/>
                <w:b w:val="1"/>
                <w:bCs w:val="1"/>
                <w:color w:val="auto"/>
              </w:rPr>
              <w:t>2024</w:t>
            </w:r>
          </w:p>
        </w:tc>
        <w:tc>
          <w:tcPr>
            <w:tcW w:w="138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96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1080" w:type="dxa"/>
            <w:vAlign w:val="bottom"/>
            <w:tcBorders>
              <w:bottom w:val="single" w:sz="8" w:color="2C6937"/>
            </w:tcBorders>
          </w:tcPr>
          <w:p>
            <w:pPr>
              <w:jc w:val="right"/>
              <w:ind w:right="323"/>
              <w:spacing w:after="0"/>
              <w:rPr>
                <w:sz w:val="20"/>
                <w:szCs w:val="20"/>
                <w:color w:val="auto"/>
              </w:rPr>
            </w:pPr>
            <w:r>
              <w:rPr>
                <w:rFonts w:ascii="Arial" w:cs="Arial" w:eastAsia="Arial" w:hAnsi="Arial"/>
                <w:sz w:val="15"/>
                <w:szCs w:val="15"/>
                <w:b w:val="1"/>
                <w:bCs w:val="1"/>
                <w:color w:val="auto"/>
              </w:rPr>
              <w:t>2023</w:t>
            </w:r>
          </w:p>
        </w:tc>
        <w:tc>
          <w:tcPr>
            <w:tcW w:w="1360" w:type="dxa"/>
            <w:vAlign w:val="bottom"/>
            <w:tcBorders>
              <w:bottom w:val="single" w:sz="8" w:color="2C6937"/>
            </w:tcBorders>
          </w:tcPr>
          <w:p>
            <w:pPr>
              <w:spacing w:after="0"/>
              <w:rPr>
                <w:sz w:val="17"/>
                <w:szCs w:val="17"/>
                <w:color w:val="auto"/>
              </w:rPr>
            </w:pPr>
          </w:p>
        </w:tc>
      </w:tr>
      <w:tr>
        <w:trPr>
          <w:trHeight w:val="275"/>
        </w:trPr>
        <w:tc>
          <w:tcPr>
            <w:tcW w:w="3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gridSpan w:val="2"/>
          </w:tcPr>
          <w:p>
            <w:pPr>
              <w:ind w:left="80"/>
              <w:spacing w:after="0"/>
              <w:rPr>
                <w:sz w:val="20"/>
                <w:szCs w:val="20"/>
                <w:color w:val="auto"/>
              </w:rPr>
            </w:pPr>
            <w:r>
              <w:rPr>
                <w:rFonts w:ascii="Arial" w:cs="Arial" w:eastAsia="Arial" w:hAnsi="Arial"/>
                <w:sz w:val="15"/>
                <w:szCs w:val="15"/>
                <w:b w:val="1"/>
                <w:bCs w:val="1"/>
                <w:color w:val="auto"/>
              </w:rPr>
              <w:t>Average</w:t>
            </w:r>
          </w:p>
        </w:tc>
        <w:tc>
          <w:tcPr>
            <w:tcW w:w="1260" w:type="dxa"/>
            <w:vAlign w:val="bottom"/>
            <w:gridSpan w:val="2"/>
          </w:tcPr>
          <w:p>
            <w:pPr>
              <w:ind w:left="40"/>
              <w:spacing w:after="0"/>
              <w:rPr>
                <w:sz w:val="20"/>
                <w:szCs w:val="20"/>
                <w:color w:val="auto"/>
              </w:rPr>
            </w:pPr>
            <w:r>
              <w:rPr>
                <w:rFonts w:ascii="Arial" w:cs="Arial" w:eastAsia="Arial" w:hAnsi="Arial"/>
                <w:sz w:val="15"/>
                <w:szCs w:val="15"/>
                <w:b w:val="1"/>
                <w:bCs w:val="1"/>
                <w:color w:val="auto"/>
              </w:rPr>
              <w:t>Interest Income/</w:t>
            </w:r>
          </w:p>
        </w:tc>
        <w:tc>
          <w:tcPr>
            <w:tcW w:w="1480" w:type="dxa"/>
            <w:vAlign w:val="bottom"/>
            <w:gridSpan w:val="2"/>
          </w:tcPr>
          <w:p>
            <w:pPr>
              <w:jc w:val="center"/>
              <w:spacing w:after="0"/>
              <w:rPr>
                <w:sz w:val="20"/>
                <w:szCs w:val="20"/>
                <w:color w:val="auto"/>
              </w:rPr>
            </w:pPr>
            <w:r>
              <w:rPr>
                <w:rFonts w:ascii="Arial" w:cs="Arial" w:eastAsia="Arial" w:hAnsi="Arial"/>
                <w:sz w:val="15"/>
                <w:szCs w:val="15"/>
                <w:b w:val="1"/>
                <w:bCs w:val="1"/>
                <w:color w:val="auto"/>
              </w:rPr>
              <w:t>Average Rates</w:t>
            </w:r>
          </w:p>
        </w:tc>
        <w:tc>
          <w:tcPr>
            <w:tcW w:w="180" w:type="dxa"/>
            <w:vAlign w:val="bottom"/>
          </w:tcPr>
          <w:p>
            <w:pPr>
              <w:spacing w:after="0"/>
              <w:rPr>
                <w:sz w:val="23"/>
                <w:szCs w:val="23"/>
                <w:color w:val="auto"/>
              </w:rPr>
            </w:pPr>
          </w:p>
        </w:tc>
        <w:tc>
          <w:tcPr>
            <w:tcW w:w="1060" w:type="dxa"/>
            <w:vAlign w:val="bottom"/>
            <w:gridSpan w:val="2"/>
          </w:tcPr>
          <w:p>
            <w:pPr>
              <w:ind w:left="80"/>
              <w:spacing w:after="0"/>
              <w:rPr>
                <w:sz w:val="20"/>
                <w:szCs w:val="20"/>
                <w:color w:val="auto"/>
              </w:rPr>
            </w:pPr>
            <w:r>
              <w:rPr>
                <w:rFonts w:ascii="Arial" w:cs="Arial" w:eastAsia="Arial" w:hAnsi="Arial"/>
                <w:sz w:val="15"/>
                <w:szCs w:val="15"/>
                <w:b w:val="1"/>
                <w:bCs w:val="1"/>
                <w:color w:val="auto"/>
              </w:rPr>
              <w:t>Average</w:t>
            </w:r>
          </w:p>
        </w:tc>
        <w:tc>
          <w:tcPr>
            <w:tcW w:w="1260" w:type="dxa"/>
            <w:vAlign w:val="bottom"/>
            <w:gridSpan w:val="2"/>
          </w:tcPr>
          <w:p>
            <w:pPr>
              <w:ind w:left="40"/>
              <w:spacing w:after="0"/>
              <w:rPr>
                <w:sz w:val="20"/>
                <w:szCs w:val="20"/>
                <w:color w:val="auto"/>
              </w:rPr>
            </w:pPr>
            <w:r>
              <w:rPr>
                <w:rFonts w:ascii="Arial" w:cs="Arial" w:eastAsia="Arial" w:hAnsi="Arial"/>
                <w:sz w:val="15"/>
                <w:szCs w:val="15"/>
                <w:b w:val="1"/>
                <w:bCs w:val="1"/>
                <w:color w:val="auto"/>
              </w:rPr>
              <w:t>Interest Income/</w:t>
            </w:r>
          </w:p>
        </w:tc>
        <w:tc>
          <w:tcPr>
            <w:tcW w:w="1360" w:type="dxa"/>
            <w:vAlign w:val="bottom"/>
          </w:tcPr>
          <w:p>
            <w:pPr>
              <w:jc w:val="right"/>
              <w:ind w:right="23"/>
              <w:spacing w:after="0"/>
              <w:rPr>
                <w:sz w:val="20"/>
                <w:szCs w:val="20"/>
                <w:color w:val="auto"/>
              </w:rPr>
            </w:pPr>
            <w:r>
              <w:rPr>
                <w:rFonts w:ascii="Arial" w:cs="Arial" w:eastAsia="Arial" w:hAnsi="Arial"/>
                <w:sz w:val="15"/>
                <w:szCs w:val="15"/>
                <w:b w:val="1"/>
                <w:bCs w:val="1"/>
                <w:color w:val="auto"/>
              </w:rPr>
              <w:t>Average Rates</w:t>
            </w:r>
          </w:p>
        </w:tc>
      </w:tr>
      <w:tr>
        <w:trPr>
          <w:trHeight w:val="217"/>
        </w:trPr>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1040" w:type="dxa"/>
            <w:vAlign w:val="bottom"/>
            <w:tcBorders>
              <w:bottom w:val="single" w:sz="8" w:color="2C6937"/>
            </w:tcBorders>
            <w:gridSpan w:val="2"/>
          </w:tcPr>
          <w:p>
            <w:pPr>
              <w:ind w:left="80"/>
              <w:spacing w:after="0"/>
              <w:rPr>
                <w:sz w:val="20"/>
                <w:szCs w:val="20"/>
                <w:color w:val="auto"/>
              </w:rPr>
            </w:pPr>
            <w:r>
              <w:rPr>
                <w:rFonts w:ascii="Arial" w:cs="Arial" w:eastAsia="Arial" w:hAnsi="Arial"/>
                <w:sz w:val="15"/>
                <w:szCs w:val="15"/>
                <w:b w:val="1"/>
                <w:bCs w:val="1"/>
                <w:color w:val="auto"/>
              </w:rPr>
              <w:t>Balance</w:t>
            </w:r>
          </w:p>
        </w:tc>
        <w:tc>
          <w:tcPr>
            <w:tcW w:w="18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ind w:right="183"/>
              <w:spacing w:after="0"/>
              <w:rPr>
                <w:sz w:val="20"/>
                <w:szCs w:val="20"/>
                <w:color w:val="auto"/>
              </w:rPr>
            </w:pPr>
            <w:r>
              <w:rPr>
                <w:rFonts w:ascii="Arial" w:cs="Arial" w:eastAsia="Arial" w:hAnsi="Arial"/>
                <w:sz w:val="15"/>
                <w:szCs w:val="15"/>
                <w:b w:val="1"/>
                <w:bCs w:val="1"/>
                <w:color w:val="auto"/>
              </w:rPr>
              <w:t>(Expense)</w:t>
            </w:r>
          </w:p>
        </w:tc>
        <w:tc>
          <w:tcPr>
            <w:tcW w:w="1480" w:type="dxa"/>
            <w:vAlign w:val="bottom"/>
            <w:tcBorders>
              <w:bottom w:val="single" w:sz="8" w:color="2C6937"/>
            </w:tcBorders>
            <w:gridSpan w:val="2"/>
          </w:tcPr>
          <w:p>
            <w:pPr>
              <w:jc w:val="center"/>
              <w:spacing w:after="0"/>
              <w:rPr>
                <w:sz w:val="20"/>
                <w:szCs w:val="20"/>
                <w:color w:val="auto"/>
              </w:rPr>
            </w:pPr>
            <w:r>
              <w:rPr>
                <w:rFonts w:ascii="Arial" w:cs="Arial" w:eastAsia="Arial" w:hAnsi="Arial"/>
                <w:sz w:val="15"/>
                <w:szCs w:val="15"/>
                <w:b w:val="1"/>
                <w:bCs w:val="1"/>
                <w:color w:val="auto"/>
              </w:rPr>
              <w:t>Earned/Paid</w:t>
            </w:r>
          </w:p>
        </w:tc>
        <w:tc>
          <w:tcPr>
            <w:tcW w:w="180" w:type="dxa"/>
            <w:vAlign w:val="bottom"/>
            <w:tcBorders>
              <w:bottom w:val="single" w:sz="8" w:color="2C6937"/>
            </w:tcBorders>
          </w:tcPr>
          <w:p>
            <w:pPr>
              <w:spacing w:after="0"/>
              <w:rPr>
                <w:sz w:val="18"/>
                <w:szCs w:val="18"/>
                <w:color w:val="auto"/>
              </w:rPr>
            </w:pPr>
          </w:p>
        </w:tc>
        <w:tc>
          <w:tcPr>
            <w:tcW w:w="1060" w:type="dxa"/>
            <w:vAlign w:val="bottom"/>
            <w:tcBorders>
              <w:bottom w:val="single" w:sz="8" w:color="2C6937"/>
            </w:tcBorders>
            <w:gridSpan w:val="2"/>
          </w:tcPr>
          <w:p>
            <w:pPr>
              <w:ind w:left="80"/>
              <w:spacing w:after="0"/>
              <w:rPr>
                <w:sz w:val="20"/>
                <w:szCs w:val="20"/>
                <w:color w:val="auto"/>
              </w:rPr>
            </w:pPr>
            <w:r>
              <w:rPr>
                <w:rFonts w:ascii="Arial" w:cs="Arial" w:eastAsia="Arial" w:hAnsi="Arial"/>
                <w:sz w:val="15"/>
                <w:szCs w:val="15"/>
                <w:b w:val="1"/>
                <w:bCs w:val="1"/>
                <w:color w:val="auto"/>
              </w:rPr>
              <w:t>Balance</w:t>
            </w:r>
          </w:p>
        </w:tc>
        <w:tc>
          <w:tcPr>
            <w:tcW w:w="18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ind w:right="183"/>
              <w:spacing w:after="0"/>
              <w:rPr>
                <w:sz w:val="20"/>
                <w:szCs w:val="20"/>
                <w:color w:val="auto"/>
              </w:rPr>
            </w:pPr>
            <w:r>
              <w:rPr>
                <w:rFonts w:ascii="Arial" w:cs="Arial" w:eastAsia="Arial" w:hAnsi="Arial"/>
                <w:sz w:val="15"/>
                <w:szCs w:val="15"/>
                <w:b w:val="1"/>
                <w:bCs w:val="1"/>
                <w:color w:val="auto"/>
              </w:rPr>
              <w:t>(Expense)</w:t>
            </w:r>
          </w:p>
        </w:tc>
        <w:tc>
          <w:tcPr>
            <w:tcW w:w="1360" w:type="dxa"/>
            <w:vAlign w:val="bottom"/>
            <w:tcBorders>
              <w:bottom w:val="single" w:sz="8" w:color="2C6937"/>
            </w:tcBorders>
          </w:tcPr>
          <w:p>
            <w:pPr>
              <w:jc w:val="right"/>
              <w:ind w:right="103"/>
              <w:spacing w:after="0"/>
              <w:rPr>
                <w:sz w:val="20"/>
                <w:szCs w:val="20"/>
                <w:color w:val="auto"/>
              </w:rPr>
            </w:pPr>
            <w:r>
              <w:rPr>
                <w:rFonts w:ascii="Arial" w:cs="Arial" w:eastAsia="Arial" w:hAnsi="Arial"/>
                <w:sz w:val="15"/>
                <w:szCs w:val="15"/>
                <w:b w:val="1"/>
                <w:bCs w:val="1"/>
                <w:color w:val="auto"/>
              </w:rPr>
              <w:t>Earned/Paid</w:t>
            </w:r>
          </w:p>
        </w:tc>
      </w:tr>
      <w:tr>
        <w:trPr>
          <w:trHeight w:val="299"/>
        </w:trPr>
        <w:tc>
          <w:tcPr>
            <w:tcW w:w="3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720" w:type="dxa"/>
            <w:vAlign w:val="bottom"/>
            <w:gridSpan w:val="5"/>
          </w:tcPr>
          <w:p>
            <w:pPr>
              <w:jc w:val="center"/>
              <w:ind w:left="43"/>
              <w:spacing w:after="0"/>
              <w:rPr>
                <w:sz w:val="20"/>
                <w:szCs w:val="20"/>
                <w:color w:val="auto"/>
              </w:rPr>
            </w:pPr>
            <w:r>
              <w:rPr>
                <w:rFonts w:ascii="Arial" w:cs="Arial" w:eastAsia="Arial" w:hAnsi="Arial"/>
                <w:sz w:val="15"/>
                <w:szCs w:val="15"/>
                <w:b w:val="1"/>
                <w:bCs w:val="1"/>
                <w:color w:val="auto"/>
              </w:rPr>
              <w:t>(Dollars in millions)</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09"/>
        </w:trPr>
        <w:tc>
          <w:tcPr>
            <w:tcW w:w="3400" w:type="dxa"/>
            <w:vAlign w:val="bottom"/>
            <w:gridSpan w:val="2"/>
          </w:tcPr>
          <w:p>
            <w:pPr>
              <w:ind w:left="20"/>
              <w:spacing w:after="0"/>
              <w:rPr>
                <w:sz w:val="20"/>
                <w:szCs w:val="20"/>
                <w:color w:val="auto"/>
              </w:rPr>
            </w:pPr>
            <w:r>
              <w:rPr>
                <w:rFonts w:ascii="Arial" w:cs="Arial" w:eastAsia="Arial" w:hAnsi="Arial"/>
                <w:sz w:val="15"/>
                <w:szCs w:val="15"/>
                <w:b w:val="1"/>
                <w:bCs w:val="1"/>
                <w:color w:val="auto"/>
              </w:rPr>
              <w:t>Interest-earning assets: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91"/>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Cash and cash equivalents</w:t>
            </w:r>
            <w:r>
              <w:rPr>
                <w:rFonts w:ascii="Arial" w:cs="Arial" w:eastAsia="Arial" w:hAnsi="Arial"/>
                <w:sz w:val="20"/>
                <w:szCs w:val="20"/>
                <w:color w:val="auto"/>
                <w:vertAlign w:val="superscript"/>
              </w:rPr>
              <w:t>(2)</w:t>
            </w: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47,241</w:t>
            </w:r>
          </w:p>
        </w:tc>
        <w:tc>
          <w:tcPr>
            <w:tcW w:w="1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643</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5.44 %</w:t>
            </w:r>
          </w:p>
        </w:tc>
        <w:tc>
          <w:tcPr>
            <w:tcW w:w="100" w:type="dxa"/>
            <w:vAlign w:val="bottom"/>
          </w:tcPr>
          <w:p>
            <w:pPr>
              <w:spacing w:after="0"/>
              <w:rPr>
                <w:sz w:val="24"/>
                <w:szCs w:val="24"/>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56,077</w:t>
            </w:r>
          </w:p>
        </w:tc>
        <w:tc>
          <w:tcPr>
            <w:tcW w:w="1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753</w:t>
            </w:r>
          </w:p>
        </w:tc>
        <w:tc>
          <w:tcPr>
            <w:tcW w:w="1360" w:type="dxa"/>
            <w:vAlign w:val="bottom"/>
          </w:tcPr>
          <w:p>
            <w:pPr>
              <w:jc w:val="right"/>
              <w:spacing w:after="0"/>
              <w:rPr>
                <w:sz w:val="20"/>
                <w:szCs w:val="20"/>
                <w:color w:val="auto"/>
              </w:rPr>
            </w:pPr>
            <w:r>
              <w:rPr>
                <w:rFonts w:ascii="Arial" w:cs="Arial" w:eastAsia="Arial" w:hAnsi="Arial"/>
                <w:sz w:val="15"/>
                <w:szCs w:val="15"/>
                <w:color w:val="auto"/>
              </w:rPr>
              <w:t>5.37 %</w:t>
            </w:r>
          </w:p>
        </w:tc>
      </w:tr>
      <w:tr>
        <w:trPr>
          <w:trHeight w:val="232"/>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Securities purchased under agreements to</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25"/>
        </w:trPr>
        <w:tc>
          <w:tcPr>
            <w:tcW w:w="3400" w:type="dxa"/>
            <w:vAlign w:val="bottom"/>
            <w:gridSpan w:val="2"/>
          </w:tcPr>
          <w:p>
            <w:pPr>
              <w:ind w:left="320"/>
              <w:spacing w:after="0"/>
              <w:rPr>
                <w:sz w:val="20"/>
                <w:szCs w:val="20"/>
                <w:color w:val="auto"/>
              </w:rPr>
            </w:pPr>
            <w:r>
              <w:rPr>
                <w:rFonts w:ascii="Arial" w:cs="Arial" w:eastAsia="Arial" w:hAnsi="Arial"/>
                <w:sz w:val="15"/>
                <w:szCs w:val="15"/>
                <w:color w:val="auto"/>
              </w:rPr>
              <w:t>resell</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41,706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572</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5.49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41,570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563</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5.42</w:t>
            </w:r>
          </w:p>
        </w:tc>
      </w:tr>
      <w:tr>
        <w:trPr>
          <w:trHeight w:val="317"/>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Investments in securities</w:t>
            </w:r>
            <w:r>
              <w:rPr>
                <w:rFonts w:ascii="Arial" w:cs="Arial" w:eastAsia="Arial" w:hAnsi="Arial"/>
                <w:sz w:val="20"/>
                <w:szCs w:val="20"/>
                <w:color w:val="auto"/>
                <w:vertAlign w:val="superscript"/>
              </w:rPr>
              <w:t>(3)</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57,212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350</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2.45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55,115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322</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2.34</w:t>
            </w:r>
          </w:p>
        </w:tc>
      </w:tr>
      <w:tr>
        <w:trPr>
          <w:trHeight w:val="204"/>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Mortgage loans:</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330"/>
        </w:trPr>
        <w:tc>
          <w:tcPr>
            <w:tcW w:w="3400" w:type="dxa"/>
            <w:vAlign w:val="bottom"/>
            <w:gridSpan w:val="2"/>
          </w:tcPr>
          <w:p>
            <w:pPr>
              <w:ind w:left="280"/>
              <w:spacing w:after="0"/>
              <w:rPr>
                <w:sz w:val="20"/>
                <w:szCs w:val="20"/>
                <w:color w:val="auto"/>
              </w:rPr>
            </w:pPr>
            <w:r>
              <w:rPr>
                <w:rFonts w:ascii="Arial" w:cs="Arial" w:eastAsia="Arial" w:hAnsi="Arial"/>
                <w:sz w:val="15"/>
                <w:szCs w:val="15"/>
                <w:color w:val="auto"/>
              </w:rPr>
              <w:t>Mortgage loans of Fannie Mae</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52,105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576</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4.42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51,802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615</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4.75</w:t>
            </w:r>
          </w:p>
        </w:tc>
      </w:tr>
      <w:tr>
        <w:trPr>
          <w:trHeight w:val="303"/>
        </w:trPr>
        <w:tc>
          <w:tcPr>
            <w:tcW w:w="3300" w:type="dxa"/>
            <w:vAlign w:val="bottom"/>
            <w:tcBorders>
              <w:bottom w:val="single" w:sz="8" w:color="2C6937"/>
            </w:tcBorders>
          </w:tcPr>
          <w:p>
            <w:pPr>
              <w:ind w:left="280"/>
              <w:spacing w:after="0"/>
              <w:rPr>
                <w:sz w:val="20"/>
                <w:szCs w:val="20"/>
                <w:color w:val="auto"/>
              </w:rPr>
            </w:pPr>
            <w:r>
              <w:rPr>
                <w:rFonts w:ascii="Arial" w:cs="Arial" w:eastAsia="Arial" w:hAnsi="Arial"/>
                <w:sz w:val="15"/>
                <w:szCs w:val="15"/>
                <w:color w:val="auto"/>
              </w:rPr>
              <w:t>Mortgage loans of consolidated trusts</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4,092,789</w:t>
            </w:r>
          </w:p>
        </w:tc>
        <w:tc>
          <w:tcPr>
            <w:tcW w:w="10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35,814</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3.50</w:t>
            </w:r>
          </w:p>
        </w:tc>
        <w:tc>
          <w:tcPr>
            <w:tcW w:w="10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4,086,890</w:t>
            </w:r>
          </w:p>
        </w:tc>
        <w:tc>
          <w:tcPr>
            <w:tcW w:w="10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10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33,096</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3.24</w:t>
            </w:r>
          </w:p>
        </w:tc>
      </w:tr>
      <w:tr>
        <w:trPr>
          <w:trHeight w:val="355"/>
        </w:trPr>
        <w:tc>
          <w:tcPr>
            <w:tcW w:w="3400" w:type="dxa"/>
            <w:vAlign w:val="bottom"/>
            <w:gridSpan w:val="2"/>
          </w:tcPr>
          <w:p>
            <w:pPr>
              <w:ind w:left="440"/>
              <w:spacing w:after="0"/>
              <w:rPr>
                <w:sz w:val="20"/>
                <w:szCs w:val="20"/>
                <w:color w:val="auto"/>
              </w:rPr>
            </w:pPr>
            <w:r>
              <w:rPr>
                <w:rFonts w:ascii="Arial" w:cs="Arial" w:eastAsia="Arial" w:hAnsi="Arial"/>
                <w:sz w:val="15"/>
                <w:szCs w:val="15"/>
                <w:color w:val="auto"/>
              </w:rPr>
              <w:t>Total mortgage loans</w:t>
            </w:r>
            <w:r>
              <w:rPr>
                <w:rFonts w:ascii="Arial" w:cs="Arial" w:eastAsia="Arial" w:hAnsi="Arial"/>
                <w:sz w:val="20"/>
                <w:szCs w:val="20"/>
                <w:color w:val="auto"/>
                <w:vertAlign w:val="superscript"/>
              </w:rPr>
              <w:t>(4)</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4,144,894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36,390</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3.51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4,138,692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33,711</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3.26</w:t>
            </w:r>
          </w:p>
        </w:tc>
      </w:tr>
      <w:tr>
        <w:trPr>
          <w:trHeight w:val="257"/>
        </w:trPr>
        <w:tc>
          <w:tcPr>
            <w:tcW w:w="330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Advances to lenders</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3,325</w:t>
            </w:r>
          </w:p>
        </w:tc>
        <w:tc>
          <w:tcPr>
            <w:tcW w:w="100" w:type="dxa"/>
            <w:vAlign w:val="bottom"/>
          </w:tcPr>
          <w:p>
            <w:pPr>
              <w:spacing w:after="0"/>
              <w:rPr>
                <w:sz w:val="22"/>
                <w:szCs w:val="22"/>
                <w:color w:val="auto"/>
              </w:rPr>
            </w:pPr>
          </w:p>
        </w:tc>
        <w:tc>
          <w:tcPr>
            <w:tcW w:w="180" w:type="dxa"/>
            <w:vAlign w:val="bottom"/>
            <w:tcBorders>
              <w:bottom w:val="single" w:sz="8" w:color="2C6937"/>
            </w:tcBorders>
          </w:tcPr>
          <w:p>
            <w:pPr>
              <w:spacing w:after="0"/>
              <w:rPr>
                <w:sz w:val="22"/>
                <w:szCs w:val="22"/>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57</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6.86</w:t>
            </w:r>
          </w:p>
        </w:tc>
        <w:tc>
          <w:tcPr>
            <w:tcW w:w="100" w:type="dxa"/>
            <w:vAlign w:val="bottom"/>
          </w:tcPr>
          <w:p>
            <w:pPr>
              <w:spacing w:after="0"/>
              <w:rPr>
                <w:sz w:val="22"/>
                <w:szCs w:val="22"/>
                <w:color w:val="auto"/>
              </w:rPr>
            </w:pPr>
          </w:p>
        </w:tc>
        <w:tc>
          <w:tcPr>
            <w:tcW w:w="180" w:type="dxa"/>
            <w:vAlign w:val="bottom"/>
            <w:tcBorders>
              <w:bottom w:val="single" w:sz="8" w:color="2C6937"/>
            </w:tcBorders>
          </w:tcPr>
          <w:p>
            <w:pPr>
              <w:spacing w:after="0"/>
              <w:rPr>
                <w:sz w:val="22"/>
                <w:szCs w:val="22"/>
                <w:color w:val="auto"/>
              </w:rPr>
            </w:pP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3,973</w:t>
            </w:r>
          </w:p>
        </w:tc>
        <w:tc>
          <w:tcPr>
            <w:tcW w:w="100" w:type="dxa"/>
            <w:vAlign w:val="bottom"/>
          </w:tcPr>
          <w:p>
            <w:pPr>
              <w:spacing w:after="0"/>
              <w:rPr>
                <w:sz w:val="22"/>
                <w:szCs w:val="22"/>
                <w:color w:val="auto"/>
              </w:rPr>
            </w:pPr>
          </w:p>
        </w:tc>
        <w:tc>
          <w:tcPr>
            <w:tcW w:w="180" w:type="dxa"/>
            <w:vAlign w:val="bottom"/>
            <w:tcBorders>
              <w:bottom w:val="single" w:sz="8" w:color="2C6937"/>
            </w:tcBorders>
          </w:tcPr>
          <w:p>
            <w:pPr>
              <w:spacing w:after="0"/>
              <w:rPr>
                <w:sz w:val="22"/>
                <w:szCs w:val="22"/>
                <w:color w:val="auto"/>
              </w:rPr>
            </w:pPr>
          </w:p>
        </w:tc>
        <w:tc>
          <w:tcPr>
            <w:tcW w:w="10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66</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6.64</w:t>
            </w:r>
          </w:p>
        </w:tc>
      </w:tr>
      <w:tr>
        <w:trPr>
          <w:trHeight w:val="302"/>
        </w:trPr>
        <w:tc>
          <w:tcPr>
            <w:tcW w:w="3400" w:type="dxa"/>
            <w:vAlign w:val="bottom"/>
            <w:gridSpan w:val="2"/>
          </w:tcPr>
          <w:p>
            <w:pPr>
              <w:ind w:left="20"/>
              <w:spacing w:after="0"/>
              <w:rPr>
                <w:sz w:val="20"/>
                <w:szCs w:val="20"/>
                <w:color w:val="auto"/>
              </w:rPr>
            </w:pPr>
            <w:r>
              <w:rPr>
                <w:rFonts w:ascii="Arial" w:cs="Arial" w:eastAsia="Arial" w:hAnsi="Arial"/>
                <w:sz w:val="15"/>
                <w:szCs w:val="15"/>
                <w:color w:val="auto"/>
              </w:rPr>
              <w:t>Total interest-earning assets</w:t>
            </w: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4,294,378</w:t>
            </w:r>
          </w:p>
        </w:tc>
        <w:tc>
          <w:tcPr>
            <w:tcW w:w="1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38,012</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3.54 %</w:t>
            </w:r>
          </w:p>
        </w:tc>
        <w:tc>
          <w:tcPr>
            <w:tcW w:w="100" w:type="dxa"/>
            <w:vAlign w:val="bottom"/>
          </w:tcPr>
          <w:p>
            <w:pPr>
              <w:spacing w:after="0"/>
              <w:rPr>
                <w:sz w:val="24"/>
                <w:szCs w:val="24"/>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4,295,427</w:t>
            </w:r>
          </w:p>
        </w:tc>
        <w:tc>
          <w:tcPr>
            <w:tcW w:w="1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35,415</w:t>
            </w:r>
          </w:p>
        </w:tc>
        <w:tc>
          <w:tcPr>
            <w:tcW w:w="1360" w:type="dxa"/>
            <w:vAlign w:val="bottom"/>
          </w:tcPr>
          <w:p>
            <w:pPr>
              <w:jc w:val="right"/>
              <w:spacing w:after="0"/>
              <w:rPr>
                <w:sz w:val="20"/>
                <w:szCs w:val="20"/>
                <w:color w:val="auto"/>
              </w:rPr>
            </w:pPr>
            <w:r>
              <w:rPr>
                <w:rFonts w:ascii="Arial" w:cs="Arial" w:eastAsia="Arial" w:hAnsi="Arial"/>
                <w:sz w:val="15"/>
                <w:szCs w:val="15"/>
                <w:color w:val="auto"/>
              </w:rPr>
              <w:t>3.30 %</w:t>
            </w:r>
          </w:p>
        </w:tc>
      </w:tr>
      <w:tr>
        <w:trPr>
          <w:trHeight w:val="20"/>
        </w:trPr>
        <w:tc>
          <w:tcPr>
            <w:tcW w:w="33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1080" w:type="dxa"/>
            <w:vAlign w:val="bottom"/>
            <w:tcBorders>
              <w:top w:val="single" w:sz="8" w:color="2C6937"/>
              <w:bottom w:val="single" w:sz="8" w:color="2C6937"/>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9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1080" w:type="dxa"/>
            <w:vAlign w:val="bottom"/>
            <w:tcBorders>
              <w:bottom w:val="single" w:sz="8" w:color="2C6937"/>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95"/>
        </w:trPr>
        <w:tc>
          <w:tcPr>
            <w:tcW w:w="3400" w:type="dxa"/>
            <w:vAlign w:val="bottom"/>
            <w:gridSpan w:val="2"/>
          </w:tcPr>
          <w:p>
            <w:pPr>
              <w:ind w:left="20"/>
              <w:spacing w:after="0"/>
              <w:rPr>
                <w:sz w:val="20"/>
                <w:szCs w:val="20"/>
                <w:color w:val="auto"/>
              </w:rPr>
            </w:pPr>
            <w:r>
              <w:rPr>
                <w:rFonts w:ascii="Arial" w:cs="Arial" w:eastAsia="Arial" w:hAnsi="Arial"/>
                <w:sz w:val="15"/>
                <w:szCs w:val="15"/>
                <w:b w:val="1"/>
                <w:bCs w:val="1"/>
                <w:color w:val="auto"/>
              </w:rPr>
              <w:t>Interest-bearing liabilities: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22"/>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Short-term funding debt</w:t>
            </w: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10,445</w:t>
            </w:r>
          </w:p>
        </w:tc>
        <w:tc>
          <w:tcPr>
            <w:tcW w:w="1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(137)</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5.25 %</w:t>
            </w:r>
          </w:p>
        </w:tc>
        <w:tc>
          <w:tcPr>
            <w:tcW w:w="100" w:type="dxa"/>
            <w:vAlign w:val="bottom"/>
          </w:tcPr>
          <w:p>
            <w:pPr>
              <w:spacing w:after="0"/>
              <w:rPr>
                <w:sz w:val="24"/>
                <w:szCs w:val="24"/>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15,388</w:t>
            </w:r>
          </w:p>
        </w:tc>
        <w:tc>
          <w:tcPr>
            <w:tcW w:w="1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(201)</w:t>
            </w:r>
          </w:p>
        </w:tc>
        <w:tc>
          <w:tcPr>
            <w:tcW w:w="1360" w:type="dxa"/>
            <w:vAlign w:val="bottom"/>
          </w:tcPr>
          <w:p>
            <w:pPr>
              <w:jc w:val="right"/>
              <w:spacing w:after="0"/>
              <w:rPr>
                <w:sz w:val="20"/>
                <w:szCs w:val="20"/>
                <w:color w:val="auto"/>
              </w:rPr>
            </w:pPr>
            <w:r>
              <w:rPr>
                <w:rFonts w:ascii="Arial" w:cs="Arial" w:eastAsia="Arial" w:hAnsi="Arial"/>
                <w:sz w:val="15"/>
                <w:szCs w:val="15"/>
                <w:color w:val="auto"/>
              </w:rPr>
              <w:t>5.22 %</w:t>
            </w:r>
          </w:p>
        </w:tc>
      </w:tr>
      <w:tr>
        <w:trPr>
          <w:trHeight w:val="309"/>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Long-term funding debt</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104,952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(1,014)</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3.86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111,351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(942)</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3.38</w:t>
            </w:r>
          </w:p>
        </w:tc>
      </w:tr>
      <w:tr>
        <w:trPr>
          <w:trHeight w:val="303"/>
        </w:trPr>
        <w:tc>
          <w:tcPr>
            <w:tcW w:w="330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CAS debt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2,197</w:t>
            </w:r>
          </w:p>
        </w:tc>
        <w:tc>
          <w:tcPr>
            <w:tcW w:w="10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(64)</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11.65</w:t>
            </w:r>
          </w:p>
        </w:tc>
        <w:tc>
          <w:tcPr>
            <w:tcW w:w="10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3,702</w:t>
            </w:r>
          </w:p>
        </w:tc>
        <w:tc>
          <w:tcPr>
            <w:tcW w:w="10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(100)</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10.80</w:t>
            </w:r>
          </w:p>
        </w:tc>
      </w:tr>
      <w:tr>
        <w:trPr>
          <w:trHeight w:val="309"/>
        </w:trPr>
        <w:tc>
          <w:tcPr>
            <w:tcW w:w="3400" w:type="dxa"/>
            <w:vAlign w:val="bottom"/>
            <w:gridSpan w:val="2"/>
          </w:tcPr>
          <w:p>
            <w:pPr>
              <w:ind w:left="320"/>
              <w:spacing w:after="0"/>
              <w:rPr>
                <w:sz w:val="20"/>
                <w:szCs w:val="20"/>
                <w:color w:val="auto"/>
              </w:rPr>
            </w:pPr>
            <w:r>
              <w:rPr>
                <w:rFonts w:ascii="Arial" w:cs="Arial" w:eastAsia="Arial" w:hAnsi="Arial"/>
                <w:sz w:val="15"/>
                <w:szCs w:val="15"/>
                <w:color w:val="auto"/>
              </w:rPr>
              <w:t>Total debt of Fannie Mae</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117,594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(1,215)</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4.13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130,441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(1,243)</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3.81</w:t>
            </w:r>
          </w:p>
        </w:tc>
      </w:tr>
      <w:tr>
        <w:trPr>
          <w:trHeight w:val="278"/>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Debt securities of consolidated trusts held by</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8"/>
        </w:trPr>
        <w:tc>
          <w:tcPr>
            <w:tcW w:w="330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third parties</w:t>
            </w: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4,081,619</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(29,522)</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2.89</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4,087,136</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(26,952)</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2.64</w:t>
            </w:r>
          </w:p>
        </w:tc>
      </w:tr>
      <w:tr>
        <w:trPr>
          <w:trHeight w:val="302"/>
        </w:trPr>
        <w:tc>
          <w:tcPr>
            <w:tcW w:w="3400" w:type="dxa"/>
            <w:vAlign w:val="bottom"/>
            <w:gridSpan w:val="2"/>
          </w:tcPr>
          <w:p>
            <w:pPr>
              <w:ind w:left="20"/>
              <w:spacing w:after="0"/>
              <w:rPr>
                <w:sz w:val="20"/>
                <w:szCs w:val="20"/>
                <w:color w:val="auto"/>
              </w:rPr>
            </w:pPr>
            <w:r>
              <w:rPr>
                <w:rFonts w:ascii="Arial" w:cs="Arial" w:eastAsia="Arial" w:hAnsi="Arial"/>
                <w:sz w:val="15"/>
                <w:szCs w:val="15"/>
                <w:color w:val="auto"/>
              </w:rPr>
              <w:t>Total interest-bearing liabilities</w:t>
            </w: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4,199,213</w:t>
            </w:r>
          </w:p>
        </w:tc>
        <w:tc>
          <w:tcPr>
            <w:tcW w:w="1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(30,737)</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2.93 %</w:t>
            </w:r>
          </w:p>
        </w:tc>
        <w:tc>
          <w:tcPr>
            <w:tcW w:w="100" w:type="dxa"/>
            <w:vAlign w:val="bottom"/>
          </w:tcPr>
          <w:p>
            <w:pPr>
              <w:spacing w:after="0"/>
              <w:rPr>
                <w:sz w:val="24"/>
                <w:szCs w:val="24"/>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4,217,577</w:t>
            </w:r>
          </w:p>
        </w:tc>
        <w:tc>
          <w:tcPr>
            <w:tcW w:w="1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(28,195)</w:t>
            </w:r>
          </w:p>
        </w:tc>
        <w:tc>
          <w:tcPr>
            <w:tcW w:w="1360" w:type="dxa"/>
            <w:vAlign w:val="bottom"/>
          </w:tcPr>
          <w:p>
            <w:pPr>
              <w:jc w:val="right"/>
              <w:spacing w:after="0"/>
              <w:rPr>
                <w:sz w:val="20"/>
                <w:szCs w:val="20"/>
                <w:color w:val="auto"/>
              </w:rPr>
            </w:pPr>
            <w:r>
              <w:rPr>
                <w:rFonts w:ascii="Arial" w:cs="Arial" w:eastAsia="Arial" w:hAnsi="Arial"/>
                <w:sz w:val="15"/>
                <w:szCs w:val="15"/>
                <w:color w:val="auto"/>
              </w:rPr>
              <w:t>2.67 %</w:t>
            </w:r>
          </w:p>
        </w:tc>
      </w:tr>
      <w:tr>
        <w:trPr>
          <w:trHeight w:val="40"/>
        </w:trPr>
        <w:tc>
          <w:tcPr>
            <w:tcW w:w="3300" w:type="dxa"/>
            <w:vAlign w:val="bottom"/>
            <w:tcBorders>
              <w:top w:val="single" w:sz="8" w:color="2C6937"/>
              <w:bottom w:val="single" w:sz="8" w:color="2C6937"/>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top w:val="single" w:sz="8" w:color="2C6937"/>
              <w:bottom w:val="single" w:sz="8" w:color="2C6937"/>
            </w:tcBorders>
          </w:tcPr>
          <w:p>
            <w:pPr>
              <w:spacing w:after="0"/>
              <w:rPr>
                <w:sz w:val="3"/>
                <w:szCs w:val="3"/>
                <w:color w:val="auto"/>
              </w:rPr>
            </w:pPr>
          </w:p>
        </w:tc>
        <w:tc>
          <w:tcPr>
            <w:tcW w:w="940" w:type="dxa"/>
            <w:vAlign w:val="bottom"/>
            <w:tcBorders>
              <w:top w:val="single" w:sz="8" w:color="2C6937"/>
              <w:bottom w:val="single" w:sz="8" w:color="2C6937"/>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2C6937"/>
            </w:tcBorders>
          </w:tcPr>
          <w:p>
            <w:pPr>
              <w:spacing w:after="0"/>
              <w:rPr>
                <w:sz w:val="3"/>
                <w:szCs w:val="3"/>
                <w:color w:val="auto"/>
              </w:rPr>
            </w:pPr>
          </w:p>
        </w:tc>
        <w:tc>
          <w:tcPr>
            <w:tcW w:w="1080" w:type="dxa"/>
            <w:vAlign w:val="bottom"/>
            <w:tcBorders>
              <w:bottom w:val="single" w:sz="8" w:color="2C6937"/>
            </w:tcBorders>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top w:val="single" w:sz="8" w:color="2C6937"/>
              <w:bottom w:val="single" w:sz="8" w:color="2C6937"/>
            </w:tcBorders>
          </w:tcPr>
          <w:p>
            <w:pPr>
              <w:spacing w:after="0"/>
              <w:rPr>
                <w:sz w:val="3"/>
                <w:szCs w:val="3"/>
                <w:color w:val="auto"/>
              </w:rPr>
            </w:pPr>
          </w:p>
        </w:tc>
        <w:tc>
          <w:tcPr>
            <w:tcW w:w="960" w:type="dxa"/>
            <w:vAlign w:val="bottom"/>
            <w:tcBorders>
              <w:top w:val="single" w:sz="8" w:color="2C6937"/>
              <w:bottom w:val="single" w:sz="8" w:color="2C6937"/>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2C6937"/>
            </w:tcBorders>
          </w:tcPr>
          <w:p>
            <w:pPr>
              <w:spacing w:after="0"/>
              <w:rPr>
                <w:sz w:val="3"/>
                <w:szCs w:val="3"/>
                <w:color w:val="auto"/>
              </w:rPr>
            </w:pPr>
          </w:p>
        </w:tc>
        <w:tc>
          <w:tcPr>
            <w:tcW w:w="1080" w:type="dxa"/>
            <w:vAlign w:val="bottom"/>
            <w:tcBorders>
              <w:bottom w:val="single" w:sz="8" w:color="2C6937"/>
            </w:tcBorders>
          </w:tcPr>
          <w:p>
            <w:pPr>
              <w:spacing w:after="0"/>
              <w:rPr>
                <w:sz w:val="3"/>
                <w:szCs w:val="3"/>
                <w:color w:val="auto"/>
              </w:rPr>
            </w:pPr>
          </w:p>
        </w:tc>
        <w:tc>
          <w:tcPr>
            <w:tcW w:w="1360" w:type="dxa"/>
            <w:vAlign w:val="bottom"/>
          </w:tcPr>
          <w:p>
            <w:pPr>
              <w:spacing w:after="0"/>
              <w:rPr>
                <w:sz w:val="3"/>
                <w:szCs w:val="3"/>
                <w:color w:val="auto"/>
              </w:rPr>
            </w:pPr>
          </w:p>
        </w:tc>
      </w:tr>
      <w:tr>
        <w:trPr>
          <w:trHeight w:val="255"/>
        </w:trPr>
        <w:tc>
          <w:tcPr>
            <w:tcW w:w="3400" w:type="dxa"/>
            <w:vAlign w:val="bottom"/>
            <w:gridSpan w:val="2"/>
          </w:tcPr>
          <w:p>
            <w:pPr>
              <w:ind w:left="20"/>
              <w:spacing w:after="0"/>
              <w:rPr>
                <w:sz w:val="20"/>
                <w:szCs w:val="20"/>
                <w:color w:val="auto"/>
              </w:rPr>
            </w:pPr>
            <w:r>
              <w:rPr>
                <w:rFonts w:ascii="Arial" w:cs="Arial" w:eastAsia="Arial" w:hAnsi="Arial"/>
                <w:sz w:val="15"/>
                <w:szCs w:val="15"/>
                <w:color w:val="auto"/>
              </w:rPr>
              <w:t>Net interest income/net interest yield</w:t>
            </w: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2C6937"/>
            </w:tcBorders>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7,275</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0.68 %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7,220</w:t>
            </w:r>
          </w:p>
        </w:tc>
        <w:tc>
          <w:tcPr>
            <w:tcW w:w="1360" w:type="dxa"/>
            <w:vAlign w:val="bottom"/>
          </w:tcPr>
          <w:p>
            <w:pPr>
              <w:jc w:val="right"/>
              <w:spacing w:after="0"/>
              <w:rPr>
                <w:sz w:val="20"/>
                <w:szCs w:val="20"/>
                <w:color w:val="auto"/>
              </w:rPr>
            </w:pPr>
            <w:r>
              <w:rPr>
                <w:rFonts w:ascii="Arial" w:cs="Arial" w:eastAsia="Arial" w:hAnsi="Arial"/>
                <w:sz w:val="15"/>
                <w:szCs w:val="15"/>
                <w:color w:val="auto"/>
              </w:rPr>
              <w:t>0.67 %</w:t>
            </w:r>
          </w:p>
        </w:tc>
      </w:tr>
      <w:tr>
        <w:trPr>
          <w:trHeight w:val="20"/>
        </w:trPr>
        <w:tc>
          <w:tcPr>
            <w:tcW w:w="3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1080" w:type="dxa"/>
            <w:vAlign w:val="bottom"/>
            <w:tcBorders>
              <w:bottom w:val="single" w:sz="8" w:color="2C6937"/>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1080" w:type="dxa"/>
            <w:vAlign w:val="bottom"/>
            <w:tcBorders>
              <w:bottom w:val="single" w:sz="8" w:color="2C6937"/>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2024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10</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60" w:type="dxa"/>
            <w:vAlign w:val="bottom"/>
            <w:tcBorders>
              <w:bottom w:val="single" w:sz="8" w:color="9A9A9A"/>
            </w:tcBorders>
          </w:tcPr>
          <w:p>
            <w:pPr>
              <w:spacing w:after="0"/>
              <w:rPr>
                <w:sz w:val="17"/>
                <w:szCs w:val="17"/>
                <w:color w:val="auto"/>
              </w:rPr>
            </w:pPr>
          </w:p>
        </w:tc>
        <w:tc>
          <w:tcPr>
            <w:tcW w:w="42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3" w:name="page14"/>
    <w:bookmarkEnd w:id="13"/>
    <w:p>
      <w:pPr>
        <w:ind w:left="844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940" w:type="dxa"/>
            <w:vAlign w:val="bottom"/>
            <w:tcBorders>
              <w:bottom w:val="single" w:sz="8" w:color="2C6937"/>
            </w:tcBorders>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5060" w:type="dxa"/>
            <w:vAlign w:val="bottom"/>
            <w:tcBorders>
              <w:bottom w:val="single" w:sz="8" w:color="2C6937"/>
            </w:tcBorders>
            <w:gridSpan w:val="8"/>
          </w:tcPr>
          <w:p>
            <w:pPr>
              <w:jc w:val="center"/>
              <w:spacing w:after="0"/>
              <w:rPr>
                <w:sz w:val="20"/>
                <w:szCs w:val="20"/>
                <w:color w:val="auto"/>
              </w:rPr>
            </w:pPr>
            <w:r>
              <w:rPr>
                <w:rFonts w:ascii="Arial" w:cs="Arial" w:eastAsia="Arial" w:hAnsi="Arial"/>
                <w:sz w:val="15"/>
                <w:szCs w:val="15"/>
                <w:b w:val="1"/>
                <w:bCs w:val="1"/>
                <w:color w:val="auto"/>
              </w:rPr>
              <w:t>For the Nine Months Ended September 30,</w:t>
            </w:r>
          </w:p>
        </w:tc>
        <w:tc>
          <w:tcPr>
            <w:tcW w:w="1360" w:type="dxa"/>
            <w:vAlign w:val="bottom"/>
            <w:tcBorders>
              <w:bottom w:val="single" w:sz="8" w:color="2C6937"/>
            </w:tcBorders>
          </w:tcPr>
          <w:p>
            <w:pPr>
              <w:spacing w:after="0"/>
              <w:rPr>
                <w:sz w:val="18"/>
                <w:szCs w:val="18"/>
                <w:color w:val="auto"/>
              </w:rPr>
            </w:pPr>
          </w:p>
        </w:tc>
      </w:tr>
      <w:tr>
        <w:trPr>
          <w:trHeight w:val="199"/>
        </w:trPr>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94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1080" w:type="dxa"/>
            <w:vAlign w:val="bottom"/>
            <w:tcBorders>
              <w:bottom w:val="single" w:sz="8" w:color="2C6937"/>
            </w:tcBorders>
          </w:tcPr>
          <w:p>
            <w:pPr>
              <w:jc w:val="right"/>
              <w:ind w:right="303"/>
              <w:spacing w:after="0"/>
              <w:rPr>
                <w:sz w:val="20"/>
                <w:szCs w:val="20"/>
                <w:color w:val="auto"/>
              </w:rPr>
            </w:pPr>
            <w:r>
              <w:rPr>
                <w:rFonts w:ascii="Arial" w:cs="Arial" w:eastAsia="Arial" w:hAnsi="Arial"/>
                <w:sz w:val="15"/>
                <w:szCs w:val="15"/>
                <w:b w:val="1"/>
                <w:bCs w:val="1"/>
                <w:color w:val="auto"/>
              </w:rPr>
              <w:t>2024</w:t>
            </w:r>
          </w:p>
        </w:tc>
        <w:tc>
          <w:tcPr>
            <w:tcW w:w="138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96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1080" w:type="dxa"/>
            <w:vAlign w:val="bottom"/>
            <w:tcBorders>
              <w:bottom w:val="single" w:sz="8" w:color="2C6937"/>
            </w:tcBorders>
          </w:tcPr>
          <w:p>
            <w:pPr>
              <w:jc w:val="right"/>
              <w:ind w:right="323"/>
              <w:spacing w:after="0"/>
              <w:rPr>
                <w:sz w:val="20"/>
                <w:szCs w:val="20"/>
                <w:color w:val="auto"/>
              </w:rPr>
            </w:pPr>
            <w:r>
              <w:rPr>
                <w:rFonts w:ascii="Arial" w:cs="Arial" w:eastAsia="Arial" w:hAnsi="Arial"/>
                <w:sz w:val="15"/>
                <w:szCs w:val="15"/>
                <w:b w:val="1"/>
                <w:bCs w:val="1"/>
                <w:color w:val="auto"/>
              </w:rPr>
              <w:t>2023</w:t>
            </w:r>
          </w:p>
        </w:tc>
        <w:tc>
          <w:tcPr>
            <w:tcW w:w="1360" w:type="dxa"/>
            <w:vAlign w:val="bottom"/>
            <w:tcBorders>
              <w:bottom w:val="single" w:sz="8" w:color="2C6937"/>
            </w:tcBorders>
          </w:tcPr>
          <w:p>
            <w:pPr>
              <w:spacing w:after="0"/>
              <w:rPr>
                <w:sz w:val="17"/>
                <w:szCs w:val="17"/>
                <w:color w:val="auto"/>
              </w:rPr>
            </w:pPr>
          </w:p>
        </w:tc>
      </w:tr>
      <w:tr>
        <w:trPr>
          <w:trHeight w:val="185"/>
        </w:trPr>
        <w:tc>
          <w:tcPr>
            <w:tcW w:w="3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Arial" w:cs="Arial" w:eastAsia="Arial" w:hAnsi="Arial"/>
                <w:sz w:val="15"/>
                <w:szCs w:val="15"/>
                <w:b w:val="1"/>
                <w:bCs w:val="1"/>
                <w:color w:val="auto"/>
              </w:rPr>
              <w:t>Average</w:t>
            </w:r>
          </w:p>
        </w:tc>
        <w:tc>
          <w:tcPr>
            <w:tcW w:w="1260" w:type="dxa"/>
            <w:vAlign w:val="bottom"/>
            <w:gridSpan w:val="2"/>
          </w:tcPr>
          <w:p>
            <w:pPr>
              <w:ind w:left="40"/>
              <w:spacing w:after="0"/>
              <w:rPr>
                <w:sz w:val="20"/>
                <w:szCs w:val="20"/>
                <w:color w:val="auto"/>
              </w:rPr>
            </w:pPr>
            <w:r>
              <w:rPr>
                <w:rFonts w:ascii="Arial" w:cs="Arial" w:eastAsia="Arial" w:hAnsi="Arial"/>
                <w:sz w:val="15"/>
                <w:szCs w:val="15"/>
                <w:b w:val="1"/>
                <w:bCs w:val="1"/>
                <w:color w:val="auto"/>
              </w:rPr>
              <w:t>Interest Income/</w:t>
            </w:r>
          </w:p>
        </w:tc>
        <w:tc>
          <w:tcPr>
            <w:tcW w:w="1480" w:type="dxa"/>
            <w:vAlign w:val="bottom"/>
            <w:gridSpan w:val="2"/>
          </w:tcPr>
          <w:p>
            <w:pPr>
              <w:jc w:val="center"/>
              <w:spacing w:after="0"/>
              <w:rPr>
                <w:sz w:val="20"/>
                <w:szCs w:val="20"/>
                <w:color w:val="auto"/>
              </w:rPr>
            </w:pPr>
            <w:r>
              <w:rPr>
                <w:rFonts w:ascii="Arial" w:cs="Arial" w:eastAsia="Arial" w:hAnsi="Arial"/>
                <w:sz w:val="15"/>
                <w:szCs w:val="15"/>
                <w:b w:val="1"/>
                <w:bCs w:val="1"/>
                <w:color w:val="auto"/>
              </w:rPr>
              <w:t>Average Rates</w:t>
            </w:r>
          </w:p>
        </w:tc>
        <w:tc>
          <w:tcPr>
            <w:tcW w:w="18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5"/>
                <w:szCs w:val="15"/>
                <w:b w:val="1"/>
                <w:bCs w:val="1"/>
                <w:color w:val="auto"/>
              </w:rPr>
              <w:t>Average</w:t>
            </w:r>
          </w:p>
        </w:tc>
        <w:tc>
          <w:tcPr>
            <w:tcW w:w="1260" w:type="dxa"/>
            <w:vAlign w:val="bottom"/>
            <w:gridSpan w:val="2"/>
          </w:tcPr>
          <w:p>
            <w:pPr>
              <w:ind w:left="40"/>
              <w:spacing w:after="0"/>
              <w:rPr>
                <w:sz w:val="20"/>
                <w:szCs w:val="20"/>
                <w:color w:val="auto"/>
              </w:rPr>
            </w:pPr>
            <w:r>
              <w:rPr>
                <w:rFonts w:ascii="Arial" w:cs="Arial" w:eastAsia="Arial" w:hAnsi="Arial"/>
                <w:sz w:val="15"/>
                <w:szCs w:val="15"/>
                <w:b w:val="1"/>
                <w:bCs w:val="1"/>
                <w:color w:val="auto"/>
              </w:rPr>
              <w:t>Interest Income/</w:t>
            </w:r>
          </w:p>
        </w:tc>
        <w:tc>
          <w:tcPr>
            <w:tcW w:w="1360" w:type="dxa"/>
            <w:vAlign w:val="bottom"/>
          </w:tcPr>
          <w:p>
            <w:pPr>
              <w:jc w:val="right"/>
              <w:ind w:right="23"/>
              <w:spacing w:after="0"/>
              <w:rPr>
                <w:sz w:val="20"/>
                <w:szCs w:val="20"/>
                <w:color w:val="auto"/>
              </w:rPr>
            </w:pPr>
            <w:r>
              <w:rPr>
                <w:rFonts w:ascii="Arial" w:cs="Arial" w:eastAsia="Arial" w:hAnsi="Arial"/>
                <w:sz w:val="15"/>
                <w:szCs w:val="15"/>
                <w:b w:val="1"/>
                <w:bCs w:val="1"/>
                <w:color w:val="auto"/>
              </w:rPr>
              <w:t>Average Rates</w:t>
            </w:r>
          </w:p>
        </w:tc>
      </w:tr>
      <w:tr>
        <w:trPr>
          <w:trHeight w:val="226"/>
        </w:trPr>
        <w:tc>
          <w:tcPr>
            <w:tcW w:w="3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1040" w:type="dxa"/>
            <w:vAlign w:val="bottom"/>
            <w:tcBorders>
              <w:bottom w:val="single" w:sz="8" w:color="2C6937"/>
            </w:tcBorders>
            <w:gridSpan w:val="2"/>
          </w:tcPr>
          <w:p>
            <w:pPr>
              <w:ind w:left="80"/>
              <w:spacing w:after="0"/>
              <w:rPr>
                <w:sz w:val="20"/>
                <w:szCs w:val="20"/>
                <w:color w:val="auto"/>
              </w:rPr>
            </w:pPr>
            <w:r>
              <w:rPr>
                <w:rFonts w:ascii="Arial" w:cs="Arial" w:eastAsia="Arial" w:hAnsi="Arial"/>
                <w:sz w:val="15"/>
                <w:szCs w:val="15"/>
                <w:b w:val="1"/>
                <w:bCs w:val="1"/>
                <w:color w:val="auto"/>
              </w:rPr>
              <w:t>Balance</w:t>
            </w:r>
          </w:p>
        </w:tc>
        <w:tc>
          <w:tcPr>
            <w:tcW w:w="18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tcPr>
          <w:p>
            <w:pPr>
              <w:jc w:val="right"/>
              <w:ind w:right="183"/>
              <w:spacing w:after="0"/>
              <w:rPr>
                <w:sz w:val="20"/>
                <w:szCs w:val="20"/>
                <w:color w:val="auto"/>
              </w:rPr>
            </w:pPr>
            <w:r>
              <w:rPr>
                <w:rFonts w:ascii="Arial" w:cs="Arial" w:eastAsia="Arial" w:hAnsi="Arial"/>
                <w:sz w:val="15"/>
                <w:szCs w:val="15"/>
                <w:b w:val="1"/>
                <w:bCs w:val="1"/>
                <w:color w:val="auto"/>
              </w:rPr>
              <w:t>(Expense)</w:t>
            </w:r>
          </w:p>
        </w:tc>
        <w:tc>
          <w:tcPr>
            <w:tcW w:w="1480" w:type="dxa"/>
            <w:vAlign w:val="bottom"/>
            <w:tcBorders>
              <w:bottom w:val="single" w:sz="8" w:color="2C6937"/>
            </w:tcBorders>
            <w:gridSpan w:val="2"/>
          </w:tcPr>
          <w:p>
            <w:pPr>
              <w:jc w:val="center"/>
              <w:spacing w:after="0"/>
              <w:rPr>
                <w:sz w:val="20"/>
                <w:szCs w:val="20"/>
                <w:color w:val="auto"/>
              </w:rPr>
            </w:pPr>
            <w:r>
              <w:rPr>
                <w:rFonts w:ascii="Arial" w:cs="Arial" w:eastAsia="Arial" w:hAnsi="Arial"/>
                <w:sz w:val="15"/>
                <w:szCs w:val="15"/>
                <w:b w:val="1"/>
                <w:bCs w:val="1"/>
                <w:color w:val="auto"/>
              </w:rPr>
              <w:t>Earned/Paid</w:t>
            </w:r>
          </w:p>
        </w:tc>
        <w:tc>
          <w:tcPr>
            <w:tcW w:w="180" w:type="dxa"/>
            <w:vAlign w:val="bottom"/>
            <w:tcBorders>
              <w:bottom w:val="single" w:sz="8" w:color="2C6937"/>
            </w:tcBorders>
          </w:tcPr>
          <w:p>
            <w:pPr>
              <w:spacing w:after="0"/>
              <w:rPr>
                <w:sz w:val="19"/>
                <w:szCs w:val="19"/>
                <w:color w:val="auto"/>
              </w:rPr>
            </w:pPr>
          </w:p>
        </w:tc>
        <w:tc>
          <w:tcPr>
            <w:tcW w:w="1060" w:type="dxa"/>
            <w:vAlign w:val="bottom"/>
            <w:tcBorders>
              <w:bottom w:val="single" w:sz="8" w:color="2C6937"/>
            </w:tcBorders>
            <w:gridSpan w:val="2"/>
          </w:tcPr>
          <w:p>
            <w:pPr>
              <w:ind w:left="80"/>
              <w:spacing w:after="0"/>
              <w:rPr>
                <w:sz w:val="20"/>
                <w:szCs w:val="20"/>
                <w:color w:val="auto"/>
              </w:rPr>
            </w:pPr>
            <w:r>
              <w:rPr>
                <w:rFonts w:ascii="Arial" w:cs="Arial" w:eastAsia="Arial" w:hAnsi="Arial"/>
                <w:sz w:val="15"/>
                <w:szCs w:val="15"/>
                <w:b w:val="1"/>
                <w:bCs w:val="1"/>
                <w:color w:val="auto"/>
              </w:rPr>
              <w:t>Balance</w:t>
            </w:r>
          </w:p>
        </w:tc>
        <w:tc>
          <w:tcPr>
            <w:tcW w:w="18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tcPr>
          <w:p>
            <w:pPr>
              <w:jc w:val="right"/>
              <w:ind w:right="183"/>
              <w:spacing w:after="0"/>
              <w:rPr>
                <w:sz w:val="20"/>
                <w:szCs w:val="20"/>
                <w:color w:val="auto"/>
              </w:rPr>
            </w:pPr>
            <w:r>
              <w:rPr>
                <w:rFonts w:ascii="Arial" w:cs="Arial" w:eastAsia="Arial" w:hAnsi="Arial"/>
                <w:sz w:val="15"/>
                <w:szCs w:val="15"/>
                <w:b w:val="1"/>
                <w:bCs w:val="1"/>
                <w:color w:val="auto"/>
              </w:rPr>
              <w:t>(Expense)</w:t>
            </w:r>
          </w:p>
        </w:tc>
        <w:tc>
          <w:tcPr>
            <w:tcW w:w="1360" w:type="dxa"/>
            <w:vAlign w:val="bottom"/>
            <w:tcBorders>
              <w:bottom w:val="single" w:sz="8" w:color="2C6937"/>
            </w:tcBorders>
          </w:tcPr>
          <w:p>
            <w:pPr>
              <w:jc w:val="right"/>
              <w:ind w:right="103"/>
              <w:spacing w:after="0"/>
              <w:rPr>
                <w:sz w:val="20"/>
                <w:szCs w:val="20"/>
                <w:color w:val="auto"/>
              </w:rPr>
            </w:pPr>
            <w:r>
              <w:rPr>
                <w:rFonts w:ascii="Arial" w:cs="Arial" w:eastAsia="Arial" w:hAnsi="Arial"/>
                <w:sz w:val="15"/>
                <w:szCs w:val="15"/>
                <w:b w:val="1"/>
                <w:bCs w:val="1"/>
                <w:color w:val="auto"/>
              </w:rPr>
              <w:t>Earned/Paid</w:t>
            </w:r>
          </w:p>
        </w:tc>
      </w:tr>
      <w:tr>
        <w:trPr>
          <w:trHeight w:val="226"/>
        </w:trPr>
        <w:tc>
          <w:tcPr>
            <w:tcW w:w="3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720" w:type="dxa"/>
            <w:vAlign w:val="bottom"/>
            <w:gridSpan w:val="5"/>
          </w:tcPr>
          <w:p>
            <w:pPr>
              <w:jc w:val="center"/>
              <w:ind w:left="43"/>
              <w:spacing w:after="0"/>
              <w:rPr>
                <w:sz w:val="20"/>
                <w:szCs w:val="20"/>
                <w:color w:val="auto"/>
              </w:rPr>
            </w:pPr>
            <w:r>
              <w:rPr>
                <w:rFonts w:ascii="Arial" w:cs="Arial" w:eastAsia="Arial" w:hAnsi="Arial"/>
                <w:sz w:val="15"/>
                <w:szCs w:val="15"/>
                <w:b w:val="1"/>
                <w:bCs w:val="1"/>
                <w:color w:val="auto"/>
              </w:rPr>
              <w:t>(Dollars in millions)</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2"/>
        </w:trPr>
        <w:tc>
          <w:tcPr>
            <w:tcW w:w="3400" w:type="dxa"/>
            <w:vAlign w:val="bottom"/>
            <w:gridSpan w:val="2"/>
          </w:tcPr>
          <w:p>
            <w:pPr>
              <w:ind w:left="20"/>
              <w:spacing w:after="0"/>
              <w:rPr>
                <w:sz w:val="20"/>
                <w:szCs w:val="20"/>
                <w:color w:val="auto"/>
              </w:rPr>
            </w:pPr>
            <w:r>
              <w:rPr>
                <w:rFonts w:ascii="Arial" w:cs="Arial" w:eastAsia="Arial" w:hAnsi="Arial"/>
                <w:sz w:val="15"/>
                <w:szCs w:val="15"/>
                <w:b w:val="1"/>
                <w:bCs w:val="1"/>
                <w:color w:val="auto"/>
              </w:rPr>
              <w:t>Interest-earning assets: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2"/>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Cash and cash equivalents</w:t>
            </w:r>
            <w:r>
              <w:rPr>
                <w:rFonts w:ascii="Arial" w:cs="Arial" w:eastAsia="Arial" w:hAnsi="Arial"/>
                <w:sz w:val="20"/>
                <w:szCs w:val="20"/>
                <w:color w:val="auto"/>
                <w:vertAlign w:val="superscript"/>
              </w:rPr>
              <w:t>(2)</w:t>
            </w: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46,687</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1,897</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5.42 %</w:t>
            </w:r>
          </w:p>
        </w:tc>
        <w:tc>
          <w:tcPr>
            <w:tcW w:w="100" w:type="dxa"/>
            <w:vAlign w:val="bottom"/>
          </w:tcPr>
          <w:p>
            <w:pPr>
              <w:spacing w:after="0"/>
              <w:rPr>
                <w:sz w:val="21"/>
                <w:szCs w:val="21"/>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60,521</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2,258</w:t>
            </w:r>
          </w:p>
        </w:tc>
        <w:tc>
          <w:tcPr>
            <w:tcW w:w="1360" w:type="dxa"/>
            <w:vAlign w:val="bottom"/>
          </w:tcPr>
          <w:p>
            <w:pPr>
              <w:jc w:val="right"/>
              <w:spacing w:after="0"/>
              <w:rPr>
                <w:sz w:val="20"/>
                <w:szCs w:val="20"/>
                <w:color w:val="auto"/>
              </w:rPr>
            </w:pPr>
            <w:r>
              <w:rPr>
                <w:rFonts w:ascii="Arial" w:cs="Arial" w:eastAsia="Arial" w:hAnsi="Arial"/>
                <w:sz w:val="15"/>
                <w:szCs w:val="15"/>
                <w:color w:val="auto"/>
              </w:rPr>
              <w:t>4.97 %</w:t>
            </w:r>
          </w:p>
        </w:tc>
      </w:tr>
      <w:tr>
        <w:trPr>
          <w:trHeight w:val="180"/>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Securities purchased under agreements to</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38"/>
        </w:trPr>
        <w:tc>
          <w:tcPr>
            <w:tcW w:w="3400" w:type="dxa"/>
            <w:vAlign w:val="bottom"/>
            <w:gridSpan w:val="2"/>
          </w:tcPr>
          <w:p>
            <w:pPr>
              <w:ind w:left="320"/>
              <w:spacing w:after="0"/>
              <w:rPr>
                <w:sz w:val="20"/>
                <w:szCs w:val="20"/>
                <w:color w:val="auto"/>
              </w:rPr>
            </w:pPr>
            <w:r>
              <w:rPr>
                <w:rFonts w:ascii="Arial" w:cs="Arial" w:eastAsia="Arial" w:hAnsi="Arial"/>
                <w:sz w:val="15"/>
                <w:szCs w:val="15"/>
                <w:color w:val="auto"/>
              </w:rPr>
              <w:t>resell</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46,046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1,887</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5.46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39,834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1,505</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4.98</w:t>
            </w:r>
          </w:p>
        </w:tc>
      </w:tr>
      <w:tr>
        <w:trPr>
          <w:trHeight w:val="239"/>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Investments in securities</w:t>
            </w:r>
            <w:r>
              <w:rPr>
                <w:rFonts w:ascii="Arial" w:cs="Arial" w:eastAsia="Arial" w:hAnsi="Arial"/>
                <w:sz w:val="20"/>
                <w:szCs w:val="20"/>
                <w:color w:val="auto"/>
                <w:vertAlign w:val="superscript"/>
              </w:rPr>
              <w:t>(3)</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54,371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932</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2.29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54,443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899</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2.20</w:t>
            </w:r>
          </w:p>
        </w:tc>
      </w:tr>
      <w:tr>
        <w:trPr>
          <w:trHeight w:val="204"/>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Mortgage loans:</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53"/>
        </w:trPr>
        <w:tc>
          <w:tcPr>
            <w:tcW w:w="3400" w:type="dxa"/>
            <w:vAlign w:val="bottom"/>
            <w:gridSpan w:val="2"/>
          </w:tcPr>
          <w:p>
            <w:pPr>
              <w:ind w:left="280"/>
              <w:spacing w:after="0"/>
              <w:rPr>
                <w:sz w:val="20"/>
                <w:szCs w:val="20"/>
                <w:color w:val="auto"/>
              </w:rPr>
            </w:pPr>
            <w:r>
              <w:rPr>
                <w:rFonts w:ascii="Arial" w:cs="Arial" w:eastAsia="Arial" w:hAnsi="Arial"/>
                <w:sz w:val="15"/>
                <w:szCs w:val="15"/>
                <w:color w:val="auto"/>
              </w:rPr>
              <w:t>Mortgage loans of Fannie Mae</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51,057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1,711</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4.47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52,179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1,833</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4.68</w:t>
            </w:r>
          </w:p>
        </w:tc>
      </w:tr>
      <w:tr>
        <w:trPr>
          <w:trHeight w:val="226"/>
        </w:trPr>
        <w:tc>
          <w:tcPr>
            <w:tcW w:w="3300" w:type="dxa"/>
            <w:vAlign w:val="bottom"/>
            <w:tcBorders>
              <w:bottom w:val="single" w:sz="8" w:color="2C6937"/>
            </w:tcBorders>
          </w:tcPr>
          <w:p>
            <w:pPr>
              <w:ind w:left="280"/>
              <w:spacing w:after="0"/>
              <w:rPr>
                <w:sz w:val="20"/>
                <w:szCs w:val="20"/>
                <w:color w:val="auto"/>
              </w:rPr>
            </w:pPr>
            <w:r>
              <w:rPr>
                <w:rFonts w:ascii="Arial" w:cs="Arial" w:eastAsia="Arial" w:hAnsi="Arial"/>
                <w:sz w:val="15"/>
                <w:szCs w:val="15"/>
                <w:color w:val="auto"/>
              </w:rPr>
              <w:t>Mortgage loans of consolidated trusts</w:t>
            </w:r>
          </w:p>
        </w:tc>
        <w:tc>
          <w:tcPr>
            <w:tcW w:w="10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4,091,464</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105,512</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3.44</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4,078,981</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96,670</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3.16</w:t>
            </w:r>
          </w:p>
        </w:tc>
      </w:tr>
      <w:tr>
        <w:trPr>
          <w:trHeight w:val="239"/>
        </w:trPr>
        <w:tc>
          <w:tcPr>
            <w:tcW w:w="3400" w:type="dxa"/>
            <w:vAlign w:val="bottom"/>
            <w:gridSpan w:val="2"/>
          </w:tcPr>
          <w:p>
            <w:pPr>
              <w:ind w:left="440"/>
              <w:spacing w:after="0"/>
              <w:rPr>
                <w:sz w:val="20"/>
                <w:szCs w:val="20"/>
                <w:color w:val="auto"/>
              </w:rPr>
            </w:pPr>
            <w:r>
              <w:rPr>
                <w:rFonts w:ascii="Arial" w:cs="Arial" w:eastAsia="Arial" w:hAnsi="Arial"/>
                <w:sz w:val="15"/>
                <w:szCs w:val="15"/>
                <w:color w:val="auto"/>
              </w:rPr>
              <w:t>Total mortgage loans</w:t>
            </w:r>
            <w:r>
              <w:rPr>
                <w:rFonts w:ascii="Arial" w:cs="Arial" w:eastAsia="Arial" w:hAnsi="Arial"/>
                <w:sz w:val="20"/>
                <w:szCs w:val="20"/>
                <w:color w:val="auto"/>
                <w:vertAlign w:val="superscript"/>
              </w:rPr>
              <w:t>(4)</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4,142,521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107,223</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3.45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4,131,160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98,503</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3.18</w:t>
            </w:r>
          </w:p>
        </w:tc>
      </w:tr>
      <w:tr>
        <w:trPr>
          <w:trHeight w:val="218"/>
        </w:trPr>
        <w:tc>
          <w:tcPr>
            <w:tcW w:w="330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Advances to lenders</w:t>
            </w: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2,882</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146</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6.75</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3,379</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160</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6.24</w:t>
            </w:r>
          </w:p>
        </w:tc>
      </w:tr>
      <w:tr>
        <w:trPr>
          <w:trHeight w:val="225"/>
        </w:trPr>
        <w:tc>
          <w:tcPr>
            <w:tcW w:w="3400" w:type="dxa"/>
            <w:vAlign w:val="bottom"/>
            <w:gridSpan w:val="2"/>
          </w:tcPr>
          <w:p>
            <w:pPr>
              <w:ind w:left="20"/>
              <w:spacing w:after="0"/>
              <w:rPr>
                <w:sz w:val="20"/>
                <w:szCs w:val="20"/>
                <w:color w:val="auto"/>
              </w:rPr>
            </w:pPr>
            <w:r>
              <w:rPr>
                <w:rFonts w:ascii="Arial" w:cs="Arial" w:eastAsia="Arial" w:hAnsi="Arial"/>
                <w:sz w:val="15"/>
                <w:szCs w:val="15"/>
                <w:color w:val="auto"/>
              </w:rPr>
              <w:t>Total interest-earning assets</w:t>
            </w: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4,292,507</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112,085</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3.48 %</w:t>
            </w:r>
          </w:p>
        </w:tc>
        <w:tc>
          <w:tcPr>
            <w:tcW w:w="100" w:type="dxa"/>
            <w:vAlign w:val="bottom"/>
          </w:tcPr>
          <w:p>
            <w:pPr>
              <w:spacing w:after="0"/>
              <w:rPr>
                <w:sz w:val="19"/>
                <w:szCs w:val="19"/>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4,289,337</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103,325</w:t>
            </w:r>
          </w:p>
        </w:tc>
        <w:tc>
          <w:tcPr>
            <w:tcW w:w="1360" w:type="dxa"/>
            <w:vAlign w:val="bottom"/>
          </w:tcPr>
          <w:p>
            <w:pPr>
              <w:jc w:val="right"/>
              <w:spacing w:after="0"/>
              <w:rPr>
                <w:sz w:val="20"/>
                <w:szCs w:val="20"/>
                <w:color w:val="auto"/>
              </w:rPr>
            </w:pPr>
            <w:r>
              <w:rPr>
                <w:rFonts w:ascii="Arial" w:cs="Arial" w:eastAsia="Arial" w:hAnsi="Arial"/>
                <w:sz w:val="15"/>
                <w:szCs w:val="15"/>
                <w:color w:val="auto"/>
              </w:rPr>
              <w:t>3.21 %</w:t>
            </w:r>
          </w:p>
        </w:tc>
      </w:tr>
      <w:tr>
        <w:trPr>
          <w:trHeight w:val="20"/>
        </w:trPr>
        <w:tc>
          <w:tcPr>
            <w:tcW w:w="33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1080" w:type="dxa"/>
            <w:vAlign w:val="bottom"/>
            <w:tcBorders>
              <w:bottom w:val="single" w:sz="8" w:color="2C6937"/>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9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1080" w:type="dxa"/>
            <w:vAlign w:val="bottom"/>
            <w:tcBorders>
              <w:bottom w:val="single" w:sz="8" w:color="2C6937"/>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7"/>
        </w:trPr>
        <w:tc>
          <w:tcPr>
            <w:tcW w:w="3400" w:type="dxa"/>
            <w:vAlign w:val="bottom"/>
            <w:gridSpan w:val="2"/>
          </w:tcPr>
          <w:p>
            <w:pPr>
              <w:ind w:left="20"/>
              <w:spacing w:after="0"/>
              <w:rPr>
                <w:sz w:val="20"/>
                <w:szCs w:val="20"/>
                <w:color w:val="auto"/>
              </w:rPr>
            </w:pPr>
            <w:r>
              <w:rPr>
                <w:rFonts w:ascii="Arial" w:cs="Arial" w:eastAsia="Arial" w:hAnsi="Arial"/>
                <w:sz w:val="15"/>
                <w:szCs w:val="15"/>
                <w:b w:val="1"/>
                <w:bCs w:val="1"/>
                <w:color w:val="auto"/>
              </w:rPr>
              <w:t>Interest-bearing liabilities: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45"/>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Short-term funding debt</w:t>
            </w: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11,808</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(462)</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5.22 %</w:t>
            </w:r>
          </w:p>
        </w:tc>
        <w:tc>
          <w:tcPr>
            <w:tcW w:w="100" w:type="dxa"/>
            <w:vAlign w:val="bottom"/>
          </w:tcPr>
          <w:p>
            <w:pPr>
              <w:spacing w:after="0"/>
              <w:rPr>
                <w:sz w:val="21"/>
                <w:szCs w:val="21"/>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13,628</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(503)</w:t>
            </w:r>
          </w:p>
        </w:tc>
        <w:tc>
          <w:tcPr>
            <w:tcW w:w="1360" w:type="dxa"/>
            <w:vAlign w:val="bottom"/>
          </w:tcPr>
          <w:p>
            <w:pPr>
              <w:jc w:val="right"/>
              <w:spacing w:after="0"/>
              <w:rPr>
                <w:sz w:val="20"/>
                <w:szCs w:val="20"/>
                <w:color w:val="auto"/>
              </w:rPr>
            </w:pPr>
            <w:r>
              <w:rPr>
                <w:rFonts w:ascii="Arial" w:cs="Arial" w:eastAsia="Arial" w:hAnsi="Arial"/>
                <w:sz w:val="15"/>
                <w:szCs w:val="15"/>
                <w:color w:val="auto"/>
              </w:rPr>
              <w:t>4.87 %</w:t>
            </w:r>
          </w:p>
        </w:tc>
      </w:tr>
      <w:tr>
        <w:trPr>
          <w:trHeight w:val="232"/>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Long-term funding debt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103,133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(2,854)</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3.69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116,433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(2,686)</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3.08</w:t>
            </w:r>
          </w:p>
        </w:tc>
      </w:tr>
      <w:tr>
        <w:trPr>
          <w:trHeight w:val="226"/>
        </w:trPr>
        <w:tc>
          <w:tcPr>
            <w:tcW w:w="330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CAS debt</w:t>
            </w:r>
          </w:p>
        </w:tc>
        <w:tc>
          <w:tcPr>
            <w:tcW w:w="10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2,422</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(207)</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11.40</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4,381</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(332)</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10.10</w:t>
            </w:r>
          </w:p>
        </w:tc>
      </w:tr>
      <w:tr>
        <w:trPr>
          <w:trHeight w:val="231"/>
        </w:trPr>
        <w:tc>
          <w:tcPr>
            <w:tcW w:w="3400" w:type="dxa"/>
            <w:vAlign w:val="bottom"/>
            <w:gridSpan w:val="2"/>
          </w:tcPr>
          <w:p>
            <w:pPr>
              <w:ind w:left="320"/>
              <w:spacing w:after="0"/>
              <w:rPr>
                <w:sz w:val="20"/>
                <w:szCs w:val="20"/>
                <w:color w:val="auto"/>
              </w:rPr>
            </w:pPr>
            <w:r>
              <w:rPr>
                <w:rFonts w:ascii="Arial" w:cs="Arial" w:eastAsia="Arial" w:hAnsi="Arial"/>
                <w:sz w:val="15"/>
                <w:szCs w:val="15"/>
                <w:color w:val="auto"/>
              </w:rPr>
              <w:t>Total debt of Fannie Mae</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117,363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(3,523)</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4.00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134,442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(3,521)</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3.49</w:t>
            </w:r>
          </w:p>
        </w:tc>
      </w:tr>
      <w:tr>
        <w:trPr>
          <w:trHeight w:val="188"/>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Debt securities of consolidated trusts held by</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1"/>
        </w:trPr>
        <w:tc>
          <w:tcPr>
            <w:tcW w:w="330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third parties</w:t>
            </w:r>
          </w:p>
        </w:tc>
        <w:tc>
          <w:tcPr>
            <w:tcW w:w="10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4,084,450</w:t>
            </w:r>
          </w:p>
        </w:tc>
        <w:tc>
          <w:tcPr>
            <w:tcW w:w="10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(86,996)</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2.84</w:t>
            </w:r>
          </w:p>
        </w:tc>
        <w:tc>
          <w:tcPr>
            <w:tcW w:w="10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4,081,140</w:t>
            </w:r>
          </w:p>
        </w:tc>
        <w:tc>
          <w:tcPr>
            <w:tcW w:w="10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(78,763)</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2.57</w:t>
            </w:r>
          </w:p>
        </w:tc>
      </w:tr>
      <w:tr>
        <w:trPr>
          <w:trHeight w:val="225"/>
        </w:trPr>
        <w:tc>
          <w:tcPr>
            <w:tcW w:w="3400" w:type="dxa"/>
            <w:vAlign w:val="bottom"/>
            <w:gridSpan w:val="2"/>
          </w:tcPr>
          <w:p>
            <w:pPr>
              <w:ind w:left="20"/>
              <w:spacing w:after="0"/>
              <w:rPr>
                <w:sz w:val="20"/>
                <w:szCs w:val="20"/>
                <w:color w:val="auto"/>
              </w:rPr>
            </w:pPr>
            <w:r>
              <w:rPr>
                <w:rFonts w:ascii="Arial" w:cs="Arial" w:eastAsia="Arial" w:hAnsi="Arial"/>
                <w:sz w:val="15"/>
                <w:szCs w:val="15"/>
                <w:color w:val="auto"/>
              </w:rPr>
              <w:t>Total interest-bearing liabilities</w:t>
            </w: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4,201,813</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(90,519)</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2.87 %</w:t>
            </w:r>
          </w:p>
        </w:tc>
        <w:tc>
          <w:tcPr>
            <w:tcW w:w="100" w:type="dxa"/>
            <w:vAlign w:val="bottom"/>
          </w:tcPr>
          <w:p>
            <w:pPr>
              <w:spacing w:after="0"/>
              <w:rPr>
                <w:sz w:val="19"/>
                <w:szCs w:val="19"/>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4,215,582</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(82,284)</w:t>
            </w:r>
          </w:p>
        </w:tc>
        <w:tc>
          <w:tcPr>
            <w:tcW w:w="1360" w:type="dxa"/>
            <w:vAlign w:val="bottom"/>
          </w:tcPr>
          <w:p>
            <w:pPr>
              <w:jc w:val="right"/>
              <w:spacing w:after="0"/>
              <w:rPr>
                <w:sz w:val="20"/>
                <w:szCs w:val="20"/>
                <w:color w:val="auto"/>
              </w:rPr>
            </w:pPr>
            <w:r>
              <w:rPr>
                <w:rFonts w:ascii="Arial" w:cs="Arial" w:eastAsia="Arial" w:hAnsi="Arial"/>
                <w:sz w:val="15"/>
                <w:szCs w:val="15"/>
                <w:color w:val="auto"/>
              </w:rPr>
              <w:t>2.60 %</w:t>
            </w:r>
          </w:p>
        </w:tc>
      </w:tr>
      <w:tr>
        <w:trPr>
          <w:trHeight w:val="40"/>
        </w:trPr>
        <w:tc>
          <w:tcPr>
            <w:tcW w:w="3300" w:type="dxa"/>
            <w:vAlign w:val="bottom"/>
            <w:tcBorders>
              <w:top w:val="single" w:sz="8" w:color="2C6937"/>
              <w:bottom w:val="single" w:sz="8" w:color="2C6937"/>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top w:val="single" w:sz="8" w:color="2C6937"/>
              <w:bottom w:val="single" w:sz="8" w:color="2C6937"/>
            </w:tcBorders>
          </w:tcPr>
          <w:p>
            <w:pPr>
              <w:spacing w:after="0"/>
              <w:rPr>
                <w:sz w:val="3"/>
                <w:szCs w:val="3"/>
                <w:color w:val="auto"/>
              </w:rPr>
            </w:pPr>
          </w:p>
        </w:tc>
        <w:tc>
          <w:tcPr>
            <w:tcW w:w="940" w:type="dxa"/>
            <w:vAlign w:val="bottom"/>
            <w:tcBorders>
              <w:top w:val="single" w:sz="8" w:color="2C6937"/>
              <w:bottom w:val="single" w:sz="8" w:color="2C6937"/>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2C6937"/>
            </w:tcBorders>
          </w:tcPr>
          <w:p>
            <w:pPr>
              <w:spacing w:after="0"/>
              <w:rPr>
                <w:sz w:val="3"/>
                <w:szCs w:val="3"/>
                <w:color w:val="auto"/>
              </w:rPr>
            </w:pPr>
          </w:p>
        </w:tc>
        <w:tc>
          <w:tcPr>
            <w:tcW w:w="1080" w:type="dxa"/>
            <w:vAlign w:val="bottom"/>
            <w:tcBorders>
              <w:bottom w:val="single" w:sz="8" w:color="2C6937"/>
            </w:tcBorders>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top w:val="single" w:sz="8" w:color="2C6937"/>
              <w:bottom w:val="single" w:sz="8" w:color="2C6937"/>
            </w:tcBorders>
          </w:tcPr>
          <w:p>
            <w:pPr>
              <w:spacing w:after="0"/>
              <w:rPr>
                <w:sz w:val="3"/>
                <w:szCs w:val="3"/>
                <w:color w:val="auto"/>
              </w:rPr>
            </w:pPr>
          </w:p>
        </w:tc>
        <w:tc>
          <w:tcPr>
            <w:tcW w:w="960" w:type="dxa"/>
            <w:vAlign w:val="bottom"/>
            <w:tcBorders>
              <w:top w:val="single" w:sz="8" w:color="2C6937"/>
              <w:bottom w:val="single" w:sz="8" w:color="2C6937"/>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2C6937"/>
            </w:tcBorders>
          </w:tcPr>
          <w:p>
            <w:pPr>
              <w:spacing w:after="0"/>
              <w:rPr>
                <w:sz w:val="3"/>
                <w:szCs w:val="3"/>
                <w:color w:val="auto"/>
              </w:rPr>
            </w:pPr>
          </w:p>
        </w:tc>
        <w:tc>
          <w:tcPr>
            <w:tcW w:w="1080" w:type="dxa"/>
            <w:vAlign w:val="bottom"/>
            <w:tcBorders>
              <w:bottom w:val="single" w:sz="8" w:color="2C6937"/>
            </w:tcBorders>
          </w:tcPr>
          <w:p>
            <w:pPr>
              <w:spacing w:after="0"/>
              <w:rPr>
                <w:sz w:val="3"/>
                <w:szCs w:val="3"/>
                <w:color w:val="auto"/>
              </w:rPr>
            </w:pPr>
          </w:p>
        </w:tc>
        <w:tc>
          <w:tcPr>
            <w:tcW w:w="1360" w:type="dxa"/>
            <w:vAlign w:val="bottom"/>
          </w:tcPr>
          <w:p>
            <w:pPr>
              <w:spacing w:after="0"/>
              <w:rPr>
                <w:sz w:val="3"/>
                <w:szCs w:val="3"/>
                <w:color w:val="auto"/>
              </w:rPr>
            </w:pPr>
          </w:p>
        </w:tc>
      </w:tr>
      <w:tr>
        <w:trPr>
          <w:trHeight w:val="178"/>
        </w:trPr>
        <w:tc>
          <w:tcPr>
            <w:tcW w:w="3400" w:type="dxa"/>
            <w:vAlign w:val="bottom"/>
            <w:gridSpan w:val="2"/>
          </w:tcPr>
          <w:p>
            <w:pPr>
              <w:ind w:left="20"/>
              <w:spacing w:after="0"/>
              <w:rPr>
                <w:sz w:val="20"/>
                <w:szCs w:val="20"/>
                <w:color w:val="auto"/>
              </w:rPr>
            </w:pPr>
            <w:r>
              <w:rPr>
                <w:rFonts w:ascii="Arial" w:cs="Arial" w:eastAsia="Arial" w:hAnsi="Arial"/>
                <w:sz w:val="15"/>
                <w:szCs w:val="15"/>
                <w:color w:val="auto"/>
              </w:rPr>
              <w:t>Net interest income/net interest yield</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2C6937"/>
            </w:tcBorders>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21,566</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0.67 %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21,041</w:t>
            </w:r>
          </w:p>
        </w:tc>
        <w:tc>
          <w:tcPr>
            <w:tcW w:w="1360" w:type="dxa"/>
            <w:vAlign w:val="bottom"/>
          </w:tcPr>
          <w:p>
            <w:pPr>
              <w:jc w:val="right"/>
              <w:spacing w:after="0"/>
              <w:rPr>
                <w:sz w:val="20"/>
                <w:szCs w:val="20"/>
                <w:color w:val="auto"/>
              </w:rPr>
            </w:pPr>
            <w:r>
              <w:rPr>
                <w:rFonts w:ascii="Arial" w:cs="Arial" w:eastAsia="Arial" w:hAnsi="Arial"/>
                <w:sz w:val="15"/>
                <w:szCs w:val="15"/>
                <w:color w:val="auto"/>
              </w:rPr>
              <w:t>0.65 %</w:t>
            </w:r>
          </w:p>
        </w:tc>
      </w:tr>
      <w:tr>
        <w:trPr>
          <w:trHeight w:val="20"/>
        </w:trPr>
        <w:tc>
          <w:tcPr>
            <w:tcW w:w="3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1080" w:type="dxa"/>
            <w:vAlign w:val="bottom"/>
            <w:tcBorders>
              <w:bottom w:val="single" w:sz="8" w:color="2C6937"/>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1080" w:type="dxa"/>
            <w:vAlign w:val="bottom"/>
            <w:tcBorders>
              <w:bottom w:val="single" w:sz="8" w:color="2C6937"/>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95" w:lineRule="exact"/>
        <w:rPr>
          <w:sz w:val="20"/>
          <w:szCs w:val="20"/>
          <w:color w:val="auto"/>
        </w:rPr>
      </w:pPr>
    </w:p>
    <w:p>
      <w:pPr>
        <w:ind w:left="220" w:hanging="217"/>
        <w:spacing w:after="0"/>
        <w:tabs>
          <w:tab w:leader="none" w:pos="22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Includes the effects of discounts, premiums and other cost basis adjustments, including basis adjustments related to hedge accounting.</w:t>
      </w:r>
    </w:p>
    <w:p>
      <w:pPr>
        <w:spacing w:after="0" w:line="37" w:lineRule="exact"/>
        <w:rPr>
          <w:rFonts w:ascii="Arial" w:cs="Arial" w:eastAsia="Arial" w:hAnsi="Arial"/>
          <w:sz w:val="18"/>
          <w:szCs w:val="18"/>
          <w:color w:val="auto"/>
          <w:vertAlign w:val="superscript"/>
        </w:rPr>
      </w:pPr>
    </w:p>
    <w:p>
      <w:pPr>
        <w:ind w:left="240" w:right="20" w:hanging="237"/>
        <w:spacing w:after="0" w:line="222" w:lineRule="auto"/>
        <w:tabs>
          <w:tab w:leader="none" w:pos="27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Prior to March 31, 2024, “Cash and cash equivalents” were previously reported within “Investments in securities.” Prior periods have been updated to conform to the current period presentation. Cash equivalents are composed of overnight reverse repurchase agreements and U.S. Treasuries, if any, that have a maturity at the date of acquisition of three months or less.</w:t>
      </w:r>
    </w:p>
    <w:p>
      <w:pPr>
        <w:spacing w:after="0" w:line="1"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Consists of U.S. Treasuries not classified as cash equivalents and mortgage-related securities.</w:t>
      </w:r>
    </w:p>
    <w:p>
      <w:pPr>
        <w:spacing w:after="0" w:line="37" w:lineRule="exact"/>
        <w:rPr>
          <w:rFonts w:ascii="Arial" w:cs="Arial" w:eastAsia="Arial" w:hAnsi="Arial"/>
          <w:sz w:val="18"/>
          <w:szCs w:val="18"/>
          <w:color w:val="auto"/>
          <w:vertAlign w:val="superscript"/>
        </w:rPr>
      </w:pPr>
    </w:p>
    <w:p>
      <w:pPr>
        <w:ind w:left="240" w:right="80" w:hanging="237"/>
        <w:spacing w:after="0" w:line="238" w:lineRule="auto"/>
        <w:tabs>
          <w:tab w:leader="none" w:pos="216" w:val="left"/>
        </w:tabs>
        <w:numPr>
          <w:ilvl w:val="0"/>
          <w:numId w:val="16"/>
        </w:numPr>
        <w:rPr>
          <w:rFonts w:ascii="Arial" w:cs="Arial" w:eastAsia="Arial" w:hAnsi="Arial"/>
          <w:sz w:val="17"/>
          <w:szCs w:val="17"/>
          <w:color w:val="auto"/>
          <w:vertAlign w:val="superscript"/>
        </w:rPr>
      </w:pPr>
      <w:r>
        <w:rPr>
          <w:rFonts w:ascii="Arial" w:cs="Arial" w:eastAsia="Arial" w:hAnsi="Arial"/>
          <w:sz w:val="13"/>
          <w:szCs w:val="13"/>
          <w:color w:val="auto"/>
        </w:rPr>
        <w:t>Average balance includes mortgage loans on nonaccrual status. Interest income includes loan fees of $711 million and $2.1 billion, respectively, for the third quarter of 2024 and first nine months of 2024, compared with $722 million and $2.1 billion, respectively, for the third quarter of 2023 and first nine months of 2023. Loan fees primarily consist of yield maintenance revenue we recognized on the prepayment of multifamily mortgage loans and the amortization of upfront cash fees exchanged when we acquire the mortgage loan.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2024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11</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60" w:type="dxa"/>
            <w:vAlign w:val="bottom"/>
            <w:tcBorders>
              <w:bottom w:val="single" w:sz="8" w:color="9A9A9A"/>
            </w:tcBorders>
          </w:tcPr>
          <w:p>
            <w:pPr>
              <w:spacing w:after="0"/>
              <w:rPr>
                <w:sz w:val="16"/>
                <w:szCs w:val="16"/>
                <w:color w:val="auto"/>
              </w:rPr>
            </w:pPr>
          </w:p>
        </w:tc>
        <w:tc>
          <w:tcPr>
            <w:tcW w:w="428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4" w:name="page15"/>
    <w:bookmarkEnd w:id="14"/>
    <w:p>
      <w:pPr>
        <w:ind w:left="844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Fair Value Gains (Losses), Net</w:t>
      </w:r>
    </w:p>
    <w:p>
      <w:pPr>
        <w:spacing w:after="0" w:line="63" w:lineRule="exact"/>
        <w:rPr>
          <w:sz w:val="20"/>
          <w:szCs w:val="20"/>
          <w:color w:val="auto"/>
        </w:rPr>
      </w:pPr>
    </w:p>
    <w:p>
      <w:pPr>
        <w:jc w:val="both"/>
        <w:ind w:right="140"/>
        <w:spacing w:after="0" w:line="281" w:lineRule="auto"/>
        <w:rPr>
          <w:sz w:val="20"/>
          <w:szCs w:val="20"/>
          <w:color w:val="auto"/>
        </w:rPr>
      </w:pPr>
      <w:r>
        <w:rPr>
          <w:rFonts w:ascii="Arial" w:cs="Arial" w:eastAsia="Arial" w:hAnsi="Arial"/>
          <w:sz w:val="16"/>
          <w:szCs w:val="16"/>
          <w:color w:val="auto"/>
        </w:rPr>
        <w:t>The estimated fair value of our derivatives, trading securities and other financial instruments carried at fair value may fluctuate substantially from period to period because of changes in interest rates, the yield curve, mortgage and credit spreads and implied volatility, as well as activity related to these financial instruments.</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displays the components of our fair value gains and losses.</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Fair Value Gains (Losses), Net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40" w:type="dxa"/>
            <w:vAlign w:val="bottom"/>
            <w:tcBorders>
              <w:top w:val="single" w:sz="8" w:color="2C6937"/>
            </w:tcBorders>
          </w:tcPr>
          <w:p>
            <w:pPr>
              <w:spacing w:after="0"/>
              <w:rPr>
                <w:sz w:val="14"/>
                <w:szCs w:val="14"/>
                <w:color w:val="auto"/>
              </w:rPr>
            </w:pPr>
          </w:p>
        </w:tc>
        <w:tc>
          <w:tcPr>
            <w:tcW w:w="140" w:type="dxa"/>
            <w:vAlign w:val="bottom"/>
            <w:tcBorders>
              <w:top w:val="single" w:sz="8" w:color="2C6937"/>
            </w:tcBorders>
          </w:tcPr>
          <w:p>
            <w:pPr>
              <w:spacing w:after="0"/>
              <w:rPr>
                <w:sz w:val="14"/>
                <w:szCs w:val="14"/>
                <w:color w:val="auto"/>
              </w:rPr>
            </w:pPr>
          </w:p>
        </w:tc>
        <w:tc>
          <w:tcPr>
            <w:tcW w:w="2140" w:type="dxa"/>
            <w:vAlign w:val="bottom"/>
            <w:tcBorders>
              <w:top w:val="single" w:sz="8" w:color="2C6937"/>
            </w:tcBorders>
            <w:gridSpan w:val="6"/>
          </w:tcPr>
          <w:p>
            <w:pPr>
              <w:jc w:val="center"/>
              <w:ind w:right="140"/>
              <w:spacing w:after="0"/>
              <w:rPr>
                <w:sz w:val="20"/>
                <w:szCs w:val="20"/>
                <w:color w:val="auto"/>
              </w:rPr>
            </w:pPr>
            <w:r>
              <w:rPr>
                <w:rFonts w:ascii="Arial" w:cs="Arial" w:eastAsia="Arial" w:hAnsi="Arial"/>
                <w:sz w:val="14"/>
                <w:szCs w:val="14"/>
                <w:b w:val="1"/>
                <w:bCs w:val="1"/>
                <w:color w:val="auto"/>
                <w:w w:val="99"/>
              </w:rPr>
              <w:t>For the Three Months Ended</w:t>
            </w:r>
          </w:p>
        </w:tc>
        <w:tc>
          <w:tcPr>
            <w:tcW w:w="100" w:type="dxa"/>
            <w:vAlign w:val="bottom"/>
            <w:tcBorders>
              <w:top w:val="single" w:sz="8" w:color="2C6937"/>
            </w:tcBorders>
          </w:tcPr>
          <w:p>
            <w:pPr>
              <w:spacing w:after="0"/>
              <w:rPr>
                <w:sz w:val="14"/>
                <w:szCs w:val="14"/>
                <w:color w:val="auto"/>
              </w:rPr>
            </w:pPr>
          </w:p>
        </w:tc>
        <w:tc>
          <w:tcPr>
            <w:tcW w:w="1900" w:type="dxa"/>
            <w:vAlign w:val="bottom"/>
            <w:tcBorders>
              <w:top w:val="single" w:sz="8" w:color="2C6937"/>
            </w:tcBorders>
            <w:gridSpan w:val="4"/>
          </w:tcPr>
          <w:p>
            <w:pPr>
              <w:jc w:val="right"/>
              <w:ind w:right="23"/>
              <w:spacing w:after="0"/>
              <w:rPr>
                <w:sz w:val="20"/>
                <w:szCs w:val="20"/>
                <w:color w:val="auto"/>
              </w:rPr>
            </w:pPr>
            <w:r>
              <w:rPr>
                <w:rFonts w:ascii="Arial" w:cs="Arial" w:eastAsia="Arial" w:hAnsi="Arial"/>
                <w:sz w:val="14"/>
                <w:szCs w:val="14"/>
                <w:b w:val="1"/>
                <w:bCs w:val="1"/>
                <w:color w:val="auto"/>
                <w:w w:val="97"/>
              </w:rPr>
              <w:t>For the Nine Months Ended</w:t>
            </w:r>
          </w:p>
        </w:tc>
      </w:tr>
      <w:tr>
        <w:trPr>
          <w:trHeight w:val="177"/>
        </w:trPr>
        <w:tc>
          <w:tcPr>
            <w:tcW w:w="6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6"/>
              </w:rPr>
              <w:t>September 30,</w:t>
            </w:r>
          </w:p>
        </w:tc>
        <w:tc>
          <w:tcPr>
            <w:tcW w:w="100" w:type="dxa"/>
            <w:vAlign w:val="bottom"/>
          </w:tcPr>
          <w:p>
            <w:pPr>
              <w:spacing w:after="0"/>
              <w:rPr>
                <w:sz w:val="15"/>
                <w:szCs w:val="15"/>
                <w:color w:val="auto"/>
              </w:rPr>
            </w:pPr>
          </w:p>
        </w:tc>
        <w:tc>
          <w:tcPr>
            <w:tcW w:w="1900" w:type="dxa"/>
            <w:vAlign w:val="bottom"/>
            <w:gridSpan w:val="4"/>
          </w:tcPr>
          <w:p>
            <w:pPr>
              <w:jc w:val="right"/>
              <w:ind w:right="463"/>
              <w:spacing w:after="0"/>
              <w:rPr>
                <w:sz w:val="20"/>
                <w:szCs w:val="20"/>
                <w:color w:val="auto"/>
              </w:rPr>
            </w:pPr>
            <w:r>
              <w:rPr>
                <w:rFonts w:ascii="Arial" w:cs="Arial" w:eastAsia="Arial" w:hAnsi="Arial"/>
                <w:sz w:val="14"/>
                <w:szCs w:val="14"/>
                <w:b w:val="1"/>
                <w:bCs w:val="1"/>
                <w:color w:val="auto"/>
              </w:rPr>
              <w:t>September 30,</w:t>
            </w:r>
          </w:p>
        </w:tc>
      </w:tr>
      <w:tr>
        <w:trPr>
          <w:trHeight w:val="185"/>
        </w:trPr>
        <w:tc>
          <w:tcPr>
            <w:tcW w:w="6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top w:val="single" w:sz="8" w:color="2C6937"/>
              <w:bottom w:val="single" w:sz="8" w:color="2C6937"/>
            </w:tcBorders>
          </w:tcPr>
          <w:p>
            <w:pPr>
              <w:spacing w:after="0"/>
              <w:rPr>
                <w:sz w:val="16"/>
                <w:szCs w:val="16"/>
                <w:color w:val="auto"/>
              </w:rPr>
            </w:pPr>
          </w:p>
        </w:tc>
        <w:tc>
          <w:tcPr>
            <w:tcW w:w="720" w:type="dxa"/>
            <w:vAlign w:val="bottom"/>
            <w:tcBorders>
              <w:top w:val="single" w:sz="8" w:color="2C6937"/>
              <w:bottom w:val="single" w:sz="8" w:color="2C6937"/>
            </w:tcBorders>
          </w:tcPr>
          <w:p>
            <w:pPr>
              <w:jc w:val="right"/>
              <w:ind w:right="224"/>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top w:val="single" w:sz="8" w:color="2C6937"/>
              <w:bottom w:val="single" w:sz="8" w:color="2C6937"/>
            </w:tcBorders>
          </w:tcPr>
          <w:p>
            <w:pPr>
              <w:spacing w:after="0"/>
              <w:rPr>
                <w:sz w:val="16"/>
                <w:szCs w:val="16"/>
                <w:color w:val="auto"/>
              </w:rPr>
            </w:pPr>
          </w:p>
        </w:tc>
        <w:tc>
          <w:tcPr>
            <w:tcW w:w="200" w:type="dxa"/>
            <w:vAlign w:val="bottom"/>
            <w:tcBorders>
              <w:top w:val="single" w:sz="8" w:color="2C6937"/>
              <w:bottom w:val="single" w:sz="8" w:color="2C6937"/>
            </w:tcBorders>
          </w:tcPr>
          <w:p>
            <w:pPr>
              <w:spacing w:after="0"/>
              <w:rPr>
                <w:sz w:val="16"/>
                <w:szCs w:val="16"/>
                <w:color w:val="auto"/>
              </w:rPr>
            </w:pPr>
          </w:p>
        </w:tc>
        <w:tc>
          <w:tcPr>
            <w:tcW w:w="720" w:type="dxa"/>
            <w:vAlign w:val="bottom"/>
            <w:tcBorders>
              <w:top w:val="single" w:sz="8" w:color="2C6937"/>
              <w:bottom w:val="single" w:sz="8" w:color="2C6937"/>
            </w:tcBorders>
          </w:tcPr>
          <w:p>
            <w:pPr>
              <w:jc w:val="right"/>
              <w:ind w:right="244"/>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2C6937"/>
            </w:tcBorders>
          </w:tcPr>
          <w:p>
            <w:pPr>
              <w:spacing w:after="0"/>
              <w:rPr>
                <w:sz w:val="16"/>
                <w:szCs w:val="16"/>
                <w:color w:val="auto"/>
              </w:rPr>
            </w:pPr>
          </w:p>
        </w:tc>
        <w:tc>
          <w:tcPr>
            <w:tcW w:w="100" w:type="dxa"/>
            <w:vAlign w:val="bottom"/>
            <w:tcBorders>
              <w:top w:val="single" w:sz="8" w:color="2C6937"/>
              <w:bottom w:val="single" w:sz="8" w:color="2C6937"/>
            </w:tcBorders>
          </w:tcPr>
          <w:p>
            <w:pPr>
              <w:spacing w:after="0"/>
              <w:rPr>
                <w:sz w:val="16"/>
                <w:szCs w:val="16"/>
                <w:color w:val="auto"/>
              </w:rPr>
            </w:pPr>
          </w:p>
        </w:tc>
        <w:tc>
          <w:tcPr>
            <w:tcW w:w="820" w:type="dxa"/>
            <w:vAlign w:val="bottom"/>
            <w:tcBorders>
              <w:top w:val="single" w:sz="8" w:color="2C6937"/>
              <w:bottom w:val="single" w:sz="8" w:color="2C6937"/>
            </w:tcBorders>
          </w:tcPr>
          <w:p>
            <w:pPr>
              <w:jc w:val="right"/>
              <w:ind w:right="224"/>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top w:val="single" w:sz="8" w:color="2C6937"/>
              <w:bottom w:val="single" w:sz="8" w:color="2C6937"/>
            </w:tcBorders>
          </w:tcPr>
          <w:p>
            <w:pPr>
              <w:spacing w:after="0"/>
              <w:rPr>
                <w:sz w:val="16"/>
                <w:szCs w:val="16"/>
                <w:color w:val="auto"/>
              </w:rPr>
            </w:pPr>
          </w:p>
        </w:tc>
        <w:tc>
          <w:tcPr>
            <w:tcW w:w="200" w:type="dxa"/>
            <w:vAlign w:val="bottom"/>
            <w:tcBorders>
              <w:top w:val="single" w:sz="8" w:color="2C6937"/>
              <w:bottom w:val="single" w:sz="8" w:color="2C6937"/>
            </w:tcBorders>
          </w:tcPr>
          <w:p>
            <w:pPr>
              <w:spacing w:after="0"/>
              <w:rPr>
                <w:sz w:val="16"/>
                <w:szCs w:val="16"/>
                <w:color w:val="auto"/>
              </w:rPr>
            </w:pPr>
          </w:p>
        </w:tc>
        <w:tc>
          <w:tcPr>
            <w:tcW w:w="720" w:type="dxa"/>
            <w:vAlign w:val="bottom"/>
            <w:tcBorders>
              <w:top w:val="single" w:sz="8" w:color="2C6937"/>
              <w:bottom w:val="single" w:sz="8" w:color="2C6937"/>
            </w:tcBorders>
          </w:tcPr>
          <w:p>
            <w:pPr>
              <w:jc w:val="right"/>
              <w:ind w:right="243"/>
              <w:spacing w:after="0"/>
              <w:rPr>
                <w:sz w:val="20"/>
                <w:szCs w:val="20"/>
                <w:color w:val="auto"/>
              </w:rPr>
            </w:pPr>
            <w:r>
              <w:rPr>
                <w:rFonts w:ascii="Arial" w:cs="Arial" w:eastAsia="Arial" w:hAnsi="Arial"/>
                <w:sz w:val="14"/>
                <w:szCs w:val="14"/>
                <w:b w:val="1"/>
                <w:bCs w:val="1"/>
                <w:color w:val="auto"/>
              </w:rPr>
              <w:t>2023</w:t>
            </w:r>
          </w:p>
        </w:tc>
      </w:tr>
      <w:tr>
        <w:trPr>
          <w:trHeight w:val="185"/>
        </w:trPr>
        <w:tc>
          <w:tcPr>
            <w:tcW w:w="6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gridSpan w:val="5"/>
          </w:tcPr>
          <w:p>
            <w:pPr>
              <w:ind w:left="16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06"/>
        </w:trPr>
        <w:tc>
          <w:tcPr>
            <w:tcW w:w="7080" w:type="dxa"/>
            <w:vAlign w:val="bottom"/>
            <w:gridSpan w:val="2"/>
          </w:tcPr>
          <w:p>
            <w:pPr>
              <w:ind w:left="20"/>
              <w:spacing w:after="0"/>
              <w:rPr>
                <w:sz w:val="20"/>
                <w:szCs w:val="20"/>
                <w:color w:val="auto"/>
              </w:rPr>
            </w:pPr>
            <w:r>
              <w:rPr>
                <w:rFonts w:ascii="Arial" w:cs="Arial" w:eastAsia="Arial" w:hAnsi="Arial"/>
                <w:sz w:val="15"/>
                <w:szCs w:val="15"/>
                <w:color w:val="auto"/>
              </w:rPr>
              <w:t>Risk management derivatives fair value gains (losses) attributable to:</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2"/>
        </w:trPr>
        <w:tc>
          <w:tcPr>
            <w:tcW w:w="7080" w:type="dxa"/>
            <w:vAlign w:val="bottom"/>
            <w:gridSpan w:val="2"/>
          </w:tcPr>
          <w:p>
            <w:pPr>
              <w:ind w:left="180"/>
              <w:spacing w:after="0"/>
              <w:rPr>
                <w:sz w:val="20"/>
                <w:szCs w:val="20"/>
                <w:color w:val="auto"/>
              </w:rPr>
            </w:pPr>
            <w:r>
              <w:rPr>
                <w:rFonts w:ascii="Arial" w:cs="Arial" w:eastAsia="Arial" w:hAnsi="Arial"/>
                <w:sz w:val="15"/>
                <w:szCs w:val="15"/>
                <w:color w:val="auto"/>
              </w:rPr>
              <w:t>Net contractual interest income (expense) on interest-rate swaps</w:t>
            </w:r>
            <w:r>
              <w:rPr>
                <w:rFonts w:ascii="Arial" w:cs="Arial" w:eastAsia="Arial" w:hAnsi="Arial"/>
                <w:sz w:val="20"/>
                <w:szCs w:val="20"/>
                <w:color w:val="auto"/>
                <w:vertAlign w:val="superscript"/>
              </w:rPr>
              <w:t>(1)</w:t>
            </w:r>
          </w:p>
        </w:tc>
        <w:tc>
          <w:tcPr>
            <w:tcW w:w="200" w:type="dxa"/>
            <w:vAlign w:val="bottom"/>
          </w:tcPr>
          <w:p>
            <w:pPr>
              <w:jc w:val="right"/>
              <w:ind w:right="26"/>
              <w:spacing w:after="0"/>
              <w:rPr>
                <w:sz w:val="20"/>
                <w:szCs w:val="20"/>
                <w:color w:val="auto"/>
              </w:rPr>
            </w:pPr>
            <w:r>
              <w:rPr>
                <w:rFonts w:ascii="Arial" w:cs="Arial" w:eastAsia="Arial" w:hAnsi="Arial"/>
                <w:sz w:val="15"/>
                <w:szCs w:val="15"/>
                <w:b w:val="1"/>
                <w:bCs w:val="1"/>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(272)</w:t>
            </w:r>
          </w:p>
        </w:tc>
        <w:tc>
          <w:tcPr>
            <w:tcW w:w="160" w:type="dxa"/>
            <w:vAlign w:val="bottom"/>
          </w:tcPr>
          <w:p>
            <w:pPr>
              <w:spacing w:after="0"/>
              <w:rPr>
                <w:sz w:val="20"/>
                <w:szCs w:val="20"/>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(348)</w:t>
            </w: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(860)</w:t>
            </w:r>
          </w:p>
        </w:tc>
        <w:tc>
          <w:tcPr>
            <w:tcW w:w="160" w:type="dxa"/>
            <w:vAlign w:val="bottom"/>
          </w:tcPr>
          <w:p>
            <w:pPr>
              <w:spacing w:after="0"/>
              <w:rPr>
                <w:sz w:val="20"/>
                <w:szCs w:val="20"/>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(1,123)</w:t>
            </w:r>
          </w:p>
        </w:tc>
      </w:tr>
      <w:tr>
        <w:trPr>
          <w:trHeight w:val="206"/>
        </w:trPr>
        <w:tc>
          <w:tcPr>
            <w:tcW w:w="7080" w:type="dxa"/>
            <w:vAlign w:val="bottom"/>
            <w:gridSpan w:val="2"/>
          </w:tcPr>
          <w:p>
            <w:pPr>
              <w:ind w:left="180"/>
              <w:spacing w:after="0"/>
              <w:rPr>
                <w:sz w:val="20"/>
                <w:szCs w:val="20"/>
                <w:color w:val="auto"/>
              </w:rPr>
            </w:pPr>
            <w:r>
              <w:rPr>
                <w:rFonts w:ascii="Arial" w:cs="Arial" w:eastAsia="Arial" w:hAnsi="Arial"/>
                <w:sz w:val="15"/>
                <w:szCs w:val="15"/>
                <w:color w:val="auto"/>
              </w:rPr>
              <w:t>Net change in fair value during the period</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(198)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852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831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1,544</w:t>
            </w:r>
          </w:p>
        </w:tc>
      </w:tr>
      <w:tr>
        <w:trPr>
          <w:trHeight w:val="208"/>
        </w:trPr>
        <w:tc>
          <w:tcPr>
            <w:tcW w:w="6940" w:type="dxa"/>
            <w:vAlign w:val="bottom"/>
            <w:tcBorders>
              <w:bottom w:val="single" w:sz="8" w:color="2C6937"/>
            </w:tcBorders>
          </w:tcPr>
          <w:p>
            <w:pPr>
              <w:ind w:left="180"/>
              <w:spacing w:after="0" w:line="207" w:lineRule="exact"/>
              <w:rPr>
                <w:sz w:val="20"/>
                <w:szCs w:val="20"/>
                <w:color w:val="auto"/>
              </w:rPr>
            </w:pPr>
            <w:r>
              <w:rPr>
                <w:rFonts w:ascii="Arial" w:cs="Arial" w:eastAsia="Arial" w:hAnsi="Arial"/>
                <w:sz w:val="15"/>
                <w:szCs w:val="15"/>
                <w:color w:val="auto"/>
              </w:rPr>
              <w:t>Impact of hedge accounting</w:t>
            </w:r>
            <w:r>
              <w:rPr>
                <w:rFonts w:ascii="Arial" w:cs="Arial" w:eastAsia="Arial" w:hAnsi="Arial"/>
                <w:sz w:val="20"/>
                <w:szCs w:val="20"/>
                <w:color w:val="auto"/>
                <w:vertAlign w:val="superscript"/>
              </w:rPr>
              <w:t>(2)</w:t>
            </w:r>
          </w:p>
        </w:tc>
        <w:tc>
          <w:tcPr>
            <w:tcW w:w="14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215</w:t>
            </w:r>
          </w:p>
        </w:tc>
        <w:tc>
          <w:tcPr>
            <w:tcW w:w="16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(339)</w:t>
            </w:r>
          </w:p>
        </w:tc>
        <w:tc>
          <w:tcPr>
            <w:tcW w:w="140" w:type="dxa"/>
            <w:vAlign w:val="bottom"/>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471</w:t>
            </w:r>
          </w:p>
        </w:tc>
        <w:tc>
          <w:tcPr>
            <w:tcW w:w="16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283</w:t>
            </w:r>
          </w:p>
        </w:tc>
      </w:tr>
      <w:tr>
        <w:trPr>
          <w:trHeight w:val="224"/>
        </w:trPr>
        <w:tc>
          <w:tcPr>
            <w:tcW w:w="7080" w:type="dxa"/>
            <w:vAlign w:val="bottom"/>
            <w:gridSpan w:val="2"/>
          </w:tcPr>
          <w:p>
            <w:pPr>
              <w:ind w:left="320"/>
              <w:spacing w:after="0"/>
              <w:rPr>
                <w:sz w:val="20"/>
                <w:szCs w:val="20"/>
                <w:color w:val="auto"/>
              </w:rPr>
            </w:pPr>
            <w:r>
              <w:rPr>
                <w:rFonts w:ascii="Arial" w:cs="Arial" w:eastAsia="Arial" w:hAnsi="Arial"/>
                <w:sz w:val="15"/>
                <w:szCs w:val="15"/>
                <w:color w:val="auto"/>
              </w:rPr>
              <w:t>Risk management derivatives fair value gains (losses), net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(255)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165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442</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704</w:t>
            </w:r>
          </w:p>
        </w:tc>
      </w:tr>
      <w:tr>
        <w:trPr>
          <w:trHeight w:val="206"/>
        </w:trPr>
        <w:tc>
          <w:tcPr>
            <w:tcW w:w="7080" w:type="dxa"/>
            <w:vAlign w:val="bottom"/>
            <w:gridSpan w:val="2"/>
          </w:tcPr>
          <w:p>
            <w:pPr>
              <w:ind w:left="20"/>
              <w:spacing w:after="0"/>
              <w:rPr>
                <w:sz w:val="20"/>
                <w:szCs w:val="20"/>
                <w:color w:val="auto"/>
              </w:rPr>
            </w:pPr>
            <w:r>
              <w:rPr>
                <w:rFonts w:ascii="Arial" w:cs="Arial" w:eastAsia="Arial" w:hAnsi="Arial"/>
                <w:sz w:val="15"/>
                <w:szCs w:val="15"/>
                <w:color w:val="auto"/>
              </w:rPr>
              <w:t>Mortgage commitment derivatives fair value gains (losses), net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(567)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591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(266)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675</w:t>
            </w:r>
          </w:p>
        </w:tc>
      </w:tr>
      <w:tr>
        <w:trPr>
          <w:trHeight w:val="208"/>
        </w:trPr>
        <w:tc>
          <w:tcPr>
            <w:tcW w:w="694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Credit enhancement derivatives fair value gains (losses), net</w:t>
            </w:r>
          </w:p>
        </w:tc>
        <w:tc>
          <w:tcPr>
            <w:tcW w:w="14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(38)</w:t>
            </w:r>
          </w:p>
        </w:tc>
        <w:tc>
          <w:tcPr>
            <w:tcW w:w="16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47</w:t>
            </w:r>
          </w:p>
        </w:tc>
        <w:tc>
          <w:tcPr>
            <w:tcW w:w="140" w:type="dxa"/>
            <w:vAlign w:val="bottom"/>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(52)</w:t>
            </w:r>
          </w:p>
        </w:tc>
        <w:tc>
          <w:tcPr>
            <w:tcW w:w="16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61</w:t>
            </w:r>
          </w:p>
        </w:tc>
      </w:tr>
      <w:tr>
        <w:trPr>
          <w:trHeight w:val="198"/>
        </w:trPr>
        <w:tc>
          <w:tcPr>
            <w:tcW w:w="7080" w:type="dxa"/>
            <w:vAlign w:val="bottom"/>
            <w:gridSpan w:val="2"/>
          </w:tcPr>
          <w:p>
            <w:pPr>
              <w:ind w:left="180"/>
              <w:spacing w:after="0"/>
              <w:rPr>
                <w:sz w:val="20"/>
                <w:szCs w:val="20"/>
                <w:color w:val="auto"/>
              </w:rPr>
            </w:pPr>
            <w:r>
              <w:rPr>
                <w:rFonts w:ascii="Arial" w:cs="Arial" w:eastAsia="Arial" w:hAnsi="Arial"/>
                <w:sz w:val="15"/>
                <w:szCs w:val="15"/>
                <w:color w:val="auto"/>
              </w:rPr>
              <w:t>Total derivatives fair value gains (losses), net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(860)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803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124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1,440</w:t>
            </w:r>
          </w:p>
        </w:tc>
      </w:tr>
      <w:tr>
        <w:trPr>
          <w:trHeight w:val="206"/>
        </w:trPr>
        <w:tc>
          <w:tcPr>
            <w:tcW w:w="7080" w:type="dxa"/>
            <w:vAlign w:val="bottom"/>
            <w:gridSpan w:val="2"/>
          </w:tcPr>
          <w:p>
            <w:pPr>
              <w:ind w:left="20"/>
              <w:spacing w:after="0"/>
              <w:rPr>
                <w:sz w:val="20"/>
                <w:szCs w:val="20"/>
                <w:color w:val="auto"/>
              </w:rPr>
            </w:pPr>
            <w:r>
              <w:rPr>
                <w:rFonts w:ascii="Arial" w:cs="Arial" w:eastAsia="Arial" w:hAnsi="Arial"/>
                <w:sz w:val="15"/>
                <w:szCs w:val="15"/>
                <w:color w:val="auto"/>
              </w:rPr>
              <w:t>Trading securities gains (losses), net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1,267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(318)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1,127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(295)</w:t>
            </w:r>
          </w:p>
        </w:tc>
      </w:tr>
      <w:tr>
        <w:trPr>
          <w:trHeight w:val="206"/>
        </w:trPr>
        <w:tc>
          <w:tcPr>
            <w:tcW w:w="7080" w:type="dxa"/>
            <w:vAlign w:val="bottom"/>
            <w:gridSpan w:val="2"/>
          </w:tcPr>
          <w:p>
            <w:pPr>
              <w:ind w:left="20"/>
              <w:spacing w:after="0"/>
              <w:rPr>
                <w:sz w:val="20"/>
                <w:szCs w:val="20"/>
                <w:color w:val="auto"/>
              </w:rPr>
            </w:pPr>
            <w:r>
              <w:rPr>
                <w:rFonts w:ascii="Arial" w:cs="Arial" w:eastAsia="Arial" w:hAnsi="Arial"/>
                <w:sz w:val="15"/>
                <w:szCs w:val="15"/>
                <w:color w:val="auto"/>
              </w:rPr>
              <w:t>Long-term debt fair value gains (losses), net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(471)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406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(343)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356</w:t>
            </w:r>
          </w:p>
        </w:tc>
      </w:tr>
      <w:tr>
        <w:trPr>
          <w:trHeight w:val="208"/>
        </w:trPr>
        <w:tc>
          <w:tcPr>
            <w:tcW w:w="6940" w:type="dxa"/>
            <w:vAlign w:val="bottom"/>
            <w:tcBorders>
              <w:bottom w:val="single" w:sz="8" w:color="2C6937"/>
            </w:tcBorders>
          </w:tcPr>
          <w:p>
            <w:pPr>
              <w:ind w:left="20"/>
              <w:spacing w:after="0" w:line="207" w:lineRule="exact"/>
              <w:rPr>
                <w:sz w:val="20"/>
                <w:szCs w:val="20"/>
                <w:color w:val="auto"/>
              </w:rPr>
            </w:pPr>
            <w:r>
              <w:rPr>
                <w:rFonts w:ascii="Arial" w:cs="Arial" w:eastAsia="Arial" w:hAnsi="Arial"/>
                <w:sz w:val="15"/>
                <w:szCs w:val="15"/>
                <w:color w:val="auto"/>
              </w:rPr>
              <w:t>Other, net</w:t>
            </w:r>
            <w:r>
              <w:rPr>
                <w:rFonts w:ascii="Arial" w:cs="Arial" w:eastAsia="Arial" w:hAnsi="Arial"/>
                <w:sz w:val="20"/>
                <w:szCs w:val="20"/>
                <w:color w:val="auto"/>
                <w:vertAlign w:val="superscript"/>
              </w:rPr>
              <w:t>(3)</w:t>
            </w:r>
          </w:p>
        </w:tc>
        <w:tc>
          <w:tcPr>
            <w:tcW w:w="14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116</w:t>
            </w:r>
          </w:p>
        </w:tc>
        <w:tc>
          <w:tcPr>
            <w:tcW w:w="16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(96)</w:t>
            </w:r>
          </w:p>
        </w:tc>
        <w:tc>
          <w:tcPr>
            <w:tcW w:w="140" w:type="dxa"/>
            <w:vAlign w:val="bottom"/>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71</w:t>
            </w:r>
          </w:p>
        </w:tc>
        <w:tc>
          <w:tcPr>
            <w:tcW w:w="16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(98)</w:t>
            </w:r>
          </w:p>
        </w:tc>
      </w:tr>
      <w:tr>
        <w:trPr>
          <w:trHeight w:val="199"/>
        </w:trPr>
        <w:tc>
          <w:tcPr>
            <w:tcW w:w="7080" w:type="dxa"/>
            <w:vAlign w:val="bottom"/>
            <w:gridSpan w:val="2"/>
          </w:tcPr>
          <w:p>
            <w:pPr>
              <w:ind w:left="180"/>
              <w:spacing w:after="0"/>
              <w:rPr>
                <w:sz w:val="20"/>
                <w:szCs w:val="20"/>
                <w:color w:val="auto"/>
              </w:rPr>
            </w:pPr>
            <w:r>
              <w:rPr>
                <w:rFonts w:ascii="Arial" w:cs="Arial" w:eastAsia="Arial" w:hAnsi="Arial"/>
                <w:sz w:val="15"/>
                <w:szCs w:val="15"/>
                <w:color w:val="auto"/>
              </w:rPr>
              <w:t>Fair value gains (losses), net</w:t>
            </w:r>
          </w:p>
        </w:tc>
        <w:tc>
          <w:tcPr>
            <w:tcW w:w="200" w:type="dxa"/>
            <w:vAlign w:val="bottom"/>
          </w:tcPr>
          <w:p>
            <w:pPr>
              <w:jc w:val="right"/>
              <w:ind w:right="26"/>
              <w:spacing w:after="0"/>
              <w:rPr>
                <w:sz w:val="20"/>
                <w:szCs w:val="20"/>
                <w:color w:val="auto"/>
              </w:rPr>
            </w:pPr>
            <w:r>
              <w:rPr>
                <w:rFonts w:ascii="Arial" w:cs="Arial" w:eastAsia="Arial" w:hAnsi="Arial"/>
                <w:sz w:val="15"/>
                <w:szCs w:val="15"/>
                <w:b w:val="1"/>
                <w:bCs w:val="1"/>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52</w:t>
            </w:r>
          </w:p>
        </w:tc>
        <w:tc>
          <w:tcPr>
            <w:tcW w:w="16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795</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979</w:t>
            </w:r>
          </w:p>
        </w:tc>
        <w:tc>
          <w:tcPr>
            <w:tcW w:w="16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1,403</w:t>
            </w:r>
          </w:p>
        </w:tc>
      </w:tr>
      <w:tr>
        <w:trPr>
          <w:trHeight w:val="20"/>
        </w:trPr>
        <w:tc>
          <w:tcPr>
            <w:tcW w:w="694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r>
    </w:tbl>
    <w:p>
      <w:pPr>
        <w:spacing w:after="0" w:line="121" w:lineRule="exact"/>
        <w:rPr>
          <w:sz w:val="20"/>
          <w:szCs w:val="20"/>
          <w:color w:val="auto"/>
        </w:rPr>
      </w:pPr>
    </w:p>
    <w:p>
      <w:pPr>
        <w:ind w:left="240" w:right="420" w:hanging="237"/>
        <w:spacing w:after="0" w:line="226" w:lineRule="auto"/>
        <w:tabs>
          <w:tab w:leader="none" w:pos="233"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“Net contractual interest income (expense) on interest-rate swaps” is primarily impacted by changes in interest rates and changes in the composition of our interest-rate swaps portfolio.</w:t>
      </w:r>
    </w:p>
    <w:p>
      <w:pPr>
        <w:spacing w:after="0" w:line="27" w:lineRule="exact"/>
        <w:rPr>
          <w:rFonts w:ascii="Arial" w:cs="Arial" w:eastAsia="Arial" w:hAnsi="Arial"/>
          <w:sz w:val="18"/>
          <w:szCs w:val="18"/>
          <w:color w:val="auto"/>
          <w:vertAlign w:val="superscript"/>
        </w:rPr>
      </w:pPr>
    </w:p>
    <w:p>
      <w:pPr>
        <w:ind w:left="240" w:right="180" w:hanging="237"/>
        <w:spacing w:after="0" w:line="218" w:lineRule="auto"/>
        <w:tabs>
          <w:tab w:leader="none" w:pos="233"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The “Impact of hedge accounting” reflected in this table shows the net gain or loss from swaps in hedging relationships plus any accrued interest during the applicable periods that are recognized in “Net interest income.”</w:t>
      </w:r>
    </w:p>
    <w:p>
      <w:pPr>
        <w:spacing w:after="0" w:line="26"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17"/>
        </w:numPr>
        <w:rPr>
          <w:rFonts w:ascii="Arial" w:cs="Arial" w:eastAsia="Arial" w:hAnsi="Arial"/>
          <w:sz w:val="9"/>
          <w:szCs w:val="9"/>
          <w:color w:val="auto"/>
        </w:rPr>
      </w:pPr>
      <w:r>
        <w:rPr>
          <w:rFonts w:ascii="Arial" w:cs="Arial" w:eastAsia="Arial" w:hAnsi="Arial"/>
          <w:sz w:val="14"/>
          <w:szCs w:val="14"/>
          <w:color w:val="auto"/>
        </w:rPr>
        <w:t>Consists primarily of fair value gains and losses on mortgage loans held at fair value.</w:t>
      </w:r>
    </w:p>
    <w:p>
      <w:pPr>
        <w:spacing w:after="0" w:line="70"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Fair value gains, net in the third quarter of 2024 were driven by gains on fixed-rate trading securities, which were substantially offset by losses on mortgage commitment derivatives, long-term debt of consolidated trusts held at fair value, and risk management derivatives, all of which were primarily due to declining interest rates in the third quarter of 2024.</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Fair value gains, net in the first nine months of 2024 were driven by:</w:t>
      </w:r>
    </w:p>
    <w:p>
      <w:pPr>
        <w:spacing w:after="0" w:line="87" w:lineRule="exact"/>
        <w:rPr>
          <w:sz w:val="20"/>
          <w:szCs w:val="20"/>
          <w:color w:val="auto"/>
        </w:rPr>
      </w:pPr>
    </w:p>
    <w:p>
      <w:pPr>
        <w:ind w:left="620" w:hanging="307"/>
        <w:spacing w:after="0"/>
        <w:tabs>
          <w:tab w:leader="none" w:pos="6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gains on fixed-rate trading securities and risk management derivatives, partially offset by</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losses on long-term debt of consolidated trusts held at fair value and mortgage commitment derivatives.</w:t>
      </w:r>
    </w:p>
    <w:p>
      <w:pPr>
        <w:spacing w:after="0" w:line="87" w:lineRule="exact"/>
        <w:rPr>
          <w:sz w:val="20"/>
          <w:szCs w:val="20"/>
          <w:color w:val="auto"/>
        </w:rPr>
      </w:pPr>
    </w:p>
    <w:p>
      <w:pPr>
        <w:jc w:val="both"/>
        <w:ind w:right="180"/>
        <w:spacing w:after="0" w:line="281" w:lineRule="auto"/>
        <w:rPr>
          <w:sz w:val="20"/>
          <w:szCs w:val="20"/>
          <w:color w:val="auto"/>
        </w:rPr>
      </w:pPr>
      <w:r>
        <w:rPr>
          <w:rFonts w:ascii="Arial" w:cs="Arial" w:eastAsia="Arial" w:hAnsi="Arial"/>
          <w:sz w:val="16"/>
          <w:szCs w:val="16"/>
          <w:color w:val="auto"/>
        </w:rPr>
        <w:t>Declining interest rates during the third quarter of 2024 drove gains on fixed-rate trading securities, losses on long-term debt of consolidated trusts held at fair value, and losses on mortgage commitment derivatives. Rising rates in the first half of 2024 drove gains on risk management derivatives, which were partially offset by losses in the third quarter of 2024 as rates declined.</w:t>
      </w:r>
    </w:p>
    <w:p>
      <w:pPr>
        <w:spacing w:after="0" w:line="24" w:lineRule="exact"/>
        <w:rPr>
          <w:sz w:val="20"/>
          <w:szCs w:val="20"/>
          <w:color w:val="auto"/>
        </w:rPr>
      </w:pPr>
    </w:p>
    <w:p>
      <w:pPr>
        <w:ind w:right="980"/>
        <w:spacing w:after="0" w:line="293" w:lineRule="auto"/>
        <w:rPr>
          <w:sz w:val="20"/>
          <w:szCs w:val="20"/>
          <w:color w:val="auto"/>
        </w:rPr>
      </w:pPr>
      <w:r>
        <w:rPr>
          <w:rFonts w:ascii="Arial" w:cs="Arial" w:eastAsia="Arial" w:hAnsi="Arial"/>
          <w:sz w:val="16"/>
          <w:szCs w:val="16"/>
          <w:color w:val="auto"/>
        </w:rPr>
        <w:t>Fair value gains, net in the third quarter and first nine months of 2023 were primarily driven by gains on mortgage commitment derivatives, risk management derivatives, and long-term debt of consolidated trusts held at fair value, primarily due to rising interest rates.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These gains were partially offset by the impact of declining prices of fixed-rate trading securities, primarily driven by rising interest rates.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2024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12</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60" w:type="dxa"/>
            <w:vAlign w:val="bottom"/>
            <w:tcBorders>
              <w:bottom w:val="single" w:sz="8" w:color="9A9A9A"/>
            </w:tcBorders>
          </w:tcPr>
          <w:p>
            <w:pPr>
              <w:spacing w:after="0"/>
              <w:rPr>
                <w:sz w:val="16"/>
                <w:szCs w:val="16"/>
                <w:color w:val="auto"/>
              </w:rPr>
            </w:pPr>
          </w:p>
        </w:tc>
        <w:tc>
          <w:tcPr>
            <w:tcW w:w="428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5" w:name="page16"/>
    <w:bookmarkEnd w:id="15"/>
    <w:p>
      <w:pPr>
        <w:ind w:left="844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Benefit (Provision) for Credit Losses</w:t>
      </w:r>
    </w:p>
    <w:p>
      <w:pPr>
        <w:spacing w:after="0" w:line="63"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The table below provides a quantitative analysis of the drivers of our single-family and multifamily benefit or provision for credit losses and the change in expected credit enhancement recoveries. Many of the drivers that contribute to our benefit or provision for credit losses overlap or are interdependent. The components shown below are based on internal allocation estimates. The benefit or provision for credit losses includes our benefit or provision for loan losses, accrued interest receivable losses, our guaranty loss reserves, and credit losses on our available-for-sale (“AFS”) debt securities. For purposes of this attribution table, credit losses on AFS securities are excluded</w:t>
      </w:r>
      <w:r>
        <w:rPr>
          <w:rFonts w:ascii="Arial" w:cs="Arial" w:eastAsia="Arial" w:hAnsi="Arial"/>
          <w:sz w:val="13"/>
          <w:szCs w:val="13"/>
          <w:color w:val="auto"/>
        </w:rPr>
        <w:t>.</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Components of Benefit (Provision) for Credit Losses and Change in Expected Credit Enhancement Recoveries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580" w:type="dxa"/>
            <w:vAlign w:val="bottom"/>
            <w:tcBorders>
              <w:top w:val="single" w:sz="8" w:color="2C6937"/>
            </w:tcBorders>
          </w:tcPr>
          <w:p>
            <w:pPr>
              <w:spacing w:after="0"/>
              <w:rPr>
                <w:sz w:val="17"/>
                <w:szCs w:val="17"/>
                <w:color w:val="auto"/>
              </w:rPr>
            </w:pPr>
          </w:p>
        </w:tc>
        <w:tc>
          <w:tcPr>
            <w:tcW w:w="100" w:type="dxa"/>
            <w:vAlign w:val="bottom"/>
            <w:tcBorders>
              <w:top w:val="single" w:sz="8" w:color="2C6937"/>
            </w:tcBorders>
          </w:tcPr>
          <w:p>
            <w:pPr>
              <w:spacing w:after="0"/>
              <w:rPr>
                <w:sz w:val="17"/>
                <w:szCs w:val="17"/>
                <w:color w:val="auto"/>
              </w:rPr>
            </w:pPr>
          </w:p>
        </w:tc>
        <w:tc>
          <w:tcPr>
            <w:tcW w:w="2320" w:type="dxa"/>
            <w:vAlign w:val="bottom"/>
            <w:tcBorders>
              <w:top w:val="single" w:sz="8" w:color="2C6937"/>
            </w:tcBorders>
            <w:gridSpan w:val="6"/>
          </w:tcPr>
          <w:p>
            <w:pPr>
              <w:jc w:val="center"/>
              <w:ind w:right="100"/>
              <w:spacing w:after="0"/>
              <w:rPr>
                <w:sz w:val="20"/>
                <w:szCs w:val="20"/>
                <w:color w:val="auto"/>
              </w:rPr>
            </w:pPr>
            <w:r>
              <w:rPr>
                <w:rFonts w:ascii="Arial" w:cs="Arial" w:eastAsia="Arial" w:hAnsi="Arial"/>
                <w:sz w:val="15"/>
                <w:szCs w:val="15"/>
                <w:b w:val="1"/>
                <w:bCs w:val="1"/>
                <w:color w:val="auto"/>
              </w:rPr>
              <w:t>For the Three Months Ended</w:t>
            </w:r>
          </w:p>
        </w:tc>
        <w:tc>
          <w:tcPr>
            <w:tcW w:w="120" w:type="dxa"/>
            <w:vAlign w:val="bottom"/>
            <w:tcBorders>
              <w:top w:val="single" w:sz="8" w:color="2C6937"/>
            </w:tcBorders>
          </w:tcPr>
          <w:p>
            <w:pPr>
              <w:spacing w:after="0"/>
              <w:rPr>
                <w:sz w:val="17"/>
                <w:szCs w:val="17"/>
                <w:color w:val="auto"/>
              </w:rPr>
            </w:pPr>
          </w:p>
        </w:tc>
        <w:tc>
          <w:tcPr>
            <w:tcW w:w="2120" w:type="dxa"/>
            <w:vAlign w:val="bottom"/>
            <w:tcBorders>
              <w:top w:val="single" w:sz="8" w:color="2C6937"/>
            </w:tcBorders>
            <w:gridSpan w:val="4"/>
          </w:tcPr>
          <w:p>
            <w:pPr>
              <w:jc w:val="right"/>
              <w:ind w:right="43"/>
              <w:spacing w:after="0"/>
              <w:rPr>
                <w:sz w:val="20"/>
                <w:szCs w:val="20"/>
                <w:color w:val="auto"/>
              </w:rPr>
            </w:pPr>
            <w:r>
              <w:rPr>
                <w:rFonts w:ascii="Arial" w:cs="Arial" w:eastAsia="Arial" w:hAnsi="Arial"/>
                <w:sz w:val="15"/>
                <w:szCs w:val="15"/>
                <w:b w:val="1"/>
                <w:bCs w:val="1"/>
                <w:color w:val="auto"/>
              </w:rPr>
              <w:t>For the Nine Months Ended</w:t>
            </w:r>
          </w:p>
        </w:tc>
      </w:tr>
      <w:tr>
        <w:trPr>
          <w:trHeight w:val="226"/>
        </w:trPr>
        <w:tc>
          <w:tcPr>
            <w:tcW w:w="6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5"/>
                <w:szCs w:val="15"/>
                <w:b w:val="1"/>
                <w:bCs w:val="1"/>
                <w:color w:val="auto"/>
              </w:rPr>
              <w:t>September 30,</w:t>
            </w:r>
          </w:p>
        </w:tc>
        <w:tc>
          <w:tcPr>
            <w:tcW w:w="120" w:type="dxa"/>
            <w:vAlign w:val="bottom"/>
          </w:tcPr>
          <w:p>
            <w:pPr>
              <w:spacing w:after="0"/>
              <w:rPr>
                <w:sz w:val="19"/>
                <w:szCs w:val="19"/>
                <w:color w:val="auto"/>
              </w:rPr>
            </w:pPr>
          </w:p>
        </w:tc>
        <w:tc>
          <w:tcPr>
            <w:tcW w:w="2120" w:type="dxa"/>
            <w:vAlign w:val="bottom"/>
            <w:gridSpan w:val="4"/>
          </w:tcPr>
          <w:p>
            <w:pPr>
              <w:jc w:val="right"/>
              <w:ind w:right="503"/>
              <w:spacing w:after="0"/>
              <w:rPr>
                <w:sz w:val="20"/>
                <w:szCs w:val="20"/>
                <w:color w:val="auto"/>
              </w:rPr>
            </w:pPr>
            <w:r>
              <w:rPr>
                <w:rFonts w:ascii="Arial" w:cs="Arial" w:eastAsia="Arial" w:hAnsi="Arial"/>
                <w:sz w:val="15"/>
                <w:szCs w:val="15"/>
                <w:b w:val="1"/>
                <w:bCs w:val="1"/>
                <w:color w:val="auto"/>
              </w:rPr>
              <w:t>September 30,</w:t>
            </w:r>
          </w:p>
        </w:tc>
      </w:tr>
      <w:tr>
        <w:trPr>
          <w:trHeight w:val="229"/>
        </w:trPr>
        <w:tc>
          <w:tcPr>
            <w:tcW w:w="6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2C6937"/>
              <w:bottom w:val="single" w:sz="8" w:color="2C6937"/>
            </w:tcBorders>
          </w:tcPr>
          <w:p>
            <w:pPr>
              <w:spacing w:after="0"/>
              <w:rPr>
                <w:sz w:val="19"/>
                <w:szCs w:val="19"/>
                <w:color w:val="auto"/>
              </w:rPr>
            </w:pPr>
          </w:p>
        </w:tc>
        <w:tc>
          <w:tcPr>
            <w:tcW w:w="820" w:type="dxa"/>
            <w:vAlign w:val="bottom"/>
            <w:tcBorders>
              <w:top w:val="single" w:sz="8" w:color="2C6937"/>
              <w:bottom w:val="single" w:sz="8" w:color="2C6937"/>
            </w:tcBorders>
          </w:tcPr>
          <w:p>
            <w:pPr>
              <w:jc w:val="right"/>
              <w:ind w:right="283"/>
              <w:spacing w:after="0"/>
              <w:rPr>
                <w:sz w:val="20"/>
                <w:szCs w:val="20"/>
                <w:color w:val="auto"/>
              </w:rPr>
            </w:pPr>
            <w:r>
              <w:rPr>
                <w:rFonts w:ascii="Arial" w:cs="Arial" w:eastAsia="Arial" w:hAnsi="Arial"/>
                <w:sz w:val="15"/>
                <w:szCs w:val="15"/>
                <w:b w:val="1"/>
                <w:bCs w:val="1"/>
                <w:color w:val="auto"/>
              </w:rPr>
              <w:t>2024</w:t>
            </w:r>
          </w:p>
        </w:tc>
        <w:tc>
          <w:tcPr>
            <w:tcW w:w="100" w:type="dxa"/>
            <w:vAlign w:val="bottom"/>
            <w:tcBorders>
              <w:top w:val="single" w:sz="8" w:color="2C6937"/>
              <w:bottom w:val="single" w:sz="8" w:color="2C6937"/>
            </w:tcBorders>
          </w:tcPr>
          <w:p>
            <w:pPr>
              <w:spacing w:after="0"/>
              <w:rPr>
                <w:sz w:val="19"/>
                <w:szCs w:val="19"/>
                <w:color w:val="auto"/>
              </w:rPr>
            </w:pPr>
          </w:p>
        </w:tc>
        <w:tc>
          <w:tcPr>
            <w:tcW w:w="240" w:type="dxa"/>
            <w:vAlign w:val="bottom"/>
            <w:tcBorders>
              <w:top w:val="single" w:sz="8" w:color="2C6937"/>
              <w:bottom w:val="single" w:sz="8" w:color="2C6937"/>
            </w:tcBorders>
          </w:tcPr>
          <w:p>
            <w:pPr>
              <w:spacing w:after="0"/>
              <w:rPr>
                <w:sz w:val="19"/>
                <w:szCs w:val="19"/>
                <w:color w:val="auto"/>
              </w:rPr>
            </w:pPr>
          </w:p>
        </w:tc>
        <w:tc>
          <w:tcPr>
            <w:tcW w:w="840" w:type="dxa"/>
            <w:vAlign w:val="bottom"/>
            <w:tcBorders>
              <w:top w:val="single" w:sz="8" w:color="2C6937"/>
              <w:bottom w:val="single" w:sz="8" w:color="2C6937"/>
            </w:tcBorders>
          </w:tcPr>
          <w:p>
            <w:pPr>
              <w:jc w:val="right"/>
              <w:ind w:right="303"/>
              <w:spacing w:after="0"/>
              <w:rPr>
                <w:sz w:val="20"/>
                <w:szCs w:val="20"/>
                <w:color w:val="auto"/>
              </w:rPr>
            </w:pPr>
            <w:r>
              <w:rPr>
                <w:rFonts w:ascii="Arial" w:cs="Arial" w:eastAsia="Arial" w:hAnsi="Arial"/>
                <w:sz w:val="15"/>
                <w:szCs w:val="15"/>
                <w:b w:val="1"/>
                <w:bCs w:val="1"/>
                <w:color w:val="auto"/>
              </w:rPr>
              <w:t>2023</w:t>
            </w:r>
          </w:p>
        </w:tc>
        <w:tc>
          <w:tcPr>
            <w:tcW w:w="80" w:type="dxa"/>
            <w:vAlign w:val="bottom"/>
            <w:tcBorders>
              <w:bottom w:val="single" w:sz="8" w:color="2C6937"/>
            </w:tcBorders>
          </w:tcPr>
          <w:p>
            <w:pPr>
              <w:spacing w:after="0"/>
              <w:rPr>
                <w:sz w:val="19"/>
                <w:szCs w:val="19"/>
                <w:color w:val="auto"/>
              </w:rPr>
            </w:pPr>
          </w:p>
        </w:tc>
        <w:tc>
          <w:tcPr>
            <w:tcW w:w="120" w:type="dxa"/>
            <w:vAlign w:val="bottom"/>
            <w:tcBorders>
              <w:top w:val="single" w:sz="8" w:color="2C6937"/>
              <w:bottom w:val="single" w:sz="8" w:color="2C6937"/>
            </w:tcBorders>
          </w:tcPr>
          <w:p>
            <w:pPr>
              <w:spacing w:after="0"/>
              <w:rPr>
                <w:sz w:val="19"/>
                <w:szCs w:val="19"/>
                <w:color w:val="auto"/>
              </w:rPr>
            </w:pPr>
          </w:p>
        </w:tc>
        <w:tc>
          <w:tcPr>
            <w:tcW w:w="960" w:type="dxa"/>
            <w:vAlign w:val="bottom"/>
            <w:tcBorders>
              <w:top w:val="single" w:sz="8" w:color="2C6937"/>
              <w:bottom w:val="single" w:sz="8" w:color="2C6937"/>
            </w:tcBorders>
          </w:tcPr>
          <w:p>
            <w:pPr>
              <w:jc w:val="right"/>
              <w:ind w:right="303"/>
              <w:spacing w:after="0"/>
              <w:rPr>
                <w:sz w:val="20"/>
                <w:szCs w:val="20"/>
                <w:color w:val="auto"/>
              </w:rPr>
            </w:pPr>
            <w:r>
              <w:rPr>
                <w:rFonts w:ascii="Arial" w:cs="Arial" w:eastAsia="Arial" w:hAnsi="Arial"/>
                <w:sz w:val="15"/>
                <w:szCs w:val="15"/>
                <w:b w:val="1"/>
                <w:bCs w:val="1"/>
                <w:color w:val="auto"/>
              </w:rPr>
              <w:t>2024</w:t>
            </w:r>
          </w:p>
        </w:tc>
        <w:tc>
          <w:tcPr>
            <w:tcW w:w="100" w:type="dxa"/>
            <w:vAlign w:val="bottom"/>
            <w:tcBorders>
              <w:top w:val="single" w:sz="8" w:color="2C6937"/>
              <w:bottom w:val="single" w:sz="8" w:color="2C6937"/>
            </w:tcBorders>
          </w:tcPr>
          <w:p>
            <w:pPr>
              <w:spacing w:after="0"/>
              <w:rPr>
                <w:sz w:val="19"/>
                <w:szCs w:val="19"/>
                <w:color w:val="auto"/>
              </w:rPr>
            </w:pPr>
          </w:p>
        </w:tc>
        <w:tc>
          <w:tcPr>
            <w:tcW w:w="220" w:type="dxa"/>
            <w:vAlign w:val="bottom"/>
            <w:tcBorders>
              <w:top w:val="single" w:sz="8" w:color="2C6937"/>
              <w:bottom w:val="single" w:sz="8" w:color="2C6937"/>
            </w:tcBorders>
          </w:tcPr>
          <w:p>
            <w:pPr>
              <w:spacing w:after="0"/>
              <w:rPr>
                <w:sz w:val="19"/>
                <w:szCs w:val="19"/>
                <w:color w:val="auto"/>
              </w:rPr>
            </w:pPr>
          </w:p>
        </w:tc>
        <w:tc>
          <w:tcPr>
            <w:tcW w:w="840" w:type="dxa"/>
            <w:vAlign w:val="bottom"/>
            <w:tcBorders>
              <w:top w:val="single" w:sz="8" w:color="2C6937"/>
              <w:bottom w:val="single" w:sz="8" w:color="2C6937"/>
            </w:tcBorders>
          </w:tcPr>
          <w:p>
            <w:pPr>
              <w:jc w:val="right"/>
              <w:ind w:right="283"/>
              <w:spacing w:after="0"/>
              <w:rPr>
                <w:sz w:val="20"/>
                <w:szCs w:val="20"/>
                <w:color w:val="auto"/>
              </w:rPr>
            </w:pPr>
            <w:r>
              <w:rPr>
                <w:rFonts w:ascii="Arial" w:cs="Arial" w:eastAsia="Arial" w:hAnsi="Arial"/>
                <w:sz w:val="15"/>
                <w:szCs w:val="15"/>
                <w:b w:val="1"/>
                <w:bCs w:val="1"/>
                <w:color w:val="auto"/>
              </w:rPr>
              <w:t>2023</w:t>
            </w:r>
          </w:p>
        </w:tc>
      </w:tr>
      <w:tr>
        <w:trPr>
          <w:trHeight w:val="299"/>
        </w:trPr>
        <w:tc>
          <w:tcPr>
            <w:tcW w:w="6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gridSpan w:val="5"/>
          </w:tcPr>
          <w:p>
            <w:pPr>
              <w:ind w:left="160"/>
              <w:spacing w:after="0"/>
              <w:rPr>
                <w:sz w:val="20"/>
                <w:szCs w:val="20"/>
                <w:color w:val="auto"/>
              </w:rPr>
            </w:pPr>
            <w:r>
              <w:rPr>
                <w:rFonts w:ascii="Arial" w:cs="Arial" w:eastAsia="Arial" w:hAnsi="Arial"/>
                <w:sz w:val="15"/>
                <w:szCs w:val="15"/>
                <w:b w:val="1"/>
                <w:bCs w:val="1"/>
                <w:color w:val="auto"/>
              </w:rPr>
              <w:t>(Dollars in millions)</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09"/>
        </w:trPr>
        <w:tc>
          <w:tcPr>
            <w:tcW w:w="6680" w:type="dxa"/>
            <w:vAlign w:val="bottom"/>
            <w:gridSpan w:val="2"/>
          </w:tcPr>
          <w:p>
            <w:pPr>
              <w:ind w:left="20"/>
              <w:spacing w:after="0"/>
              <w:rPr>
                <w:sz w:val="20"/>
                <w:szCs w:val="20"/>
                <w:color w:val="auto"/>
              </w:rPr>
            </w:pPr>
            <w:r>
              <w:rPr>
                <w:rFonts w:ascii="Arial" w:cs="Arial" w:eastAsia="Arial" w:hAnsi="Arial"/>
                <w:sz w:val="15"/>
                <w:szCs w:val="15"/>
                <w:b w:val="1"/>
                <w:bCs w:val="1"/>
                <w:color w:val="auto"/>
              </w:rPr>
              <w:t>Single-family benefit (provision) for credit losses:</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68"/>
        </w:trPr>
        <w:tc>
          <w:tcPr>
            <w:tcW w:w="6680" w:type="dxa"/>
            <w:vAlign w:val="bottom"/>
            <w:gridSpan w:val="2"/>
          </w:tcPr>
          <w:p>
            <w:pPr>
              <w:ind w:left="180"/>
              <w:spacing w:after="0"/>
              <w:rPr>
                <w:sz w:val="20"/>
                <w:szCs w:val="20"/>
                <w:color w:val="auto"/>
              </w:rPr>
            </w:pPr>
            <w:r>
              <w:rPr>
                <w:rFonts w:ascii="Arial" w:cs="Arial" w:eastAsia="Arial" w:hAnsi="Arial"/>
                <w:sz w:val="15"/>
                <w:szCs w:val="15"/>
                <w:color w:val="auto"/>
              </w:rPr>
              <w:t>Changes in loan activity</w:t>
            </w:r>
            <w:r>
              <w:rPr>
                <w:rFonts w:ascii="Arial" w:cs="Arial" w:eastAsia="Arial" w:hAnsi="Arial"/>
                <w:sz w:val="20"/>
                <w:szCs w:val="20"/>
                <w:color w:val="auto"/>
                <w:vertAlign w:val="superscript"/>
              </w:rPr>
              <w:t>(1)</w:t>
            </w:r>
          </w:p>
        </w:tc>
        <w:tc>
          <w:tcPr>
            <w:tcW w:w="24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(328)</w:t>
            </w:r>
          </w:p>
        </w:tc>
        <w:tc>
          <w:tcPr>
            <w:tcW w:w="100" w:type="dxa"/>
            <w:vAlign w:val="bottom"/>
          </w:tcPr>
          <w:p>
            <w:pPr>
              <w:spacing w:after="0"/>
              <w:rPr>
                <w:sz w:val="24"/>
                <w:szCs w:val="24"/>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(335)</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(769)</w:t>
            </w:r>
          </w:p>
        </w:tc>
        <w:tc>
          <w:tcPr>
            <w:tcW w:w="100" w:type="dxa"/>
            <w:vAlign w:val="bottom"/>
          </w:tcPr>
          <w:p>
            <w:pPr>
              <w:spacing w:after="0"/>
              <w:rPr>
                <w:sz w:val="24"/>
                <w:szCs w:val="24"/>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(1,075)</w:t>
            </w:r>
          </w:p>
        </w:tc>
      </w:tr>
      <w:tr>
        <w:trPr>
          <w:trHeight w:val="263"/>
        </w:trPr>
        <w:tc>
          <w:tcPr>
            <w:tcW w:w="6680" w:type="dxa"/>
            <w:vAlign w:val="bottom"/>
            <w:gridSpan w:val="2"/>
          </w:tcPr>
          <w:p>
            <w:pPr>
              <w:ind w:left="180"/>
              <w:spacing w:after="0"/>
              <w:rPr>
                <w:sz w:val="20"/>
                <w:szCs w:val="20"/>
                <w:color w:val="auto"/>
              </w:rPr>
            </w:pPr>
            <w:r>
              <w:rPr>
                <w:rFonts w:ascii="Arial" w:cs="Arial" w:eastAsia="Arial" w:hAnsi="Arial"/>
                <w:sz w:val="15"/>
                <w:szCs w:val="15"/>
                <w:color w:val="auto"/>
              </w:rPr>
              <w:t>Redesignation of loans from held for investment (“HFI”) to held for sale (“HFS”)</w:t>
            </w: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(96)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(591)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(131)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(591)</w:t>
            </w:r>
          </w:p>
        </w:tc>
      </w:tr>
      <w:tr>
        <w:trPr>
          <w:trHeight w:val="309"/>
        </w:trPr>
        <w:tc>
          <w:tcPr>
            <w:tcW w:w="6680" w:type="dxa"/>
            <w:vAlign w:val="bottom"/>
            <w:gridSpan w:val="2"/>
          </w:tcPr>
          <w:p>
            <w:pPr>
              <w:ind w:left="180"/>
              <w:spacing w:after="0"/>
              <w:rPr>
                <w:sz w:val="20"/>
                <w:szCs w:val="20"/>
                <w:color w:val="auto"/>
              </w:rPr>
            </w:pPr>
            <w:r>
              <w:rPr>
                <w:rFonts w:ascii="Arial" w:cs="Arial" w:eastAsia="Arial" w:hAnsi="Arial"/>
                <w:sz w:val="15"/>
                <w:szCs w:val="15"/>
                <w:color w:val="auto"/>
              </w:rPr>
              <w:t>Actual and forecasted home prices</w:t>
            </w:r>
          </w:p>
        </w:tc>
        <w:tc>
          <w:tcPr>
            <w:tcW w:w="240" w:type="dxa"/>
            <w:vAlign w:val="bottom"/>
          </w:tcPr>
          <w:p>
            <w:pPr>
              <w:spacing w:after="0"/>
              <w:rPr>
                <w:sz w:val="24"/>
                <w:szCs w:val="24"/>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b w:val="1"/>
                <w:bCs w:val="1"/>
                <w:color w:val="auto"/>
              </w:rPr>
              <w:t>603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1,901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b w:val="1"/>
                <w:bCs w:val="1"/>
                <w:color w:val="auto"/>
              </w:rPr>
              <w:t>1,929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4,005</w:t>
            </w:r>
          </w:p>
        </w:tc>
      </w:tr>
      <w:tr>
        <w:trPr>
          <w:trHeight w:val="309"/>
        </w:trPr>
        <w:tc>
          <w:tcPr>
            <w:tcW w:w="6680" w:type="dxa"/>
            <w:vAlign w:val="bottom"/>
            <w:gridSpan w:val="2"/>
          </w:tcPr>
          <w:p>
            <w:pPr>
              <w:ind w:left="180"/>
              <w:spacing w:after="0"/>
              <w:rPr>
                <w:sz w:val="20"/>
                <w:szCs w:val="20"/>
                <w:color w:val="auto"/>
              </w:rPr>
            </w:pPr>
            <w:r>
              <w:rPr>
                <w:rFonts w:ascii="Arial" w:cs="Arial" w:eastAsia="Arial" w:hAnsi="Arial"/>
                <w:sz w:val="15"/>
                <w:szCs w:val="15"/>
                <w:color w:val="auto"/>
              </w:rPr>
              <w:t>Actual and projected interest rates</w:t>
            </w:r>
          </w:p>
        </w:tc>
        <w:tc>
          <w:tcPr>
            <w:tcW w:w="240" w:type="dxa"/>
            <w:vAlign w:val="bottom"/>
          </w:tcPr>
          <w:p>
            <w:pPr>
              <w:spacing w:after="0"/>
              <w:rPr>
                <w:sz w:val="24"/>
                <w:szCs w:val="24"/>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b w:val="1"/>
                <w:bCs w:val="1"/>
                <w:color w:val="auto"/>
              </w:rPr>
              <w:t>248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(260)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b w:val="1"/>
                <w:bCs w:val="1"/>
                <w:color w:val="auto"/>
              </w:rPr>
              <w:t>15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(284)</w:t>
            </w:r>
          </w:p>
        </w:tc>
      </w:tr>
      <w:tr>
        <w:trPr>
          <w:trHeight w:val="303"/>
        </w:trPr>
        <w:tc>
          <w:tcPr>
            <w:tcW w:w="658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r>
              <w:rPr>
                <w:rFonts w:ascii="Arial" w:cs="Arial" w:eastAsia="Arial" w:hAnsi="Arial"/>
                <w:sz w:val="20"/>
                <w:szCs w:val="20"/>
                <w:color w:val="auto"/>
                <w:vertAlign w:val="superscript"/>
              </w:rPr>
              <w:t>(2)</w:t>
            </w:r>
          </w:p>
        </w:tc>
        <w:tc>
          <w:tcPr>
            <w:tcW w:w="100" w:type="dxa"/>
            <w:vAlign w:val="bottom"/>
          </w:tcPr>
          <w:p>
            <w:pPr>
              <w:spacing w:after="0"/>
              <w:rPr>
                <w:sz w:val="24"/>
                <w:szCs w:val="24"/>
                <w:color w:val="auto"/>
              </w:rPr>
            </w:pPr>
          </w:p>
        </w:tc>
        <w:tc>
          <w:tcPr>
            <w:tcW w:w="240" w:type="dxa"/>
            <w:vAlign w:val="bottom"/>
            <w:tcBorders>
              <w:bottom w:val="single" w:sz="8" w:color="2C6937"/>
            </w:tcBorders>
          </w:tcPr>
          <w:p>
            <w:pPr>
              <w:spacing w:after="0"/>
              <w:rPr>
                <w:sz w:val="24"/>
                <w:szCs w:val="24"/>
                <w:color w:val="auto"/>
              </w:rPr>
            </w:pPr>
          </w:p>
        </w:tc>
        <w:tc>
          <w:tcPr>
            <w:tcW w:w="8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24</w:t>
            </w:r>
          </w:p>
        </w:tc>
        <w:tc>
          <w:tcPr>
            <w:tcW w:w="100" w:type="dxa"/>
            <w:vAlign w:val="bottom"/>
          </w:tcPr>
          <w:p>
            <w:pPr>
              <w:spacing w:after="0"/>
              <w:rPr>
                <w:sz w:val="24"/>
                <w:szCs w:val="24"/>
                <w:color w:val="auto"/>
              </w:rPr>
            </w:pPr>
          </w:p>
        </w:tc>
        <w:tc>
          <w:tcPr>
            <w:tcW w:w="240" w:type="dxa"/>
            <w:vAlign w:val="bottom"/>
            <w:tcBorders>
              <w:bottom w:val="single" w:sz="8" w:color="2C6937"/>
            </w:tcBorders>
          </w:tcPr>
          <w:p>
            <w:pPr>
              <w:spacing w:after="0"/>
              <w:rPr>
                <w:sz w:val="24"/>
                <w:szCs w:val="24"/>
                <w:color w:val="auto"/>
              </w:rPr>
            </w:pPr>
          </w:p>
        </w:tc>
        <w:tc>
          <w:tcPr>
            <w:tcW w:w="84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21</w:t>
            </w:r>
          </w:p>
        </w:tc>
        <w:tc>
          <w:tcPr>
            <w:tcW w:w="80" w:type="dxa"/>
            <w:vAlign w:val="bottom"/>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290</w:t>
            </w:r>
          </w:p>
        </w:tc>
        <w:tc>
          <w:tcPr>
            <w:tcW w:w="100" w:type="dxa"/>
            <w:vAlign w:val="bottom"/>
          </w:tcPr>
          <w:p>
            <w:pPr>
              <w:spacing w:after="0"/>
              <w:rPr>
                <w:sz w:val="24"/>
                <w:szCs w:val="24"/>
                <w:color w:val="auto"/>
              </w:rPr>
            </w:pPr>
          </w:p>
        </w:tc>
        <w:tc>
          <w:tcPr>
            <w:tcW w:w="220" w:type="dxa"/>
            <w:vAlign w:val="bottom"/>
            <w:tcBorders>
              <w:bottom w:val="single" w:sz="8" w:color="2C6937"/>
            </w:tcBorders>
          </w:tcPr>
          <w:p>
            <w:pPr>
              <w:spacing w:after="0"/>
              <w:rPr>
                <w:sz w:val="24"/>
                <w:szCs w:val="24"/>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146</w:t>
            </w:r>
          </w:p>
        </w:tc>
      </w:tr>
      <w:tr>
        <w:trPr>
          <w:trHeight w:val="302"/>
        </w:trPr>
        <w:tc>
          <w:tcPr>
            <w:tcW w:w="65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Single-family benefit (provision) for credit losses</w:t>
            </w:r>
          </w:p>
        </w:tc>
        <w:tc>
          <w:tcPr>
            <w:tcW w:w="100" w:type="dxa"/>
            <w:vAlign w:val="bottom"/>
          </w:tcPr>
          <w:p>
            <w:pPr>
              <w:spacing w:after="0"/>
              <w:rPr>
                <w:sz w:val="24"/>
                <w:szCs w:val="24"/>
                <w:color w:val="auto"/>
              </w:rPr>
            </w:pPr>
          </w:p>
        </w:tc>
        <w:tc>
          <w:tcPr>
            <w:tcW w:w="240" w:type="dxa"/>
            <w:vAlign w:val="bottom"/>
            <w:tcBorders>
              <w:bottom w:val="single" w:sz="8" w:color="216C2B"/>
            </w:tcBorders>
          </w:tcPr>
          <w:p>
            <w:pPr>
              <w:spacing w:after="0"/>
              <w:rPr>
                <w:sz w:val="24"/>
                <w:szCs w:val="24"/>
                <w:color w:val="auto"/>
              </w:rPr>
            </w:pPr>
          </w:p>
        </w:tc>
        <w:tc>
          <w:tcPr>
            <w:tcW w:w="820" w:type="dxa"/>
            <w:vAlign w:val="bottom"/>
            <w:tcBorders>
              <w:bottom w:val="single" w:sz="8" w:color="216C2B"/>
            </w:tcBorders>
          </w:tcPr>
          <w:p>
            <w:pPr>
              <w:jc w:val="right"/>
              <w:ind w:right="3"/>
              <w:spacing w:after="0"/>
              <w:rPr>
                <w:sz w:val="20"/>
                <w:szCs w:val="20"/>
                <w:color w:val="auto"/>
              </w:rPr>
            </w:pPr>
            <w:r>
              <w:rPr>
                <w:rFonts w:ascii="Arial" w:cs="Arial" w:eastAsia="Arial" w:hAnsi="Arial"/>
                <w:sz w:val="15"/>
                <w:szCs w:val="15"/>
                <w:b w:val="1"/>
                <w:bCs w:val="1"/>
                <w:color w:val="auto"/>
              </w:rPr>
              <w:t>451</w:t>
            </w:r>
          </w:p>
        </w:tc>
        <w:tc>
          <w:tcPr>
            <w:tcW w:w="100" w:type="dxa"/>
            <w:vAlign w:val="bottom"/>
          </w:tcPr>
          <w:p>
            <w:pPr>
              <w:spacing w:after="0"/>
              <w:rPr>
                <w:sz w:val="24"/>
                <w:szCs w:val="24"/>
                <w:color w:val="auto"/>
              </w:rPr>
            </w:pPr>
          </w:p>
        </w:tc>
        <w:tc>
          <w:tcPr>
            <w:tcW w:w="240" w:type="dxa"/>
            <w:vAlign w:val="bottom"/>
            <w:tcBorders>
              <w:bottom w:val="single" w:sz="8" w:color="216C2B"/>
            </w:tcBorders>
          </w:tcPr>
          <w:p>
            <w:pPr>
              <w:spacing w:after="0"/>
              <w:rPr>
                <w:sz w:val="24"/>
                <w:szCs w:val="24"/>
                <w:color w:val="auto"/>
              </w:rPr>
            </w:pPr>
          </w:p>
        </w:tc>
        <w:tc>
          <w:tcPr>
            <w:tcW w:w="840" w:type="dxa"/>
            <w:vAlign w:val="bottom"/>
            <w:tcBorders>
              <w:bottom w:val="single" w:sz="8" w:color="216C2B"/>
            </w:tcBorders>
          </w:tcPr>
          <w:p>
            <w:pPr>
              <w:jc w:val="right"/>
              <w:ind w:right="3"/>
              <w:spacing w:after="0"/>
              <w:rPr>
                <w:sz w:val="20"/>
                <w:szCs w:val="20"/>
                <w:color w:val="auto"/>
              </w:rPr>
            </w:pPr>
            <w:r>
              <w:rPr>
                <w:rFonts w:ascii="Arial" w:cs="Arial" w:eastAsia="Arial" w:hAnsi="Arial"/>
                <w:sz w:val="15"/>
                <w:szCs w:val="15"/>
                <w:color w:val="auto"/>
              </w:rPr>
              <w:t>736</w:t>
            </w:r>
          </w:p>
        </w:tc>
        <w:tc>
          <w:tcPr>
            <w:tcW w:w="80" w:type="dxa"/>
            <w:vAlign w:val="bottom"/>
          </w:tcPr>
          <w:p>
            <w:pPr>
              <w:spacing w:after="0"/>
              <w:rPr>
                <w:sz w:val="24"/>
                <w:szCs w:val="24"/>
                <w:color w:val="auto"/>
              </w:rPr>
            </w:pPr>
          </w:p>
        </w:tc>
        <w:tc>
          <w:tcPr>
            <w:tcW w:w="120" w:type="dxa"/>
            <w:vAlign w:val="bottom"/>
            <w:tcBorders>
              <w:bottom w:val="single" w:sz="8" w:color="216C2B"/>
            </w:tcBorders>
          </w:tcPr>
          <w:p>
            <w:pPr>
              <w:spacing w:after="0"/>
              <w:rPr>
                <w:sz w:val="24"/>
                <w:szCs w:val="24"/>
                <w:color w:val="auto"/>
              </w:rPr>
            </w:pPr>
          </w:p>
        </w:tc>
        <w:tc>
          <w:tcPr>
            <w:tcW w:w="960" w:type="dxa"/>
            <w:vAlign w:val="bottom"/>
            <w:tcBorders>
              <w:bottom w:val="single" w:sz="8" w:color="216C2B"/>
            </w:tcBorders>
          </w:tcPr>
          <w:p>
            <w:pPr>
              <w:jc w:val="right"/>
              <w:ind w:right="3"/>
              <w:spacing w:after="0"/>
              <w:rPr>
                <w:sz w:val="20"/>
                <w:szCs w:val="20"/>
                <w:color w:val="auto"/>
              </w:rPr>
            </w:pPr>
            <w:r>
              <w:rPr>
                <w:rFonts w:ascii="Arial" w:cs="Arial" w:eastAsia="Arial" w:hAnsi="Arial"/>
                <w:sz w:val="15"/>
                <w:szCs w:val="15"/>
                <w:b w:val="1"/>
                <w:bCs w:val="1"/>
                <w:color w:val="auto"/>
              </w:rPr>
              <w:t>1,334</w:t>
            </w:r>
          </w:p>
        </w:tc>
        <w:tc>
          <w:tcPr>
            <w:tcW w:w="100" w:type="dxa"/>
            <w:vAlign w:val="bottom"/>
          </w:tcPr>
          <w:p>
            <w:pPr>
              <w:spacing w:after="0"/>
              <w:rPr>
                <w:sz w:val="24"/>
                <w:szCs w:val="24"/>
                <w:color w:val="auto"/>
              </w:rPr>
            </w:pPr>
          </w:p>
        </w:tc>
        <w:tc>
          <w:tcPr>
            <w:tcW w:w="220" w:type="dxa"/>
            <w:vAlign w:val="bottom"/>
            <w:tcBorders>
              <w:bottom w:val="single" w:sz="8" w:color="216C2B"/>
            </w:tcBorders>
          </w:tcPr>
          <w:p>
            <w:pPr>
              <w:spacing w:after="0"/>
              <w:rPr>
                <w:sz w:val="24"/>
                <w:szCs w:val="24"/>
                <w:color w:val="auto"/>
              </w:rPr>
            </w:pPr>
          </w:p>
        </w:tc>
        <w:tc>
          <w:tcPr>
            <w:tcW w:w="840" w:type="dxa"/>
            <w:vAlign w:val="bottom"/>
            <w:tcBorders>
              <w:bottom w:val="single" w:sz="8" w:color="216C2B"/>
            </w:tcBorders>
          </w:tcPr>
          <w:p>
            <w:pPr>
              <w:jc w:val="right"/>
              <w:spacing w:after="0"/>
              <w:rPr>
                <w:sz w:val="20"/>
                <w:szCs w:val="20"/>
                <w:color w:val="auto"/>
              </w:rPr>
            </w:pPr>
            <w:r>
              <w:rPr>
                <w:rFonts w:ascii="Arial" w:cs="Arial" w:eastAsia="Arial" w:hAnsi="Arial"/>
                <w:sz w:val="15"/>
                <w:szCs w:val="15"/>
                <w:color w:val="auto"/>
              </w:rPr>
              <w:t>2,201</w:t>
            </w:r>
          </w:p>
        </w:tc>
      </w:tr>
      <w:tr>
        <w:trPr>
          <w:trHeight w:val="296"/>
        </w:trPr>
        <w:tc>
          <w:tcPr>
            <w:tcW w:w="6680" w:type="dxa"/>
            <w:vAlign w:val="bottom"/>
            <w:gridSpan w:val="2"/>
          </w:tcPr>
          <w:p>
            <w:pPr>
              <w:ind w:left="20"/>
              <w:spacing w:after="0"/>
              <w:rPr>
                <w:sz w:val="20"/>
                <w:szCs w:val="20"/>
                <w:color w:val="auto"/>
              </w:rPr>
            </w:pPr>
            <w:r>
              <w:rPr>
                <w:rFonts w:ascii="Arial" w:cs="Arial" w:eastAsia="Arial" w:hAnsi="Arial"/>
                <w:sz w:val="15"/>
                <w:szCs w:val="15"/>
                <w:b w:val="1"/>
                <w:bCs w:val="1"/>
                <w:color w:val="auto"/>
              </w:rPr>
              <w:t>Multifamily benefit (provision) for credit losses:</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68"/>
        </w:trPr>
        <w:tc>
          <w:tcPr>
            <w:tcW w:w="6680" w:type="dxa"/>
            <w:vAlign w:val="bottom"/>
            <w:gridSpan w:val="2"/>
          </w:tcPr>
          <w:p>
            <w:pPr>
              <w:ind w:left="180"/>
              <w:spacing w:after="0"/>
              <w:rPr>
                <w:sz w:val="20"/>
                <w:szCs w:val="20"/>
                <w:color w:val="auto"/>
              </w:rPr>
            </w:pPr>
            <w:r>
              <w:rPr>
                <w:rFonts w:ascii="Arial" w:cs="Arial" w:eastAsia="Arial" w:hAnsi="Arial"/>
                <w:sz w:val="15"/>
                <w:szCs w:val="15"/>
                <w:color w:val="auto"/>
              </w:rPr>
              <w:t>Changes in loan activity</w:t>
            </w:r>
            <w:r>
              <w:rPr>
                <w:rFonts w:ascii="Arial" w:cs="Arial" w:eastAsia="Arial" w:hAnsi="Arial"/>
                <w:sz w:val="20"/>
                <w:szCs w:val="20"/>
                <w:color w:val="auto"/>
                <w:vertAlign w:val="superscript"/>
              </w:rPr>
              <w:t>(1)</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(278)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(103)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(444)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(187)</w:t>
            </w:r>
          </w:p>
        </w:tc>
      </w:tr>
      <w:tr>
        <w:trPr>
          <w:trHeight w:val="263"/>
        </w:trPr>
        <w:tc>
          <w:tcPr>
            <w:tcW w:w="6680" w:type="dxa"/>
            <w:vAlign w:val="bottom"/>
            <w:gridSpan w:val="2"/>
          </w:tcPr>
          <w:p>
            <w:pPr>
              <w:ind w:left="180"/>
              <w:spacing w:after="0"/>
              <w:rPr>
                <w:sz w:val="20"/>
                <w:szCs w:val="20"/>
                <w:color w:val="auto"/>
              </w:rPr>
            </w:pPr>
            <w:r>
              <w:rPr>
                <w:rFonts w:ascii="Arial" w:cs="Arial" w:eastAsia="Arial" w:hAnsi="Arial"/>
                <w:sz w:val="15"/>
                <w:szCs w:val="15"/>
                <w:color w:val="auto"/>
              </w:rPr>
              <w:t>Actual and projected interest rates</w:t>
            </w:r>
          </w:p>
        </w:tc>
        <w:tc>
          <w:tcPr>
            <w:tcW w:w="240" w:type="dxa"/>
            <w:vAlign w:val="bottom"/>
          </w:tcPr>
          <w:p>
            <w:pPr>
              <w:spacing w:after="0"/>
              <w:rPr>
                <w:sz w:val="22"/>
                <w:szCs w:val="22"/>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b w:val="1"/>
                <w:bCs w:val="1"/>
                <w:color w:val="auto"/>
              </w:rPr>
              <w:t>81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(242)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(20)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(234)</w:t>
            </w:r>
          </w:p>
        </w:tc>
      </w:tr>
      <w:tr>
        <w:trPr>
          <w:trHeight w:val="278"/>
        </w:trPr>
        <w:tc>
          <w:tcPr>
            <w:tcW w:w="6680" w:type="dxa"/>
            <w:vAlign w:val="bottom"/>
            <w:gridSpan w:val="2"/>
          </w:tcPr>
          <w:p>
            <w:pPr>
              <w:ind w:left="180"/>
              <w:spacing w:after="0"/>
              <w:rPr>
                <w:sz w:val="20"/>
                <w:szCs w:val="20"/>
                <w:color w:val="auto"/>
              </w:rPr>
            </w:pPr>
            <w:r>
              <w:rPr>
                <w:rFonts w:ascii="Arial" w:cs="Arial" w:eastAsia="Arial" w:hAnsi="Arial"/>
                <w:sz w:val="15"/>
                <w:szCs w:val="15"/>
                <w:color w:val="auto"/>
              </w:rPr>
              <w:t>Actual and projected economic data</w:t>
            </w:r>
            <w:r>
              <w:rPr>
                <w:rFonts w:ascii="Arial" w:cs="Arial" w:eastAsia="Arial" w:hAnsi="Arial"/>
                <w:sz w:val="20"/>
                <w:szCs w:val="20"/>
                <w:color w:val="auto"/>
                <w:vertAlign w:val="superscript"/>
              </w:rPr>
              <w:t>(3)</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(83)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234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(154)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(69)</w:t>
            </w:r>
          </w:p>
        </w:tc>
      </w:tr>
      <w:tr>
        <w:trPr>
          <w:trHeight w:val="257"/>
        </w:trPr>
        <w:tc>
          <w:tcPr>
            <w:tcW w:w="658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r>
              <w:rPr>
                <w:rFonts w:ascii="Arial" w:cs="Arial" w:eastAsia="Arial" w:hAnsi="Arial"/>
                <w:sz w:val="20"/>
                <w:szCs w:val="20"/>
                <w:color w:val="auto"/>
                <w:vertAlign w:val="superscript"/>
              </w:rPr>
              <w:t>(2)</w:t>
            </w:r>
          </w:p>
        </w:tc>
        <w:tc>
          <w:tcPr>
            <w:tcW w:w="100" w:type="dxa"/>
            <w:vAlign w:val="bottom"/>
          </w:tcPr>
          <w:p>
            <w:pPr>
              <w:spacing w:after="0"/>
              <w:rPr>
                <w:sz w:val="22"/>
                <w:szCs w:val="22"/>
                <w:color w:val="auto"/>
              </w:rPr>
            </w:pPr>
          </w:p>
        </w:tc>
        <w:tc>
          <w:tcPr>
            <w:tcW w:w="240" w:type="dxa"/>
            <w:vAlign w:val="bottom"/>
            <w:tcBorders>
              <w:bottom w:val="single" w:sz="8" w:color="2C6937"/>
            </w:tcBorders>
          </w:tcPr>
          <w:p>
            <w:pPr>
              <w:spacing w:after="0"/>
              <w:rPr>
                <w:sz w:val="22"/>
                <w:szCs w:val="22"/>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(144)</w:t>
            </w:r>
          </w:p>
        </w:tc>
        <w:tc>
          <w:tcPr>
            <w:tcW w:w="100" w:type="dxa"/>
            <w:vAlign w:val="bottom"/>
          </w:tcPr>
          <w:p>
            <w:pPr>
              <w:spacing w:after="0"/>
              <w:rPr>
                <w:sz w:val="22"/>
                <w:szCs w:val="22"/>
                <w:color w:val="auto"/>
              </w:rPr>
            </w:pPr>
          </w:p>
        </w:tc>
        <w:tc>
          <w:tcPr>
            <w:tcW w:w="240" w:type="dxa"/>
            <w:vAlign w:val="bottom"/>
            <w:tcBorders>
              <w:bottom w:val="single" w:sz="8" w:color="2C6937"/>
            </w:tcBorders>
          </w:tcPr>
          <w:p>
            <w:pPr>
              <w:spacing w:after="0"/>
              <w:rPr>
                <w:sz w:val="22"/>
                <w:szCs w:val="22"/>
                <w:color w:val="auto"/>
              </w:rPr>
            </w:pPr>
          </w:p>
        </w:tc>
        <w:tc>
          <w:tcPr>
            <w:tcW w:w="84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27</w:t>
            </w:r>
          </w:p>
        </w:tc>
        <w:tc>
          <w:tcPr>
            <w:tcW w:w="80" w:type="dxa"/>
            <w:vAlign w:val="bottom"/>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(209)</w:t>
            </w:r>
          </w:p>
        </w:tc>
        <w:tc>
          <w:tcPr>
            <w:tcW w:w="100" w:type="dxa"/>
            <w:vAlign w:val="bottom"/>
          </w:tcPr>
          <w:p>
            <w:pPr>
              <w:spacing w:after="0"/>
              <w:rPr>
                <w:sz w:val="22"/>
                <w:szCs w:val="22"/>
                <w:color w:val="auto"/>
              </w:rPr>
            </w:pPr>
          </w:p>
        </w:tc>
        <w:tc>
          <w:tcPr>
            <w:tcW w:w="220" w:type="dxa"/>
            <w:vAlign w:val="bottom"/>
            <w:tcBorders>
              <w:bottom w:val="single" w:sz="8" w:color="2C6937"/>
            </w:tcBorders>
          </w:tcPr>
          <w:p>
            <w:pPr>
              <w:spacing w:after="0"/>
              <w:rPr>
                <w:sz w:val="22"/>
                <w:szCs w:val="22"/>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75</w:t>
            </w:r>
          </w:p>
        </w:tc>
      </w:tr>
      <w:tr>
        <w:trPr>
          <w:trHeight w:val="302"/>
        </w:trPr>
        <w:tc>
          <w:tcPr>
            <w:tcW w:w="6580" w:type="dxa"/>
            <w:vAlign w:val="bottom"/>
            <w:tcBorders>
              <w:bottom w:val="single" w:sz="8" w:color="216C2B"/>
            </w:tcBorders>
          </w:tcPr>
          <w:p>
            <w:pPr>
              <w:ind w:left="20"/>
              <w:spacing w:after="0"/>
              <w:rPr>
                <w:sz w:val="20"/>
                <w:szCs w:val="20"/>
                <w:color w:val="auto"/>
              </w:rPr>
            </w:pPr>
            <w:r>
              <w:rPr>
                <w:rFonts w:ascii="Arial" w:cs="Arial" w:eastAsia="Arial" w:hAnsi="Arial"/>
                <w:sz w:val="15"/>
                <w:szCs w:val="15"/>
                <w:color w:val="auto"/>
              </w:rPr>
              <w:t>Multifamily benefit (provision) for credit losses</w:t>
            </w:r>
          </w:p>
        </w:tc>
        <w:tc>
          <w:tcPr>
            <w:tcW w:w="100" w:type="dxa"/>
            <w:vAlign w:val="bottom"/>
          </w:tcPr>
          <w:p>
            <w:pPr>
              <w:spacing w:after="0"/>
              <w:rPr>
                <w:sz w:val="24"/>
                <w:szCs w:val="24"/>
                <w:color w:val="auto"/>
              </w:rPr>
            </w:pPr>
          </w:p>
        </w:tc>
        <w:tc>
          <w:tcPr>
            <w:tcW w:w="240" w:type="dxa"/>
            <w:vAlign w:val="bottom"/>
            <w:tcBorders>
              <w:bottom w:val="single" w:sz="8" w:color="216C2B"/>
            </w:tcBorders>
          </w:tcPr>
          <w:p>
            <w:pPr>
              <w:spacing w:after="0"/>
              <w:rPr>
                <w:sz w:val="24"/>
                <w:szCs w:val="24"/>
                <w:color w:val="auto"/>
              </w:rPr>
            </w:pPr>
          </w:p>
        </w:tc>
        <w:tc>
          <w:tcPr>
            <w:tcW w:w="820" w:type="dxa"/>
            <w:vAlign w:val="bottom"/>
            <w:tcBorders>
              <w:bottom w:val="single" w:sz="8" w:color="216C2B"/>
            </w:tcBorders>
          </w:tcPr>
          <w:p>
            <w:pPr>
              <w:jc w:val="right"/>
              <w:spacing w:after="0"/>
              <w:rPr>
                <w:sz w:val="20"/>
                <w:szCs w:val="20"/>
                <w:color w:val="auto"/>
              </w:rPr>
            </w:pPr>
            <w:r>
              <w:rPr>
                <w:rFonts w:ascii="Arial" w:cs="Arial" w:eastAsia="Arial" w:hAnsi="Arial"/>
                <w:sz w:val="15"/>
                <w:szCs w:val="15"/>
                <w:b w:val="1"/>
                <w:bCs w:val="1"/>
                <w:color w:val="auto"/>
              </w:rPr>
              <w:t>(424)</w:t>
            </w:r>
          </w:p>
        </w:tc>
        <w:tc>
          <w:tcPr>
            <w:tcW w:w="100" w:type="dxa"/>
            <w:vAlign w:val="bottom"/>
          </w:tcPr>
          <w:p>
            <w:pPr>
              <w:spacing w:after="0"/>
              <w:rPr>
                <w:sz w:val="24"/>
                <w:szCs w:val="24"/>
                <w:color w:val="auto"/>
              </w:rPr>
            </w:pPr>
          </w:p>
        </w:tc>
        <w:tc>
          <w:tcPr>
            <w:tcW w:w="240" w:type="dxa"/>
            <w:vAlign w:val="bottom"/>
            <w:tcBorders>
              <w:bottom w:val="single" w:sz="8" w:color="216C2B"/>
            </w:tcBorders>
          </w:tcPr>
          <w:p>
            <w:pPr>
              <w:spacing w:after="0"/>
              <w:rPr>
                <w:sz w:val="24"/>
                <w:szCs w:val="24"/>
                <w:color w:val="auto"/>
              </w:rPr>
            </w:pPr>
          </w:p>
        </w:tc>
        <w:tc>
          <w:tcPr>
            <w:tcW w:w="840" w:type="dxa"/>
            <w:vAlign w:val="bottom"/>
            <w:tcBorders>
              <w:bottom w:val="single" w:sz="8" w:color="216C2B"/>
            </w:tcBorders>
          </w:tcPr>
          <w:p>
            <w:pPr>
              <w:jc w:val="right"/>
              <w:spacing w:after="0"/>
              <w:rPr>
                <w:sz w:val="20"/>
                <w:szCs w:val="20"/>
                <w:color w:val="auto"/>
              </w:rPr>
            </w:pPr>
            <w:r>
              <w:rPr>
                <w:rFonts w:ascii="Arial" w:cs="Arial" w:eastAsia="Arial" w:hAnsi="Arial"/>
                <w:sz w:val="15"/>
                <w:szCs w:val="15"/>
                <w:color w:val="auto"/>
              </w:rPr>
              <w:t>(84)</w:t>
            </w:r>
          </w:p>
        </w:tc>
        <w:tc>
          <w:tcPr>
            <w:tcW w:w="80" w:type="dxa"/>
            <w:vAlign w:val="bottom"/>
          </w:tcPr>
          <w:p>
            <w:pPr>
              <w:spacing w:after="0"/>
              <w:rPr>
                <w:sz w:val="24"/>
                <w:szCs w:val="24"/>
                <w:color w:val="auto"/>
              </w:rPr>
            </w:pPr>
          </w:p>
        </w:tc>
        <w:tc>
          <w:tcPr>
            <w:tcW w:w="120" w:type="dxa"/>
            <w:vAlign w:val="bottom"/>
            <w:tcBorders>
              <w:bottom w:val="single" w:sz="8" w:color="216C2B"/>
            </w:tcBorders>
          </w:tcPr>
          <w:p>
            <w:pPr>
              <w:spacing w:after="0"/>
              <w:rPr>
                <w:sz w:val="24"/>
                <w:szCs w:val="24"/>
                <w:color w:val="auto"/>
              </w:rPr>
            </w:pPr>
          </w:p>
        </w:tc>
        <w:tc>
          <w:tcPr>
            <w:tcW w:w="960" w:type="dxa"/>
            <w:vAlign w:val="bottom"/>
            <w:tcBorders>
              <w:bottom w:val="single" w:sz="8" w:color="216C2B"/>
            </w:tcBorders>
          </w:tcPr>
          <w:p>
            <w:pPr>
              <w:jc w:val="right"/>
              <w:spacing w:after="0"/>
              <w:rPr>
                <w:sz w:val="20"/>
                <w:szCs w:val="20"/>
                <w:color w:val="auto"/>
              </w:rPr>
            </w:pPr>
            <w:r>
              <w:rPr>
                <w:rFonts w:ascii="Arial" w:cs="Arial" w:eastAsia="Arial" w:hAnsi="Arial"/>
                <w:sz w:val="15"/>
                <w:szCs w:val="15"/>
                <w:b w:val="1"/>
                <w:bCs w:val="1"/>
                <w:color w:val="auto"/>
              </w:rPr>
              <w:t>(827)</w:t>
            </w:r>
          </w:p>
        </w:tc>
        <w:tc>
          <w:tcPr>
            <w:tcW w:w="100" w:type="dxa"/>
            <w:vAlign w:val="bottom"/>
          </w:tcPr>
          <w:p>
            <w:pPr>
              <w:spacing w:after="0"/>
              <w:rPr>
                <w:sz w:val="24"/>
                <w:szCs w:val="24"/>
                <w:color w:val="auto"/>
              </w:rPr>
            </w:pPr>
          </w:p>
        </w:tc>
        <w:tc>
          <w:tcPr>
            <w:tcW w:w="220" w:type="dxa"/>
            <w:vAlign w:val="bottom"/>
            <w:tcBorders>
              <w:bottom w:val="single" w:sz="8" w:color="216C2B"/>
            </w:tcBorders>
          </w:tcPr>
          <w:p>
            <w:pPr>
              <w:spacing w:after="0"/>
              <w:rPr>
                <w:sz w:val="24"/>
                <w:szCs w:val="24"/>
                <w:color w:val="auto"/>
              </w:rPr>
            </w:pPr>
          </w:p>
        </w:tc>
        <w:tc>
          <w:tcPr>
            <w:tcW w:w="840" w:type="dxa"/>
            <w:vAlign w:val="bottom"/>
            <w:tcBorders>
              <w:bottom w:val="single" w:sz="8" w:color="216C2B"/>
            </w:tcBorders>
          </w:tcPr>
          <w:p>
            <w:pPr>
              <w:jc w:val="right"/>
              <w:spacing w:after="0"/>
              <w:rPr>
                <w:sz w:val="20"/>
                <w:szCs w:val="20"/>
                <w:color w:val="auto"/>
              </w:rPr>
            </w:pPr>
            <w:r>
              <w:rPr>
                <w:rFonts w:ascii="Arial" w:cs="Arial" w:eastAsia="Arial" w:hAnsi="Arial"/>
                <w:sz w:val="15"/>
                <w:szCs w:val="15"/>
                <w:color w:val="auto"/>
              </w:rPr>
              <w:t>(415)</w:t>
            </w:r>
          </w:p>
        </w:tc>
      </w:tr>
      <w:tr>
        <w:trPr>
          <w:trHeight w:val="302"/>
        </w:trPr>
        <w:tc>
          <w:tcPr>
            <w:tcW w:w="65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Total benefit (provision) for credit losses</w:t>
            </w:r>
          </w:p>
        </w:tc>
        <w:tc>
          <w:tcPr>
            <w:tcW w:w="100" w:type="dxa"/>
            <w:vAlign w:val="bottom"/>
          </w:tcPr>
          <w:p>
            <w:pPr>
              <w:spacing w:after="0"/>
              <w:rPr>
                <w:sz w:val="24"/>
                <w:szCs w:val="24"/>
                <w:color w:val="auto"/>
              </w:rPr>
            </w:pPr>
          </w:p>
        </w:tc>
        <w:tc>
          <w:tcPr>
            <w:tcW w:w="240" w:type="dxa"/>
            <w:vAlign w:val="bottom"/>
            <w:tcBorders>
              <w:bottom w:val="single" w:sz="8" w:color="2C6937"/>
            </w:tcBorders>
          </w:tcPr>
          <w:p>
            <w:pPr>
              <w:jc w:val="right"/>
              <w:ind w:right="6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27</w:t>
            </w:r>
          </w:p>
        </w:tc>
        <w:tc>
          <w:tcPr>
            <w:tcW w:w="100" w:type="dxa"/>
            <w:vAlign w:val="bottom"/>
          </w:tcPr>
          <w:p>
            <w:pPr>
              <w:spacing w:after="0"/>
              <w:rPr>
                <w:sz w:val="24"/>
                <w:szCs w:val="24"/>
                <w:color w:val="auto"/>
              </w:rPr>
            </w:pPr>
          </w:p>
        </w:tc>
        <w:tc>
          <w:tcPr>
            <w:tcW w:w="240" w:type="dxa"/>
            <w:vAlign w:val="bottom"/>
            <w:tcBorders>
              <w:bottom w:val="single" w:sz="8" w:color="2C6937"/>
            </w:tcBorders>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652</w:t>
            </w:r>
          </w:p>
        </w:tc>
        <w:tc>
          <w:tcPr>
            <w:tcW w:w="80" w:type="dxa"/>
            <w:vAlign w:val="bottom"/>
          </w:tcPr>
          <w:p>
            <w:pPr>
              <w:spacing w:after="0"/>
              <w:rPr>
                <w:sz w:val="24"/>
                <w:szCs w:val="24"/>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507</w:t>
            </w:r>
          </w:p>
        </w:tc>
        <w:tc>
          <w:tcPr>
            <w:tcW w:w="100" w:type="dxa"/>
            <w:vAlign w:val="bottom"/>
          </w:tcPr>
          <w:p>
            <w:pPr>
              <w:spacing w:after="0"/>
              <w:rPr>
                <w:sz w:val="24"/>
                <w:szCs w:val="24"/>
                <w:color w:val="auto"/>
              </w:rPr>
            </w:pPr>
          </w:p>
        </w:tc>
        <w:tc>
          <w:tcPr>
            <w:tcW w:w="220" w:type="dxa"/>
            <w:vAlign w:val="bottom"/>
            <w:tcBorders>
              <w:bottom w:val="single" w:sz="8" w:color="2C6937"/>
            </w:tcBorders>
          </w:tcPr>
          <w:p>
            <w:pPr>
              <w:jc w:val="right"/>
              <w:ind w:right="43"/>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1,786</w:t>
            </w:r>
          </w:p>
        </w:tc>
      </w:tr>
      <w:tr>
        <w:trPr>
          <w:trHeight w:val="20"/>
        </w:trPr>
        <w:tc>
          <w:tcPr>
            <w:tcW w:w="65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2C6937"/>
            </w:tcBorders>
          </w:tcPr>
          <w:p>
            <w:pPr>
              <w:spacing w:after="0" w:line="20" w:lineRule="exact"/>
              <w:rPr>
                <w:sz w:val="1"/>
                <w:szCs w:val="1"/>
                <w:color w:val="auto"/>
              </w:rPr>
            </w:pPr>
          </w:p>
        </w:tc>
        <w:tc>
          <w:tcPr>
            <w:tcW w:w="8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2C6937"/>
            </w:tcBorders>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9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2C6937"/>
            </w:tcBorders>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r>
      <w:tr>
        <w:trPr>
          <w:trHeight w:val="499"/>
        </w:trPr>
        <w:tc>
          <w:tcPr>
            <w:tcW w:w="6680" w:type="dxa"/>
            <w:vAlign w:val="bottom"/>
            <w:gridSpan w:val="2"/>
          </w:tcPr>
          <w:p>
            <w:pPr>
              <w:ind w:left="20"/>
              <w:spacing w:after="0"/>
              <w:rPr>
                <w:sz w:val="20"/>
                <w:szCs w:val="20"/>
                <w:color w:val="auto"/>
              </w:rPr>
            </w:pPr>
            <w:r>
              <w:rPr>
                <w:rFonts w:ascii="Arial" w:cs="Arial" w:eastAsia="Arial" w:hAnsi="Arial"/>
                <w:sz w:val="15"/>
                <w:szCs w:val="15"/>
                <w:b w:val="1"/>
                <w:bCs w:val="1"/>
                <w:color w:val="auto"/>
              </w:rPr>
              <w:t>Change in expected credit enhancement recoveries:</w:t>
            </w:r>
            <w:r>
              <w:rPr>
                <w:rFonts w:ascii="Arial" w:cs="Arial" w:eastAsia="Arial" w:hAnsi="Arial"/>
                <w:sz w:val="20"/>
                <w:szCs w:val="20"/>
                <w:b w:val="1"/>
                <w:bCs w:val="1"/>
                <w:color w:val="auto"/>
                <w:vertAlign w:val="superscript"/>
              </w:rPr>
              <w:t>(4)</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9"/>
        </w:trPr>
        <w:tc>
          <w:tcPr>
            <w:tcW w:w="6680" w:type="dxa"/>
            <w:vAlign w:val="bottom"/>
            <w:gridSpan w:val="2"/>
          </w:tcPr>
          <w:p>
            <w:pPr>
              <w:ind w:left="180"/>
              <w:spacing w:after="0"/>
              <w:rPr>
                <w:sz w:val="20"/>
                <w:szCs w:val="20"/>
                <w:color w:val="auto"/>
              </w:rPr>
            </w:pPr>
            <w:r>
              <w:rPr>
                <w:rFonts w:ascii="Arial" w:cs="Arial" w:eastAsia="Arial" w:hAnsi="Arial"/>
                <w:sz w:val="15"/>
                <w:szCs w:val="15"/>
                <w:color w:val="auto"/>
              </w:rPr>
              <w:t>Single-family</w:t>
            </w:r>
          </w:p>
        </w:tc>
        <w:tc>
          <w:tcPr>
            <w:tcW w:w="24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(45)</w:t>
            </w:r>
          </w:p>
        </w:tc>
        <w:tc>
          <w:tcPr>
            <w:tcW w:w="100" w:type="dxa"/>
            <w:vAlign w:val="bottom"/>
          </w:tcPr>
          <w:p>
            <w:pPr>
              <w:spacing w:after="0"/>
              <w:rPr>
                <w:sz w:val="22"/>
                <w:szCs w:val="22"/>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(170)</w:t>
            </w: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(134)</w:t>
            </w:r>
          </w:p>
        </w:tc>
        <w:tc>
          <w:tcPr>
            <w:tcW w:w="100" w:type="dxa"/>
            <w:vAlign w:val="bottom"/>
          </w:tcPr>
          <w:p>
            <w:pPr>
              <w:spacing w:after="0"/>
              <w:rPr>
                <w:sz w:val="22"/>
                <w:szCs w:val="22"/>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(298)</w:t>
            </w:r>
          </w:p>
        </w:tc>
      </w:tr>
      <w:tr>
        <w:trPr>
          <w:trHeight w:val="303"/>
        </w:trPr>
        <w:tc>
          <w:tcPr>
            <w:tcW w:w="658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4"/>
                <w:szCs w:val="24"/>
                <w:color w:val="auto"/>
              </w:rPr>
            </w:pPr>
          </w:p>
        </w:tc>
        <w:tc>
          <w:tcPr>
            <w:tcW w:w="240" w:type="dxa"/>
            <w:vAlign w:val="bottom"/>
            <w:tcBorders>
              <w:bottom w:val="single" w:sz="8" w:color="2C6937"/>
            </w:tcBorders>
          </w:tcPr>
          <w:p>
            <w:pPr>
              <w:spacing w:after="0"/>
              <w:rPr>
                <w:sz w:val="24"/>
                <w:szCs w:val="24"/>
                <w:color w:val="auto"/>
              </w:rPr>
            </w:pPr>
          </w:p>
        </w:tc>
        <w:tc>
          <w:tcPr>
            <w:tcW w:w="8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134</w:t>
            </w:r>
          </w:p>
        </w:tc>
        <w:tc>
          <w:tcPr>
            <w:tcW w:w="100" w:type="dxa"/>
            <w:vAlign w:val="bottom"/>
          </w:tcPr>
          <w:p>
            <w:pPr>
              <w:spacing w:after="0"/>
              <w:rPr>
                <w:sz w:val="24"/>
                <w:szCs w:val="24"/>
                <w:color w:val="auto"/>
              </w:rPr>
            </w:pPr>
          </w:p>
        </w:tc>
        <w:tc>
          <w:tcPr>
            <w:tcW w:w="240" w:type="dxa"/>
            <w:vAlign w:val="bottom"/>
            <w:tcBorders>
              <w:bottom w:val="single" w:sz="8" w:color="2C6937"/>
            </w:tcBorders>
          </w:tcPr>
          <w:p>
            <w:pPr>
              <w:spacing w:after="0"/>
              <w:rPr>
                <w:sz w:val="24"/>
                <w:szCs w:val="24"/>
                <w:color w:val="auto"/>
              </w:rPr>
            </w:pPr>
          </w:p>
        </w:tc>
        <w:tc>
          <w:tcPr>
            <w:tcW w:w="84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42</w:t>
            </w:r>
          </w:p>
        </w:tc>
        <w:tc>
          <w:tcPr>
            <w:tcW w:w="80" w:type="dxa"/>
            <w:vAlign w:val="bottom"/>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323</w:t>
            </w:r>
          </w:p>
        </w:tc>
        <w:tc>
          <w:tcPr>
            <w:tcW w:w="100" w:type="dxa"/>
            <w:vAlign w:val="bottom"/>
          </w:tcPr>
          <w:p>
            <w:pPr>
              <w:spacing w:after="0"/>
              <w:rPr>
                <w:sz w:val="24"/>
                <w:szCs w:val="24"/>
                <w:color w:val="auto"/>
              </w:rPr>
            </w:pPr>
          </w:p>
        </w:tc>
        <w:tc>
          <w:tcPr>
            <w:tcW w:w="220" w:type="dxa"/>
            <w:vAlign w:val="bottom"/>
            <w:tcBorders>
              <w:bottom w:val="single" w:sz="8" w:color="2C6937"/>
            </w:tcBorders>
          </w:tcPr>
          <w:p>
            <w:pPr>
              <w:spacing w:after="0"/>
              <w:rPr>
                <w:sz w:val="24"/>
                <w:szCs w:val="24"/>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130</w:t>
            </w:r>
          </w:p>
        </w:tc>
      </w:tr>
      <w:tr>
        <w:trPr>
          <w:trHeight w:val="302"/>
        </w:trPr>
        <w:tc>
          <w:tcPr>
            <w:tcW w:w="6680" w:type="dxa"/>
            <w:vAlign w:val="bottom"/>
            <w:gridSpan w:val="2"/>
          </w:tcPr>
          <w:p>
            <w:pPr>
              <w:ind w:left="20"/>
              <w:spacing w:after="0"/>
              <w:rPr>
                <w:sz w:val="20"/>
                <w:szCs w:val="20"/>
                <w:color w:val="auto"/>
              </w:rPr>
            </w:pPr>
            <w:r>
              <w:rPr>
                <w:rFonts w:ascii="Arial" w:cs="Arial" w:eastAsia="Arial" w:hAnsi="Arial"/>
                <w:sz w:val="15"/>
                <w:szCs w:val="15"/>
                <w:color w:val="auto"/>
              </w:rPr>
              <w:t>Change in expected credit enhancement recoveries</w:t>
            </w:r>
          </w:p>
        </w:tc>
        <w:tc>
          <w:tcPr>
            <w:tcW w:w="24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w:t>
            </w:r>
          </w:p>
        </w:tc>
        <w:tc>
          <w:tcPr>
            <w:tcW w:w="820" w:type="dxa"/>
            <w:vAlign w:val="bottom"/>
          </w:tcPr>
          <w:p>
            <w:pPr>
              <w:jc w:val="right"/>
              <w:ind w:right="3"/>
              <w:spacing w:after="0"/>
              <w:rPr>
                <w:sz w:val="20"/>
                <w:szCs w:val="20"/>
                <w:color w:val="auto"/>
              </w:rPr>
            </w:pPr>
            <w:r>
              <w:rPr>
                <w:rFonts w:ascii="Arial" w:cs="Arial" w:eastAsia="Arial" w:hAnsi="Arial"/>
                <w:sz w:val="15"/>
                <w:szCs w:val="15"/>
                <w:b w:val="1"/>
                <w:bCs w:val="1"/>
                <w:color w:val="auto"/>
              </w:rPr>
              <w:t>89</w:t>
            </w:r>
          </w:p>
        </w:tc>
        <w:tc>
          <w:tcPr>
            <w:tcW w:w="100" w:type="dxa"/>
            <w:vAlign w:val="bottom"/>
          </w:tcPr>
          <w:p>
            <w:pPr>
              <w:spacing w:after="0"/>
              <w:rPr>
                <w:sz w:val="24"/>
                <w:szCs w:val="24"/>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(128)</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b w:val="1"/>
                <w:bCs w:val="1"/>
                <w:color w:val="auto"/>
              </w:rPr>
              <w:t>189</w:t>
            </w:r>
          </w:p>
        </w:tc>
        <w:tc>
          <w:tcPr>
            <w:tcW w:w="100" w:type="dxa"/>
            <w:vAlign w:val="bottom"/>
          </w:tcPr>
          <w:p>
            <w:pPr>
              <w:spacing w:after="0"/>
              <w:rPr>
                <w:sz w:val="24"/>
                <w:szCs w:val="24"/>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(168)</w:t>
            </w:r>
          </w:p>
        </w:tc>
      </w:tr>
      <w:tr>
        <w:trPr>
          <w:trHeight w:val="20"/>
        </w:trPr>
        <w:tc>
          <w:tcPr>
            <w:tcW w:w="6580" w:type="dxa"/>
            <w:vAlign w:val="bottom"/>
            <w:tcBorders>
              <w:top w:val="single" w:sz="8" w:color="226600"/>
              <w:bottom w:val="single" w:sz="8" w:color="22660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226600"/>
              <w:bottom w:val="single" w:sz="8" w:color="226600"/>
            </w:tcBorders>
          </w:tcPr>
          <w:p>
            <w:pPr>
              <w:spacing w:after="0" w:line="20" w:lineRule="exact"/>
              <w:rPr>
                <w:sz w:val="1"/>
                <w:szCs w:val="1"/>
                <w:color w:val="auto"/>
              </w:rPr>
            </w:pPr>
          </w:p>
        </w:tc>
        <w:tc>
          <w:tcPr>
            <w:tcW w:w="820" w:type="dxa"/>
            <w:vAlign w:val="bottom"/>
            <w:tcBorders>
              <w:top w:val="single" w:sz="8" w:color="226600"/>
              <w:bottom w:val="single" w:sz="8" w:color="22660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226600"/>
              <w:bottom w:val="single" w:sz="8" w:color="226600"/>
            </w:tcBorders>
          </w:tcPr>
          <w:p>
            <w:pPr>
              <w:spacing w:after="0" w:line="20" w:lineRule="exact"/>
              <w:rPr>
                <w:sz w:val="1"/>
                <w:szCs w:val="1"/>
                <w:color w:val="auto"/>
              </w:rPr>
            </w:pPr>
          </w:p>
        </w:tc>
        <w:tc>
          <w:tcPr>
            <w:tcW w:w="840" w:type="dxa"/>
            <w:vAlign w:val="bottom"/>
            <w:tcBorders>
              <w:top w:val="single" w:sz="8" w:color="226600"/>
              <w:bottom w:val="single" w:sz="8" w:color="22660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226600"/>
              <w:bottom w:val="single" w:sz="8" w:color="226600"/>
            </w:tcBorders>
          </w:tcPr>
          <w:p>
            <w:pPr>
              <w:spacing w:after="0" w:line="20" w:lineRule="exact"/>
              <w:rPr>
                <w:sz w:val="1"/>
                <w:szCs w:val="1"/>
                <w:color w:val="auto"/>
              </w:rPr>
            </w:pPr>
          </w:p>
        </w:tc>
        <w:tc>
          <w:tcPr>
            <w:tcW w:w="960" w:type="dxa"/>
            <w:vAlign w:val="bottom"/>
            <w:tcBorders>
              <w:top w:val="single" w:sz="8" w:color="226600"/>
              <w:bottom w:val="single" w:sz="8" w:color="22660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226600"/>
              <w:bottom w:val="single" w:sz="8" w:color="226600"/>
            </w:tcBorders>
          </w:tcPr>
          <w:p>
            <w:pPr>
              <w:spacing w:after="0" w:line="20" w:lineRule="exact"/>
              <w:rPr>
                <w:sz w:val="1"/>
                <w:szCs w:val="1"/>
                <w:color w:val="auto"/>
              </w:rPr>
            </w:pPr>
          </w:p>
        </w:tc>
        <w:tc>
          <w:tcPr>
            <w:tcW w:w="840" w:type="dxa"/>
            <w:vAlign w:val="bottom"/>
            <w:tcBorders>
              <w:top w:val="single" w:sz="8" w:color="226600"/>
              <w:bottom w:val="single" w:sz="8" w:color="226600"/>
            </w:tcBorders>
          </w:tcPr>
          <w:p>
            <w:pPr>
              <w:spacing w:after="0" w:line="20" w:lineRule="exact"/>
              <w:rPr>
                <w:sz w:val="1"/>
                <w:szCs w:val="1"/>
                <w:color w:val="auto"/>
              </w:rPr>
            </w:pPr>
          </w:p>
        </w:tc>
      </w:tr>
    </w:tbl>
    <w:p>
      <w:pPr>
        <w:spacing w:after="0" w:line="96" w:lineRule="exact"/>
        <w:rPr>
          <w:sz w:val="20"/>
          <w:szCs w:val="20"/>
          <w:color w:val="auto"/>
        </w:rPr>
      </w:pPr>
    </w:p>
    <w:p>
      <w:pPr>
        <w:ind w:left="240" w:right="40" w:hanging="237"/>
        <w:spacing w:after="0" w:line="228" w:lineRule="auto"/>
        <w:tabs>
          <w:tab w:leader="none" w:pos="233"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Primarily consists of loan acquisitions, liquidations, changes in loan delinquencies and write-offs of amounts determined to be uncollectible. For multifamily, “Changes in loan activity” also includes changes in the allowance due to loan delinquencies and the impact of changes in debt service coverage ratios (“DSCRs”) based on updated property financial information, which is used to assess loan credit quality.</w:t>
      </w:r>
    </w:p>
    <w:p>
      <w:pPr>
        <w:spacing w:after="0" w:line="26" w:lineRule="exact"/>
        <w:rPr>
          <w:rFonts w:ascii="Arial" w:cs="Arial" w:eastAsia="Arial" w:hAnsi="Arial"/>
          <w:sz w:val="18"/>
          <w:szCs w:val="18"/>
          <w:color w:val="auto"/>
          <w:vertAlign w:val="superscript"/>
        </w:rPr>
      </w:pPr>
    </w:p>
    <w:p>
      <w:pPr>
        <w:ind w:left="240" w:right="100" w:hanging="237"/>
        <w:spacing w:after="0" w:line="259" w:lineRule="auto"/>
        <w:tabs>
          <w:tab w:leader="none" w:pos="233" w:val="left"/>
        </w:tabs>
        <w:numPr>
          <w:ilvl w:val="0"/>
          <w:numId w:val="19"/>
        </w:numPr>
        <w:rPr>
          <w:rFonts w:ascii="Arial" w:cs="Arial" w:eastAsia="Arial" w:hAnsi="Arial"/>
          <w:sz w:val="9"/>
          <w:szCs w:val="9"/>
          <w:color w:val="auto"/>
        </w:rPr>
      </w:pPr>
      <w:r>
        <w:rPr>
          <w:rFonts w:ascii="Arial" w:cs="Arial" w:eastAsia="Arial" w:hAnsi="Arial"/>
          <w:sz w:val="14"/>
          <w:szCs w:val="14"/>
          <w:color w:val="auto"/>
        </w:rPr>
        <w:t>Includes provision for allowance on accrued interest receivable and impacts of model enhancements. Also includes any benefit or provision for our guaranty loss reserves that are not separately included in the other components. Beginning with the period ended March 31, 2024, single-family also includes the release of economic concessions related to loans previously designated as troubled debt restructurings (“TDRs”) that received loss mitigation arrangements during the period. Prior periods have been updated to conform to the current period presentation.</w:t>
      </w:r>
    </w:p>
    <w:p>
      <w:pPr>
        <w:ind w:left="220" w:hanging="217"/>
        <w:spacing w:after="0"/>
        <w:tabs>
          <w:tab w:leader="none" w:pos="22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Primarily consists of changes attributed to projected property net operating income, actual and projected property values, and labor market forecasts.</w:t>
      </w:r>
    </w:p>
    <w:p>
      <w:pPr>
        <w:spacing w:after="0" w:line="24" w:lineRule="exact"/>
        <w:rPr>
          <w:rFonts w:ascii="Arial" w:cs="Arial" w:eastAsia="Arial" w:hAnsi="Arial"/>
          <w:sz w:val="18"/>
          <w:szCs w:val="18"/>
          <w:color w:val="auto"/>
          <w:vertAlign w:val="superscript"/>
        </w:rPr>
      </w:pPr>
    </w:p>
    <w:p>
      <w:pPr>
        <w:jc w:val="both"/>
        <w:ind w:left="240" w:right="20" w:hanging="237"/>
        <w:spacing w:after="0" w:line="255" w:lineRule="auto"/>
        <w:tabs>
          <w:tab w:leader="none" w:pos="233" w:val="left"/>
        </w:tabs>
        <w:numPr>
          <w:ilvl w:val="0"/>
          <w:numId w:val="19"/>
        </w:numPr>
        <w:rPr>
          <w:rFonts w:ascii="Arial" w:cs="Arial" w:eastAsia="Arial" w:hAnsi="Arial"/>
          <w:sz w:val="9"/>
          <w:szCs w:val="9"/>
          <w:color w:val="auto"/>
        </w:rPr>
      </w:pPr>
      <w:r>
        <w:rPr>
          <w:rFonts w:ascii="Arial" w:cs="Arial" w:eastAsia="Arial" w:hAnsi="Arial"/>
          <w:sz w:val="14"/>
          <w:szCs w:val="14"/>
          <w:color w:val="auto"/>
        </w:rPr>
        <w:t>Includes estimated changes in benefits, from our freestanding credit enhancements. Beginning with the period ended December 31, 2023, “Change in expected credit enhancement recoveries” as presented in this table includes activity associated with both active and inactive loans. Previously, this presentation only included active loans. Prior periods have been updated to conform to the current period presentation.</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2024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13</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60" w:type="dxa"/>
            <w:vAlign w:val="bottom"/>
            <w:tcBorders>
              <w:bottom w:val="single" w:sz="8" w:color="9A9A9A"/>
            </w:tcBorders>
          </w:tcPr>
          <w:p>
            <w:pPr>
              <w:spacing w:after="0"/>
              <w:rPr>
                <w:sz w:val="17"/>
                <w:szCs w:val="17"/>
                <w:color w:val="auto"/>
              </w:rPr>
            </w:pPr>
          </w:p>
        </w:tc>
        <w:tc>
          <w:tcPr>
            <w:tcW w:w="42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6" w:name="page17"/>
    <w:bookmarkEnd w:id="16"/>
    <w:p>
      <w:pPr>
        <w:ind w:left="844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Single-Family Benefit (Provision) for Credit Losses</w:t>
      </w:r>
    </w:p>
    <w:p>
      <w:pPr>
        <w:spacing w:after="0" w:line="80"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Our single-family benefit for credit losses in the third quarter of 2024 was primarily driven by a benefit from forecasted home price growth and a benefit from actual and projected interest rates, partially offset by a provision from changes in loan activity, as described below. Additionally, our allowance for loan losses as of September 30, 2024 considers the potential impact of Hurricane Helene.</w:t>
      </w:r>
    </w:p>
    <w:p>
      <w:pPr>
        <w:spacing w:after="0" w:line="32" w:lineRule="exact"/>
        <w:rPr>
          <w:sz w:val="20"/>
          <w:szCs w:val="20"/>
          <w:color w:val="auto"/>
        </w:rPr>
      </w:pPr>
    </w:p>
    <w:p>
      <w:pPr>
        <w:ind w:left="620" w:right="160" w:hanging="307"/>
        <w:spacing w:after="0" w:line="264" w:lineRule="auto"/>
        <w:tabs>
          <w:tab w:leader="none" w:pos="612"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Benefit from forecasted home price growth. </w:t>
      </w:r>
      <w:r>
        <w:rPr>
          <w:rFonts w:ascii="Arial" w:cs="Arial" w:eastAsia="Arial" w:hAnsi="Arial"/>
          <w:sz w:val="16"/>
          <w:szCs w:val="16"/>
          <w:color w:val="auto"/>
        </w:rPr>
        <w:t>During the third quarter of 2024, our forecast of future home prices improved. Higher home prices</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the likelihood that loans will default and reduce the amount of losses on loans that do default, which impacts our estimate of losses and ultimately reduces our loss reserves and provision for credit losses. See “Key Market Economic Indicators” in our 2023 Form 10-K for additional information about how home prices affect our credit loss estimates. See “Key Market Economic Indicators” in this report for a discussion of home price growth and our home price forecast. Also see “Critical Accounting Estimates” in this report for more information about our home price forecast.</w:t>
      </w:r>
    </w:p>
    <w:p>
      <w:pPr>
        <w:spacing w:after="0" w:line="238" w:lineRule="exact"/>
        <w:rPr>
          <w:rFonts w:ascii="Arial" w:cs="Arial" w:eastAsia="Arial" w:hAnsi="Arial"/>
          <w:sz w:val="16"/>
          <w:szCs w:val="16"/>
          <w:color w:val="auto"/>
        </w:rPr>
      </w:pPr>
    </w:p>
    <w:p>
      <w:pPr>
        <w:ind w:left="620" w:right="500" w:hanging="307"/>
        <w:spacing w:after="0" w:line="293" w:lineRule="auto"/>
        <w:tabs>
          <w:tab w:leader="none" w:pos="612"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Benefit from actual and projected interest rates. </w:t>
      </w:r>
      <w:r>
        <w:rPr>
          <w:rFonts w:ascii="Arial" w:cs="Arial" w:eastAsia="Arial" w:hAnsi="Arial"/>
          <w:sz w:val="16"/>
          <w:szCs w:val="16"/>
          <w:color w:val="auto"/>
        </w:rPr>
        <w:t>Actual and projected interest rates decreased in the third quarter of 2024, which reduced the</w:t>
      </w:r>
      <w:r>
        <w:rPr>
          <w:rFonts w:ascii="Arial" w:cs="Arial" w:eastAsia="Arial" w:hAnsi="Arial"/>
          <w:sz w:val="16"/>
          <w:szCs w:val="16"/>
          <w:i w:val="1"/>
          <w:iCs w:val="1"/>
          <w:color w:val="auto"/>
        </w:rPr>
        <w:t xml:space="preserve"> </w:t>
      </w:r>
      <w:r>
        <w:rPr>
          <w:rFonts w:ascii="Arial" w:cs="Arial" w:eastAsia="Arial" w:hAnsi="Arial"/>
          <w:sz w:val="16"/>
          <w:szCs w:val="16"/>
          <w:color w:val="auto"/>
        </w:rPr>
        <w:t>probability of default, resulting in a benefit for credit losses.</w:t>
      </w:r>
    </w:p>
    <w:p>
      <w:pPr>
        <w:spacing w:after="0" w:line="27" w:lineRule="exact"/>
        <w:rPr>
          <w:rFonts w:ascii="Arial" w:cs="Arial" w:eastAsia="Arial" w:hAnsi="Arial"/>
          <w:sz w:val="16"/>
          <w:szCs w:val="16"/>
          <w:color w:val="auto"/>
        </w:rPr>
      </w:pPr>
    </w:p>
    <w:p>
      <w:pPr>
        <w:ind w:left="620" w:right="200" w:hanging="307"/>
        <w:spacing w:after="0" w:line="266" w:lineRule="auto"/>
        <w:tabs>
          <w:tab w:leader="none" w:pos="612"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Provision from changes in loan activity. </w:t>
      </w:r>
      <w:r>
        <w:rPr>
          <w:rFonts w:ascii="Arial" w:cs="Arial" w:eastAsia="Arial" w:hAnsi="Arial"/>
          <w:sz w:val="16"/>
          <w:szCs w:val="16"/>
          <w:color w:val="auto"/>
        </w:rPr>
        <w:t>This includes provision on newly acquired loans and was primarily driven by the credit risk profile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single-family acquisitions for the third quarter of 2024, which primarily consisted of purchase loans. Purchase loans generally have higher origination loan-to-value (“LTV”) ratios than refinance loans; therefore, purchase loans have a higher estimated risk of default and loss severity in the allowance than refinance loans and a correspondingly higher credit loss provision at the time of acquisition.</w:t>
      </w:r>
    </w:p>
    <w:p>
      <w:pPr>
        <w:spacing w:after="0" w:line="35" w:lineRule="exact"/>
        <w:rPr>
          <w:sz w:val="20"/>
          <w:szCs w:val="20"/>
          <w:color w:val="auto"/>
        </w:rPr>
      </w:pPr>
    </w:p>
    <w:p>
      <w:pPr>
        <w:ind w:right="220"/>
        <w:spacing w:after="0" w:line="310" w:lineRule="auto"/>
        <w:rPr>
          <w:sz w:val="20"/>
          <w:szCs w:val="20"/>
          <w:color w:val="auto"/>
        </w:rPr>
      </w:pPr>
      <w:r>
        <w:rPr>
          <w:rFonts w:ascii="Arial" w:cs="Arial" w:eastAsia="Arial" w:hAnsi="Arial"/>
          <w:sz w:val="16"/>
          <w:szCs w:val="16"/>
          <w:color w:val="auto"/>
        </w:rPr>
        <w:t>Our single-family benefit for credit losses in the first nine months of 2024 was primarily driven by a benefit from actual and forecasted home price growth, partially offset by a provision from changes in loan activity.</w:t>
      </w:r>
    </w:p>
    <w:p>
      <w:pPr>
        <w:spacing w:after="0" w:line="2" w:lineRule="exact"/>
        <w:rPr>
          <w:sz w:val="20"/>
          <w:szCs w:val="20"/>
          <w:color w:val="auto"/>
        </w:rPr>
      </w:pPr>
    </w:p>
    <w:p>
      <w:pPr>
        <w:ind w:left="620" w:right="240" w:hanging="307"/>
        <w:spacing w:after="0" w:line="293" w:lineRule="auto"/>
        <w:tabs>
          <w:tab w:leader="none" w:pos="612"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Benefit from actual and forecasted home price growth. </w:t>
      </w:r>
      <w:r>
        <w:rPr>
          <w:rFonts w:ascii="Arial" w:cs="Arial" w:eastAsia="Arial" w:hAnsi="Arial"/>
          <w:sz w:val="16"/>
          <w:szCs w:val="16"/>
          <w:color w:val="auto"/>
        </w:rPr>
        <w:t>During the first nine months of 2024, actual home prices appreciated more than originally</w:t>
      </w:r>
      <w:r>
        <w:rPr>
          <w:rFonts w:ascii="Arial" w:cs="Arial" w:eastAsia="Arial" w:hAnsi="Arial"/>
          <w:sz w:val="16"/>
          <w:szCs w:val="16"/>
          <w:i w:val="1"/>
          <w:iCs w:val="1"/>
          <w:color w:val="auto"/>
        </w:rPr>
        <w:t xml:space="preserve"> </w:t>
      </w:r>
      <w:r>
        <w:rPr>
          <w:rFonts w:ascii="Arial" w:cs="Arial" w:eastAsia="Arial" w:hAnsi="Arial"/>
          <w:sz w:val="16"/>
          <w:szCs w:val="16"/>
          <w:color w:val="auto"/>
        </w:rPr>
        <w:t>projected and our forecast of future home prices also improved.</w:t>
      </w:r>
    </w:p>
    <w:p>
      <w:pPr>
        <w:spacing w:after="0" w:line="14" w:lineRule="exact"/>
        <w:rPr>
          <w:rFonts w:ascii="Arial" w:cs="Arial" w:eastAsia="Arial" w:hAnsi="Arial"/>
          <w:sz w:val="16"/>
          <w:szCs w:val="16"/>
          <w:color w:val="auto"/>
        </w:rPr>
      </w:pPr>
    </w:p>
    <w:p>
      <w:pPr>
        <w:ind w:left="620" w:right="340" w:hanging="307"/>
        <w:spacing w:after="0" w:line="293" w:lineRule="auto"/>
        <w:tabs>
          <w:tab w:leader="none" w:pos="612"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Provision from changes in loan activity. </w:t>
      </w:r>
      <w:r>
        <w:rPr>
          <w:rFonts w:ascii="Arial" w:cs="Arial" w:eastAsia="Arial" w:hAnsi="Arial"/>
          <w:sz w:val="16"/>
          <w:szCs w:val="16"/>
          <w:color w:val="auto"/>
        </w:rPr>
        <w:t>This includes provision on newly acquired loans and was primarily driven by the credit risk profile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single-family acquisitions for the first nine months of 2024, which primarily consisted of purchase loans.</w:t>
      </w:r>
    </w:p>
    <w:p>
      <w:pPr>
        <w:spacing w:after="0" w:line="28" w:lineRule="exact"/>
        <w:rPr>
          <w:sz w:val="20"/>
          <w:szCs w:val="20"/>
          <w:color w:val="auto"/>
        </w:rPr>
      </w:pPr>
    </w:p>
    <w:p>
      <w:pPr>
        <w:ind w:right="320"/>
        <w:spacing w:after="0" w:line="272" w:lineRule="auto"/>
        <w:rPr>
          <w:sz w:val="20"/>
          <w:szCs w:val="20"/>
          <w:color w:val="auto"/>
        </w:rPr>
      </w:pPr>
      <w:r>
        <w:rPr>
          <w:rFonts w:ascii="Arial" w:cs="Arial" w:eastAsia="Arial" w:hAnsi="Arial"/>
          <w:sz w:val="16"/>
          <w:szCs w:val="16"/>
          <w:color w:val="auto"/>
        </w:rPr>
        <w:t>Our single-family benefit for credit losses in the third quarter of 2023 and first nine months of 2023 was primarily driven by a benefit from actual and forecasted home price growth, partially offset by a provision relating to the redesignation of loans from HFI to HFS and a provision from changes in loan activity, as described below:</w:t>
      </w:r>
    </w:p>
    <w:p>
      <w:pPr>
        <w:spacing w:after="0" w:line="32" w:lineRule="exact"/>
        <w:rPr>
          <w:sz w:val="20"/>
          <w:szCs w:val="20"/>
          <w:color w:val="auto"/>
        </w:rPr>
      </w:pPr>
    </w:p>
    <w:p>
      <w:pPr>
        <w:ind w:left="620" w:right="100" w:hanging="307"/>
        <w:spacing w:after="0" w:line="293" w:lineRule="auto"/>
        <w:tabs>
          <w:tab w:leader="none" w:pos="612"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Benefit from actual and forecasted home price growth. </w:t>
      </w:r>
      <w:r>
        <w:rPr>
          <w:rFonts w:ascii="Arial" w:cs="Arial" w:eastAsia="Arial" w:hAnsi="Arial"/>
          <w:sz w:val="16"/>
          <w:szCs w:val="16"/>
          <w:color w:val="auto"/>
        </w:rPr>
        <w:t>During the third quarter and first nine months of 2023, we observed stronger than expected</w:t>
      </w:r>
      <w:r>
        <w:rPr>
          <w:rFonts w:ascii="Arial" w:cs="Arial" w:eastAsia="Arial" w:hAnsi="Arial"/>
          <w:sz w:val="16"/>
          <w:szCs w:val="16"/>
          <w:i w:val="1"/>
          <w:iCs w:val="1"/>
          <w:color w:val="auto"/>
        </w:rPr>
        <w:t xml:space="preserve"> </w:t>
      </w:r>
      <w:r>
        <w:rPr>
          <w:rFonts w:ascii="Arial" w:cs="Arial" w:eastAsia="Arial" w:hAnsi="Arial"/>
          <w:sz w:val="16"/>
          <w:szCs w:val="16"/>
          <w:color w:val="auto"/>
        </w:rPr>
        <w:t>actual and forecasted home price appreciation.</w:t>
      </w:r>
    </w:p>
    <w:p>
      <w:pPr>
        <w:spacing w:after="0" w:line="14" w:lineRule="exact"/>
        <w:rPr>
          <w:rFonts w:ascii="Arial" w:cs="Arial" w:eastAsia="Arial" w:hAnsi="Arial"/>
          <w:sz w:val="16"/>
          <w:szCs w:val="16"/>
          <w:color w:val="auto"/>
        </w:rPr>
      </w:pPr>
    </w:p>
    <w:p>
      <w:pPr>
        <w:ind w:left="620" w:right="80" w:hanging="307"/>
        <w:spacing w:after="0" w:line="263" w:lineRule="auto"/>
        <w:tabs>
          <w:tab w:leader="none" w:pos="612"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Provision from redesignation of loans from HFI to HFS. </w:t>
      </w:r>
      <w:r>
        <w:rPr>
          <w:rFonts w:ascii="Arial" w:cs="Arial" w:eastAsia="Arial" w:hAnsi="Arial"/>
          <w:sz w:val="16"/>
          <w:szCs w:val="16"/>
          <w:color w:val="auto"/>
        </w:rPr>
        <w:t>We redesignated certain nonperforming and reperforming single-family loans from HFI to</w:t>
      </w:r>
      <w:r>
        <w:rPr>
          <w:rFonts w:ascii="Arial" w:cs="Arial" w:eastAsia="Arial" w:hAnsi="Arial"/>
          <w:sz w:val="16"/>
          <w:szCs w:val="16"/>
          <w:i w:val="1"/>
          <w:iCs w:val="1"/>
          <w:color w:val="auto"/>
        </w:rPr>
        <w:t xml:space="preserve"> </w:t>
      </w:r>
      <w:r>
        <w:rPr>
          <w:rFonts w:ascii="Arial" w:cs="Arial" w:eastAsia="Arial" w:hAnsi="Arial"/>
          <w:sz w:val="16"/>
          <w:szCs w:val="16"/>
          <w:color w:val="auto"/>
        </w:rPr>
        <w:t>HFS, as we no longer intended to hold them for the foreseeable future or to maturity. Upon redesignation of these loans, we recorded the loans at the lower of cost or fair value with a write-off against the allowance for loan losses. During the third quarter of 2023, we redesignated loans with an amortized cost of $3.1 billion with an associated write-off against the allowance for loan losses of $638 million. Interest rates on the redesignated loans were below current market interest rates, and as a result, we recorded additional provision for credit losses to the extent that the carrying value of the loans exceeded their fair value at the time of redesignation.</w:t>
      </w:r>
    </w:p>
    <w:p>
      <w:pPr>
        <w:spacing w:after="0" w:line="53" w:lineRule="exact"/>
        <w:rPr>
          <w:rFonts w:ascii="Arial" w:cs="Arial" w:eastAsia="Arial" w:hAnsi="Arial"/>
          <w:sz w:val="16"/>
          <w:szCs w:val="16"/>
          <w:color w:val="auto"/>
        </w:rPr>
      </w:pPr>
    </w:p>
    <w:p>
      <w:pPr>
        <w:ind w:left="620" w:right="240" w:hanging="307"/>
        <w:spacing w:after="0" w:line="293" w:lineRule="auto"/>
        <w:tabs>
          <w:tab w:leader="none" w:pos="612"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Provision from changes in loan activity. </w:t>
      </w:r>
      <w:r>
        <w:rPr>
          <w:rFonts w:ascii="Arial" w:cs="Arial" w:eastAsia="Arial" w:hAnsi="Arial"/>
          <w:sz w:val="16"/>
          <w:szCs w:val="16"/>
          <w:color w:val="auto"/>
        </w:rPr>
        <w:t>This includes provision on newly acquired loans and was primarily driven by an increase of the portion of</w:t>
      </w:r>
      <w:r>
        <w:rPr>
          <w:rFonts w:ascii="Arial" w:cs="Arial" w:eastAsia="Arial" w:hAnsi="Arial"/>
          <w:sz w:val="16"/>
          <w:szCs w:val="16"/>
          <w:i w:val="1"/>
          <w:iCs w:val="1"/>
          <w:color w:val="auto"/>
        </w:rPr>
        <w:t xml:space="preserve"> </w:t>
      </w:r>
      <w:r>
        <w:rPr>
          <w:rFonts w:ascii="Arial" w:cs="Arial" w:eastAsia="Arial" w:hAnsi="Arial"/>
          <w:sz w:val="16"/>
          <w:szCs w:val="16"/>
          <w:color w:val="auto"/>
        </w:rPr>
        <w:t>our single-family acquisitions consisting of purchase loans.</w:t>
      </w:r>
    </w:p>
    <w:p>
      <w:pPr>
        <w:spacing w:after="0" w:line="54"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Multifamily Benefit (Provision) for Credit Losses</w:t>
      </w:r>
    </w:p>
    <w:p>
      <w:pPr>
        <w:spacing w:after="0" w:line="80"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Our multifamily provision for credit losses in the third quarter of 2024 was largely driven by certain adjustable-rate conventional loans that were written down to the net recoverable amount during the period. We also recognized provision for credit losses because, compared to our previous forecast, our current period forecast expects further slight decreases in projected multifamily property values and a longer period of time for projected multifamily property values to improve.</w:t>
      </w:r>
    </w:p>
    <w:p>
      <w:pPr>
        <w:spacing w:after="0" w:line="35" w:lineRule="exact"/>
        <w:rPr>
          <w:sz w:val="20"/>
          <w:szCs w:val="20"/>
          <w:color w:val="auto"/>
        </w:rPr>
      </w:pPr>
    </w:p>
    <w:p>
      <w:pPr>
        <w:ind w:right="400"/>
        <w:spacing w:after="0" w:line="271" w:lineRule="auto"/>
        <w:rPr>
          <w:sz w:val="20"/>
          <w:szCs w:val="20"/>
          <w:color w:val="auto"/>
        </w:rPr>
      </w:pPr>
      <w:r>
        <w:rPr>
          <w:rFonts w:ascii="Arial" w:cs="Arial" w:eastAsia="Arial" w:hAnsi="Arial"/>
          <w:sz w:val="16"/>
          <w:szCs w:val="16"/>
          <w:color w:val="auto"/>
        </w:rPr>
        <w:t>Our multifamily allowance and estimate for credit losses as of September 30, 2024 also considers uncertainty. This includes uncertainty relating to multifamily property values, as well as uncertainty due to the ongoing investigation of multifamily lending transactions with suspected fraud, which may increase the risk of default. See “Multifamily Business—Multifamily Mortgage Credit Risk Management—Multifamily Guaranty Book Diversification and Monitoring” for additional information about multifamily lending transactions in which fraud may have occurred.</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2024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14</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60" w:type="dxa"/>
            <w:vAlign w:val="bottom"/>
            <w:tcBorders>
              <w:bottom w:val="single" w:sz="8" w:color="9A9A9A"/>
            </w:tcBorders>
          </w:tcPr>
          <w:p>
            <w:pPr>
              <w:spacing w:after="0"/>
              <w:rPr>
                <w:sz w:val="17"/>
                <w:szCs w:val="17"/>
                <w:color w:val="auto"/>
              </w:rPr>
            </w:pPr>
          </w:p>
        </w:tc>
        <w:tc>
          <w:tcPr>
            <w:tcW w:w="42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7" w:name="page18"/>
    <w:bookmarkEnd w:id="17"/>
    <w:p>
      <w:pPr>
        <w:ind w:left="844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Our multifamily provision for credit losses in the first nine months of 2024 was primarily driven by loan delinquencies in our multifamily guaranty book of business, including provision attributable to adjustable-rate conventional loans that became seriously delinquent and were written down to the net recoverable amount, declines in estimated actual and projected multifamily property values, and provision for uncertainty described above. Provision related to uncertainty is included in “Other” in the table above and provision attributable to multifamily property values, including changes to the timing of recoveries, is included in “Actual and projected economic data” in the table above.</w:t>
      </w:r>
    </w:p>
    <w:p>
      <w:pPr>
        <w:spacing w:after="0" w:line="38"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The largest driver of our multifamily provision for credit losses in the third quarter of 2023 was a provision for actual and projected interest rates. Rising interest rates increase the likelihood that loans with balloon balances due at maturity will be unable to refinance, due to higher refinancing rates. In addition, rising interest rates increase costs for loans with adjustable-rates, which increases the expected impairment and the provision for credit losses on these loans.</w:t>
      </w:r>
    </w:p>
    <w:p>
      <w:pPr>
        <w:spacing w:after="0" w:line="231"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The impact of this factor was offset by a benefit from actual and projected economic data in the third quarter of 2023. The benefit from actual and projected economic data was primarily driven by the impact of a change in our long-term economic forecast assumptions, which was partially offset by continued declines in multifamily property values.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multifamily provision for credit losses in the first nine months of 2023 was primarily driven by actual and projected interest rates as described above.</w:t>
      </w:r>
    </w:p>
    <w:p>
      <w:pPr>
        <w:spacing w:after="0" w:line="13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Other Expenses, Net</w:t>
      </w:r>
    </w:p>
    <w:p>
      <w:pPr>
        <w:spacing w:after="0" w:line="76"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Other expenses, net consists of debt extinguishment gains and losses, expenses associated with legal claims, foreclosed property income (expense), gains and losses from partnership investments, housing trust fund expenses, loan subservicing costs, and servicer fees paid in connection with certain loss mitigation activities. During the third quarter of 2023, we recognized $491 million of expense attributable to a jury verdict and an award of prejudgment interest for Fannie Mae preferred shareholders in two cases consolidated for trial in the U.S. District Court for the District of Columbia.</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2024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15</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60" w:type="dxa"/>
            <w:vAlign w:val="bottom"/>
            <w:tcBorders>
              <w:bottom w:val="single" w:sz="8" w:color="9A9A9A"/>
            </w:tcBorders>
          </w:tcPr>
          <w:p>
            <w:pPr>
              <w:spacing w:after="0"/>
              <w:rPr>
                <w:sz w:val="16"/>
                <w:szCs w:val="16"/>
                <w:color w:val="auto"/>
              </w:rPr>
            </w:pPr>
          </w:p>
        </w:tc>
        <w:tc>
          <w:tcPr>
            <w:tcW w:w="428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8" w:name="page19"/>
    <w:bookmarkEnd w:id="18"/>
    <w:p>
      <w:pPr>
        <w:ind w:left="8320"/>
        <w:spacing w:after="0"/>
        <w:rPr>
          <w:sz w:val="20"/>
          <w:szCs w:val="20"/>
          <w:color w:val="auto"/>
        </w:rPr>
      </w:pPr>
      <w:r>
        <w:rPr>
          <w:rFonts w:ascii="Arial" w:cs="Arial" w:eastAsia="Arial" w:hAnsi="Arial"/>
          <w:sz w:val="14"/>
          <w:szCs w:val="14"/>
          <w:color w:val="05314D"/>
        </w:rPr>
        <w:t>MD&amp;A | Consolidated Balance Sheet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Consolidated Balance Sheet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This section discusses our condensed consolidated balance sheets and should be read together with our condensed consolidated financial statements and the accompanying notes.</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Summary of Condensed Consolidated Balance Sheets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720" w:type="dxa"/>
            <w:vAlign w:val="bottom"/>
            <w:tcBorders>
              <w:top w:val="single" w:sz="8" w:color="2C6937"/>
            </w:tcBorders>
          </w:tcPr>
          <w:p>
            <w:pPr>
              <w:spacing w:after="0"/>
              <w:rPr>
                <w:sz w:val="17"/>
                <w:szCs w:val="17"/>
                <w:color w:val="auto"/>
              </w:rPr>
            </w:pPr>
          </w:p>
        </w:tc>
        <w:tc>
          <w:tcPr>
            <w:tcW w:w="100" w:type="dxa"/>
            <w:vAlign w:val="bottom"/>
            <w:tcBorders>
              <w:top w:val="single" w:sz="8" w:color="2C6937"/>
            </w:tcBorders>
          </w:tcPr>
          <w:p>
            <w:pPr>
              <w:spacing w:after="0"/>
              <w:rPr>
                <w:sz w:val="17"/>
                <w:szCs w:val="17"/>
                <w:color w:val="auto"/>
              </w:rPr>
            </w:pPr>
          </w:p>
        </w:tc>
        <w:tc>
          <w:tcPr>
            <w:tcW w:w="380" w:type="dxa"/>
            <w:vAlign w:val="bottom"/>
            <w:tcBorders>
              <w:top w:val="single" w:sz="8" w:color="2C6937"/>
              <w:bottom w:val="single" w:sz="8" w:color="2C6937"/>
            </w:tcBorders>
          </w:tcPr>
          <w:p>
            <w:pPr>
              <w:spacing w:after="0"/>
              <w:rPr>
                <w:sz w:val="17"/>
                <w:szCs w:val="17"/>
                <w:color w:val="auto"/>
              </w:rPr>
            </w:pPr>
          </w:p>
        </w:tc>
        <w:tc>
          <w:tcPr>
            <w:tcW w:w="1520" w:type="dxa"/>
            <w:vAlign w:val="bottom"/>
            <w:tcBorders>
              <w:top w:val="single" w:sz="8" w:color="2C6937"/>
              <w:bottom w:val="single" w:sz="8" w:color="2C6937"/>
            </w:tcBorders>
            <w:gridSpan w:val="3"/>
          </w:tcPr>
          <w:p>
            <w:pPr>
              <w:jc w:val="right"/>
              <w:ind w:right="186"/>
              <w:spacing w:after="0"/>
              <w:rPr>
                <w:sz w:val="20"/>
                <w:szCs w:val="20"/>
                <w:color w:val="auto"/>
              </w:rPr>
            </w:pPr>
            <w:r>
              <w:rPr>
                <w:rFonts w:ascii="Arial" w:cs="Arial" w:eastAsia="Arial" w:hAnsi="Arial"/>
                <w:sz w:val="14"/>
                <w:szCs w:val="14"/>
                <w:b w:val="1"/>
                <w:bCs w:val="1"/>
                <w:color w:val="auto"/>
              </w:rPr>
              <w:t>As of</w:t>
            </w:r>
          </w:p>
        </w:tc>
        <w:tc>
          <w:tcPr>
            <w:tcW w:w="1020" w:type="dxa"/>
            <w:vAlign w:val="bottom"/>
            <w:tcBorders>
              <w:top w:val="single" w:sz="8" w:color="2C6937"/>
              <w:bottom w:val="single" w:sz="8" w:color="2C6937"/>
            </w:tcBorders>
          </w:tcPr>
          <w:p>
            <w:pPr>
              <w:spacing w:after="0"/>
              <w:rPr>
                <w:sz w:val="17"/>
                <w:szCs w:val="17"/>
                <w:color w:val="auto"/>
              </w:rPr>
            </w:pPr>
          </w:p>
        </w:tc>
        <w:tc>
          <w:tcPr>
            <w:tcW w:w="100" w:type="dxa"/>
            <w:vAlign w:val="bottom"/>
            <w:tcBorders>
              <w:top w:val="single" w:sz="8" w:color="2C6937"/>
            </w:tcBorders>
          </w:tcPr>
          <w:p>
            <w:pPr>
              <w:spacing w:after="0"/>
              <w:rPr>
                <w:sz w:val="17"/>
                <w:szCs w:val="17"/>
                <w:color w:val="auto"/>
              </w:rPr>
            </w:pPr>
          </w:p>
        </w:tc>
        <w:tc>
          <w:tcPr>
            <w:tcW w:w="260" w:type="dxa"/>
            <w:vAlign w:val="bottom"/>
            <w:tcBorders>
              <w:top w:val="single" w:sz="8" w:color="2C6937"/>
            </w:tcBorders>
          </w:tcPr>
          <w:p>
            <w:pPr>
              <w:spacing w:after="0"/>
              <w:rPr>
                <w:sz w:val="17"/>
                <w:szCs w:val="17"/>
                <w:color w:val="auto"/>
              </w:rPr>
            </w:pPr>
          </w:p>
        </w:tc>
        <w:tc>
          <w:tcPr>
            <w:tcW w:w="1140" w:type="dxa"/>
            <w:vAlign w:val="bottom"/>
            <w:tcBorders>
              <w:top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6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Borders>
              <w:bottom w:val="single" w:sz="8" w:color="2C6937"/>
            </w:tcBorders>
            <w:gridSpan w:val="3"/>
          </w:tcPr>
          <w:p>
            <w:pPr>
              <w:ind w:left="60"/>
              <w:spacing w:after="0"/>
              <w:rPr>
                <w:sz w:val="20"/>
                <w:szCs w:val="20"/>
                <w:color w:val="auto"/>
              </w:rPr>
            </w:pPr>
            <w:r>
              <w:rPr>
                <w:rFonts w:ascii="Arial" w:cs="Arial" w:eastAsia="Arial" w:hAnsi="Arial"/>
                <w:sz w:val="14"/>
                <w:szCs w:val="14"/>
                <w:b w:val="1"/>
                <w:bCs w:val="1"/>
                <w:color w:val="auto"/>
              </w:rPr>
              <w:t>September 30, 2024</w:t>
            </w:r>
          </w:p>
        </w:tc>
        <w:tc>
          <w:tcPr>
            <w:tcW w:w="1500" w:type="dxa"/>
            <w:vAlign w:val="bottom"/>
            <w:tcBorders>
              <w:bottom w:val="single" w:sz="8" w:color="2C6937"/>
            </w:tcBorders>
            <w:gridSpan w:val="3"/>
          </w:tcPr>
          <w:p>
            <w:pPr>
              <w:ind w:left="80"/>
              <w:spacing w:after="0"/>
              <w:rPr>
                <w:sz w:val="20"/>
                <w:szCs w:val="20"/>
                <w:color w:val="auto"/>
              </w:rPr>
            </w:pPr>
            <w:r>
              <w:rPr>
                <w:rFonts w:ascii="Arial" w:cs="Arial" w:eastAsia="Arial" w:hAnsi="Arial"/>
                <w:sz w:val="14"/>
                <w:szCs w:val="14"/>
                <w:b w:val="1"/>
                <w:bCs w:val="1"/>
                <w:color w:val="auto"/>
              </w:rPr>
              <w:t>December 31, 2023</w:t>
            </w:r>
          </w:p>
        </w:tc>
        <w:tc>
          <w:tcPr>
            <w:tcW w:w="260" w:type="dxa"/>
            <w:vAlign w:val="bottom"/>
            <w:tcBorders>
              <w:bottom w:val="single" w:sz="8" w:color="2C6937"/>
            </w:tcBorders>
          </w:tcPr>
          <w:p>
            <w:pPr>
              <w:spacing w:after="0"/>
              <w:rPr>
                <w:sz w:val="16"/>
                <w:szCs w:val="16"/>
                <w:color w:val="auto"/>
              </w:rPr>
            </w:pPr>
          </w:p>
        </w:tc>
        <w:tc>
          <w:tcPr>
            <w:tcW w:w="1140" w:type="dxa"/>
            <w:vAlign w:val="bottom"/>
            <w:tcBorders>
              <w:bottom w:val="single" w:sz="8" w:color="2C6937"/>
            </w:tcBorders>
          </w:tcPr>
          <w:p>
            <w:pPr>
              <w:jc w:val="right"/>
              <w:ind w:right="343"/>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85"/>
        </w:trPr>
        <w:tc>
          <w:tcPr>
            <w:tcW w:w="6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3"/>
          </w:tcPr>
          <w:p>
            <w:pPr>
              <w:ind w:left="6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820" w:type="dxa"/>
            <w:vAlign w:val="bottom"/>
            <w:gridSpan w:val="2"/>
          </w:tcPr>
          <w:p>
            <w:pPr>
              <w:ind w:left="20"/>
              <w:spacing w:after="0"/>
              <w:rPr>
                <w:sz w:val="20"/>
                <w:szCs w:val="20"/>
                <w:color w:val="auto"/>
              </w:rPr>
            </w:pPr>
            <w:r>
              <w:rPr>
                <w:rFonts w:ascii="Arial" w:cs="Arial" w:eastAsia="Arial" w:hAnsi="Arial"/>
                <w:sz w:val="15"/>
                <w:szCs w:val="15"/>
                <w:b w:val="1"/>
                <w:bCs w:val="1"/>
                <w:color w:val="auto"/>
              </w:rPr>
              <w:t>Assets</w:t>
            </w:r>
          </w:p>
        </w:tc>
        <w:tc>
          <w:tcPr>
            <w:tcW w:w="380" w:type="dxa"/>
            <w:vAlign w:val="bottom"/>
            <w:vMerge w:val="restart"/>
          </w:tcPr>
          <w:p>
            <w:pPr>
              <w:jc w:val="right"/>
              <w:ind w:right="204"/>
              <w:spacing w:after="0"/>
              <w:rPr>
                <w:sz w:val="20"/>
                <w:szCs w:val="20"/>
                <w:color w:val="auto"/>
              </w:rPr>
            </w:pPr>
            <w:r>
              <w:rPr>
                <w:rFonts w:ascii="Arial" w:cs="Arial" w:eastAsia="Arial" w:hAnsi="Arial"/>
                <w:sz w:val="15"/>
                <w:szCs w:val="15"/>
                <w:b w:val="1"/>
                <w:bCs w:val="1"/>
                <w:color w:val="auto"/>
                <w:w w:val="95"/>
              </w:rPr>
              <w:t>$</w:t>
            </w:r>
          </w:p>
        </w:tc>
        <w:tc>
          <w:tcPr>
            <w:tcW w:w="10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38,146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820" w:type="dxa"/>
            <w:vAlign w:val="bottom"/>
            <w:gridSpan w:val="2"/>
          </w:tcPr>
          <w:p>
            <w:pPr>
              <w:ind w:left="20"/>
              <w:spacing w:after="0"/>
              <w:rPr>
                <w:sz w:val="20"/>
                <w:szCs w:val="20"/>
                <w:color w:val="auto"/>
              </w:rPr>
            </w:pPr>
            <w:r>
              <w:rPr>
                <w:rFonts w:ascii="Arial" w:cs="Arial" w:eastAsia="Arial" w:hAnsi="Arial"/>
                <w:sz w:val="15"/>
                <w:szCs w:val="15"/>
                <w:color w:val="auto"/>
              </w:rPr>
              <w:t>Cash and cash equivalents</w:t>
            </w:r>
          </w:p>
        </w:tc>
        <w:tc>
          <w:tcPr>
            <w:tcW w:w="38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jc w:val="right"/>
              <w:ind w:right="206"/>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35,817</w:t>
            </w:r>
          </w:p>
        </w:tc>
        <w:tc>
          <w:tcPr>
            <w:tcW w:w="10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2,329</w:t>
            </w:r>
          </w:p>
        </w:tc>
        <w:tc>
          <w:tcPr>
            <w:tcW w:w="0" w:type="dxa"/>
            <w:vAlign w:val="bottom"/>
          </w:tcPr>
          <w:p>
            <w:pPr>
              <w:spacing w:after="0"/>
              <w:rPr>
                <w:sz w:val="1"/>
                <w:szCs w:val="1"/>
                <w:color w:val="auto"/>
              </w:rPr>
            </w:pPr>
          </w:p>
        </w:tc>
      </w:tr>
      <w:tr>
        <w:trPr>
          <w:trHeight w:val="206"/>
        </w:trPr>
        <w:tc>
          <w:tcPr>
            <w:tcW w:w="6820" w:type="dxa"/>
            <w:vAlign w:val="bottom"/>
            <w:gridSpan w:val="2"/>
          </w:tcPr>
          <w:p>
            <w:pPr>
              <w:ind w:left="20"/>
              <w:spacing w:after="0"/>
              <w:rPr>
                <w:sz w:val="20"/>
                <w:szCs w:val="20"/>
                <w:color w:val="auto"/>
              </w:rPr>
            </w:pPr>
            <w:r>
              <w:rPr>
                <w:rFonts w:ascii="Arial" w:cs="Arial" w:eastAsia="Arial" w:hAnsi="Arial"/>
                <w:sz w:val="15"/>
                <w:szCs w:val="15"/>
                <w:color w:val="auto"/>
              </w:rPr>
              <w:t>Restricted cash and cash equivalents</w:t>
            </w:r>
          </w:p>
        </w:tc>
        <w:tc>
          <w:tcPr>
            <w:tcW w:w="3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38,626</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32,889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5,737</w:t>
            </w:r>
          </w:p>
        </w:tc>
        <w:tc>
          <w:tcPr>
            <w:tcW w:w="0" w:type="dxa"/>
            <w:vAlign w:val="bottom"/>
          </w:tcPr>
          <w:p>
            <w:pPr>
              <w:spacing w:after="0"/>
              <w:rPr>
                <w:sz w:val="1"/>
                <w:szCs w:val="1"/>
                <w:color w:val="auto"/>
              </w:rPr>
            </w:pPr>
          </w:p>
        </w:tc>
      </w:tr>
      <w:tr>
        <w:trPr>
          <w:trHeight w:val="206"/>
        </w:trPr>
        <w:tc>
          <w:tcPr>
            <w:tcW w:w="6820" w:type="dxa"/>
            <w:vAlign w:val="bottom"/>
            <w:gridSpan w:val="2"/>
          </w:tcPr>
          <w:p>
            <w:pPr>
              <w:ind w:left="20"/>
              <w:spacing w:after="0"/>
              <w:rPr>
                <w:sz w:val="20"/>
                <w:szCs w:val="20"/>
                <w:color w:val="auto"/>
              </w:rPr>
            </w:pPr>
            <w:r>
              <w:rPr>
                <w:rFonts w:ascii="Arial" w:cs="Arial" w:eastAsia="Arial" w:hAnsi="Arial"/>
                <w:sz w:val="15"/>
                <w:szCs w:val="15"/>
                <w:color w:val="auto"/>
              </w:rPr>
              <w:t>Securities purchased under agreements to resell</w:t>
            </w:r>
          </w:p>
        </w:tc>
        <w:tc>
          <w:tcPr>
            <w:tcW w:w="3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18,065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30,700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(12,635)</w:t>
            </w:r>
          </w:p>
        </w:tc>
        <w:tc>
          <w:tcPr>
            <w:tcW w:w="0" w:type="dxa"/>
            <w:vAlign w:val="bottom"/>
          </w:tcPr>
          <w:p>
            <w:pPr>
              <w:spacing w:after="0"/>
              <w:rPr>
                <w:sz w:val="1"/>
                <w:szCs w:val="1"/>
                <w:color w:val="auto"/>
              </w:rPr>
            </w:pPr>
          </w:p>
        </w:tc>
      </w:tr>
      <w:tr>
        <w:trPr>
          <w:trHeight w:val="208"/>
        </w:trPr>
        <w:tc>
          <w:tcPr>
            <w:tcW w:w="6820" w:type="dxa"/>
            <w:vAlign w:val="bottom"/>
            <w:gridSpan w:val="2"/>
          </w:tcPr>
          <w:p>
            <w:pPr>
              <w:ind w:left="20"/>
              <w:spacing w:after="0"/>
              <w:rPr>
                <w:sz w:val="20"/>
                <w:szCs w:val="20"/>
                <w:color w:val="auto"/>
              </w:rPr>
            </w:pPr>
            <w:r>
              <w:rPr>
                <w:rFonts w:ascii="Arial" w:cs="Arial" w:eastAsia="Arial" w:hAnsi="Arial"/>
                <w:sz w:val="15"/>
                <w:szCs w:val="15"/>
                <w:color w:val="auto"/>
              </w:rPr>
              <w:t>Investments in securities, at fair value</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61,790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53,116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8,674</w:t>
            </w:r>
          </w:p>
        </w:tc>
        <w:tc>
          <w:tcPr>
            <w:tcW w:w="0" w:type="dxa"/>
            <w:vAlign w:val="bottom"/>
          </w:tcPr>
          <w:p>
            <w:pPr>
              <w:spacing w:after="0"/>
              <w:rPr>
                <w:sz w:val="1"/>
                <w:szCs w:val="1"/>
                <w:color w:val="auto"/>
              </w:rPr>
            </w:pPr>
          </w:p>
        </w:tc>
      </w:tr>
      <w:tr>
        <w:trPr>
          <w:trHeight w:val="204"/>
        </w:trPr>
        <w:tc>
          <w:tcPr>
            <w:tcW w:w="6820" w:type="dxa"/>
            <w:vAlign w:val="bottom"/>
            <w:gridSpan w:val="2"/>
          </w:tcPr>
          <w:p>
            <w:pPr>
              <w:ind w:left="20"/>
              <w:spacing w:after="0"/>
              <w:rPr>
                <w:sz w:val="20"/>
                <w:szCs w:val="20"/>
                <w:color w:val="auto"/>
              </w:rPr>
            </w:pPr>
            <w:r>
              <w:rPr>
                <w:rFonts w:ascii="Arial" w:cs="Arial" w:eastAsia="Arial" w:hAnsi="Arial"/>
                <w:sz w:val="15"/>
                <w:szCs w:val="15"/>
                <w:color w:val="auto"/>
              </w:rPr>
              <w:t>Mortgage loans:</w:t>
            </w: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820" w:type="dxa"/>
            <w:vAlign w:val="bottom"/>
            <w:gridSpan w:val="2"/>
          </w:tcPr>
          <w:p>
            <w:pPr>
              <w:ind w:left="180"/>
              <w:spacing w:after="0"/>
              <w:rPr>
                <w:sz w:val="20"/>
                <w:szCs w:val="20"/>
                <w:color w:val="auto"/>
              </w:rPr>
            </w:pPr>
            <w:r>
              <w:rPr>
                <w:rFonts w:ascii="Arial" w:cs="Arial" w:eastAsia="Arial" w:hAnsi="Arial"/>
                <w:sz w:val="15"/>
                <w:szCs w:val="15"/>
                <w:color w:val="auto"/>
              </w:rPr>
              <w:t>Of Fannie Mae</w:t>
            </w:r>
          </w:p>
        </w:tc>
        <w:tc>
          <w:tcPr>
            <w:tcW w:w="3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52,720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50,325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2,395</w:t>
            </w:r>
          </w:p>
        </w:tc>
        <w:tc>
          <w:tcPr>
            <w:tcW w:w="0" w:type="dxa"/>
            <w:vAlign w:val="bottom"/>
          </w:tcPr>
          <w:p>
            <w:pPr>
              <w:spacing w:after="0"/>
              <w:rPr>
                <w:sz w:val="1"/>
                <w:szCs w:val="1"/>
                <w:color w:val="auto"/>
              </w:rPr>
            </w:pPr>
          </w:p>
        </w:tc>
      </w:tr>
      <w:tr>
        <w:trPr>
          <w:trHeight w:val="206"/>
        </w:trPr>
        <w:tc>
          <w:tcPr>
            <w:tcW w:w="6820" w:type="dxa"/>
            <w:vAlign w:val="bottom"/>
            <w:gridSpan w:val="2"/>
          </w:tcPr>
          <w:p>
            <w:pPr>
              <w:ind w:left="180"/>
              <w:spacing w:after="0"/>
              <w:rPr>
                <w:sz w:val="20"/>
                <w:szCs w:val="20"/>
                <w:color w:val="auto"/>
              </w:rPr>
            </w:pPr>
            <w:r>
              <w:rPr>
                <w:rFonts w:ascii="Arial" w:cs="Arial" w:eastAsia="Arial" w:hAnsi="Arial"/>
                <w:sz w:val="15"/>
                <w:szCs w:val="15"/>
                <w:color w:val="auto"/>
              </w:rPr>
              <w:t>Of consolidated trusts</w:t>
            </w:r>
          </w:p>
        </w:tc>
        <w:tc>
          <w:tcPr>
            <w:tcW w:w="3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4,093,594</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4,094,036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(442)</w:t>
            </w:r>
          </w:p>
        </w:tc>
        <w:tc>
          <w:tcPr>
            <w:tcW w:w="0" w:type="dxa"/>
            <w:vAlign w:val="bottom"/>
          </w:tcPr>
          <w:p>
            <w:pPr>
              <w:spacing w:after="0"/>
              <w:rPr>
                <w:sz w:val="1"/>
                <w:szCs w:val="1"/>
                <w:color w:val="auto"/>
              </w:rPr>
            </w:pPr>
          </w:p>
        </w:tc>
      </w:tr>
      <w:tr>
        <w:trPr>
          <w:trHeight w:val="208"/>
        </w:trPr>
        <w:tc>
          <w:tcPr>
            <w:tcW w:w="67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Allowance for loan losses</w:t>
            </w:r>
          </w:p>
        </w:tc>
        <w:tc>
          <w:tcPr>
            <w:tcW w:w="100" w:type="dxa"/>
            <w:vAlign w:val="bottom"/>
          </w:tcPr>
          <w:p>
            <w:pPr>
              <w:spacing w:after="0"/>
              <w:rPr>
                <w:sz w:val="18"/>
                <w:szCs w:val="18"/>
                <w:color w:val="auto"/>
              </w:rPr>
            </w:pPr>
          </w:p>
        </w:tc>
        <w:tc>
          <w:tcPr>
            <w:tcW w:w="380" w:type="dxa"/>
            <w:vAlign w:val="bottom"/>
            <w:tcBorders>
              <w:bottom w:val="single" w:sz="8" w:color="2C6937"/>
            </w:tcBorders>
          </w:tcPr>
          <w:p>
            <w:pPr>
              <w:spacing w:after="0"/>
              <w:rPr>
                <w:sz w:val="18"/>
                <w:szCs w:val="18"/>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(7,656)</w:t>
            </w:r>
          </w:p>
        </w:tc>
        <w:tc>
          <w:tcPr>
            <w:tcW w:w="120" w:type="dxa"/>
            <w:vAlign w:val="bottom"/>
          </w:tcPr>
          <w:p>
            <w:pPr>
              <w:spacing w:after="0"/>
              <w:rPr>
                <w:sz w:val="18"/>
                <w:szCs w:val="18"/>
                <w:color w:val="auto"/>
              </w:rPr>
            </w:pPr>
          </w:p>
        </w:tc>
        <w:tc>
          <w:tcPr>
            <w:tcW w:w="380" w:type="dxa"/>
            <w:vAlign w:val="bottom"/>
            <w:tcBorders>
              <w:bottom w:val="single" w:sz="8" w:color="2C6937"/>
            </w:tcBorders>
          </w:tcPr>
          <w:p>
            <w:pPr>
              <w:spacing w:after="0"/>
              <w:rPr>
                <w:sz w:val="18"/>
                <w:szCs w:val="18"/>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(8,730)</w:t>
            </w:r>
          </w:p>
        </w:tc>
        <w:tc>
          <w:tcPr>
            <w:tcW w:w="10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1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1,074</w:t>
            </w:r>
          </w:p>
        </w:tc>
        <w:tc>
          <w:tcPr>
            <w:tcW w:w="0" w:type="dxa"/>
            <w:vAlign w:val="bottom"/>
          </w:tcPr>
          <w:p>
            <w:pPr>
              <w:spacing w:after="0"/>
              <w:rPr>
                <w:sz w:val="1"/>
                <w:szCs w:val="1"/>
                <w:color w:val="auto"/>
              </w:rPr>
            </w:pPr>
          </w:p>
        </w:tc>
      </w:tr>
      <w:tr>
        <w:trPr>
          <w:trHeight w:val="198"/>
        </w:trPr>
        <w:tc>
          <w:tcPr>
            <w:tcW w:w="6820" w:type="dxa"/>
            <w:vAlign w:val="bottom"/>
            <w:gridSpan w:val="2"/>
          </w:tcPr>
          <w:p>
            <w:pPr>
              <w:ind w:left="180"/>
              <w:spacing w:after="0"/>
              <w:rPr>
                <w:sz w:val="20"/>
                <w:szCs w:val="20"/>
                <w:color w:val="auto"/>
              </w:rPr>
            </w:pPr>
            <w:r>
              <w:rPr>
                <w:rFonts w:ascii="Arial" w:cs="Arial" w:eastAsia="Arial" w:hAnsi="Arial"/>
                <w:sz w:val="15"/>
                <w:szCs w:val="15"/>
                <w:color w:val="auto"/>
              </w:rPr>
              <w:t>Mortgage loans, net of allowance for loan losses</w:t>
            </w:r>
          </w:p>
        </w:tc>
        <w:tc>
          <w:tcPr>
            <w:tcW w:w="3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4,138,658</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4,135,631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3,027</w:t>
            </w:r>
          </w:p>
        </w:tc>
        <w:tc>
          <w:tcPr>
            <w:tcW w:w="0" w:type="dxa"/>
            <w:vAlign w:val="bottom"/>
          </w:tcPr>
          <w:p>
            <w:pPr>
              <w:spacing w:after="0"/>
              <w:rPr>
                <w:sz w:val="1"/>
                <w:szCs w:val="1"/>
                <w:color w:val="auto"/>
              </w:rPr>
            </w:pPr>
          </w:p>
        </w:tc>
      </w:tr>
      <w:tr>
        <w:trPr>
          <w:trHeight w:val="206"/>
        </w:trPr>
        <w:tc>
          <w:tcPr>
            <w:tcW w:w="6820" w:type="dxa"/>
            <w:vAlign w:val="bottom"/>
            <w:gridSpan w:val="2"/>
          </w:tcPr>
          <w:p>
            <w:pPr>
              <w:ind w:left="20"/>
              <w:spacing w:after="0"/>
              <w:rPr>
                <w:sz w:val="20"/>
                <w:szCs w:val="20"/>
                <w:color w:val="auto"/>
              </w:rPr>
            </w:pPr>
            <w:r>
              <w:rPr>
                <w:rFonts w:ascii="Arial" w:cs="Arial" w:eastAsia="Arial" w:hAnsi="Arial"/>
                <w:sz w:val="15"/>
                <w:szCs w:val="15"/>
                <w:color w:val="auto"/>
              </w:rPr>
              <w:t>Deferred tax assets, net</w:t>
            </w:r>
          </w:p>
        </w:tc>
        <w:tc>
          <w:tcPr>
            <w:tcW w:w="3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10,968</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11,681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(713)</w:t>
            </w:r>
          </w:p>
        </w:tc>
        <w:tc>
          <w:tcPr>
            <w:tcW w:w="0" w:type="dxa"/>
            <w:vAlign w:val="bottom"/>
          </w:tcPr>
          <w:p>
            <w:pPr>
              <w:spacing w:after="0"/>
              <w:rPr>
                <w:sz w:val="1"/>
                <w:szCs w:val="1"/>
                <w:color w:val="auto"/>
              </w:rPr>
            </w:pPr>
          </w:p>
        </w:tc>
      </w:tr>
      <w:tr>
        <w:trPr>
          <w:trHeight w:val="208"/>
        </w:trPr>
        <w:tc>
          <w:tcPr>
            <w:tcW w:w="67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Other assets</w:t>
            </w:r>
          </w:p>
        </w:tc>
        <w:tc>
          <w:tcPr>
            <w:tcW w:w="100" w:type="dxa"/>
            <w:vAlign w:val="bottom"/>
          </w:tcPr>
          <w:p>
            <w:pPr>
              <w:spacing w:after="0"/>
              <w:rPr>
                <w:sz w:val="18"/>
                <w:szCs w:val="18"/>
                <w:color w:val="auto"/>
              </w:rPr>
            </w:pPr>
          </w:p>
        </w:tc>
        <w:tc>
          <w:tcPr>
            <w:tcW w:w="380" w:type="dxa"/>
            <w:vAlign w:val="bottom"/>
            <w:tcBorders>
              <w:bottom w:val="single" w:sz="8" w:color="2C6937"/>
            </w:tcBorders>
          </w:tcPr>
          <w:p>
            <w:pPr>
              <w:spacing w:after="0"/>
              <w:rPr>
                <w:sz w:val="18"/>
                <w:szCs w:val="18"/>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28,303</w:t>
            </w:r>
          </w:p>
        </w:tc>
        <w:tc>
          <w:tcPr>
            <w:tcW w:w="120" w:type="dxa"/>
            <w:vAlign w:val="bottom"/>
          </w:tcPr>
          <w:p>
            <w:pPr>
              <w:spacing w:after="0"/>
              <w:rPr>
                <w:sz w:val="18"/>
                <w:szCs w:val="18"/>
                <w:color w:val="auto"/>
              </w:rPr>
            </w:pPr>
          </w:p>
        </w:tc>
        <w:tc>
          <w:tcPr>
            <w:tcW w:w="380" w:type="dxa"/>
            <w:vAlign w:val="bottom"/>
            <w:tcBorders>
              <w:bottom w:val="single" w:sz="8" w:color="2C6937"/>
            </w:tcBorders>
          </w:tcPr>
          <w:p>
            <w:pPr>
              <w:spacing w:after="0"/>
              <w:rPr>
                <w:sz w:val="18"/>
                <w:szCs w:val="18"/>
                <w:color w:val="auto"/>
              </w:rPr>
            </w:pPr>
          </w:p>
        </w:tc>
        <w:tc>
          <w:tcPr>
            <w:tcW w:w="10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25,603</w:t>
            </w:r>
          </w:p>
        </w:tc>
        <w:tc>
          <w:tcPr>
            <w:tcW w:w="10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1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2,700</w:t>
            </w:r>
          </w:p>
        </w:tc>
        <w:tc>
          <w:tcPr>
            <w:tcW w:w="0" w:type="dxa"/>
            <w:vAlign w:val="bottom"/>
          </w:tcPr>
          <w:p>
            <w:pPr>
              <w:spacing w:after="0"/>
              <w:rPr>
                <w:sz w:val="1"/>
                <w:szCs w:val="1"/>
                <w:color w:val="auto"/>
              </w:rPr>
            </w:pPr>
          </w:p>
        </w:tc>
      </w:tr>
      <w:tr>
        <w:trPr>
          <w:trHeight w:val="199"/>
        </w:trPr>
        <w:tc>
          <w:tcPr>
            <w:tcW w:w="672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Total assets</w:t>
            </w:r>
          </w:p>
        </w:tc>
        <w:tc>
          <w:tcPr>
            <w:tcW w:w="100" w:type="dxa"/>
            <w:vAlign w:val="bottom"/>
          </w:tcPr>
          <w:p>
            <w:pPr>
              <w:spacing w:after="0"/>
              <w:rPr>
                <w:sz w:val="17"/>
                <w:szCs w:val="17"/>
                <w:color w:val="auto"/>
              </w:rPr>
            </w:pPr>
          </w:p>
        </w:tc>
        <w:tc>
          <w:tcPr>
            <w:tcW w:w="380" w:type="dxa"/>
            <w:vAlign w:val="bottom"/>
            <w:tcBorders>
              <w:bottom w:val="single" w:sz="8" w:color="2C6937"/>
            </w:tcBorders>
          </w:tcPr>
          <w:p>
            <w:pPr>
              <w:jc w:val="right"/>
              <w:ind w:right="204"/>
              <w:spacing w:after="0"/>
              <w:rPr>
                <w:sz w:val="20"/>
                <w:szCs w:val="20"/>
                <w:color w:val="auto"/>
              </w:rPr>
            </w:pPr>
            <w:r>
              <w:rPr>
                <w:rFonts w:ascii="Arial" w:cs="Arial" w:eastAsia="Arial" w:hAnsi="Arial"/>
                <w:sz w:val="15"/>
                <w:szCs w:val="15"/>
                <w:b w:val="1"/>
                <w:bCs w:val="1"/>
                <w:color w:val="auto"/>
                <w:w w:val="95"/>
              </w:rPr>
              <w:t>$</w:t>
            </w: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4,334,556</w:t>
            </w:r>
          </w:p>
        </w:tc>
        <w:tc>
          <w:tcPr>
            <w:tcW w:w="120" w:type="dxa"/>
            <w:vAlign w:val="bottom"/>
          </w:tcPr>
          <w:p>
            <w:pPr>
              <w:spacing w:after="0"/>
              <w:rPr>
                <w:sz w:val="17"/>
                <w:szCs w:val="17"/>
                <w:color w:val="auto"/>
              </w:rPr>
            </w:pPr>
          </w:p>
        </w:tc>
        <w:tc>
          <w:tcPr>
            <w:tcW w:w="380" w:type="dxa"/>
            <w:vAlign w:val="bottom"/>
            <w:tcBorders>
              <w:bottom w:val="single" w:sz="8" w:color="2C6937"/>
            </w:tcBorders>
          </w:tcPr>
          <w:p>
            <w:pPr>
              <w:jc w:val="right"/>
              <w:ind w:right="206"/>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4,325,437</w:t>
            </w:r>
          </w:p>
        </w:tc>
        <w:tc>
          <w:tcPr>
            <w:tcW w:w="100" w:type="dxa"/>
            <w:vAlign w:val="bottom"/>
          </w:tcPr>
          <w:p>
            <w:pPr>
              <w:spacing w:after="0"/>
              <w:rPr>
                <w:sz w:val="17"/>
                <w:szCs w:val="17"/>
                <w:color w:val="auto"/>
              </w:rPr>
            </w:pPr>
          </w:p>
        </w:tc>
        <w:tc>
          <w:tcPr>
            <w:tcW w:w="260" w:type="dxa"/>
            <w:vAlign w:val="bottom"/>
            <w:tcBorders>
              <w:bottom w:val="single" w:sz="8" w:color="2C6937"/>
            </w:tcBorders>
          </w:tcPr>
          <w:p>
            <w:pPr>
              <w:jc w:val="right"/>
              <w:ind w:right="83"/>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9,119</w:t>
            </w:r>
          </w:p>
        </w:tc>
        <w:tc>
          <w:tcPr>
            <w:tcW w:w="0" w:type="dxa"/>
            <w:vAlign w:val="bottom"/>
          </w:tcPr>
          <w:p>
            <w:pPr>
              <w:spacing w:after="0"/>
              <w:rPr>
                <w:sz w:val="1"/>
                <w:szCs w:val="1"/>
                <w:color w:val="auto"/>
              </w:rPr>
            </w:pPr>
          </w:p>
        </w:tc>
      </w:tr>
      <w:tr>
        <w:trPr>
          <w:trHeight w:val="20"/>
        </w:trPr>
        <w:tc>
          <w:tcPr>
            <w:tcW w:w="68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720" w:type="dxa"/>
            <w:vAlign w:val="bottom"/>
            <w:tcBorders>
              <w:top w:val="single" w:sz="8" w:color="2C6937"/>
            </w:tcBorders>
          </w:tcPr>
          <w:p>
            <w:pPr>
              <w:ind w:left="20"/>
              <w:spacing w:after="0"/>
              <w:rPr>
                <w:sz w:val="20"/>
                <w:szCs w:val="20"/>
                <w:color w:val="auto"/>
              </w:rPr>
            </w:pPr>
            <w:r>
              <w:rPr>
                <w:rFonts w:ascii="Arial" w:cs="Arial" w:eastAsia="Arial" w:hAnsi="Arial"/>
                <w:sz w:val="15"/>
                <w:szCs w:val="15"/>
                <w:b w:val="1"/>
                <w:bCs w:val="1"/>
                <w:color w:val="auto"/>
              </w:rPr>
              <w:t>Liabilities and equity</w:t>
            </w:r>
          </w:p>
        </w:tc>
        <w:tc>
          <w:tcPr>
            <w:tcW w:w="100" w:type="dxa"/>
            <w:vAlign w:val="bottom"/>
          </w:tcPr>
          <w:p>
            <w:pPr>
              <w:spacing w:after="0"/>
              <w:rPr>
                <w:sz w:val="17"/>
                <w:szCs w:val="17"/>
                <w:color w:val="auto"/>
              </w:rPr>
            </w:pPr>
          </w:p>
        </w:tc>
        <w:tc>
          <w:tcPr>
            <w:tcW w:w="380" w:type="dxa"/>
            <w:vAlign w:val="bottom"/>
            <w:tcBorders>
              <w:top w:val="single" w:sz="8" w:color="2C6937"/>
            </w:tcBorders>
          </w:tcPr>
          <w:p>
            <w:pPr>
              <w:spacing w:after="0"/>
              <w:rPr>
                <w:sz w:val="17"/>
                <w:szCs w:val="17"/>
                <w:color w:val="auto"/>
              </w:rPr>
            </w:pPr>
          </w:p>
        </w:tc>
        <w:tc>
          <w:tcPr>
            <w:tcW w:w="1020" w:type="dxa"/>
            <w:vAlign w:val="bottom"/>
            <w:tcBorders>
              <w:top w:val="single" w:sz="8" w:color="2C6937"/>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top w:val="single" w:sz="8" w:color="2C6937"/>
            </w:tcBorders>
          </w:tcPr>
          <w:p>
            <w:pPr>
              <w:spacing w:after="0"/>
              <w:rPr>
                <w:sz w:val="17"/>
                <w:szCs w:val="17"/>
                <w:color w:val="auto"/>
              </w:rPr>
            </w:pPr>
          </w:p>
        </w:tc>
        <w:tc>
          <w:tcPr>
            <w:tcW w:w="102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2C6937"/>
            </w:tcBorders>
          </w:tcPr>
          <w:p>
            <w:pPr>
              <w:spacing w:after="0"/>
              <w:rPr>
                <w:sz w:val="17"/>
                <w:szCs w:val="17"/>
                <w:color w:val="auto"/>
              </w:rPr>
            </w:pPr>
          </w:p>
        </w:tc>
        <w:tc>
          <w:tcPr>
            <w:tcW w:w="1140" w:type="dxa"/>
            <w:vAlign w:val="bottom"/>
            <w:tcBorders>
              <w:top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820" w:type="dxa"/>
            <w:vAlign w:val="bottom"/>
            <w:gridSpan w:val="2"/>
          </w:tcPr>
          <w:p>
            <w:pPr>
              <w:ind w:left="20"/>
              <w:spacing w:after="0"/>
              <w:rPr>
                <w:sz w:val="20"/>
                <w:szCs w:val="20"/>
                <w:color w:val="auto"/>
              </w:rPr>
            </w:pPr>
            <w:r>
              <w:rPr>
                <w:rFonts w:ascii="Arial" w:cs="Arial" w:eastAsia="Arial" w:hAnsi="Arial"/>
                <w:sz w:val="15"/>
                <w:szCs w:val="15"/>
                <w:color w:val="auto"/>
              </w:rPr>
              <w:t>Debt:</w:t>
            </w: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820" w:type="dxa"/>
            <w:vAlign w:val="bottom"/>
            <w:gridSpan w:val="2"/>
          </w:tcPr>
          <w:p>
            <w:pPr>
              <w:ind w:left="180"/>
              <w:spacing w:after="0"/>
              <w:rPr>
                <w:sz w:val="20"/>
                <w:szCs w:val="20"/>
                <w:color w:val="auto"/>
              </w:rPr>
            </w:pPr>
            <w:r>
              <w:rPr>
                <w:rFonts w:ascii="Arial" w:cs="Arial" w:eastAsia="Arial" w:hAnsi="Arial"/>
                <w:sz w:val="15"/>
                <w:szCs w:val="15"/>
                <w:color w:val="auto"/>
              </w:rPr>
              <w:t>Of Fannie Mae</w:t>
            </w:r>
          </w:p>
        </w:tc>
        <w:tc>
          <w:tcPr>
            <w:tcW w:w="380" w:type="dxa"/>
            <w:vAlign w:val="bottom"/>
          </w:tcPr>
          <w:p>
            <w:pPr>
              <w:jc w:val="right"/>
              <w:ind w:right="204"/>
              <w:spacing w:after="0"/>
              <w:rPr>
                <w:sz w:val="20"/>
                <w:szCs w:val="20"/>
                <w:color w:val="auto"/>
              </w:rPr>
            </w:pPr>
            <w:r>
              <w:rPr>
                <w:rFonts w:ascii="Arial" w:cs="Arial" w:eastAsia="Arial" w:hAnsi="Arial"/>
                <w:sz w:val="15"/>
                <w:szCs w:val="15"/>
                <w:b w:val="1"/>
                <w:bCs w:val="1"/>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121,715</w:t>
            </w:r>
          </w:p>
        </w:tc>
        <w:tc>
          <w:tcPr>
            <w:tcW w:w="120" w:type="dxa"/>
            <w:vAlign w:val="bottom"/>
          </w:tcPr>
          <w:p>
            <w:pPr>
              <w:spacing w:after="0"/>
              <w:rPr>
                <w:sz w:val="17"/>
                <w:szCs w:val="17"/>
                <w:color w:val="auto"/>
              </w:rPr>
            </w:pPr>
          </w:p>
        </w:tc>
        <w:tc>
          <w:tcPr>
            <w:tcW w:w="380" w:type="dxa"/>
            <w:vAlign w:val="bottom"/>
          </w:tcPr>
          <w:p>
            <w:pPr>
              <w:jc w:val="right"/>
              <w:ind w:right="206"/>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124,065</w:t>
            </w:r>
          </w:p>
        </w:tc>
        <w:tc>
          <w:tcPr>
            <w:tcW w:w="10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(2,350)</w:t>
            </w:r>
          </w:p>
        </w:tc>
        <w:tc>
          <w:tcPr>
            <w:tcW w:w="0" w:type="dxa"/>
            <w:vAlign w:val="bottom"/>
          </w:tcPr>
          <w:p>
            <w:pPr>
              <w:spacing w:after="0"/>
              <w:rPr>
                <w:sz w:val="1"/>
                <w:szCs w:val="1"/>
                <w:color w:val="auto"/>
              </w:rPr>
            </w:pPr>
          </w:p>
        </w:tc>
      </w:tr>
      <w:tr>
        <w:trPr>
          <w:trHeight w:val="206"/>
        </w:trPr>
        <w:tc>
          <w:tcPr>
            <w:tcW w:w="6820" w:type="dxa"/>
            <w:vAlign w:val="bottom"/>
            <w:gridSpan w:val="2"/>
          </w:tcPr>
          <w:p>
            <w:pPr>
              <w:ind w:left="180"/>
              <w:spacing w:after="0"/>
              <w:rPr>
                <w:sz w:val="20"/>
                <w:szCs w:val="20"/>
                <w:color w:val="auto"/>
              </w:rPr>
            </w:pPr>
            <w:r>
              <w:rPr>
                <w:rFonts w:ascii="Arial" w:cs="Arial" w:eastAsia="Arial" w:hAnsi="Arial"/>
                <w:sz w:val="15"/>
                <w:szCs w:val="15"/>
                <w:color w:val="auto"/>
              </w:rPr>
              <w:t>Of consolidated trusts</w:t>
            </w:r>
          </w:p>
        </w:tc>
        <w:tc>
          <w:tcPr>
            <w:tcW w:w="3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4,096,063</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4,098,653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(2,590)</w:t>
            </w:r>
          </w:p>
        </w:tc>
        <w:tc>
          <w:tcPr>
            <w:tcW w:w="0" w:type="dxa"/>
            <w:vAlign w:val="bottom"/>
          </w:tcPr>
          <w:p>
            <w:pPr>
              <w:spacing w:after="0"/>
              <w:rPr>
                <w:sz w:val="1"/>
                <w:szCs w:val="1"/>
                <w:color w:val="auto"/>
              </w:rPr>
            </w:pPr>
          </w:p>
        </w:tc>
      </w:tr>
      <w:tr>
        <w:trPr>
          <w:trHeight w:val="208"/>
        </w:trPr>
        <w:tc>
          <w:tcPr>
            <w:tcW w:w="67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Other liabilities</w:t>
            </w:r>
          </w:p>
        </w:tc>
        <w:tc>
          <w:tcPr>
            <w:tcW w:w="100" w:type="dxa"/>
            <w:vAlign w:val="bottom"/>
          </w:tcPr>
          <w:p>
            <w:pPr>
              <w:spacing w:after="0"/>
              <w:rPr>
                <w:sz w:val="18"/>
                <w:szCs w:val="18"/>
                <w:color w:val="auto"/>
              </w:rPr>
            </w:pPr>
          </w:p>
        </w:tc>
        <w:tc>
          <w:tcPr>
            <w:tcW w:w="380" w:type="dxa"/>
            <w:vAlign w:val="bottom"/>
            <w:tcBorders>
              <w:bottom w:val="single" w:sz="8" w:color="2C6937"/>
            </w:tcBorders>
          </w:tcPr>
          <w:p>
            <w:pPr>
              <w:spacing w:after="0"/>
              <w:rPr>
                <w:sz w:val="18"/>
                <w:szCs w:val="18"/>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26,248</w:t>
            </w:r>
          </w:p>
        </w:tc>
        <w:tc>
          <w:tcPr>
            <w:tcW w:w="120" w:type="dxa"/>
            <w:vAlign w:val="bottom"/>
          </w:tcPr>
          <w:p>
            <w:pPr>
              <w:spacing w:after="0"/>
              <w:rPr>
                <w:sz w:val="18"/>
                <w:szCs w:val="18"/>
                <w:color w:val="auto"/>
              </w:rPr>
            </w:pPr>
          </w:p>
        </w:tc>
        <w:tc>
          <w:tcPr>
            <w:tcW w:w="380" w:type="dxa"/>
            <w:vAlign w:val="bottom"/>
            <w:tcBorders>
              <w:bottom w:val="single" w:sz="8" w:color="2C6937"/>
            </w:tcBorders>
          </w:tcPr>
          <w:p>
            <w:pPr>
              <w:spacing w:after="0"/>
              <w:rPr>
                <w:sz w:val="18"/>
                <w:szCs w:val="18"/>
                <w:color w:val="auto"/>
              </w:rPr>
            </w:pPr>
          </w:p>
        </w:tc>
        <w:tc>
          <w:tcPr>
            <w:tcW w:w="10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25,037</w:t>
            </w:r>
          </w:p>
        </w:tc>
        <w:tc>
          <w:tcPr>
            <w:tcW w:w="10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1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1,211</w:t>
            </w:r>
          </w:p>
        </w:tc>
        <w:tc>
          <w:tcPr>
            <w:tcW w:w="0" w:type="dxa"/>
            <w:vAlign w:val="bottom"/>
          </w:tcPr>
          <w:p>
            <w:pPr>
              <w:spacing w:after="0"/>
              <w:rPr>
                <w:sz w:val="1"/>
                <w:szCs w:val="1"/>
                <w:color w:val="auto"/>
              </w:rPr>
            </w:pPr>
          </w:p>
        </w:tc>
      </w:tr>
      <w:tr>
        <w:trPr>
          <w:trHeight w:val="200"/>
        </w:trPr>
        <w:tc>
          <w:tcPr>
            <w:tcW w:w="6820" w:type="dxa"/>
            <w:vAlign w:val="bottom"/>
            <w:gridSpan w:val="2"/>
          </w:tcPr>
          <w:p>
            <w:pPr>
              <w:ind w:left="140"/>
              <w:spacing w:after="0"/>
              <w:rPr>
                <w:sz w:val="20"/>
                <w:szCs w:val="20"/>
                <w:color w:val="auto"/>
              </w:rPr>
            </w:pPr>
            <w:r>
              <w:rPr>
                <w:rFonts w:ascii="Arial" w:cs="Arial" w:eastAsia="Arial" w:hAnsi="Arial"/>
                <w:sz w:val="15"/>
                <w:szCs w:val="15"/>
                <w:color w:val="auto"/>
              </w:rPr>
              <w:t>Total liabilities</w:t>
            </w:r>
          </w:p>
        </w:tc>
        <w:tc>
          <w:tcPr>
            <w:tcW w:w="3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4,244,026</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4,247,755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(3,729)</w:t>
            </w:r>
          </w:p>
        </w:tc>
        <w:tc>
          <w:tcPr>
            <w:tcW w:w="0" w:type="dxa"/>
            <w:vAlign w:val="bottom"/>
          </w:tcPr>
          <w:p>
            <w:pPr>
              <w:spacing w:after="0"/>
              <w:rPr>
                <w:sz w:val="1"/>
                <w:szCs w:val="1"/>
                <w:color w:val="auto"/>
              </w:rPr>
            </w:pPr>
          </w:p>
        </w:tc>
      </w:tr>
      <w:tr>
        <w:trPr>
          <w:trHeight w:val="204"/>
        </w:trPr>
        <w:tc>
          <w:tcPr>
            <w:tcW w:w="6820" w:type="dxa"/>
            <w:vAlign w:val="bottom"/>
            <w:gridSpan w:val="2"/>
          </w:tcPr>
          <w:p>
            <w:pPr>
              <w:ind w:left="20"/>
              <w:spacing w:after="0"/>
              <w:rPr>
                <w:sz w:val="20"/>
                <w:szCs w:val="20"/>
                <w:color w:val="auto"/>
              </w:rPr>
            </w:pPr>
            <w:r>
              <w:rPr>
                <w:rFonts w:ascii="Arial" w:cs="Arial" w:eastAsia="Arial" w:hAnsi="Arial"/>
                <w:sz w:val="15"/>
                <w:szCs w:val="15"/>
                <w:color w:val="auto"/>
              </w:rPr>
              <w:t>Fannie Mae stockholders’ equity:</w:t>
            </w: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820" w:type="dxa"/>
            <w:vAlign w:val="bottom"/>
            <w:gridSpan w:val="2"/>
          </w:tcPr>
          <w:p>
            <w:pPr>
              <w:ind w:left="180"/>
              <w:spacing w:after="0"/>
              <w:rPr>
                <w:sz w:val="20"/>
                <w:szCs w:val="20"/>
                <w:color w:val="auto"/>
              </w:rPr>
            </w:pPr>
            <w:r>
              <w:rPr>
                <w:rFonts w:ascii="Arial" w:cs="Arial" w:eastAsia="Arial" w:hAnsi="Arial"/>
                <w:sz w:val="15"/>
                <w:szCs w:val="15"/>
                <w:color w:val="auto"/>
              </w:rPr>
              <w:t>Senior preferred stock</w:t>
            </w:r>
          </w:p>
        </w:tc>
        <w:tc>
          <w:tcPr>
            <w:tcW w:w="3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120,836</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120,836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8"/>
        </w:trPr>
        <w:tc>
          <w:tcPr>
            <w:tcW w:w="672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 net deficit</w:t>
            </w:r>
          </w:p>
        </w:tc>
        <w:tc>
          <w:tcPr>
            <w:tcW w:w="100" w:type="dxa"/>
            <w:vAlign w:val="bottom"/>
          </w:tcPr>
          <w:p>
            <w:pPr>
              <w:spacing w:after="0"/>
              <w:rPr>
                <w:sz w:val="18"/>
                <w:szCs w:val="18"/>
                <w:color w:val="auto"/>
              </w:rPr>
            </w:pPr>
          </w:p>
        </w:tc>
        <w:tc>
          <w:tcPr>
            <w:tcW w:w="380" w:type="dxa"/>
            <w:vAlign w:val="bottom"/>
            <w:tcBorders>
              <w:bottom w:val="single" w:sz="8" w:color="2C6937"/>
            </w:tcBorders>
          </w:tcPr>
          <w:p>
            <w:pPr>
              <w:spacing w:after="0"/>
              <w:rPr>
                <w:sz w:val="18"/>
                <w:szCs w:val="18"/>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(30,306)</w:t>
            </w:r>
          </w:p>
        </w:tc>
        <w:tc>
          <w:tcPr>
            <w:tcW w:w="120" w:type="dxa"/>
            <w:vAlign w:val="bottom"/>
          </w:tcPr>
          <w:p>
            <w:pPr>
              <w:spacing w:after="0"/>
              <w:rPr>
                <w:sz w:val="18"/>
                <w:szCs w:val="18"/>
                <w:color w:val="auto"/>
              </w:rPr>
            </w:pPr>
          </w:p>
        </w:tc>
        <w:tc>
          <w:tcPr>
            <w:tcW w:w="380" w:type="dxa"/>
            <w:vAlign w:val="bottom"/>
            <w:tcBorders>
              <w:bottom w:val="single" w:sz="8" w:color="2C6937"/>
            </w:tcBorders>
          </w:tcPr>
          <w:p>
            <w:pPr>
              <w:spacing w:after="0"/>
              <w:rPr>
                <w:sz w:val="18"/>
                <w:szCs w:val="18"/>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(43,154)</w:t>
            </w:r>
          </w:p>
        </w:tc>
        <w:tc>
          <w:tcPr>
            <w:tcW w:w="10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1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12,848</w:t>
            </w:r>
          </w:p>
        </w:tc>
        <w:tc>
          <w:tcPr>
            <w:tcW w:w="0" w:type="dxa"/>
            <w:vAlign w:val="bottom"/>
          </w:tcPr>
          <w:p>
            <w:pPr>
              <w:spacing w:after="0"/>
              <w:rPr>
                <w:sz w:val="1"/>
                <w:szCs w:val="1"/>
                <w:color w:val="auto"/>
              </w:rPr>
            </w:pPr>
          </w:p>
        </w:tc>
      </w:tr>
      <w:tr>
        <w:trPr>
          <w:trHeight w:val="199"/>
        </w:trPr>
        <w:tc>
          <w:tcPr>
            <w:tcW w:w="672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Total equity</w:t>
            </w:r>
          </w:p>
        </w:tc>
        <w:tc>
          <w:tcPr>
            <w:tcW w:w="100" w:type="dxa"/>
            <w:vAlign w:val="bottom"/>
          </w:tcPr>
          <w:p>
            <w:pPr>
              <w:spacing w:after="0"/>
              <w:rPr>
                <w:sz w:val="17"/>
                <w:szCs w:val="17"/>
                <w:color w:val="auto"/>
              </w:rPr>
            </w:pPr>
          </w:p>
        </w:tc>
        <w:tc>
          <w:tcPr>
            <w:tcW w:w="38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90,530</w:t>
            </w:r>
          </w:p>
        </w:tc>
        <w:tc>
          <w:tcPr>
            <w:tcW w:w="120" w:type="dxa"/>
            <w:vAlign w:val="bottom"/>
          </w:tcPr>
          <w:p>
            <w:pPr>
              <w:spacing w:after="0"/>
              <w:rPr>
                <w:sz w:val="17"/>
                <w:szCs w:val="17"/>
                <w:color w:val="auto"/>
              </w:rPr>
            </w:pPr>
          </w:p>
        </w:tc>
        <w:tc>
          <w:tcPr>
            <w:tcW w:w="38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77,682</w:t>
            </w:r>
          </w:p>
        </w:tc>
        <w:tc>
          <w:tcPr>
            <w:tcW w:w="100" w:type="dxa"/>
            <w:vAlign w:val="bottom"/>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1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12,848</w:t>
            </w:r>
          </w:p>
        </w:tc>
        <w:tc>
          <w:tcPr>
            <w:tcW w:w="0" w:type="dxa"/>
            <w:vAlign w:val="bottom"/>
          </w:tcPr>
          <w:p>
            <w:pPr>
              <w:spacing w:after="0"/>
              <w:rPr>
                <w:sz w:val="1"/>
                <w:szCs w:val="1"/>
                <w:color w:val="auto"/>
              </w:rPr>
            </w:pPr>
          </w:p>
        </w:tc>
      </w:tr>
      <w:tr>
        <w:trPr>
          <w:trHeight w:val="199"/>
        </w:trPr>
        <w:tc>
          <w:tcPr>
            <w:tcW w:w="6820" w:type="dxa"/>
            <w:vAlign w:val="bottom"/>
            <w:gridSpan w:val="2"/>
          </w:tcPr>
          <w:p>
            <w:pPr>
              <w:ind w:left="320"/>
              <w:spacing w:after="0"/>
              <w:rPr>
                <w:sz w:val="20"/>
                <w:szCs w:val="20"/>
                <w:color w:val="auto"/>
              </w:rPr>
            </w:pPr>
            <w:r>
              <w:rPr>
                <w:rFonts w:ascii="Arial" w:cs="Arial" w:eastAsia="Arial" w:hAnsi="Arial"/>
                <w:sz w:val="15"/>
                <w:szCs w:val="15"/>
                <w:color w:val="auto"/>
              </w:rPr>
              <w:t>Total liabilities and equity</w:t>
            </w:r>
          </w:p>
        </w:tc>
        <w:tc>
          <w:tcPr>
            <w:tcW w:w="380" w:type="dxa"/>
            <w:vAlign w:val="bottom"/>
          </w:tcPr>
          <w:p>
            <w:pPr>
              <w:jc w:val="right"/>
              <w:ind w:right="204"/>
              <w:spacing w:after="0"/>
              <w:rPr>
                <w:sz w:val="20"/>
                <w:szCs w:val="20"/>
                <w:color w:val="auto"/>
              </w:rPr>
            </w:pPr>
            <w:r>
              <w:rPr>
                <w:rFonts w:ascii="Arial" w:cs="Arial" w:eastAsia="Arial" w:hAnsi="Arial"/>
                <w:sz w:val="15"/>
                <w:szCs w:val="15"/>
                <w:b w:val="1"/>
                <w:bCs w:val="1"/>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4,334,556</w:t>
            </w:r>
          </w:p>
        </w:tc>
        <w:tc>
          <w:tcPr>
            <w:tcW w:w="120" w:type="dxa"/>
            <w:vAlign w:val="bottom"/>
          </w:tcPr>
          <w:p>
            <w:pPr>
              <w:spacing w:after="0"/>
              <w:rPr>
                <w:sz w:val="17"/>
                <w:szCs w:val="17"/>
                <w:color w:val="auto"/>
              </w:rPr>
            </w:pPr>
          </w:p>
        </w:tc>
        <w:tc>
          <w:tcPr>
            <w:tcW w:w="380" w:type="dxa"/>
            <w:vAlign w:val="bottom"/>
          </w:tcPr>
          <w:p>
            <w:pPr>
              <w:jc w:val="right"/>
              <w:ind w:right="206"/>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4,325,437</w:t>
            </w:r>
          </w:p>
        </w:tc>
        <w:tc>
          <w:tcPr>
            <w:tcW w:w="10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9,119</w:t>
            </w:r>
          </w:p>
        </w:tc>
        <w:tc>
          <w:tcPr>
            <w:tcW w:w="0" w:type="dxa"/>
            <w:vAlign w:val="bottom"/>
          </w:tcPr>
          <w:p>
            <w:pPr>
              <w:spacing w:after="0"/>
              <w:rPr>
                <w:sz w:val="1"/>
                <w:szCs w:val="1"/>
                <w:color w:val="auto"/>
              </w:rPr>
            </w:pPr>
          </w:p>
        </w:tc>
      </w:tr>
      <w:tr>
        <w:trPr>
          <w:trHeight w:val="20"/>
        </w:trPr>
        <w:tc>
          <w:tcPr>
            <w:tcW w:w="67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2C6937"/>
              <w:bottom w:val="single" w:sz="8" w:color="2C6937"/>
            </w:tcBorders>
          </w:tcPr>
          <w:p>
            <w:pPr>
              <w:spacing w:after="0" w:line="20" w:lineRule="exact"/>
              <w:rPr>
                <w:sz w:val="1"/>
                <w:szCs w:val="1"/>
                <w:color w:val="auto"/>
              </w:rPr>
            </w:pPr>
          </w:p>
        </w:tc>
        <w:tc>
          <w:tcPr>
            <w:tcW w:w="102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2C6937"/>
              <w:bottom w:val="single" w:sz="8" w:color="2C6937"/>
            </w:tcBorders>
          </w:tcPr>
          <w:p>
            <w:pPr>
              <w:spacing w:after="0" w:line="20" w:lineRule="exact"/>
              <w:rPr>
                <w:sz w:val="1"/>
                <w:szCs w:val="1"/>
                <w:color w:val="auto"/>
              </w:rPr>
            </w:pPr>
          </w:p>
        </w:tc>
        <w:tc>
          <w:tcPr>
            <w:tcW w:w="10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114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Restricted Cash and Cash Equivalents</w:t>
      </w:r>
    </w:p>
    <w:p>
      <w:pPr>
        <w:spacing w:after="0" w:line="63"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increase in restricted cash and cash equivalents from December 31, 2023 to September 30, 2024 was primarily driven by an increase in prepayments of loans held in consolidated trusts, resulting in higher cash balances held in trust at period-end.</w:t>
      </w:r>
    </w:p>
    <w:p>
      <w:pPr>
        <w:spacing w:after="0" w:line="74"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Securities Purchased Under Agreements to Resell and Investments in Securities, at Fair Value</w:t>
      </w:r>
    </w:p>
    <w:p>
      <w:pPr>
        <w:spacing w:after="0" w:line="63"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The primary driver of the increase in investments in securities, at fair value, as well as the decrease in securities purchased under agreements to resell, from December 31, 2023 to September 30, 2024, was a shift to investing the proceeds of funding debt issued during the third quarter of 2024 in longer-term U.S. Treasury securities, rather than investing those funds in securities purchased under agreements to resell. See “Liquidity and Capital Management— Liquidity Management—Corporate Liquidity Portfolio” for additional information.</w:t>
      </w:r>
    </w:p>
    <w:p>
      <w:pPr>
        <w:spacing w:after="0" w:line="95"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Mortgage Loans, Net of Allowance</w:t>
      </w:r>
    </w:p>
    <w:p>
      <w:pPr>
        <w:spacing w:after="0" w:line="63"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The mortgage loans reported in our condensed consolidated balance sheets are classified as either HFS or HFI and include loans owned by Fannie Mae and loans held in consolidated trusts.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2024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16</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60" w:type="dxa"/>
            <w:vAlign w:val="bottom"/>
            <w:tcBorders>
              <w:bottom w:val="single" w:sz="8" w:color="9A9A9A"/>
            </w:tcBorders>
          </w:tcPr>
          <w:p>
            <w:pPr>
              <w:spacing w:after="0"/>
              <w:rPr>
                <w:sz w:val="17"/>
                <w:szCs w:val="17"/>
                <w:color w:val="auto"/>
              </w:rPr>
            </w:pPr>
          </w:p>
        </w:tc>
        <w:tc>
          <w:tcPr>
            <w:tcW w:w="42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9" w:name="page20"/>
    <w:bookmarkEnd w:id="19"/>
    <w:p>
      <w:pPr>
        <w:ind w:left="8320"/>
        <w:spacing w:after="0"/>
        <w:rPr>
          <w:sz w:val="20"/>
          <w:szCs w:val="20"/>
          <w:color w:val="auto"/>
        </w:rPr>
      </w:pPr>
      <w:r>
        <w:rPr>
          <w:rFonts w:ascii="Arial" w:cs="Arial" w:eastAsia="Arial" w:hAnsi="Arial"/>
          <w:sz w:val="14"/>
          <w:szCs w:val="14"/>
          <w:color w:val="05314D"/>
        </w:rPr>
        <w:t>MD&amp;A | Consolidated Balance Sheet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Mortgage loans, net of allowance for loan losses increased from December 31, 2023 to September 30, 2024, driven primarily by acquisitions outpacing loan paydowns, liquidations and sales during the first nine months of 2024, as well as a decline in our allowance for loan losses.</w:t>
      </w:r>
    </w:p>
    <w:p>
      <w:pPr>
        <w:spacing w:after="0" w:line="15" w:lineRule="exact"/>
        <w:rPr>
          <w:sz w:val="20"/>
          <w:szCs w:val="20"/>
          <w:color w:val="auto"/>
        </w:rPr>
      </w:pPr>
    </w:p>
    <w:p>
      <w:pPr>
        <w:spacing w:after="0" w:line="310" w:lineRule="auto"/>
        <w:rPr>
          <w:sz w:val="20"/>
          <w:szCs w:val="20"/>
          <w:color w:val="auto"/>
        </w:rPr>
      </w:pPr>
      <w:r>
        <w:rPr>
          <w:rFonts w:ascii="Arial" w:cs="Arial" w:eastAsia="Arial" w:hAnsi="Arial"/>
          <w:sz w:val="16"/>
          <w:szCs w:val="16"/>
          <w:color w:val="auto"/>
        </w:rPr>
        <w:t>For additional information on our mortgage loans, see “Note 4, Mortgage Loans,” and for additional information on changes in our allowance for loan losses, see “Note 5, Allowance for Loan Losses.”</w:t>
      </w:r>
    </w:p>
    <w:p>
      <w:pPr>
        <w:spacing w:after="0" w:line="48"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Debt</w:t>
      </w:r>
    </w:p>
    <w:p>
      <w:pPr>
        <w:spacing w:after="0" w:line="63"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The decrease in debt of Fannie Mae from December 31, 2023 to September 30, 2024 was due to redemptions outpacing new issuances. The decrease in debt of consolidated trusts from December 31, 2023 to September 30, 2024 was primarily driven by liquidations of Fannie Mae MBS outpacing issuances. See “Liquidity and Capital Management—Liquidity Management—Debt Funding” for a summary of activity in debt of Fannie Mae and information on our outstanding short-term and long-term debt. Also see “Note 8, Short-Term and Long-Term Debt” for additional information on our total outstanding debt.</w:t>
      </w:r>
    </w:p>
    <w:p>
      <w:pPr>
        <w:spacing w:after="0" w:line="79"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Stockholders’ Equity</w:t>
      </w:r>
    </w:p>
    <w:p>
      <w:pPr>
        <w:spacing w:after="0" w:line="63" w:lineRule="exact"/>
        <w:rPr>
          <w:sz w:val="20"/>
          <w:szCs w:val="20"/>
          <w:color w:val="auto"/>
        </w:rPr>
      </w:pPr>
    </w:p>
    <w:p>
      <w:pPr>
        <w:ind w:right="780"/>
        <w:spacing w:after="0" w:line="293" w:lineRule="auto"/>
        <w:rPr>
          <w:sz w:val="20"/>
          <w:szCs w:val="20"/>
          <w:color w:val="auto"/>
        </w:rPr>
      </w:pPr>
      <w:r>
        <w:rPr>
          <w:rFonts w:ascii="Arial" w:cs="Arial" w:eastAsia="Arial" w:hAnsi="Arial"/>
          <w:sz w:val="16"/>
          <w:szCs w:val="16"/>
          <w:color w:val="auto"/>
        </w:rPr>
        <w:t>Our stockholders’ equity (also referred to as our net worth) increased to $90.5 billion as of September 30, 2024, compared with $77.7 billion as of December 31, 2023, due to the $12.8 billion in comprehensive income recognized during the first nine months of 2024.</w:t>
      </w:r>
    </w:p>
    <w:p>
      <w:pPr>
        <w:spacing w:after="0" w:line="61"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Retained Mortgage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138670" cy="16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We use our retained mortgage portfolio primarily to provide liquidity to the mortgage market through portfolio securitization transactions and to support our loss mitigation activities.</w:t>
      </w:r>
    </w:p>
    <w:p>
      <w:pPr>
        <w:spacing w:after="0" w:line="28" w:lineRule="exact"/>
        <w:rPr>
          <w:sz w:val="20"/>
          <w:szCs w:val="20"/>
          <w:color w:val="auto"/>
        </w:rPr>
      </w:pPr>
    </w:p>
    <w:p>
      <w:pPr>
        <w:ind w:right="140"/>
        <w:spacing w:after="0" w:line="272" w:lineRule="auto"/>
        <w:rPr>
          <w:sz w:val="20"/>
          <w:szCs w:val="20"/>
          <w:color w:val="auto"/>
        </w:rPr>
      </w:pPr>
      <w:r>
        <w:rPr>
          <w:rFonts w:ascii="Arial" w:cs="Arial" w:eastAsia="Arial" w:hAnsi="Arial"/>
          <w:sz w:val="16"/>
          <w:szCs w:val="16"/>
          <w:color w:val="auto"/>
        </w:rPr>
        <w:t>Our retained mortgage portfolio consists of mortgage loans and mortgage-related securities that we own, including Fannie Mae MBS and non-Fannie Mae mortgage-related securities. Assets held by consolidated MBS trusts that back mortgage-related securities owned by third parties are not included in our retained mortgage portfolio.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separate the instruments within our retained mortgage portfolio into three categories based on each instrument’s use:</w:t>
      </w:r>
    </w:p>
    <w:p>
      <w:pPr>
        <w:spacing w:after="0" w:line="61" w:lineRule="exact"/>
        <w:rPr>
          <w:sz w:val="20"/>
          <w:szCs w:val="20"/>
          <w:color w:val="auto"/>
        </w:rPr>
      </w:pPr>
    </w:p>
    <w:p>
      <w:pPr>
        <w:ind w:left="620" w:right="260" w:hanging="307"/>
        <w:spacing w:after="0" w:line="294" w:lineRule="auto"/>
        <w:tabs>
          <w:tab w:leader="none" w:pos="612"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Lender liquidity</w:t>
      </w:r>
      <w:r>
        <w:rPr>
          <w:rFonts w:ascii="Arial" w:cs="Arial" w:eastAsia="Arial" w:hAnsi="Arial"/>
          <w:sz w:val="16"/>
          <w:szCs w:val="16"/>
          <w:color w:val="auto"/>
        </w:rPr>
        <w:t>, which includes balances related to our portfolio securitization activity, supports our efforts to provide liquidity to the single-family</w:t>
      </w:r>
      <w:r>
        <w:rPr>
          <w:rFonts w:ascii="Arial" w:cs="Arial" w:eastAsia="Arial" w:hAnsi="Arial"/>
          <w:sz w:val="16"/>
          <w:szCs w:val="16"/>
          <w:i w:val="1"/>
          <w:iCs w:val="1"/>
          <w:color w:val="auto"/>
        </w:rPr>
        <w:t xml:space="preserve"> </w:t>
      </w:r>
      <w:r>
        <w:rPr>
          <w:rFonts w:ascii="Arial" w:cs="Arial" w:eastAsia="Arial" w:hAnsi="Arial"/>
          <w:sz w:val="16"/>
          <w:szCs w:val="16"/>
          <w:color w:val="auto"/>
        </w:rPr>
        <w:t>and multifamily mortgage markets.</w:t>
      </w:r>
    </w:p>
    <w:p>
      <w:pPr>
        <w:ind w:left="620" w:hanging="307"/>
        <w:spacing w:after="0"/>
        <w:tabs>
          <w:tab w:leader="none" w:pos="62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Loss mitigation </w:t>
      </w:r>
      <w:r>
        <w:rPr>
          <w:rFonts w:ascii="Arial" w:cs="Arial" w:eastAsia="Arial" w:hAnsi="Arial"/>
          <w:sz w:val="16"/>
          <w:szCs w:val="16"/>
          <w:color w:val="auto"/>
        </w:rPr>
        <w:t>supports our loss mitigation efforts through the purchase of delinquent loans from our MBS trusts.</w:t>
      </w:r>
    </w:p>
    <w:p>
      <w:pPr>
        <w:spacing w:after="0" w:line="60" w:lineRule="exact"/>
        <w:rPr>
          <w:rFonts w:ascii="Arial" w:cs="Arial" w:eastAsia="Arial" w:hAnsi="Arial"/>
          <w:sz w:val="16"/>
          <w:szCs w:val="16"/>
          <w:color w:val="auto"/>
        </w:rPr>
      </w:pPr>
    </w:p>
    <w:p>
      <w:pPr>
        <w:ind w:left="620" w:hanging="307"/>
        <w:spacing w:after="0"/>
        <w:tabs>
          <w:tab w:leader="none" w:pos="62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represents assets that we previously purchased for investment purposes.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2024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17</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60" w:type="dxa"/>
            <w:vAlign w:val="bottom"/>
            <w:tcBorders>
              <w:bottom w:val="single" w:sz="8" w:color="9A9A9A"/>
            </w:tcBorders>
          </w:tcPr>
          <w:p>
            <w:pPr>
              <w:spacing w:after="0"/>
              <w:rPr>
                <w:sz w:val="16"/>
                <w:szCs w:val="16"/>
                <w:color w:val="auto"/>
              </w:rPr>
            </w:pPr>
          </w:p>
        </w:tc>
        <w:tc>
          <w:tcPr>
            <w:tcW w:w="428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20" w:name="page21"/>
    <w:bookmarkEnd w:id="20"/>
    <w:p>
      <w:pPr>
        <w:ind w:left="9000"/>
        <w:spacing w:after="0"/>
        <w:rPr>
          <w:sz w:val="20"/>
          <w:szCs w:val="20"/>
          <w:color w:val="auto"/>
        </w:rPr>
      </w:pPr>
      <w:r>
        <w:rPr>
          <w:rFonts w:ascii="Arial" w:cs="Arial" w:eastAsia="Arial" w:hAnsi="Arial"/>
          <w:sz w:val="13"/>
          <w:szCs w:val="13"/>
          <w:color w:val="05314D"/>
        </w:rPr>
        <w:t>MD&amp;A | Retained Mortgage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24130</wp:posOffset>
            </wp:positionV>
            <wp:extent cx="71221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The table below displays the components of our retained mortgage portfolio. Based on the nature of the asset, these balances are included in either “Investments in securities, at fair value” or “Mortgage loans, net of allowance for loan losses” in our “Summary of Condensed Consolidated Balance Sheets” table above.</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color w:val="001543"/>
        </w:rPr>
        <w:t>Retained Mortgage Portfolio</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7800" w:type="dxa"/>
            <w:vAlign w:val="bottom"/>
            <w:tcBorders>
              <w:top w:val="single" w:sz="8" w:color="2C6937"/>
            </w:tcBorders>
          </w:tcPr>
          <w:p>
            <w:pPr>
              <w:spacing w:after="0"/>
              <w:rPr>
                <w:sz w:val="20"/>
                <w:szCs w:val="20"/>
                <w:color w:val="auto"/>
              </w:rPr>
            </w:pPr>
          </w:p>
        </w:tc>
        <w:tc>
          <w:tcPr>
            <w:tcW w:w="140" w:type="dxa"/>
            <w:vAlign w:val="bottom"/>
            <w:tcBorders>
              <w:top w:val="single" w:sz="8" w:color="2C6937"/>
            </w:tcBorders>
          </w:tcPr>
          <w:p>
            <w:pPr>
              <w:spacing w:after="0"/>
              <w:rPr>
                <w:sz w:val="20"/>
                <w:szCs w:val="20"/>
                <w:color w:val="auto"/>
              </w:rPr>
            </w:pPr>
          </w:p>
        </w:tc>
        <w:tc>
          <w:tcPr>
            <w:tcW w:w="500" w:type="dxa"/>
            <w:vAlign w:val="bottom"/>
            <w:tcBorders>
              <w:top w:val="single" w:sz="8" w:color="2C6937"/>
              <w:bottom w:val="single" w:sz="8" w:color="2C6937"/>
            </w:tcBorders>
          </w:tcPr>
          <w:p>
            <w:pPr>
              <w:spacing w:after="0"/>
              <w:rPr>
                <w:sz w:val="20"/>
                <w:szCs w:val="20"/>
                <w:color w:val="auto"/>
              </w:rPr>
            </w:pPr>
          </w:p>
        </w:tc>
        <w:tc>
          <w:tcPr>
            <w:tcW w:w="2040" w:type="dxa"/>
            <w:vAlign w:val="bottom"/>
            <w:tcBorders>
              <w:top w:val="single" w:sz="8" w:color="2C6937"/>
              <w:bottom w:val="single" w:sz="8" w:color="2C6937"/>
            </w:tcBorders>
            <w:gridSpan w:val="3"/>
          </w:tcPr>
          <w:p>
            <w:pPr>
              <w:jc w:val="right"/>
              <w:ind w:right="643"/>
              <w:spacing w:after="0"/>
              <w:rPr>
                <w:sz w:val="20"/>
                <w:szCs w:val="20"/>
                <w:color w:val="auto"/>
              </w:rPr>
            </w:pPr>
            <w:r>
              <w:rPr>
                <w:rFonts w:ascii="Arial" w:cs="Arial" w:eastAsia="Arial" w:hAnsi="Arial"/>
                <w:sz w:val="15"/>
                <w:szCs w:val="15"/>
                <w:b w:val="1"/>
                <w:bCs w:val="1"/>
                <w:color w:val="auto"/>
              </w:rPr>
              <w:t>As of</w:t>
            </w:r>
          </w:p>
        </w:tc>
        <w:tc>
          <w:tcPr>
            <w:tcW w:w="740" w:type="dxa"/>
            <w:vAlign w:val="bottom"/>
            <w:tcBorders>
              <w:top w:val="single" w:sz="8" w:color="2C6937"/>
              <w:bottom w:val="single" w:sz="8" w:color="2C6937"/>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7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Borders>
              <w:bottom w:val="single" w:sz="8" w:color="2C6937"/>
            </w:tcBorders>
            <w:gridSpan w:val="3"/>
          </w:tcPr>
          <w:p>
            <w:pPr>
              <w:ind w:left="60"/>
              <w:spacing w:after="0"/>
              <w:rPr>
                <w:sz w:val="20"/>
                <w:szCs w:val="20"/>
                <w:color w:val="auto"/>
              </w:rPr>
            </w:pPr>
            <w:r>
              <w:rPr>
                <w:rFonts w:ascii="Arial" w:cs="Arial" w:eastAsia="Arial" w:hAnsi="Arial"/>
                <w:sz w:val="15"/>
                <w:szCs w:val="15"/>
                <w:b w:val="1"/>
                <w:bCs w:val="1"/>
                <w:color w:val="auto"/>
              </w:rPr>
              <w:t>September 30, 2024</w:t>
            </w:r>
          </w:p>
        </w:tc>
        <w:tc>
          <w:tcPr>
            <w:tcW w:w="1580" w:type="dxa"/>
            <w:vAlign w:val="bottom"/>
            <w:tcBorders>
              <w:bottom w:val="single" w:sz="8" w:color="2C6937"/>
            </w:tcBorders>
            <w:gridSpan w:val="2"/>
          </w:tcPr>
          <w:p>
            <w:pPr>
              <w:jc w:val="right"/>
              <w:ind w:right="23"/>
              <w:spacing w:after="0"/>
              <w:rPr>
                <w:sz w:val="20"/>
                <w:szCs w:val="20"/>
                <w:color w:val="auto"/>
              </w:rPr>
            </w:pPr>
            <w:r>
              <w:rPr>
                <w:rFonts w:ascii="Arial" w:cs="Arial" w:eastAsia="Arial" w:hAnsi="Arial"/>
                <w:sz w:val="15"/>
                <w:szCs w:val="15"/>
                <w:b w:val="1"/>
                <w:bCs w:val="1"/>
                <w:color w:val="auto"/>
              </w:rPr>
              <w:t>December 31, 2023</w:t>
            </w:r>
          </w:p>
        </w:tc>
        <w:tc>
          <w:tcPr>
            <w:tcW w:w="0" w:type="dxa"/>
            <w:vAlign w:val="bottom"/>
          </w:tcPr>
          <w:p>
            <w:pPr>
              <w:spacing w:after="0"/>
              <w:rPr>
                <w:sz w:val="1"/>
                <w:szCs w:val="1"/>
                <w:color w:val="auto"/>
              </w:rPr>
            </w:pPr>
          </w:p>
        </w:tc>
      </w:tr>
      <w:tr>
        <w:trPr>
          <w:trHeight w:val="207"/>
        </w:trPr>
        <w:tc>
          <w:tcPr>
            <w:tcW w:w="794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Lender liquidity:</w:t>
            </w:r>
          </w:p>
        </w:tc>
        <w:tc>
          <w:tcPr>
            <w:tcW w:w="500" w:type="dxa"/>
            <w:vAlign w:val="bottom"/>
          </w:tcPr>
          <w:p>
            <w:pPr>
              <w:spacing w:after="0"/>
              <w:rPr>
                <w:sz w:val="17"/>
                <w:szCs w:val="17"/>
                <w:color w:val="auto"/>
              </w:rPr>
            </w:pPr>
          </w:p>
        </w:tc>
        <w:tc>
          <w:tcPr>
            <w:tcW w:w="2040" w:type="dxa"/>
            <w:vAlign w:val="bottom"/>
            <w:gridSpan w:val="3"/>
          </w:tcPr>
          <w:p>
            <w:pPr>
              <w:jc w:val="right"/>
              <w:ind w:right="123"/>
              <w:spacing w:after="0"/>
              <w:rPr>
                <w:sz w:val="20"/>
                <w:szCs w:val="20"/>
                <w:color w:val="auto"/>
              </w:rPr>
            </w:pPr>
            <w:r>
              <w:rPr>
                <w:rFonts w:ascii="Arial" w:cs="Arial" w:eastAsia="Arial" w:hAnsi="Arial"/>
                <w:sz w:val="15"/>
                <w:szCs w:val="15"/>
                <w:b w:val="1"/>
                <w:bCs w:val="1"/>
                <w:color w:val="auto"/>
              </w:rPr>
              <w:t>(Dollars in millions)</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794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940" w:type="dxa"/>
            <w:vAlign w:val="bottom"/>
            <w:gridSpan w:val="2"/>
          </w:tcPr>
          <w:p>
            <w:pPr>
              <w:ind w:left="280"/>
              <w:spacing w:after="0" w:line="216" w:lineRule="exact"/>
              <w:rPr>
                <w:sz w:val="20"/>
                <w:szCs w:val="20"/>
                <w:color w:val="auto"/>
              </w:rPr>
            </w:pPr>
            <w:r>
              <w:rPr>
                <w:rFonts w:ascii="Arial" w:cs="Arial" w:eastAsia="Arial" w:hAnsi="Arial"/>
                <w:sz w:val="15"/>
                <w:szCs w:val="15"/>
                <w:color w:val="auto"/>
              </w:rPr>
              <w:t>Agency securities</w:t>
            </w:r>
            <w:r>
              <w:rPr>
                <w:rFonts w:ascii="Arial" w:cs="Arial" w:eastAsia="Arial" w:hAnsi="Arial"/>
                <w:sz w:val="20"/>
                <w:szCs w:val="20"/>
                <w:color w:val="auto"/>
                <w:vertAlign w:val="superscript"/>
              </w:rPr>
              <w:t>(1)</w:t>
            </w:r>
          </w:p>
        </w:tc>
        <w:tc>
          <w:tcPr>
            <w:tcW w:w="500" w:type="dxa"/>
            <w:vAlign w:val="bottom"/>
          </w:tcPr>
          <w:p>
            <w:pPr>
              <w:jc w:val="right"/>
              <w:ind w:right="323"/>
              <w:spacing w:after="0"/>
              <w:rPr>
                <w:sz w:val="20"/>
                <w:szCs w:val="20"/>
                <w:color w:val="auto"/>
              </w:rPr>
            </w:pPr>
            <w:r>
              <w:rPr>
                <w:rFonts w:ascii="Arial" w:cs="Arial" w:eastAsia="Arial" w:hAnsi="Arial"/>
                <w:sz w:val="15"/>
                <w:szCs w:val="15"/>
                <w:b w:val="1"/>
                <w:bCs w:val="1"/>
                <w:color w:val="auto"/>
                <w:w w:val="95"/>
              </w:rPr>
              <w:t>$</w:t>
            </w:r>
          </w:p>
        </w:tc>
        <w:tc>
          <w:tcPr>
            <w:tcW w:w="1080" w:type="dxa"/>
            <w:vAlign w:val="bottom"/>
          </w:tcPr>
          <w:p>
            <w:pPr>
              <w:jc w:val="right"/>
              <w:ind w:right="3"/>
              <w:spacing w:after="0"/>
              <w:rPr>
                <w:sz w:val="20"/>
                <w:szCs w:val="20"/>
                <w:color w:val="auto"/>
              </w:rPr>
            </w:pPr>
            <w:r>
              <w:rPr>
                <w:rFonts w:ascii="Arial" w:cs="Arial" w:eastAsia="Arial" w:hAnsi="Arial"/>
                <w:sz w:val="15"/>
                <w:szCs w:val="15"/>
                <w:b w:val="1"/>
                <w:bCs w:val="1"/>
                <w:color w:val="auto"/>
              </w:rPr>
              <w:t>31,227</w:t>
            </w:r>
          </w:p>
        </w:tc>
        <w:tc>
          <w:tcPr>
            <w:tcW w:w="120" w:type="dxa"/>
            <w:vAlign w:val="bottom"/>
          </w:tcPr>
          <w:p>
            <w:pPr>
              <w:spacing w:after="0"/>
              <w:rPr>
                <w:sz w:val="18"/>
                <w:szCs w:val="18"/>
                <w:color w:val="auto"/>
              </w:rPr>
            </w:pPr>
          </w:p>
        </w:tc>
        <w:tc>
          <w:tcPr>
            <w:tcW w:w="840" w:type="dxa"/>
            <w:vAlign w:val="bottom"/>
          </w:tcPr>
          <w:p>
            <w:pPr>
              <w:jc w:val="right"/>
              <w:ind w:right="663"/>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27,823</w:t>
            </w:r>
          </w:p>
        </w:tc>
        <w:tc>
          <w:tcPr>
            <w:tcW w:w="0" w:type="dxa"/>
            <w:vAlign w:val="bottom"/>
          </w:tcPr>
          <w:p>
            <w:pPr>
              <w:spacing w:after="0"/>
              <w:rPr>
                <w:sz w:val="1"/>
                <w:szCs w:val="1"/>
                <w:color w:val="auto"/>
              </w:rPr>
            </w:pPr>
          </w:p>
        </w:tc>
      </w:tr>
      <w:tr>
        <w:trPr>
          <w:trHeight w:val="208"/>
        </w:trPr>
        <w:tc>
          <w:tcPr>
            <w:tcW w:w="7800" w:type="dxa"/>
            <w:vAlign w:val="bottom"/>
            <w:tcBorders>
              <w:bottom w:val="single" w:sz="8" w:color="2C6937"/>
            </w:tcBorders>
          </w:tcPr>
          <w:p>
            <w:pPr>
              <w:ind w:left="280"/>
              <w:spacing w:after="0"/>
              <w:rPr>
                <w:sz w:val="20"/>
                <w:szCs w:val="20"/>
                <w:color w:val="auto"/>
              </w:rPr>
            </w:pPr>
            <w:r>
              <w:rPr>
                <w:rFonts w:ascii="Arial" w:cs="Arial" w:eastAsia="Arial" w:hAnsi="Arial"/>
                <w:sz w:val="15"/>
                <w:szCs w:val="15"/>
                <w:color w:val="auto"/>
              </w:rPr>
              <w:t>Mortgage loans</w:t>
            </w:r>
          </w:p>
        </w:tc>
        <w:tc>
          <w:tcPr>
            <w:tcW w:w="140" w:type="dxa"/>
            <w:vAlign w:val="bottom"/>
          </w:tcPr>
          <w:p>
            <w:pPr>
              <w:spacing w:after="0"/>
              <w:rPr>
                <w:sz w:val="18"/>
                <w:szCs w:val="18"/>
                <w:color w:val="auto"/>
              </w:rPr>
            </w:pPr>
          </w:p>
        </w:tc>
        <w:tc>
          <w:tcPr>
            <w:tcW w:w="50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9,370</w:t>
            </w:r>
          </w:p>
        </w:tc>
        <w:tc>
          <w:tcPr>
            <w:tcW w:w="120" w:type="dxa"/>
            <w:vAlign w:val="bottom"/>
          </w:tcPr>
          <w:p>
            <w:pPr>
              <w:spacing w:after="0"/>
              <w:rPr>
                <w:sz w:val="18"/>
                <w:szCs w:val="18"/>
                <w:color w:val="auto"/>
              </w:rPr>
            </w:pPr>
          </w:p>
        </w:tc>
        <w:tc>
          <w:tcPr>
            <w:tcW w:w="840" w:type="dxa"/>
            <w:vAlign w:val="bottom"/>
            <w:tcBorders>
              <w:bottom w:val="single" w:sz="8" w:color="2C6937"/>
            </w:tcBorders>
          </w:tcPr>
          <w:p>
            <w:pPr>
              <w:spacing w:after="0"/>
              <w:rPr>
                <w:sz w:val="18"/>
                <w:szCs w:val="18"/>
                <w:color w:val="auto"/>
              </w:rPr>
            </w:pPr>
          </w:p>
        </w:tc>
        <w:tc>
          <w:tcPr>
            <w:tcW w:w="74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7,101</w:t>
            </w:r>
          </w:p>
        </w:tc>
        <w:tc>
          <w:tcPr>
            <w:tcW w:w="0" w:type="dxa"/>
            <w:vAlign w:val="bottom"/>
          </w:tcPr>
          <w:p>
            <w:pPr>
              <w:spacing w:after="0"/>
              <w:rPr>
                <w:sz w:val="1"/>
                <w:szCs w:val="1"/>
                <w:color w:val="auto"/>
              </w:rPr>
            </w:pPr>
          </w:p>
        </w:tc>
      </w:tr>
      <w:tr>
        <w:trPr>
          <w:trHeight w:val="188"/>
        </w:trPr>
        <w:tc>
          <w:tcPr>
            <w:tcW w:w="7940" w:type="dxa"/>
            <w:vAlign w:val="bottom"/>
            <w:gridSpan w:val="2"/>
          </w:tcPr>
          <w:p>
            <w:pPr>
              <w:ind w:left="120"/>
              <w:spacing w:after="0"/>
              <w:rPr>
                <w:sz w:val="20"/>
                <w:szCs w:val="20"/>
                <w:color w:val="auto"/>
              </w:rPr>
            </w:pPr>
            <w:r>
              <w:rPr>
                <w:rFonts w:ascii="Arial" w:cs="Arial" w:eastAsia="Arial" w:hAnsi="Arial"/>
                <w:sz w:val="15"/>
                <w:szCs w:val="15"/>
                <w:color w:val="auto"/>
              </w:rPr>
              <w:t>Total lender liquidity</w:t>
            </w:r>
          </w:p>
        </w:tc>
        <w:tc>
          <w:tcPr>
            <w:tcW w:w="500" w:type="dxa"/>
            <w:vAlign w:val="bottom"/>
          </w:tcPr>
          <w:p>
            <w:pPr>
              <w:spacing w:after="0"/>
              <w:rPr>
                <w:sz w:val="16"/>
                <w:szCs w:val="16"/>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b w:val="1"/>
                <w:bCs w:val="1"/>
                <w:color w:val="auto"/>
              </w:rPr>
              <w:t>40,597</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34,924</w:t>
            </w:r>
          </w:p>
        </w:tc>
        <w:tc>
          <w:tcPr>
            <w:tcW w:w="0" w:type="dxa"/>
            <w:vAlign w:val="bottom"/>
          </w:tcPr>
          <w:p>
            <w:pPr>
              <w:spacing w:after="0"/>
              <w:rPr>
                <w:sz w:val="1"/>
                <w:szCs w:val="1"/>
                <w:color w:val="auto"/>
              </w:rPr>
            </w:pPr>
          </w:p>
        </w:tc>
      </w:tr>
      <w:tr>
        <w:trPr>
          <w:trHeight w:val="216"/>
        </w:trPr>
        <w:tc>
          <w:tcPr>
            <w:tcW w:w="7940" w:type="dxa"/>
            <w:vAlign w:val="bottom"/>
            <w:gridSpan w:val="2"/>
          </w:tcPr>
          <w:p>
            <w:pPr>
              <w:ind w:left="20"/>
              <w:spacing w:after="0" w:line="216" w:lineRule="exact"/>
              <w:rPr>
                <w:sz w:val="20"/>
                <w:szCs w:val="20"/>
                <w:color w:val="auto"/>
              </w:rPr>
            </w:pPr>
            <w:r>
              <w:rPr>
                <w:rFonts w:ascii="Arial" w:cs="Arial" w:eastAsia="Arial" w:hAnsi="Arial"/>
                <w:sz w:val="15"/>
                <w:szCs w:val="15"/>
                <w:b w:val="1"/>
                <w:bCs w:val="1"/>
                <w:color w:val="auto"/>
              </w:rPr>
              <w:t>Loss mitigation mortgage loans</w:t>
            </w:r>
            <w:r>
              <w:rPr>
                <w:rFonts w:ascii="Arial" w:cs="Arial" w:eastAsia="Arial" w:hAnsi="Arial"/>
                <w:sz w:val="20"/>
                <w:szCs w:val="20"/>
                <w:b w:val="1"/>
                <w:bCs w:val="1"/>
                <w:color w:val="auto"/>
                <w:vertAlign w:val="superscript"/>
              </w:rPr>
              <w:t>(2)</w:t>
            </w:r>
          </w:p>
        </w:tc>
        <w:tc>
          <w:tcPr>
            <w:tcW w:w="500" w:type="dxa"/>
            <w:vAlign w:val="bottom"/>
          </w:tcPr>
          <w:p>
            <w:pPr>
              <w:spacing w:after="0"/>
              <w:rPr>
                <w:sz w:val="18"/>
                <w:szCs w:val="18"/>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b w:val="1"/>
                <w:bCs w:val="1"/>
                <w:color w:val="auto"/>
              </w:rPr>
              <w:t>40,649</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38,634</w:t>
            </w:r>
          </w:p>
        </w:tc>
        <w:tc>
          <w:tcPr>
            <w:tcW w:w="0" w:type="dxa"/>
            <w:vAlign w:val="bottom"/>
          </w:tcPr>
          <w:p>
            <w:pPr>
              <w:spacing w:after="0"/>
              <w:rPr>
                <w:sz w:val="1"/>
                <w:szCs w:val="1"/>
                <w:color w:val="auto"/>
              </w:rPr>
            </w:pPr>
          </w:p>
        </w:tc>
      </w:tr>
      <w:tr>
        <w:trPr>
          <w:trHeight w:val="197"/>
        </w:trPr>
        <w:tc>
          <w:tcPr>
            <w:tcW w:w="7940" w:type="dxa"/>
            <w:vAlign w:val="bottom"/>
            <w:gridSpan w:val="2"/>
          </w:tcPr>
          <w:p>
            <w:pPr>
              <w:ind w:left="20"/>
              <w:spacing w:after="0"/>
              <w:rPr>
                <w:sz w:val="20"/>
                <w:szCs w:val="20"/>
                <w:color w:val="auto"/>
              </w:rPr>
            </w:pPr>
            <w:r>
              <w:rPr>
                <w:rFonts w:ascii="Arial" w:cs="Arial" w:eastAsia="Arial" w:hAnsi="Arial"/>
                <w:sz w:val="15"/>
                <w:szCs w:val="15"/>
                <w:b w:val="1"/>
                <w:bCs w:val="1"/>
                <w:color w:val="auto"/>
              </w:rPr>
              <w:t>Other:</w:t>
            </w: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940" w:type="dxa"/>
            <w:vAlign w:val="bottom"/>
            <w:gridSpan w:val="2"/>
          </w:tcPr>
          <w:p>
            <w:pPr>
              <w:ind w:left="280"/>
              <w:spacing w:after="0" w:line="207" w:lineRule="exact"/>
              <w:rPr>
                <w:sz w:val="20"/>
                <w:szCs w:val="20"/>
                <w:color w:val="auto"/>
              </w:rPr>
            </w:pPr>
            <w:r>
              <w:rPr>
                <w:rFonts w:ascii="Arial" w:cs="Arial" w:eastAsia="Arial" w:hAnsi="Arial"/>
                <w:sz w:val="15"/>
                <w:szCs w:val="15"/>
                <w:color w:val="auto"/>
              </w:rPr>
              <w:t>Reverse mortgage loans and securities</w:t>
            </w:r>
            <w:r>
              <w:rPr>
                <w:rFonts w:ascii="Arial" w:cs="Arial" w:eastAsia="Arial" w:hAnsi="Arial"/>
                <w:sz w:val="20"/>
                <w:szCs w:val="20"/>
                <w:color w:val="auto"/>
                <w:vertAlign w:val="superscript"/>
              </w:rPr>
              <w:t>(3)</w:t>
            </w:r>
          </w:p>
        </w:tc>
        <w:tc>
          <w:tcPr>
            <w:tcW w:w="50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b w:val="1"/>
                <w:bCs w:val="1"/>
                <w:color w:val="auto"/>
              </w:rPr>
              <w:t>3,897</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5,953</w:t>
            </w:r>
          </w:p>
        </w:tc>
        <w:tc>
          <w:tcPr>
            <w:tcW w:w="0" w:type="dxa"/>
            <w:vAlign w:val="bottom"/>
          </w:tcPr>
          <w:p>
            <w:pPr>
              <w:spacing w:after="0"/>
              <w:rPr>
                <w:sz w:val="1"/>
                <w:szCs w:val="1"/>
                <w:color w:val="auto"/>
              </w:rPr>
            </w:pPr>
          </w:p>
        </w:tc>
      </w:tr>
      <w:tr>
        <w:trPr>
          <w:trHeight w:val="217"/>
        </w:trPr>
        <w:tc>
          <w:tcPr>
            <w:tcW w:w="7800" w:type="dxa"/>
            <w:vAlign w:val="bottom"/>
            <w:tcBorders>
              <w:bottom w:val="single" w:sz="8" w:color="2C6937"/>
            </w:tcBorders>
          </w:tcPr>
          <w:p>
            <w:pPr>
              <w:ind w:left="280"/>
              <w:spacing w:after="0" w:line="217" w:lineRule="exact"/>
              <w:rPr>
                <w:sz w:val="20"/>
                <w:szCs w:val="20"/>
                <w:color w:val="auto"/>
              </w:rPr>
            </w:pPr>
            <w:r>
              <w:rPr>
                <w:rFonts w:ascii="Arial" w:cs="Arial" w:eastAsia="Arial" w:hAnsi="Arial"/>
                <w:sz w:val="15"/>
                <w:szCs w:val="15"/>
                <w:color w:val="auto"/>
              </w:rPr>
              <w:t>Other mortgage loans and securities</w:t>
            </w:r>
            <w:r>
              <w:rPr>
                <w:rFonts w:ascii="Arial" w:cs="Arial" w:eastAsia="Arial" w:hAnsi="Arial"/>
                <w:sz w:val="20"/>
                <w:szCs w:val="20"/>
                <w:color w:val="auto"/>
                <w:vertAlign w:val="superscript"/>
              </w:rPr>
              <w:t>(4)</w:t>
            </w:r>
          </w:p>
        </w:tc>
        <w:tc>
          <w:tcPr>
            <w:tcW w:w="140" w:type="dxa"/>
            <w:vAlign w:val="bottom"/>
          </w:tcPr>
          <w:p>
            <w:pPr>
              <w:spacing w:after="0"/>
              <w:rPr>
                <w:sz w:val="18"/>
                <w:szCs w:val="18"/>
                <w:color w:val="auto"/>
              </w:rPr>
            </w:pPr>
          </w:p>
        </w:tc>
        <w:tc>
          <w:tcPr>
            <w:tcW w:w="50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2,754</w:t>
            </w:r>
          </w:p>
        </w:tc>
        <w:tc>
          <w:tcPr>
            <w:tcW w:w="120" w:type="dxa"/>
            <w:vAlign w:val="bottom"/>
          </w:tcPr>
          <w:p>
            <w:pPr>
              <w:spacing w:after="0"/>
              <w:rPr>
                <w:sz w:val="18"/>
                <w:szCs w:val="18"/>
                <w:color w:val="auto"/>
              </w:rPr>
            </w:pPr>
          </w:p>
        </w:tc>
        <w:tc>
          <w:tcPr>
            <w:tcW w:w="840" w:type="dxa"/>
            <w:vAlign w:val="bottom"/>
            <w:tcBorders>
              <w:bottom w:val="single" w:sz="8" w:color="2C6937"/>
            </w:tcBorders>
          </w:tcPr>
          <w:p>
            <w:pPr>
              <w:spacing w:after="0"/>
              <w:rPr>
                <w:sz w:val="18"/>
                <w:szCs w:val="18"/>
                <w:color w:val="auto"/>
              </w:rPr>
            </w:pPr>
          </w:p>
        </w:tc>
        <w:tc>
          <w:tcPr>
            <w:tcW w:w="74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3,683</w:t>
            </w:r>
          </w:p>
        </w:tc>
        <w:tc>
          <w:tcPr>
            <w:tcW w:w="0" w:type="dxa"/>
            <w:vAlign w:val="bottom"/>
          </w:tcPr>
          <w:p>
            <w:pPr>
              <w:spacing w:after="0"/>
              <w:rPr>
                <w:sz w:val="1"/>
                <w:szCs w:val="1"/>
                <w:color w:val="auto"/>
              </w:rPr>
            </w:pPr>
          </w:p>
        </w:tc>
      </w:tr>
      <w:tr>
        <w:trPr>
          <w:trHeight w:val="199"/>
        </w:trPr>
        <w:tc>
          <w:tcPr>
            <w:tcW w:w="7800" w:type="dxa"/>
            <w:vAlign w:val="bottom"/>
            <w:tcBorders>
              <w:bottom w:val="single" w:sz="8" w:color="2C6937"/>
            </w:tcBorders>
          </w:tcPr>
          <w:p>
            <w:pPr>
              <w:ind w:left="120"/>
              <w:spacing w:after="0"/>
              <w:rPr>
                <w:sz w:val="20"/>
                <w:szCs w:val="20"/>
                <w:color w:val="auto"/>
              </w:rPr>
            </w:pPr>
            <w:r>
              <w:rPr>
                <w:rFonts w:ascii="Arial" w:cs="Arial" w:eastAsia="Arial" w:hAnsi="Arial"/>
                <w:sz w:val="15"/>
                <w:szCs w:val="15"/>
                <w:color w:val="auto"/>
              </w:rPr>
              <w:t>Total other</w:t>
            </w:r>
          </w:p>
        </w:tc>
        <w:tc>
          <w:tcPr>
            <w:tcW w:w="140" w:type="dxa"/>
            <w:vAlign w:val="bottom"/>
          </w:tcPr>
          <w:p>
            <w:pPr>
              <w:spacing w:after="0"/>
              <w:rPr>
                <w:sz w:val="17"/>
                <w:szCs w:val="17"/>
                <w:color w:val="auto"/>
              </w:rPr>
            </w:pPr>
          </w:p>
        </w:tc>
        <w:tc>
          <w:tcPr>
            <w:tcW w:w="500" w:type="dxa"/>
            <w:vAlign w:val="bottom"/>
            <w:tcBorders>
              <w:bottom w:val="single" w:sz="8" w:color="2C6937"/>
            </w:tcBorders>
          </w:tcPr>
          <w:p>
            <w:pPr>
              <w:spacing w:after="0"/>
              <w:rPr>
                <w:sz w:val="17"/>
                <w:szCs w:val="17"/>
                <w:color w:val="auto"/>
              </w:rPr>
            </w:pPr>
          </w:p>
        </w:tc>
        <w:tc>
          <w:tcPr>
            <w:tcW w:w="10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6,651</w:t>
            </w:r>
          </w:p>
        </w:tc>
        <w:tc>
          <w:tcPr>
            <w:tcW w:w="120" w:type="dxa"/>
            <w:vAlign w:val="bottom"/>
          </w:tcPr>
          <w:p>
            <w:pPr>
              <w:spacing w:after="0"/>
              <w:rPr>
                <w:sz w:val="17"/>
                <w:szCs w:val="17"/>
                <w:color w:val="auto"/>
              </w:rPr>
            </w:pPr>
          </w:p>
        </w:tc>
        <w:tc>
          <w:tcPr>
            <w:tcW w:w="84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9,636</w:t>
            </w:r>
          </w:p>
        </w:tc>
        <w:tc>
          <w:tcPr>
            <w:tcW w:w="0" w:type="dxa"/>
            <w:vAlign w:val="bottom"/>
          </w:tcPr>
          <w:p>
            <w:pPr>
              <w:spacing w:after="0"/>
              <w:rPr>
                <w:sz w:val="1"/>
                <w:szCs w:val="1"/>
                <w:color w:val="auto"/>
              </w:rPr>
            </w:pPr>
          </w:p>
        </w:tc>
      </w:tr>
      <w:tr>
        <w:trPr>
          <w:trHeight w:val="199"/>
        </w:trPr>
        <w:tc>
          <w:tcPr>
            <w:tcW w:w="7940" w:type="dxa"/>
            <w:vAlign w:val="bottom"/>
            <w:gridSpan w:val="2"/>
          </w:tcPr>
          <w:p>
            <w:pPr>
              <w:ind w:left="80"/>
              <w:spacing w:after="0"/>
              <w:rPr>
                <w:sz w:val="20"/>
                <w:szCs w:val="20"/>
                <w:color w:val="auto"/>
              </w:rPr>
            </w:pPr>
            <w:r>
              <w:rPr>
                <w:rFonts w:ascii="Arial" w:cs="Arial" w:eastAsia="Arial" w:hAnsi="Arial"/>
                <w:sz w:val="15"/>
                <w:szCs w:val="15"/>
                <w:color w:val="auto"/>
              </w:rPr>
              <w:t>Total retained mortgage portfolio</w:t>
            </w:r>
          </w:p>
        </w:tc>
        <w:tc>
          <w:tcPr>
            <w:tcW w:w="500" w:type="dxa"/>
            <w:vAlign w:val="bottom"/>
          </w:tcPr>
          <w:p>
            <w:pPr>
              <w:jc w:val="right"/>
              <w:ind w:right="323"/>
              <w:spacing w:after="0"/>
              <w:rPr>
                <w:sz w:val="20"/>
                <w:szCs w:val="20"/>
                <w:color w:val="auto"/>
              </w:rPr>
            </w:pPr>
            <w:r>
              <w:rPr>
                <w:rFonts w:ascii="Arial" w:cs="Arial" w:eastAsia="Arial" w:hAnsi="Arial"/>
                <w:sz w:val="15"/>
                <w:szCs w:val="15"/>
                <w:b w:val="1"/>
                <w:bCs w:val="1"/>
                <w:color w:val="auto"/>
                <w:w w:val="95"/>
              </w:rPr>
              <w:t>$</w:t>
            </w:r>
          </w:p>
        </w:tc>
        <w:tc>
          <w:tcPr>
            <w:tcW w:w="1080" w:type="dxa"/>
            <w:vAlign w:val="bottom"/>
          </w:tcPr>
          <w:p>
            <w:pPr>
              <w:jc w:val="right"/>
              <w:ind w:right="3"/>
              <w:spacing w:after="0"/>
              <w:rPr>
                <w:sz w:val="20"/>
                <w:szCs w:val="20"/>
                <w:color w:val="auto"/>
              </w:rPr>
            </w:pPr>
            <w:r>
              <w:rPr>
                <w:rFonts w:ascii="Arial" w:cs="Arial" w:eastAsia="Arial" w:hAnsi="Arial"/>
                <w:sz w:val="15"/>
                <w:szCs w:val="15"/>
                <w:b w:val="1"/>
                <w:bCs w:val="1"/>
                <w:color w:val="auto"/>
              </w:rPr>
              <w:t>87,897</w:t>
            </w:r>
          </w:p>
        </w:tc>
        <w:tc>
          <w:tcPr>
            <w:tcW w:w="120" w:type="dxa"/>
            <w:vAlign w:val="bottom"/>
          </w:tcPr>
          <w:p>
            <w:pPr>
              <w:spacing w:after="0"/>
              <w:rPr>
                <w:sz w:val="17"/>
                <w:szCs w:val="17"/>
                <w:color w:val="auto"/>
              </w:rPr>
            </w:pPr>
          </w:p>
        </w:tc>
        <w:tc>
          <w:tcPr>
            <w:tcW w:w="840" w:type="dxa"/>
            <w:vAlign w:val="bottom"/>
          </w:tcPr>
          <w:p>
            <w:pPr>
              <w:jc w:val="right"/>
              <w:ind w:right="663"/>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83,194</w:t>
            </w:r>
          </w:p>
        </w:tc>
        <w:tc>
          <w:tcPr>
            <w:tcW w:w="0" w:type="dxa"/>
            <w:vAlign w:val="bottom"/>
          </w:tcPr>
          <w:p>
            <w:pPr>
              <w:spacing w:after="0"/>
              <w:rPr>
                <w:sz w:val="1"/>
                <w:szCs w:val="1"/>
                <w:color w:val="auto"/>
              </w:rPr>
            </w:pPr>
          </w:p>
        </w:tc>
      </w:tr>
      <w:tr>
        <w:trPr>
          <w:trHeight w:val="20"/>
        </w:trPr>
        <w:tc>
          <w:tcPr>
            <w:tcW w:w="780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2C6937"/>
              <w:bottom w:val="single" w:sz="8" w:color="2C6937"/>
            </w:tcBorders>
          </w:tcPr>
          <w:p>
            <w:pPr>
              <w:spacing w:after="0" w:line="20" w:lineRule="exact"/>
              <w:rPr>
                <w:sz w:val="1"/>
                <w:szCs w:val="1"/>
                <w:color w:val="auto"/>
              </w:rPr>
            </w:pPr>
          </w:p>
        </w:tc>
        <w:tc>
          <w:tcPr>
            <w:tcW w:w="108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940" w:type="dxa"/>
            <w:vAlign w:val="bottom"/>
            <w:gridSpan w:val="2"/>
          </w:tcPr>
          <w:p>
            <w:pPr>
              <w:ind w:left="20"/>
              <w:spacing w:after="0"/>
              <w:rPr>
                <w:sz w:val="20"/>
                <w:szCs w:val="20"/>
                <w:color w:val="auto"/>
              </w:rPr>
            </w:pPr>
            <w:r>
              <w:rPr>
                <w:rFonts w:ascii="Arial" w:cs="Arial" w:eastAsia="Arial" w:hAnsi="Arial"/>
                <w:sz w:val="15"/>
                <w:szCs w:val="15"/>
                <w:b w:val="1"/>
                <w:bCs w:val="1"/>
                <w:color w:val="auto"/>
              </w:rPr>
              <w:t>Retained mortgage portfolio by segment:</w:t>
            </w:r>
          </w:p>
        </w:tc>
        <w:tc>
          <w:tcPr>
            <w:tcW w:w="500" w:type="dxa"/>
            <w:vAlign w:val="bottom"/>
            <w:vMerge w:val="restart"/>
          </w:tcPr>
          <w:p>
            <w:pPr>
              <w:jc w:val="right"/>
              <w:ind w:right="323"/>
              <w:spacing w:after="0"/>
              <w:rPr>
                <w:sz w:val="20"/>
                <w:szCs w:val="20"/>
                <w:color w:val="auto"/>
              </w:rPr>
            </w:pPr>
            <w:r>
              <w:rPr>
                <w:rFonts w:ascii="Arial" w:cs="Arial" w:eastAsia="Arial" w:hAnsi="Arial"/>
                <w:sz w:val="15"/>
                <w:szCs w:val="15"/>
                <w:b w:val="1"/>
                <w:bCs w:val="1"/>
                <w:color w:val="auto"/>
                <w:w w:val="95"/>
              </w:rPr>
              <w:t>$</w:t>
            </w:r>
          </w:p>
        </w:tc>
        <w:tc>
          <w:tcPr>
            <w:tcW w:w="1080" w:type="dxa"/>
            <w:vAlign w:val="bottom"/>
            <w:vMerge w:val="restart"/>
          </w:tcPr>
          <w:p>
            <w:pPr>
              <w:jc w:val="right"/>
              <w:ind w:right="3"/>
              <w:spacing w:after="0"/>
              <w:rPr>
                <w:sz w:val="20"/>
                <w:szCs w:val="20"/>
                <w:color w:val="auto"/>
              </w:rPr>
            </w:pPr>
            <w:r>
              <w:rPr>
                <w:rFonts w:ascii="Arial" w:cs="Arial" w:eastAsia="Arial" w:hAnsi="Arial"/>
                <w:sz w:val="15"/>
                <w:szCs w:val="15"/>
                <w:b w:val="1"/>
                <w:bCs w:val="1"/>
                <w:color w:val="auto"/>
              </w:rPr>
              <w:t>82,454</w:t>
            </w: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7940" w:type="dxa"/>
            <w:vAlign w:val="bottom"/>
            <w:gridSpan w:val="2"/>
          </w:tcPr>
          <w:p>
            <w:pPr>
              <w:ind w:left="220"/>
              <w:spacing w:after="0"/>
              <w:rPr>
                <w:sz w:val="20"/>
                <w:szCs w:val="20"/>
                <w:color w:val="auto"/>
              </w:rPr>
            </w:pPr>
            <w:r>
              <w:rPr>
                <w:rFonts w:ascii="Arial" w:cs="Arial" w:eastAsia="Arial" w:hAnsi="Arial"/>
                <w:sz w:val="15"/>
                <w:szCs w:val="15"/>
                <w:color w:val="auto"/>
              </w:rPr>
              <w:t>Single-family mortgage loans and mortgage-related securities</w:t>
            </w:r>
          </w:p>
        </w:tc>
        <w:tc>
          <w:tcPr>
            <w:tcW w:w="50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663"/>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77,357</w:t>
            </w:r>
          </w:p>
        </w:tc>
        <w:tc>
          <w:tcPr>
            <w:tcW w:w="0" w:type="dxa"/>
            <w:vAlign w:val="bottom"/>
          </w:tcPr>
          <w:p>
            <w:pPr>
              <w:spacing w:after="0"/>
              <w:rPr>
                <w:sz w:val="1"/>
                <w:szCs w:val="1"/>
                <w:color w:val="auto"/>
              </w:rPr>
            </w:pPr>
          </w:p>
        </w:tc>
      </w:tr>
      <w:tr>
        <w:trPr>
          <w:trHeight w:val="214"/>
        </w:trPr>
        <w:tc>
          <w:tcPr>
            <w:tcW w:w="7940" w:type="dxa"/>
            <w:vAlign w:val="bottom"/>
            <w:gridSpan w:val="2"/>
          </w:tcPr>
          <w:p>
            <w:pPr>
              <w:ind w:left="220"/>
              <w:spacing w:after="0"/>
              <w:rPr>
                <w:sz w:val="20"/>
                <w:szCs w:val="20"/>
                <w:color w:val="auto"/>
              </w:rPr>
            </w:pPr>
            <w:r>
              <w:rPr>
                <w:rFonts w:ascii="Arial" w:cs="Arial" w:eastAsia="Arial" w:hAnsi="Arial"/>
                <w:sz w:val="15"/>
                <w:szCs w:val="15"/>
                <w:color w:val="auto"/>
              </w:rPr>
              <w:t>Multifamily mortgage loans and mortgage-related securities</w:t>
            </w:r>
          </w:p>
        </w:tc>
        <w:tc>
          <w:tcPr>
            <w:tcW w:w="500" w:type="dxa"/>
            <w:vAlign w:val="bottom"/>
          </w:tcPr>
          <w:p>
            <w:pPr>
              <w:jc w:val="right"/>
              <w:ind w:right="323"/>
              <w:spacing w:after="0"/>
              <w:rPr>
                <w:sz w:val="20"/>
                <w:szCs w:val="20"/>
                <w:color w:val="auto"/>
              </w:rPr>
            </w:pPr>
            <w:r>
              <w:rPr>
                <w:rFonts w:ascii="Arial" w:cs="Arial" w:eastAsia="Arial" w:hAnsi="Arial"/>
                <w:sz w:val="15"/>
                <w:szCs w:val="15"/>
                <w:b w:val="1"/>
                <w:bCs w:val="1"/>
                <w:color w:val="auto"/>
                <w:w w:val="95"/>
              </w:rPr>
              <w:t>$</w:t>
            </w:r>
          </w:p>
        </w:tc>
        <w:tc>
          <w:tcPr>
            <w:tcW w:w="1080" w:type="dxa"/>
            <w:vAlign w:val="bottom"/>
          </w:tcPr>
          <w:p>
            <w:pPr>
              <w:jc w:val="right"/>
              <w:ind w:right="3"/>
              <w:spacing w:after="0"/>
              <w:rPr>
                <w:sz w:val="20"/>
                <w:szCs w:val="20"/>
                <w:color w:val="auto"/>
              </w:rPr>
            </w:pPr>
            <w:r>
              <w:rPr>
                <w:rFonts w:ascii="Arial" w:cs="Arial" w:eastAsia="Arial" w:hAnsi="Arial"/>
                <w:sz w:val="15"/>
                <w:szCs w:val="15"/>
                <w:b w:val="1"/>
                <w:bCs w:val="1"/>
                <w:color w:val="auto"/>
              </w:rPr>
              <w:t>5,443</w:t>
            </w:r>
          </w:p>
        </w:tc>
        <w:tc>
          <w:tcPr>
            <w:tcW w:w="120" w:type="dxa"/>
            <w:vAlign w:val="bottom"/>
          </w:tcPr>
          <w:p>
            <w:pPr>
              <w:spacing w:after="0"/>
              <w:rPr>
                <w:sz w:val="18"/>
                <w:szCs w:val="18"/>
                <w:color w:val="auto"/>
              </w:rPr>
            </w:pPr>
          </w:p>
        </w:tc>
        <w:tc>
          <w:tcPr>
            <w:tcW w:w="840" w:type="dxa"/>
            <w:vAlign w:val="bottom"/>
          </w:tcPr>
          <w:p>
            <w:pPr>
              <w:jc w:val="right"/>
              <w:ind w:right="663"/>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5,837</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240" w:right="200" w:hanging="237"/>
        <w:spacing w:after="0" w:line="275" w:lineRule="auto"/>
        <w:tabs>
          <w:tab w:leader="none" w:pos="233" w:val="left"/>
        </w:tabs>
        <w:numPr>
          <w:ilvl w:val="0"/>
          <w:numId w:val="24"/>
        </w:numPr>
        <w:rPr>
          <w:rFonts w:ascii="Arial" w:cs="Arial" w:eastAsia="Arial" w:hAnsi="Arial"/>
          <w:sz w:val="9"/>
          <w:szCs w:val="9"/>
          <w:color w:val="auto"/>
        </w:rPr>
      </w:pPr>
      <w:r>
        <w:rPr>
          <w:rFonts w:ascii="Arial" w:cs="Arial" w:eastAsia="Arial" w:hAnsi="Arial"/>
          <w:sz w:val="14"/>
          <w:szCs w:val="14"/>
          <w:color w:val="auto"/>
        </w:rPr>
        <w:t>Consists of Fannie Mae, Freddie Mac and Ginnie Mae mortgage-related securities, including Freddie Mac securities guaranteed by Fannie Mae. Excludes Fannie Mae and Ginnie Mae reverse mortgage securities and Fannie Mae-wrapped private-label securities.</w:t>
      </w:r>
    </w:p>
    <w:p>
      <w:pPr>
        <w:spacing w:after="0" w:line="4" w:lineRule="exact"/>
        <w:rPr>
          <w:rFonts w:ascii="Arial" w:cs="Arial" w:eastAsia="Arial" w:hAnsi="Arial"/>
          <w:sz w:val="9"/>
          <w:szCs w:val="9"/>
          <w:color w:val="auto"/>
        </w:rPr>
      </w:pPr>
    </w:p>
    <w:p>
      <w:pPr>
        <w:ind w:left="240" w:right="160" w:hanging="237"/>
        <w:spacing w:after="0" w:line="226" w:lineRule="auto"/>
        <w:tabs>
          <w:tab w:leader="none" w:pos="233"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Includes single-family loans on nonaccrual status of $9.8 billion and $8.1 billion as of September 30, 2024 and December 31, 2023, respectively. Also includes multifamily loans on nonaccrual status of $2.9 billion and $2.0 billion as of September 30, 2024 and December 31, 2023, respectively.</w:t>
      </w:r>
    </w:p>
    <w:p>
      <w:pPr>
        <w:spacing w:after="0" w:line="1"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Includes Fannie Mae and Ginnie Mae reverse mortgage securities. We stopped acquiring newly originated reverse mortgage loans in 2010.</w:t>
      </w:r>
    </w:p>
    <w:p>
      <w:pPr>
        <w:spacing w:after="0" w:line="24" w:lineRule="exact"/>
        <w:rPr>
          <w:rFonts w:ascii="Arial" w:cs="Arial" w:eastAsia="Arial" w:hAnsi="Arial"/>
          <w:sz w:val="18"/>
          <w:szCs w:val="18"/>
          <w:color w:val="auto"/>
          <w:vertAlign w:val="superscript"/>
        </w:rPr>
      </w:pPr>
    </w:p>
    <w:p>
      <w:pPr>
        <w:ind w:left="240" w:right="280" w:hanging="237"/>
        <w:spacing w:after="0" w:line="260" w:lineRule="auto"/>
        <w:tabs>
          <w:tab w:leader="none" w:pos="233" w:val="left"/>
        </w:tabs>
        <w:numPr>
          <w:ilvl w:val="0"/>
          <w:numId w:val="24"/>
        </w:numPr>
        <w:rPr>
          <w:rFonts w:ascii="Arial" w:cs="Arial" w:eastAsia="Arial" w:hAnsi="Arial"/>
          <w:sz w:val="9"/>
          <w:szCs w:val="9"/>
          <w:color w:val="auto"/>
        </w:rPr>
      </w:pPr>
      <w:r>
        <w:rPr>
          <w:rFonts w:ascii="Arial" w:cs="Arial" w:eastAsia="Arial" w:hAnsi="Arial"/>
          <w:sz w:val="14"/>
          <w:szCs w:val="14"/>
          <w:color w:val="auto"/>
        </w:rPr>
        <w:t>Other mortgage loans primarily includes multifamily loans on accrual status and single-family loans that are not included in the loss mitigation or lender liquidity categories. Other mortgage securities primarily includes private-label securities and mortgage revenue bonds.</w:t>
      </w:r>
    </w:p>
    <w:p>
      <w:pPr>
        <w:spacing w:after="0" w:line="37"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amount of mortgage assets that we may own is capped at $225 billion under the terms of our senior preferred stock purchase agreement with Treasury. In addition, we are currently required to cap our mortgage assets at $202.5 billion per instructions from FHFA. We include 10% of the notional value of the interest-only securities we hold in calculating the size of the retained mortgage portfolio for the purpose of determining compliance with the senior preferred stock purchase agreement mortgage assets cap and associated FHFA instructions. As of September 30, 2024, 10% of the notional value of our interest-only securities was $1.6 billion, which is not included in the table above.</w:t>
      </w:r>
    </w:p>
    <w:p>
      <w:pPr>
        <w:spacing w:after="0" w:line="38"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Under the terms of our MBS trust documents, we have the option or, in some instances, the obligation, to purchase mortgage loans that meet specific criteria from an MBS trust. The purchase price for these loans is the unpaid principal balance of the loans plus accrued interest. If a delinquent loan remains in a single-family MBS trust, the servicer is responsible for advancing the borrower’s missed scheduled principal and interest payments to the MBS holders for up to four months, after which time we must make these missed payments. In addition, we must reimburse servicers for advanced principal and interest payments.</w:t>
      </w:r>
    </w:p>
    <w:p>
      <w:pPr>
        <w:spacing w:after="0" w:line="3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In support of our loss mitigation strategies, we purchased $9.6 billion of loans from our single-family MBS trusts in the first nine months of 2024, the substantial majority of which were delinquent, compared with $6.9 billion of loans purchased from single-family MBS trusts in the first nine months of 2023.</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2024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18</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60" w:type="dxa"/>
            <w:vAlign w:val="bottom"/>
            <w:tcBorders>
              <w:bottom w:val="single" w:sz="8" w:color="9A9A9A"/>
            </w:tcBorders>
          </w:tcPr>
          <w:p>
            <w:pPr>
              <w:spacing w:after="0"/>
              <w:rPr>
                <w:sz w:val="16"/>
                <w:szCs w:val="16"/>
                <w:color w:val="auto"/>
              </w:rPr>
            </w:pPr>
          </w:p>
        </w:tc>
        <w:tc>
          <w:tcPr>
            <w:tcW w:w="428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21" w:name="page22"/>
    <w:bookmarkEnd w:id="21"/>
    <w:p>
      <w:pPr>
        <w:ind w:left="8940"/>
        <w:spacing w:after="0"/>
        <w:rPr>
          <w:sz w:val="20"/>
          <w:szCs w:val="20"/>
          <w:color w:val="auto"/>
        </w:rPr>
      </w:pPr>
      <w:r>
        <w:rPr>
          <w:rFonts w:ascii="Arial" w:cs="Arial" w:eastAsia="Arial" w:hAnsi="Arial"/>
          <w:sz w:val="14"/>
          <w:szCs w:val="14"/>
          <w:color w:val="05314D"/>
        </w:rPr>
        <w:t>MD&amp;A | Guaranty Book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Guaranty Book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Our “guaranty book of business” consists of:</w:t>
      </w:r>
    </w:p>
    <w:p>
      <w:pPr>
        <w:spacing w:after="0" w:line="61" w:lineRule="exact"/>
        <w:rPr>
          <w:sz w:val="20"/>
          <w:szCs w:val="20"/>
          <w:color w:val="auto"/>
        </w:rPr>
      </w:pPr>
    </w:p>
    <w:p>
      <w:pPr>
        <w:ind w:left="620" w:hanging="307"/>
        <w:spacing w:after="0"/>
        <w:tabs>
          <w:tab w:leader="none" w:pos="6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Fannie Mae MBS outstanding, excluding the portions of any structured securities we issue that are backed by Freddie Mac securities;</w:t>
      </w:r>
    </w:p>
    <w:p>
      <w:pPr>
        <w:spacing w:after="0" w:line="60" w:lineRule="exact"/>
        <w:rPr>
          <w:rFonts w:ascii="Arial" w:cs="Arial" w:eastAsia="Arial" w:hAnsi="Arial"/>
          <w:sz w:val="16"/>
          <w:szCs w:val="16"/>
          <w:color w:val="auto"/>
        </w:rPr>
      </w:pPr>
    </w:p>
    <w:p>
      <w:pPr>
        <w:ind w:left="620" w:hanging="307"/>
        <w:spacing w:after="0"/>
        <w:tabs>
          <w:tab w:leader="none" w:pos="6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mortgage loans of Fannie Mae held in our retained mortgage portfolio; and</w:t>
      </w:r>
    </w:p>
    <w:p>
      <w:pPr>
        <w:spacing w:after="0" w:line="73" w:lineRule="exact"/>
        <w:rPr>
          <w:rFonts w:ascii="Arial" w:cs="Arial" w:eastAsia="Arial" w:hAnsi="Arial"/>
          <w:sz w:val="16"/>
          <w:szCs w:val="16"/>
          <w:color w:val="auto"/>
        </w:rPr>
      </w:pPr>
    </w:p>
    <w:p>
      <w:pPr>
        <w:ind w:left="620" w:hanging="307"/>
        <w:spacing w:after="0"/>
        <w:tabs>
          <w:tab w:leader="none" w:pos="6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other credit enhancements that we provide on mortgage assets.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“Total Fannie Mae guarantees” consists of:</w:t>
      </w:r>
    </w:p>
    <w:p>
      <w:pPr>
        <w:spacing w:after="0" w:line="61" w:lineRule="exact"/>
        <w:rPr>
          <w:sz w:val="20"/>
          <w:szCs w:val="20"/>
          <w:color w:val="auto"/>
        </w:rPr>
      </w:pPr>
    </w:p>
    <w:p>
      <w:pPr>
        <w:ind w:left="620" w:hanging="307"/>
        <w:spacing w:after="0"/>
        <w:tabs>
          <w:tab w:leader="none" w:pos="6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guaranty book of business; and</w:t>
      </w:r>
    </w:p>
    <w:p>
      <w:pPr>
        <w:spacing w:after="0" w:line="60" w:lineRule="exact"/>
        <w:rPr>
          <w:rFonts w:ascii="Arial" w:cs="Arial" w:eastAsia="Arial" w:hAnsi="Arial"/>
          <w:sz w:val="16"/>
          <w:szCs w:val="16"/>
          <w:color w:val="auto"/>
        </w:rPr>
      </w:pPr>
    </w:p>
    <w:p>
      <w:pPr>
        <w:ind w:left="620" w:hanging="307"/>
        <w:spacing w:after="0"/>
        <w:tabs>
          <w:tab w:leader="none" w:pos="6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portions of any structured securities we issue that are backed by Freddie Mac securities.</w:t>
      </w:r>
    </w:p>
    <w:p>
      <w:pPr>
        <w:spacing w:after="0" w:line="87" w:lineRule="exact"/>
        <w:rPr>
          <w:sz w:val="20"/>
          <w:szCs w:val="20"/>
          <w:color w:val="auto"/>
        </w:rPr>
      </w:pPr>
    </w:p>
    <w:p>
      <w:pPr>
        <w:ind w:right="120"/>
        <w:spacing w:after="0" w:line="243" w:lineRule="auto"/>
        <w:rPr>
          <w:sz w:val="20"/>
          <w:szCs w:val="20"/>
          <w:color w:val="auto"/>
        </w:rPr>
      </w:pPr>
      <w:r>
        <w:rPr>
          <w:rFonts w:ascii="Arial" w:cs="Arial" w:eastAsia="Arial" w:hAnsi="Arial"/>
          <w:sz w:val="16"/>
          <w:szCs w:val="16"/>
          <w:color w:val="auto"/>
        </w:rPr>
        <w:t>We and Freddie Mac issue single-family uniform mortgage-backed securities, or “UMBS.” We use the term “Fannie Mae MBS” or “our MBS” to refer to any type of mortgage-backed security that we issue, including UMBS</w:t>
      </w:r>
      <w:r>
        <w:rPr>
          <w:rFonts w:ascii="Arial" w:cs="Arial" w:eastAsia="Arial" w:hAnsi="Arial"/>
          <w:sz w:val="21"/>
          <w:szCs w:val="21"/>
          <w:color w:val="auto"/>
          <w:vertAlign w:val="superscript"/>
        </w:rPr>
        <w:t>®</w:t>
      </w:r>
      <w:r>
        <w:rPr>
          <w:rFonts w:ascii="Arial" w:cs="Arial" w:eastAsia="Arial" w:hAnsi="Arial"/>
          <w:sz w:val="16"/>
          <w:szCs w:val="16"/>
          <w:color w:val="auto"/>
        </w:rPr>
        <w:t>, Supers</w:t>
      </w:r>
      <w:r>
        <w:rPr>
          <w:rFonts w:ascii="Arial" w:cs="Arial" w:eastAsia="Arial" w:hAnsi="Arial"/>
          <w:sz w:val="21"/>
          <w:szCs w:val="21"/>
          <w:color w:val="auto"/>
          <w:vertAlign w:val="superscript"/>
        </w:rPr>
        <w:t>®</w:t>
      </w:r>
      <w:r>
        <w:rPr>
          <w:rFonts w:ascii="Arial" w:cs="Arial" w:eastAsia="Arial" w:hAnsi="Arial"/>
          <w:sz w:val="16"/>
          <w:szCs w:val="16"/>
          <w:color w:val="auto"/>
        </w:rPr>
        <w:t>, Real Estate Mortgage Investment Conduit securities (“REMICs”) and other types of single-family or multifamily mortgage-backed securities.</w:t>
      </w:r>
    </w:p>
    <w:p>
      <w:pPr>
        <w:spacing w:after="0" w:line="53"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Some Fannie Mae MBS that we issue are backed in whole or in part by Freddie Mac securities. When we resecuritize Freddie Mac securities into Fannie Mae-issued structured securities, such as Supers and REMICs, our guaranty of principal and interest extends to the underlying Freddie Mac securities. However, Freddie Mac continues to guarantee the payment of principal and interest on the underlying Freddie Mac securities that we have resecuritized. References to our single-family guaranty book of business exclude Freddie Mac-acquired mortgage loans underlying Freddie Mac securities that we have resecuritized.</w:t>
      </w:r>
    </w:p>
    <w:p>
      <w:pPr>
        <w:spacing w:after="0" w:line="38" w:lineRule="exact"/>
        <w:rPr>
          <w:sz w:val="20"/>
          <w:szCs w:val="20"/>
          <w:color w:val="auto"/>
        </w:rPr>
      </w:pPr>
    </w:p>
    <w:p>
      <w:pPr>
        <w:ind w:right="60"/>
        <w:spacing w:after="0" w:line="263" w:lineRule="auto"/>
        <w:rPr>
          <w:sz w:val="20"/>
          <w:szCs w:val="20"/>
          <w:color w:val="auto"/>
        </w:rPr>
      </w:pPr>
      <w:r>
        <w:rPr>
          <w:rFonts w:ascii="Arial" w:cs="Arial" w:eastAsia="Arial" w:hAnsi="Arial"/>
          <w:sz w:val="16"/>
          <w:szCs w:val="16"/>
          <w:color w:val="auto"/>
        </w:rPr>
        <w:t>Our issuance of structured securities backed in whole or in part by Freddie Mac securities creates additional off-balance sheet exposure. Our guaranty extends to the underlying Freddie Mac security included in the structured security, but we do not have control over the Freddie Mac mortgage loan securitizations. Because we do not have the power to direct matters (primarily the servicing of mortgage loans) that impact the credit risk to which we are exposed, which constitute control of these securitization trusts, we do not consolidate these trusts in our condensed consolidated balance sheet, giving rise to off-balance sheet exposure. See “Liquidity and Capital Management—Liquidity Management—Off-Balance Sheet Arrangements” and “Note 7, Financial Guarantees” for information regarding our maximum exposure to loss on unconsolidated Fannie Mae MBS and Freddie Mac securities.</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displays the composition of our guaranty book of business based on unpaid principal balance.</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Composition of Fannie Mae Guaranty Book of Business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240" w:type="dxa"/>
            <w:vAlign w:val="bottom"/>
            <w:tcBorders>
              <w:top w:val="single" w:sz="8" w:color="2C6937"/>
            </w:tcBorders>
          </w:tcPr>
          <w:p>
            <w:pPr>
              <w:spacing w:after="0"/>
              <w:rPr>
                <w:sz w:val="18"/>
                <w:szCs w:val="18"/>
                <w:color w:val="auto"/>
              </w:rPr>
            </w:pPr>
          </w:p>
        </w:tc>
        <w:tc>
          <w:tcPr>
            <w:tcW w:w="100" w:type="dxa"/>
            <w:vAlign w:val="bottom"/>
            <w:tcBorders>
              <w:top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960" w:type="dxa"/>
            <w:vAlign w:val="bottom"/>
            <w:tcBorders>
              <w:top w:val="single" w:sz="8" w:color="2C6937"/>
              <w:bottom w:val="single" w:sz="8" w:color="2C6937"/>
            </w:tcBorders>
          </w:tcPr>
          <w:p>
            <w:pPr>
              <w:spacing w:after="0"/>
              <w:rPr>
                <w:sz w:val="18"/>
                <w:szCs w:val="18"/>
                <w:color w:val="auto"/>
              </w:rPr>
            </w:pPr>
          </w:p>
        </w:tc>
        <w:tc>
          <w:tcPr>
            <w:tcW w:w="6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140" w:type="dxa"/>
            <w:vAlign w:val="bottom"/>
            <w:tcBorders>
              <w:top w:val="single" w:sz="8" w:color="2C6937"/>
              <w:bottom w:val="single" w:sz="8" w:color="2C6937"/>
            </w:tcBorders>
          </w:tcPr>
          <w:p>
            <w:pPr>
              <w:spacing w:after="0"/>
              <w:rPr>
                <w:sz w:val="18"/>
                <w:szCs w:val="18"/>
                <w:color w:val="auto"/>
              </w:rPr>
            </w:pPr>
          </w:p>
        </w:tc>
        <w:tc>
          <w:tcPr>
            <w:tcW w:w="92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220" w:type="dxa"/>
            <w:vAlign w:val="bottom"/>
            <w:tcBorders>
              <w:top w:val="single" w:sz="8" w:color="2C6937"/>
              <w:bottom w:val="single" w:sz="8" w:color="2C6937"/>
            </w:tcBorders>
          </w:tcPr>
          <w:p>
            <w:pPr>
              <w:spacing w:after="0"/>
              <w:rPr>
                <w:sz w:val="18"/>
                <w:szCs w:val="18"/>
                <w:color w:val="auto"/>
              </w:rPr>
            </w:pPr>
          </w:p>
        </w:tc>
        <w:tc>
          <w:tcPr>
            <w:tcW w:w="1980" w:type="dxa"/>
            <w:vAlign w:val="bottom"/>
            <w:tcBorders>
              <w:top w:val="single" w:sz="8" w:color="2C6937"/>
              <w:bottom w:val="single" w:sz="8" w:color="2C6937"/>
            </w:tcBorders>
            <w:gridSpan w:val="4"/>
          </w:tcPr>
          <w:p>
            <w:pPr>
              <w:jc w:val="right"/>
              <w:ind w:right="891"/>
              <w:spacing w:after="0"/>
              <w:rPr>
                <w:sz w:val="20"/>
                <w:szCs w:val="20"/>
                <w:color w:val="auto"/>
              </w:rPr>
            </w:pPr>
            <w:r>
              <w:rPr>
                <w:rFonts w:ascii="Arial" w:cs="Arial" w:eastAsia="Arial" w:hAnsi="Arial"/>
                <w:sz w:val="14"/>
                <w:szCs w:val="14"/>
                <w:b w:val="1"/>
                <w:bCs w:val="1"/>
                <w:color w:val="auto"/>
              </w:rPr>
              <w:t>As of</w:t>
            </w:r>
          </w:p>
        </w:tc>
        <w:tc>
          <w:tcPr>
            <w:tcW w:w="4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140" w:type="dxa"/>
            <w:vAlign w:val="bottom"/>
            <w:tcBorders>
              <w:top w:val="single" w:sz="8" w:color="2C6937"/>
              <w:bottom w:val="single" w:sz="8" w:color="2C6937"/>
            </w:tcBorders>
          </w:tcPr>
          <w:p>
            <w:pPr>
              <w:spacing w:after="0"/>
              <w:rPr>
                <w:sz w:val="18"/>
                <w:szCs w:val="18"/>
                <w:color w:val="auto"/>
              </w:rPr>
            </w:pPr>
          </w:p>
        </w:tc>
        <w:tc>
          <w:tcPr>
            <w:tcW w:w="92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220" w:type="dxa"/>
            <w:vAlign w:val="bottom"/>
            <w:tcBorders>
              <w:top w:val="single" w:sz="8" w:color="2C6937"/>
              <w:bottom w:val="single" w:sz="8" w:color="2C6937"/>
            </w:tcBorders>
          </w:tcPr>
          <w:p>
            <w:pPr>
              <w:spacing w:after="0"/>
              <w:rPr>
                <w:sz w:val="18"/>
                <w:szCs w:val="18"/>
                <w:color w:val="auto"/>
              </w:rPr>
            </w:pPr>
          </w:p>
        </w:tc>
        <w:tc>
          <w:tcPr>
            <w:tcW w:w="800" w:type="dxa"/>
            <w:vAlign w:val="bottom"/>
            <w:tcBorders>
              <w:top w:val="single" w:sz="8" w:color="2C6937"/>
              <w:bottom w:val="single" w:sz="8" w:color="2C6937"/>
            </w:tcBorders>
          </w:tcPr>
          <w:p>
            <w:pPr>
              <w:spacing w:after="0"/>
              <w:rPr>
                <w:sz w:val="18"/>
                <w:szCs w:val="18"/>
                <w:color w:val="auto"/>
              </w:rPr>
            </w:pPr>
          </w:p>
        </w:tc>
      </w:tr>
      <w:tr>
        <w:trPr>
          <w:trHeight w:val="186"/>
        </w:trPr>
        <w:tc>
          <w:tcPr>
            <w:tcW w:w="4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spacing w:after="0"/>
              <w:rPr>
                <w:sz w:val="16"/>
                <w:szCs w:val="16"/>
                <w:color w:val="auto"/>
              </w:rPr>
            </w:pPr>
          </w:p>
        </w:tc>
        <w:tc>
          <w:tcPr>
            <w:tcW w:w="1320" w:type="dxa"/>
            <w:vAlign w:val="bottom"/>
            <w:tcBorders>
              <w:bottom w:val="single" w:sz="8" w:color="2C6937"/>
            </w:tcBorders>
            <w:gridSpan w:val="5"/>
          </w:tcPr>
          <w:p>
            <w:pPr>
              <w:spacing w:after="0"/>
              <w:rPr>
                <w:sz w:val="20"/>
                <w:szCs w:val="20"/>
                <w:color w:val="auto"/>
              </w:rPr>
            </w:pPr>
            <w:r>
              <w:rPr>
                <w:rFonts w:ascii="Arial" w:cs="Arial" w:eastAsia="Arial" w:hAnsi="Arial"/>
                <w:sz w:val="14"/>
                <w:szCs w:val="14"/>
                <w:b w:val="1"/>
                <w:bCs w:val="1"/>
                <w:color w:val="auto"/>
                <w:w w:val="99"/>
              </w:rPr>
              <w:t>September 30, 2024</w:t>
            </w:r>
          </w:p>
        </w:tc>
        <w:tc>
          <w:tcPr>
            <w:tcW w:w="2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1300" w:type="dxa"/>
            <w:vAlign w:val="bottom"/>
            <w:tcBorders>
              <w:bottom w:val="single" w:sz="8" w:color="2C6937"/>
            </w:tcBorders>
            <w:gridSpan w:val="5"/>
          </w:tcPr>
          <w:p>
            <w:pPr>
              <w:spacing w:after="0"/>
              <w:rPr>
                <w:sz w:val="20"/>
                <w:szCs w:val="20"/>
                <w:color w:val="auto"/>
              </w:rPr>
            </w:pPr>
            <w:r>
              <w:rPr>
                <w:rFonts w:ascii="Arial" w:cs="Arial" w:eastAsia="Arial" w:hAnsi="Arial"/>
                <w:sz w:val="14"/>
                <w:szCs w:val="14"/>
                <w:b w:val="1"/>
                <w:bCs w:val="1"/>
                <w:color w:val="auto"/>
              </w:rPr>
              <w:t>December 31, 2023</w:t>
            </w:r>
          </w:p>
        </w:tc>
        <w:tc>
          <w:tcPr>
            <w:tcW w:w="2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spacing w:after="0"/>
              <w:rPr>
                <w:sz w:val="16"/>
                <w:szCs w:val="16"/>
                <w:color w:val="auto"/>
              </w:rPr>
            </w:pPr>
          </w:p>
        </w:tc>
      </w:tr>
      <w:tr>
        <w:trPr>
          <w:trHeight w:val="186"/>
        </w:trPr>
        <w:tc>
          <w:tcPr>
            <w:tcW w:w="4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w w:val="96"/>
              </w:rPr>
              <w:t>Single-Family</w:t>
            </w:r>
          </w:p>
        </w:tc>
        <w:tc>
          <w:tcPr>
            <w:tcW w:w="6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gridSpan w:val="2"/>
          </w:tcPr>
          <w:p>
            <w:pPr>
              <w:ind w:left="20"/>
              <w:spacing w:after="0"/>
              <w:rPr>
                <w:sz w:val="20"/>
                <w:szCs w:val="20"/>
                <w:color w:val="auto"/>
              </w:rPr>
            </w:pPr>
            <w:r>
              <w:rPr>
                <w:rFonts w:ascii="Arial" w:cs="Arial" w:eastAsia="Arial" w:hAnsi="Arial"/>
                <w:sz w:val="14"/>
                <w:szCs w:val="14"/>
                <w:b w:val="1"/>
                <w:bCs w:val="1"/>
                <w:color w:val="auto"/>
              </w:rPr>
              <w:t>Multifamily</w:t>
            </w:r>
          </w:p>
        </w:tc>
        <w:tc>
          <w:tcPr>
            <w:tcW w:w="220" w:type="dxa"/>
            <w:vAlign w:val="bottom"/>
            <w:tcBorders>
              <w:bottom w:val="single" w:sz="8" w:color="2C6937"/>
            </w:tcBorders>
          </w:tcPr>
          <w:p>
            <w:pPr>
              <w:spacing w:after="0"/>
              <w:rPr>
                <w:sz w:val="16"/>
                <w:szCs w:val="16"/>
                <w:color w:val="auto"/>
              </w:rPr>
            </w:pPr>
          </w:p>
        </w:tc>
        <w:tc>
          <w:tcPr>
            <w:tcW w:w="900" w:type="dxa"/>
            <w:vAlign w:val="bottom"/>
            <w:tcBorders>
              <w:bottom w:val="single" w:sz="8" w:color="2C6937"/>
            </w:tcBorders>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w w:val="96"/>
              </w:rPr>
              <w:t>Single-Family</w:t>
            </w:r>
          </w:p>
        </w:tc>
        <w:tc>
          <w:tcPr>
            <w:tcW w:w="4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gridSpan w:val="2"/>
          </w:tcPr>
          <w:p>
            <w:pPr>
              <w:ind w:left="40"/>
              <w:spacing w:after="0"/>
              <w:rPr>
                <w:sz w:val="20"/>
                <w:szCs w:val="20"/>
                <w:color w:val="auto"/>
              </w:rPr>
            </w:pPr>
            <w:r>
              <w:rPr>
                <w:rFonts w:ascii="Arial" w:cs="Arial" w:eastAsia="Arial" w:hAnsi="Arial"/>
                <w:sz w:val="14"/>
                <w:szCs w:val="14"/>
                <w:b w:val="1"/>
                <w:bCs w:val="1"/>
                <w:color w:val="auto"/>
              </w:rPr>
              <w:t>Multifamily</w:t>
            </w:r>
          </w:p>
        </w:tc>
        <w:tc>
          <w:tcPr>
            <w:tcW w:w="2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ind w:right="271"/>
              <w:spacing w:after="0"/>
              <w:rPr>
                <w:sz w:val="20"/>
                <w:szCs w:val="20"/>
                <w:color w:val="auto"/>
              </w:rPr>
            </w:pPr>
            <w:r>
              <w:rPr>
                <w:rFonts w:ascii="Arial" w:cs="Arial" w:eastAsia="Arial" w:hAnsi="Arial"/>
                <w:sz w:val="14"/>
                <w:szCs w:val="14"/>
                <w:b w:val="1"/>
                <w:bCs w:val="1"/>
                <w:color w:val="auto"/>
              </w:rPr>
              <w:t>Total</w:t>
            </w:r>
          </w:p>
        </w:tc>
      </w:tr>
      <w:tr>
        <w:trPr>
          <w:trHeight w:val="185"/>
        </w:trPr>
        <w:tc>
          <w:tcPr>
            <w:tcW w:w="4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4"/>
          </w:tcPr>
          <w:p>
            <w:pPr>
              <w:jc w:val="right"/>
              <w:ind w:right="431"/>
              <w:spacing w:after="0"/>
              <w:rPr>
                <w:sz w:val="20"/>
                <w:szCs w:val="20"/>
                <w:color w:val="auto"/>
              </w:rPr>
            </w:pPr>
            <w:r>
              <w:rPr>
                <w:rFonts w:ascii="Arial" w:cs="Arial" w:eastAsia="Arial" w:hAnsi="Arial"/>
                <w:sz w:val="14"/>
                <w:szCs w:val="14"/>
                <w:b w:val="1"/>
                <w:bCs w:val="1"/>
                <w:color w:val="auto"/>
              </w:rPr>
              <w:t>(Dollars in millions)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6"/>
        </w:trPr>
        <w:tc>
          <w:tcPr>
            <w:tcW w:w="4340" w:type="dxa"/>
            <w:vAlign w:val="bottom"/>
            <w:gridSpan w:val="2"/>
          </w:tcPr>
          <w:p>
            <w:pPr>
              <w:ind w:left="20"/>
              <w:spacing w:after="0"/>
              <w:rPr>
                <w:sz w:val="20"/>
                <w:szCs w:val="20"/>
                <w:color w:val="auto"/>
              </w:rPr>
            </w:pPr>
            <w:r>
              <w:rPr>
                <w:rFonts w:ascii="Arial" w:cs="Arial" w:eastAsia="Arial" w:hAnsi="Arial"/>
                <w:sz w:val="14"/>
                <w:szCs w:val="14"/>
                <w:color w:val="auto"/>
              </w:rPr>
              <w:t>Conventional guaranty book of business</w:t>
            </w:r>
            <w:r>
              <w:rPr>
                <w:rFonts w:ascii="Arial" w:cs="Arial" w:eastAsia="Arial" w:hAnsi="Arial"/>
                <w:sz w:val="17"/>
                <w:szCs w:val="17"/>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3,643,490</w:t>
            </w:r>
          </w:p>
        </w:tc>
        <w:tc>
          <w:tcPr>
            <w:tcW w:w="3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487,715</w:t>
            </w:r>
          </w:p>
        </w:tc>
        <w:tc>
          <w:tcPr>
            <w:tcW w:w="100" w:type="dxa"/>
            <w:vAlign w:val="bottom"/>
          </w:tcPr>
          <w:p>
            <w:pPr>
              <w:spacing w:after="0"/>
              <w:rPr>
                <w:sz w:val="17"/>
                <w:szCs w:val="17"/>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4,131,205</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3,647,344</w:t>
            </w:r>
          </w:p>
        </w:tc>
        <w:tc>
          <w:tcPr>
            <w:tcW w:w="28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471,812</w:t>
            </w:r>
          </w:p>
        </w:tc>
        <w:tc>
          <w:tcPr>
            <w:tcW w:w="100" w:type="dxa"/>
            <w:vAlign w:val="bottom"/>
          </w:tcPr>
          <w:p>
            <w:pPr>
              <w:spacing w:after="0"/>
              <w:rPr>
                <w:sz w:val="17"/>
                <w:szCs w:val="17"/>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4,119,156</w:t>
            </w:r>
          </w:p>
        </w:tc>
      </w:tr>
      <w:tr>
        <w:trPr>
          <w:trHeight w:val="192"/>
        </w:trPr>
        <w:tc>
          <w:tcPr>
            <w:tcW w:w="4240" w:type="dxa"/>
            <w:vAlign w:val="bottom"/>
            <w:tcBorders>
              <w:bottom w:val="single" w:sz="8" w:color="2C6937"/>
            </w:tcBorders>
          </w:tcPr>
          <w:p>
            <w:pPr>
              <w:ind w:left="20"/>
              <w:spacing w:after="0" w:line="192" w:lineRule="exact"/>
              <w:rPr>
                <w:sz w:val="20"/>
                <w:szCs w:val="20"/>
                <w:color w:val="auto"/>
              </w:rPr>
            </w:pPr>
            <w:r>
              <w:rPr>
                <w:rFonts w:ascii="Arial" w:cs="Arial" w:eastAsia="Arial" w:hAnsi="Arial"/>
                <w:sz w:val="14"/>
                <w:szCs w:val="14"/>
                <w:color w:val="auto"/>
              </w:rPr>
              <w:t>Government guaranty book of business</w:t>
            </w:r>
            <w:r>
              <w:rPr>
                <w:rFonts w:ascii="Arial" w:cs="Arial" w:eastAsia="Arial" w:hAnsi="Arial"/>
                <w:sz w:val="17"/>
                <w:szCs w:val="17"/>
                <w:color w:val="auto"/>
                <w:vertAlign w:val="superscript"/>
              </w:rPr>
              <w:t>(2)</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6,077</w:t>
            </w:r>
          </w:p>
        </w:tc>
        <w:tc>
          <w:tcPr>
            <w:tcW w:w="6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491</w:t>
            </w:r>
          </w:p>
        </w:tc>
        <w:tc>
          <w:tcPr>
            <w:tcW w:w="10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6,568</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7,901</w:t>
            </w:r>
          </w:p>
        </w:tc>
        <w:tc>
          <w:tcPr>
            <w:tcW w:w="4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520</w:t>
            </w:r>
          </w:p>
        </w:tc>
        <w:tc>
          <w:tcPr>
            <w:tcW w:w="10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8,421</w:t>
            </w:r>
          </w:p>
        </w:tc>
      </w:tr>
      <w:tr>
        <w:trPr>
          <w:trHeight w:val="185"/>
        </w:trPr>
        <w:tc>
          <w:tcPr>
            <w:tcW w:w="4340" w:type="dxa"/>
            <w:vAlign w:val="bottom"/>
            <w:gridSpan w:val="2"/>
          </w:tcPr>
          <w:p>
            <w:pPr>
              <w:ind w:left="120"/>
              <w:spacing w:after="0"/>
              <w:rPr>
                <w:sz w:val="20"/>
                <w:szCs w:val="20"/>
                <w:color w:val="auto"/>
              </w:rPr>
            </w:pPr>
            <w:r>
              <w:rPr>
                <w:rFonts w:ascii="Arial" w:cs="Arial" w:eastAsia="Arial" w:hAnsi="Arial"/>
                <w:sz w:val="14"/>
                <w:szCs w:val="14"/>
                <w:color w:val="auto"/>
              </w:rPr>
              <w:t>Guaranty book of business</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3,649,567</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488,206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4,137,773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3,655,245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472,332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4,127,577</w:t>
            </w:r>
          </w:p>
        </w:tc>
      </w:tr>
      <w:tr>
        <w:trPr>
          <w:trHeight w:val="195"/>
        </w:trPr>
        <w:tc>
          <w:tcPr>
            <w:tcW w:w="42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Freddie Mac securities guaranteed by Fannie Mae</w:t>
            </w:r>
            <w:r>
              <w:rPr>
                <w:rFonts w:ascii="Arial" w:cs="Arial" w:eastAsia="Arial" w:hAnsi="Arial"/>
                <w:sz w:val="17"/>
                <w:szCs w:val="17"/>
                <w:color w:val="auto"/>
                <w:vertAlign w:val="superscript"/>
              </w:rPr>
              <w:t>(3)</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203,742</w:t>
            </w:r>
          </w:p>
        </w:tc>
        <w:tc>
          <w:tcPr>
            <w:tcW w:w="6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203,742</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215,605</w:t>
            </w:r>
          </w:p>
        </w:tc>
        <w:tc>
          <w:tcPr>
            <w:tcW w:w="4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215,605</w:t>
            </w:r>
          </w:p>
        </w:tc>
      </w:tr>
      <w:tr>
        <w:trPr>
          <w:trHeight w:val="185"/>
        </w:trPr>
        <w:tc>
          <w:tcPr>
            <w:tcW w:w="4340" w:type="dxa"/>
            <w:vAlign w:val="bottom"/>
            <w:gridSpan w:val="2"/>
          </w:tcPr>
          <w:p>
            <w:pPr>
              <w:ind w:left="140"/>
              <w:spacing w:after="0"/>
              <w:rPr>
                <w:sz w:val="20"/>
                <w:szCs w:val="20"/>
                <w:color w:val="auto"/>
              </w:rPr>
            </w:pPr>
            <w:r>
              <w:rPr>
                <w:rFonts w:ascii="Arial" w:cs="Arial" w:eastAsia="Arial" w:hAnsi="Arial"/>
                <w:sz w:val="14"/>
                <w:szCs w:val="14"/>
                <w:color w:val="auto"/>
              </w:rPr>
              <w:t>Total Fannie Mae guarantees</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3,853,309</w:t>
            </w:r>
          </w:p>
        </w:tc>
        <w:tc>
          <w:tcPr>
            <w:tcW w:w="3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488,206</w:t>
            </w:r>
          </w:p>
        </w:tc>
        <w:tc>
          <w:tcPr>
            <w:tcW w:w="10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4,341,515</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3,870,850</w:t>
            </w:r>
          </w:p>
        </w:tc>
        <w:tc>
          <w:tcPr>
            <w:tcW w:w="28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472,332</w:t>
            </w:r>
          </w:p>
        </w:tc>
        <w:tc>
          <w:tcPr>
            <w:tcW w:w="10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4,343,182</w:t>
            </w:r>
          </w:p>
        </w:tc>
      </w:tr>
      <w:tr>
        <w:trPr>
          <w:trHeight w:val="20"/>
        </w:trPr>
        <w:tc>
          <w:tcPr>
            <w:tcW w:w="4240" w:type="dxa"/>
            <w:vAlign w:val="bottom"/>
            <w:tcBorders>
              <w:top w:val="single" w:sz="8" w:color="216C2B"/>
              <w:bottom w:val="single" w:sz="8" w:color="216C2B"/>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96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98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r>
    </w:tbl>
    <w:p>
      <w:pPr>
        <w:spacing w:after="0" w:line="95" w:lineRule="exact"/>
        <w:rPr>
          <w:sz w:val="20"/>
          <w:szCs w:val="20"/>
          <w:color w:val="auto"/>
        </w:rPr>
      </w:pPr>
    </w:p>
    <w:p>
      <w:pPr>
        <w:ind w:left="220" w:hanging="217"/>
        <w:spacing w:after="0"/>
        <w:tabs>
          <w:tab w:leader="none" w:pos="220"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Refers to mortgage loans and mortgage-related securities that are not guaranteed or insured, in whole or in part, by the U.S. government.</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Refers to mortgage loans and mortgage-related securities guaranteed or insured, in whole or in part, by the U.S. government.</w:t>
      </w:r>
    </w:p>
    <w:p>
      <w:pPr>
        <w:spacing w:after="0" w:line="38" w:lineRule="exact"/>
        <w:rPr>
          <w:rFonts w:ascii="Arial" w:cs="Arial" w:eastAsia="Arial" w:hAnsi="Arial"/>
          <w:sz w:val="18"/>
          <w:szCs w:val="18"/>
          <w:color w:val="auto"/>
          <w:vertAlign w:val="superscript"/>
        </w:rPr>
      </w:pPr>
    </w:p>
    <w:p>
      <w:pPr>
        <w:ind w:left="240" w:right="140" w:hanging="237"/>
        <w:spacing w:after="0" w:line="228" w:lineRule="auto"/>
        <w:tabs>
          <w:tab w:leader="none" w:pos="233"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Consists of off-balance sheet arrangements of approximately (i) $170.2 billion and $179.6 billion in unpaid principal balance of Freddie Mac-issued UMBS backing Fannie Mae-issued Supers as of September 30, 2024 and December 31, 2023, respectively; and (ii) $33.5 billion and $36.0 billion in unpaid principal balance of Freddie Mac securities backing Fannie Mae-issued REMICs as of September 30, 2024 and December 31, 2023, respectively. See “Liquidity and Capital Management—Liquidity Management—Off-Balance Sheet Arrangements” for more information regarding our maximum exposure to loss on consolidated Fannie Mae MBS and Freddie Mac securities.</w:t>
      </w:r>
    </w:p>
    <w:p>
      <w:pPr>
        <w:spacing w:after="0" w:line="99"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New Business and Affordable Housing Allocations</w:t>
      </w:r>
    </w:p>
    <w:p>
      <w:pPr>
        <w:spacing w:after="0" w:line="63" w:lineRule="exact"/>
        <w:rPr>
          <w:sz w:val="20"/>
          <w:szCs w:val="20"/>
          <w:color w:val="auto"/>
        </w:rPr>
      </w:pPr>
    </w:p>
    <w:p>
      <w:pPr>
        <w:jc w:val="both"/>
        <w:ind w:right="120"/>
        <w:spacing w:after="0" w:line="272" w:lineRule="auto"/>
        <w:rPr>
          <w:sz w:val="20"/>
          <w:szCs w:val="20"/>
          <w:color w:val="auto"/>
        </w:rPr>
      </w:pPr>
      <w:r>
        <w:rPr>
          <w:rFonts w:ascii="Arial" w:cs="Arial" w:eastAsia="Arial" w:hAnsi="Arial"/>
          <w:sz w:val="16"/>
          <w:szCs w:val="16"/>
          <w:color w:val="auto"/>
        </w:rPr>
        <w:t>The GSE Act requires us to set aside each year an amount equal to 4.2 basis points of the unpaid principal balance of our new business purchases and to pay this amount to specified U.S. Department of Housing and Urban Development (“HUD”) and Treasury funds in support of affordable housing. In March 2024, we paid $155 million to the funds based 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2024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19</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60" w:type="dxa"/>
            <w:vAlign w:val="bottom"/>
            <w:tcBorders>
              <w:bottom w:val="single" w:sz="8" w:color="9A9A9A"/>
            </w:tcBorders>
          </w:tcPr>
          <w:p>
            <w:pPr>
              <w:spacing w:after="0"/>
              <w:rPr>
                <w:sz w:val="17"/>
                <w:szCs w:val="17"/>
                <w:color w:val="auto"/>
              </w:rPr>
            </w:pPr>
          </w:p>
        </w:tc>
        <w:tc>
          <w:tcPr>
            <w:tcW w:w="42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22" w:name="page23"/>
    <w:bookmarkEnd w:id="22"/>
    <w:p>
      <w:pPr>
        <w:ind w:left="8940"/>
        <w:spacing w:after="0"/>
        <w:rPr>
          <w:sz w:val="20"/>
          <w:szCs w:val="20"/>
          <w:color w:val="auto"/>
        </w:rPr>
      </w:pPr>
      <w:r>
        <w:rPr>
          <w:rFonts w:ascii="Arial" w:cs="Arial" w:eastAsia="Arial" w:hAnsi="Arial"/>
          <w:sz w:val="14"/>
          <w:szCs w:val="14"/>
          <w:color w:val="05314D"/>
        </w:rPr>
        <w:t>MD&amp;A | Guaranty Book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right="440"/>
        <w:spacing w:after="0" w:line="272" w:lineRule="auto"/>
        <w:rPr>
          <w:sz w:val="20"/>
          <w:szCs w:val="20"/>
          <w:color w:val="auto"/>
        </w:rPr>
      </w:pPr>
      <w:r>
        <w:rPr>
          <w:rFonts w:ascii="Arial" w:cs="Arial" w:eastAsia="Arial" w:hAnsi="Arial"/>
          <w:sz w:val="16"/>
          <w:szCs w:val="16"/>
          <w:color w:val="auto"/>
        </w:rPr>
        <w:t>our new business purchases in 2023. For the first nine months of 2024, we recognized an expense of $115 million related to this obligation based on $273.9 billion in new business purchases during the period. We expect to pay this amount to the funds in 2025, plus additional amounts to be accrued based on our new business purchases in the fourth quarter of 2024.</w:t>
      </w:r>
    </w:p>
    <w:p>
      <w:pPr>
        <w:spacing w:after="0" w:line="143"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Business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24130</wp:posOffset>
            </wp:positionV>
            <wp:extent cx="7113905" cy="165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13905" cy="16510"/>
                    </a:xfrm>
                    <a:prstGeom prst="rect">
                      <a:avLst/>
                    </a:prstGeom>
                    <a:noFill/>
                  </pic:spPr>
                </pic:pic>
              </a:graphicData>
            </a:graphic>
          </wp:anchor>
        </w:drawing>
      </w:r>
    </w:p>
    <w:p>
      <w:pPr>
        <w:spacing w:after="0" w:line="151"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We have two reportable business segments: Single-Family and Multifamily. The chart below displays net revenues and net income for each of our business segments for the first nine months of 2024 compared with the first nine months of 2023. Net revenues consist of net interest income and fee and other income.</w:t>
      </w:r>
    </w:p>
    <w:p>
      <w:pPr>
        <w:spacing w:after="0" w:line="71"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63C5E"/>
        </w:rPr>
        <w:t>Business Segment Net Revenues and Net Income</w:t>
      </w:r>
    </w:p>
    <w:p>
      <w:pPr>
        <w:spacing w:after="0" w:line="16"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(Dollars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910590</wp:posOffset>
            </wp:positionH>
            <wp:positionV relativeFrom="paragraph">
              <wp:posOffset>73025</wp:posOffset>
            </wp:positionV>
            <wp:extent cx="5321300" cy="16370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321300" cy="163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In the following sections, we describe each segment’s business metrics, financial results and credit performance.</w:t>
      </w:r>
    </w:p>
    <w:p>
      <w:pPr>
        <w:spacing w:after="0" w:line="184"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Single-Family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138670" cy="165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jc w:val="both"/>
        <w:ind w:right="400"/>
        <w:spacing w:after="0" w:line="281" w:lineRule="auto"/>
        <w:rPr>
          <w:sz w:val="20"/>
          <w:szCs w:val="20"/>
          <w:color w:val="auto"/>
        </w:rPr>
      </w:pPr>
      <w:r>
        <w:rPr>
          <w:rFonts w:ascii="Arial" w:cs="Arial" w:eastAsia="Arial" w:hAnsi="Arial"/>
          <w:sz w:val="16"/>
          <w:szCs w:val="16"/>
          <w:color w:val="auto"/>
        </w:rPr>
        <w:t>This section supplements and updates information regarding our Single-Family business segment in our 2023 Form 10-K. See “MD&amp;A—Single-Family Business” in our 2023 Form 10-K for additional information regarding the primary business activities, lenders, investors and competition of our Single-Family business.</w:t>
      </w:r>
    </w:p>
    <w:p>
      <w:pPr>
        <w:spacing w:after="0" w:line="7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Single-Family Mortgage Market</w:t>
      </w:r>
    </w:p>
    <w:p>
      <w:pPr>
        <w:spacing w:after="0" w:line="63" w:lineRule="exact"/>
        <w:rPr>
          <w:sz w:val="20"/>
          <w:szCs w:val="20"/>
          <w:color w:val="auto"/>
        </w:rPr>
      </w:pPr>
    </w:p>
    <w:p>
      <w:pPr>
        <w:ind w:right="80"/>
        <w:spacing w:after="0" w:line="246" w:lineRule="auto"/>
        <w:rPr>
          <w:sz w:val="20"/>
          <w:szCs w:val="20"/>
          <w:color w:val="auto"/>
        </w:rPr>
      </w:pPr>
      <w:r>
        <w:rPr>
          <w:rFonts w:ascii="Arial" w:cs="Arial" w:eastAsia="Arial" w:hAnsi="Arial"/>
          <w:sz w:val="16"/>
          <w:szCs w:val="16"/>
          <w:color w:val="auto"/>
        </w:rPr>
        <w:t>Total housing activity decreased in the third quarter of 2024 compared with the second quarter of 2024. Existing home sales averaged 3.89 million units annualized in the third quarter of 2024, compared with 4.05 million units in the second quarter of 2024, according to data from the National Association of REALTORS</w:t>
      </w:r>
      <w:r>
        <w:rPr>
          <w:rFonts w:ascii="Arial" w:cs="Arial" w:eastAsia="Arial" w:hAnsi="Arial"/>
          <w:sz w:val="21"/>
          <w:szCs w:val="21"/>
          <w:color w:val="auto"/>
          <w:vertAlign w:val="superscript"/>
        </w:rPr>
        <w:t>®</w:t>
      </w:r>
      <w:r>
        <w:rPr>
          <w:rFonts w:ascii="Arial" w:cs="Arial" w:eastAsia="Arial" w:hAnsi="Arial"/>
          <w:sz w:val="16"/>
          <w:szCs w:val="16"/>
          <w:color w:val="auto"/>
        </w:rPr>
        <w:t>. According to the U.S. Census Bureau, new single-family home sales averaged an annualized rate of approximately 724,000 units in the third quarter of 2024, compared with approximately 693,000 units in the second quarter of 2024.</w:t>
      </w:r>
    </w:p>
    <w:p>
      <w:pPr>
        <w:spacing w:after="0" w:line="50" w:lineRule="exact"/>
        <w:rPr>
          <w:sz w:val="20"/>
          <w:szCs w:val="20"/>
          <w:color w:val="auto"/>
        </w:rPr>
      </w:pPr>
    </w:p>
    <w:p>
      <w:pPr>
        <w:ind w:right="320"/>
        <w:spacing w:after="0" w:line="270" w:lineRule="auto"/>
        <w:rPr>
          <w:sz w:val="20"/>
          <w:szCs w:val="20"/>
          <w:color w:val="auto"/>
        </w:rPr>
      </w:pPr>
      <w:r>
        <w:rPr>
          <w:rFonts w:ascii="Arial" w:cs="Arial" w:eastAsia="Arial" w:hAnsi="Arial"/>
          <w:sz w:val="16"/>
          <w:szCs w:val="16"/>
          <w:color w:val="auto"/>
        </w:rPr>
        <w:t>The average 30-year fixed mortgage rate was 6.08% as of September 26, 2024, compared with 6.86% as of June 27, 2024, and averaged 6.51% in the third quarter of 2024, compared with 7.00% in the second quarter of 2024, according to Freddie Mac’s Primary Mortgage Market Survey</w:t>
      </w:r>
      <w:r>
        <w:rPr>
          <w:rFonts w:ascii="Arial" w:cs="Arial" w:eastAsia="Arial" w:hAnsi="Arial"/>
          <w:sz w:val="21"/>
          <w:szCs w:val="21"/>
          <w:color w:val="auto"/>
          <w:vertAlign w:val="superscript"/>
        </w:rPr>
        <w:t>®</w:t>
      </w:r>
      <w:r>
        <w:rPr>
          <w:rFonts w:ascii="Arial" w:cs="Arial" w:eastAsia="Arial" w:hAnsi="Arial"/>
          <w:sz w:val="16"/>
          <w:szCs w:val="16"/>
          <w:color w:val="auto"/>
        </w:rPr>
        <w:t>.</w:t>
      </w:r>
    </w:p>
    <w:p>
      <w:pPr>
        <w:spacing w:after="0" w:line="1"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Single-family mortgage market originations increased modestly from an estimated $411 billion in the third quarter of 2023 to an estimated $443 billion in the third quarter of 2024. According to the October forecast from our Economic and Strategic Research Group, total originations in the U.S. single-family mortgage market in 2024 are forecasted to increase from 2023 levels by approximately 11%, from an estimated $1.50 trillion in 2023 to $1.67 trillion in 2024, and the amount of refinance originations in the U.S. single-family mortgage market are forecasted to increase from an estimated $221 billion in 2023 to $368 billion in 2024. Our Economic and Strategic Research Group’s October forecast is based on data available as of October 11, 2024. See “Key Market Economic Indicators” in our 2023 Form 10-K for additional discussion of how housing activity can affect our financial results and the uncertainties that may affect our forecasts and expectations.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2024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20</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60" w:type="dxa"/>
            <w:vAlign w:val="bottom"/>
            <w:tcBorders>
              <w:bottom w:val="single" w:sz="8" w:color="9A9A9A"/>
            </w:tcBorders>
          </w:tcPr>
          <w:p>
            <w:pPr>
              <w:spacing w:after="0"/>
              <w:rPr>
                <w:sz w:val="16"/>
                <w:szCs w:val="16"/>
                <w:color w:val="auto"/>
              </w:rPr>
            </w:pPr>
          </w:p>
        </w:tc>
        <w:tc>
          <w:tcPr>
            <w:tcW w:w="428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23" w:name="page24"/>
    <w:bookmarkEnd w:id="23"/>
    <w:p>
      <w:pPr>
        <w:jc w:val="right"/>
        <w:ind w:right="20"/>
        <w:spacing w:after="0"/>
        <w:rPr>
          <w:sz w:val="20"/>
          <w:szCs w:val="20"/>
          <w:color w:val="auto"/>
        </w:rPr>
      </w:pPr>
      <w:r>
        <w:rPr>
          <w:rFonts w:ascii="Arial" w:cs="Arial" w:eastAsia="Arial" w:hAnsi="Arial"/>
          <w:sz w:val="14"/>
          <w:szCs w:val="14"/>
          <w:color w:val="05314D"/>
        </w:rPr>
        <w:t>MD&amp;A | Single-Family Business | Single-Family Mortgage-Related Securities Issuances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Single-Family Mortgage-Related Securities Issuances Share</w:t>
      </w:r>
    </w:p>
    <w:p>
      <w:pPr>
        <w:spacing w:after="0" w:line="63" w:lineRule="exact"/>
        <w:rPr>
          <w:sz w:val="20"/>
          <w:szCs w:val="20"/>
          <w:color w:val="auto"/>
        </w:rPr>
      </w:pPr>
    </w:p>
    <w:p>
      <w:pPr>
        <w:ind w:right="220"/>
        <w:spacing w:after="0" w:line="281" w:lineRule="auto"/>
        <w:rPr>
          <w:sz w:val="20"/>
          <w:szCs w:val="20"/>
          <w:color w:val="auto"/>
        </w:rPr>
      </w:pPr>
      <w:r>
        <w:rPr>
          <w:rFonts w:ascii="Arial" w:cs="Arial" w:eastAsia="Arial" w:hAnsi="Arial"/>
          <w:sz w:val="16"/>
          <w:szCs w:val="16"/>
          <w:color w:val="auto"/>
        </w:rPr>
        <w:t>Our single-family Fannie Mae MBS issuances were $92.3 billion for the third quarter of 2024, compared with $87.6 billion for the third quarter of 2023. Based on the latest data available, the charts below display our estimated share of single-family mortgage-related securities issuances as compared with that of our primary competitors for the issuance of single-family mortgage-related securities for the periods indicated.</w:t>
      </w:r>
    </w:p>
    <w:p>
      <w:pPr>
        <w:spacing w:after="0" w:line="115"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Single-Family Mortgage-Related Securities Issuances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154940</wp:posOffset>
            </wp:positionV>
            <wp:extent cx="4715510" cy="25215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715510" cy="252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3160" w:type="dxa"/>
        <w:tblCellMar>
          <w:top w:w="0" w:type="dxa"/>
          <w:left w:w="0" w:type="dxa"/>
          <w:bottom w:w="0" w:type="dxa"/>
          <w:right w:w="0" w:type="dxa"/>
        </w:tblCellMar>
      </w:tblPr>
      <w:tr>
        <w:trPr>
          <w:trHeight w:val="193"/>
        </w:trPr>
        <w:tc>
          <w:tcPr>
            <w:tcW w:w="4000" w:type="dxa"/>
            <w:vAlign w:val="bottom"/>
          </w:tcPr>
          <w:p>
            <w:pPr>
              <w:spacing w:after="0"/>
              <w:rPr>
                <w:sz w:val="20"/>
                <w:szCs w:val="20"/>
                <w:color w:val="auto"/>
              </w:rPr>
            </w:pPr>
            <w:r>
              <w:rPr>
                <w:rFonts w:ascii="Arial" w:cs="Arial" w:eastAsia="Arial" w:hAnsi="Arial"/>
                <w:sz w:val="14"/>
                <w:szCs w:val="14"/>
                <w:color w:val="auto"/>
              </w:rPr>
              <w:t>Ginnie Mae</w:t>
            </w:r>
          </w:p>
        </w:tc>
        <w:tc>
          <w:tcPr>
            <w:tcW w:w="220" w:type="dxa"/>
            <w:vAlign w:val="bottom"/>
            <w:shd w:val="clear" w:color="auto" w:fill="911A5B"/>
          </w:tcPr>
          <w:p>
            <w:pPr>
              <w:spacing w:after="0"/>
              <w:rPr>
                <w:sz w:val="16"/>
                <w:szCs w:val="16"/>
                <w:color w:val="auto"/>
              </w:rPr>
            </w:pPr>
          </w:p>
        </w:tc>
        <w:tc>
          <w:tcPr>
            <w:tcW w:w="1600" w:type="dxa"/>
            <w:vAlign w:val="bottom"/>
          </w:tcPr>
          <w:p>
            <w:pPr>
              <w:ind w:left="220"/>
              <w:spacing w:after="0"/>
              <w:rPr>
                <w:sz w:val="20"/>
                <w:szCs w:val="20"/>
                <w:color w:val="auto"/>
              </w:rPr>
            </w:pPr>
            <w:r>
              <w:rPr>
                <w:rFonts w:ascii="Arial" w:cs="Arial" w:eastAsia="Arial" w:hAnsi="Arial"/>
                <w:sz w:val="14"/>
                <w:szCs w:val="14"/>
                <w:color w:val="auto"/>
                <w:w w:val="96"/>
              </w:rPr>
              <w:t>Private-label securities</w:t>
            </w:r>
          </w:p>
        </w:tc>
        <w:tc>
          <w:tcPr>
            <w:tcW w:w="0" w:type="dxa"/>
            <w:vAlign w:val="bottom"/>
          </w:tcPr>
          <w:p>
            <w:pPr>
              <w:spacing w:after="0"/>
              <w:rPr>
                <w:sz w:val="1"/>
                <w:szCs w:val="1"/>
                <w:color w:val="auto"/>
              </w:rPr>
            </w:pPr>
          </w:p>
        </w:tc>
      </w:tr>
      <w:tr>
        <w:trPr>
          <w:trHeight w:val="52"/>
        </w:trPr>
        <w:tc>
          <w:tcPr>
            <w:tcW w:w="4000" w:type="dxa"/>
            <w:vAlign w:val="bottom"/>
            <w:vMerge w:val="restart"/>
          </w:tcPr>
          <w:p>
            <w:pPr>
              <w:spacing w:after="0"/>
              <w:rPr>
                <w:sz w:val="20"/>
                <w:szCs w:val="20"/>
                <w:color w:val="auto"/>
              </w:rPr>
            </w:pPr>
            <w:r>
              <w:rPr>
                <w:rFonts w:ascii="Arial" w:cs="Arial" w:eastAsia="Arial" w:hAnsi="Arial"/>
                <w:sz w:val="14"/>
                <w:szCs w:val="14"/>
                <w:color w:val="auto"/>
              </w:rPr>
              <w:t>Fannie Mae</w:t>
            </w:r>
          </w:p>
        </w:tc>
        <w:tc>
          <w:tcPr>
            <w:tcW w:w="220" w:type="dxa"/>
            <w:vAlign w:val="bottom"/>
          </w:tcPr>
          <w:p>
            <w:pPr>
              <w:spacing w:after="0"/>
              <w:rPr>
                <w:sz w:val="4"/>
                <w:szCs w:val="4"/>
                <w:color w:val="auto"/>
              </w:rPr>
            </w:pPr>
          </w:p>
        </w:tc>
        <w:tc>
          <w:tcPr>
            <w:tcW w:w="1600" w:type="dxa"/>
            <w:vAlign w:val="bottom"/>
            <w:vMerge w:val="restart"/>
          </w:tcPr>
          <w:p>
            <w:pPr>
              <w:ind w:left="220"/>
              <w:spacing w:after="0"/>
              <w:rPr>
                <w:sz w:val="20"/>
                <w:szCs w:val="20"/>
                <w:color w:val="auto"/>
              </w:rPr>
            </w:pPr>
            <w:r>
              <w:rPr>
                <w:rFonts w:ascii="Arial" w:cs="Arial" w:eastAsia="Arial" w:hAnsi="Arial"/>
                <w:sz w:val="14"/>
                <w:szCs w:val="14"/>
                <w:color w:val="auto"/>
              </w:rPr>
              <w:t>Freddie Mac</w:t>
            </w:r>
          </w:p>
        </w:tc>
        <w:tc>
          <w:tcPr>
            <w:tcW w:w="0" w:type="dxa"/>
            <w:vAlign w:val="bottom"/>
          </w:tcPr>
          <w:p>
            <w:pPr>
              <w:spacing w:after="0"/>
              <w:rPr>
                <w:sz w:val="1"/>
                <w:szCs w:val="1"/>
                <w:color w:val="auto"/>
              </w:rPr>
            </w:pPr>
          </w:p>
        </w:tc>
      </w:tr>
      <w:tr>
        <w:trPr>
          <w:trHeight w:val="193"/>
        </w:trPr>
        <w:tc>
          <w:tcPr>
            <w:tcW w:w="4000" w:type="dxa"/>
            <w:vAlign w:val="bottom"/>
            <w:vMerge w:val="continue"/>
          </w:tcPr>
          <w:p>
            <w:pPr>
              <w:spacing w:after="0"/>
              <w:rPr>
                <w:sz w:val="16"/>
                <w:szCs w:val="16"/>
                <w:color w:val="auto"/>
              </w:rPr>
            </w:pPr>
          </w:p>
        </w:tc>
        <w:tc>
          <w:tcPr>
            <w:tcW w:w="220" w:type="dxa"/>
            <w:vAlign w:val="bottom"/>
            <w:shd w:val="clear" w:color="auto" w:fill="5587A6"/>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1720850</wp:posOffset>
            </wp:positionH>
            <wp:positionV relativeFrom="paragraph">
              <wp:posOffset>-121920</wp:posOffset>
            </wp:positionV>
            <wp:extent cx="139065" cy="1225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9065" cy="122555"/>
                    </a:xfrm>
                    <a:prstGeom prst="rect">
                      <a:avLst/>
                    </a:prstGeom>
                    <a:noFill/>
                  </pic:spPr>
                </pic:pic>
              </a:graphicData>
            </a:graphic>
          </wp:anchor>
        </w:drawing>
      </w:r>
    </w:p>
    <w:p>
      <w:pPr>
        <w:spacing w:after="0" w:line="203"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For several quarters, we have faced increased competition for the acquisition of single-family mortgage assets, which has impacted our share of single-family loan acquisitions and, in turn, our share of single-family mortgage-related securities issuances.</w:t>
      </w:r>
    </w:p>
    <w:p>
      <w:pPr>
        <w:spacing w:after="0" w:line="15"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Our market share is impacted by different variables such as our pricing of single-family loans and the competitive market environment. Decisions regarding the pricing and acquisition of single-family loans incorporate different, and sometimes competing, factors, as discussed in “MD&amp;A—Single-Family Business —Single-Family Mortgage-Related Securities Issuances Share” in our First Quarter 2024 Form 10-Q. For a discussion of factors that affect or could affect our business, our competitive environment, demand for our MBS, or the liquidity and market value of our MBS, as well as the risks associated with our conservatorship, our capital requirements relative to that of our primary competitor, our housing goals, the UMBS market and the performance of our MBS, see “Business—Conservatorship and Treasury Agreements,” “Business—Legislation and Regulation,” “Risk Factors” and “MD&amp;A—Single-Family Business —Single-Family Competition” in our 2023 Form 10-K.</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2024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21</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60" w:type="dxa"/>
            <w:vAlign w:val="bottom"/>
            <w:tcBorders>
              <w:bottom w:val="single" w:sz="8" w:color="9A9A9A"/>
            </w:tcBorders>
          </w:tcPr>
          <w:p>
            <w:pPr>
              <w:spacing w:after="0"/>
              <w:rPr>
                <w:sz w:val="16"/>
                <w:szCs w:val="16"/>
                <w:color w:val="auto"/>
              </w:rPr>
            </w:pPr>
          </w:p>
        </w:tc>
        <w:tc>
          <w:tcPr>
            <w:tcW w:w="428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24" w:name="page25"/>
    <w:bookmarkEnd w:id="24"/>
    <w:p>
      <w:pPr>
        <w:ind w:left="7160"/>
        <w:spacing w:after="0"/>
        <w:rPr>
          <w:sz w:val="20"/>
          <w:szCs w:val="20"/>
          <w:color w:val="auto"/>
        </w:rPr>
      </w:pPr>
      <w:r>
        <w:rPr>
          <w:rFonts w:ascii="Arial" w:cs="Arial" w:eastAsia="Arial" w:hAnsi="Arial"/>
          <w:sz w:val="14"/>
          <w:szCs w:val="14"/>
          <w:color w:val="05314D"/>
        </w:rPr>
        <w:t>MD&amp;A | Single-Family Business | Single-Family Business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Single-Family Business Metrics</w:t>
      </w:r>
    </w:p>
    <w:p>
      <w:pPr>
        <w:spacing w:after="0" w:line="10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Select Business Metrics</w:t>
      </w:r>
    </w:p>
    <w:p>
      <w:pPr>
        <w:spacing w:after="0" w:line="80"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The charts below display our average charged guaranty fees, net of TCCA fees, on our single-family conventional guaranty book of business and on new single-family conventional loan acquisitions, along with our average single-family conventional guaranty book of business and our single-family conventional loan acquisitions for the periods presented.</w:t>
      </w:r>
    </w:p>
    <w:p>
      <w:pPr>
        <w:spacing w:after="0" w:line="33"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Select Single-Family Business Metrics</w:t>
      </w:r>
      <w:r>
        <w:rPr>
          <w:rFonts w:ascii="Georgia" w:cs="Georgia" w:eastAsia="Georgia" w:hAnsi="Georgia"/>
          <w:sz w:val="24"/>
          <w:szCs w:val="24"/>
          <w:b w:val="1"/>
          <w:bCs w:val="1"/>
          <w:color w:val="05314D"/>
          <w:vertAlign w:val="superscript"/>
        </w:rPr>
        <w:t>(1)</w:t>
      </w:r>
    </w:p>
    <w:p>
      <w:pPr>
        <w:jc w:val="center"/>
        <w:spacing w:after="0" w:line="237" w:lineRule="auto"/>
        <w:rPr>
          <w:sz w:val="20"/>
          <w:szCs w:val="20"/>
          <w:color w:val="auto"/>
        </w:rPr>
      </w:pPr>
      <w:r>
        <w:rPr>
          <w:rFonts w:ascii="Georgia" w:cs="Georgia" w:eastAsia="Georgia" w:hAnsi="Georgia"/>
          <w:sz w:val="19"/>
          <w:szCs w:val="19"/>
          <w:b w:val="1"/>
          <w:bCs w:val="1"/>
          <w:color w:val="05314D"/>
        </w:rPr>
        <w:t>(Dollars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64770</wp:posOffset>
            </wp:positionV>
            <wp:extent cx="3536315" cy="18503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536315" cy="185039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180" w:right="400"/>
        <w:spacing w:after="0" w:line="295" w:lineRule="auto"/>
        <w:rPr>
          <w:sz w:val="20"/>
          <w:szCs w:val="20"/>
          <w:color w:val="auto"/>
        </w:rPr>
      </w:pPr>
      <w:r>
        <w:rPr>
          <w:rFonts w:ascii="Arial" w:cs="Arial" w:eastAsia="Arial" w:hAnsi="Arial"/>
          <w:sz w:val="14"/>
          <w:szCs w:val="14"/>
          <w:color w:val="auto"/>
        </w:rPr>
        <w:t>Average charged guaranty fee on single-family conventional guaranty book of business, net of TCCA fees</w:t>
      </w:r>
      <w:r>
        <w:rPr>
          <w:rFonts w:ascii="Arial" w:cs="Arial" w:eastAsia="Arial" w:hAnsi="Arial"/>
          <w:sz w:val="17"/>
          <w:szCs w:val="17"/>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37465</wp:posOffset>
            </wp:positionV>
            <wp:extent cx="147320" cy="984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47320" cy="98425"/>
                    </a:xfrm>
                    <a:prstGeom prst="rect">
                      <a:avLst/>
                    </a:prstGeom>
                    <a:noFill/>
                  </pic:spPr>
                </pic:pic>
              </a:graphicData>
            </a:graphic>
          </wp:anchor>
        </w:drawing>
      </w:r>
    </w:p>
    <w:p>
      <w:pPr>
        <w:spacing w:after="0" w:line="58" w:lineRule="exact"/>
        <w:rPr>
          <w:sz w:val="20"/>
          <w:szCs w:val="20"/>
          <w:color w:val="auto"/>
        </w:rPr>
      </w:pPr>
    </w:p>
    <w:p>
      <w:pPr>
        <w:ind w:left="1180" w:right="680"/>
        <w:spacing w:after="0" w:line="295" w:lineRule="auto"/>
        <w:rPr>
          <w:sz w:val="20"/>
          <w:szCs w:val="20"/>
          <w:color w:val="auto"/>
        </w:rPr>
      </w:pPr>
      <w:r>
        <w:rPr>
          <w:rFonts w:ascii="Arial" w:cs="Arial" w:eastAsia="Arial" w:hAnsi="Arial"/>
          <w:sz w:val="14"/>
          <w:szCs w:val="14"/>
          <w:color w:val="auto"/>
        </w:rPr>
        <w:t>Average charged guaranty fee on new single-family conventional acquisitions, net of TCCA fees</w:t>
      </w:r>
      <w:r>
        <w:rPr>
          <w:rFonts w:ascii="Arial" w:cs="Arial" w:eastAsia="Arial" w:hAnsi="Arial"/>
          <w:sz w:val="17"/>
          <w:szCs w:val="17"/>
          <w:color w:val="auto"/>
          <w:vertAlign w:val="superscript"/>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3"/>
          <w:szCs w:val="13"/>
          <w:color w:val="auto"/>
        </w:rPr>
        <w:t>Average single-family conventional guaranty book of business</w:t>
      </w:r>
      <w:r>
        <w:rPr>
          <w:rFonts w:ascii="Arial" w:cs="Arial" w:eastAsia="Arial" w:hAnsi="Arial"/>
          <w:sz w:val="16"/>
          <w:szCs w:val="16"/>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201295</wp:posOffset>
            </wp:positionV>
            <wp:extent cx="155575" cy="984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55575" cy="98425"/>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auto"/>
        </w:rPr>
        <w:t>Single-family conventional acquisitions</w:t>
      </w:r>
    </w:p>
    <w:p>
      <w:pPr>
        <w:spacing w:after="0" w:line="380" w:lineRule="exact"/>
        <w:rPr>
          <w:sz w:val="20"/>
          <w:szCs w:val="20"/>
          <w:color w:val="auto"/>
        </w:rPr>
      </w:pPr>
    </w:p>
    <w:p>
      <w:pPr>
        <w:sectPr>
          <w:pgSz w:w="11900" w:h="16838" w:orient="portrait"/>
          <w:cols w:equalWidth="0" w:num="2">
            <w:col w:w="5800" w:space="720"/>
            <w:col w:w="4720"/>
          </w:cols>
          <w:pgMar w:left="320" w:top="248" w:right="339" w:bottom="1440" w:gutter="0" w:footer="0" w:header="0"/>
          <w:type w:val="continuous"/>
        </w:sectPr>
      </w:pPr>
    </w:p>
    <w:p>
      <w:pPr>
        <w:ind w:left="240" w:right="40" w:hanging="236"/>
        <w:spacing w:after="0"/>
        <w:tabs>
          <w:tab w:leader="none" w:pos="270"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For information reported in this “Single-Family Business” section, our single-family conventional guaranty book of business is measured using the unpaid principal balance of our mortgage loans underlying Fannie Mae MBS outstanding. By contrast, the single-family conventional guaranty book of business presented in the “Composition of Fannie Mae Guaranty Book of Business” table in the “Guaranty Book of Business” section is based on the unpaid principal balance of the Fannie Mae MBS outstanding, rather than the unpaid principal balance of the underlying mortgage loans. These amounts differ primarily as a result of payments we receive on underlying loans that have not yet been paid to the MBS holders or instances where we have advanced missed borrower payments on mortgage loans to make required distributions to related MBS holders. As measured for purposes of the information reported in this section, our single-family conventional guaranty book of business was $3,627.4 billion as of September 30, 2024 and $3,636.7 billion as of December 31, 2023.</w:t>
      </w:r>
    </w:p>
    <w:p>
      <w:pPr>
        <w:spacing w:after="0" w:line="13"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28"/>
        </w:numPr>
        <w:rPr>
          <w:rFonts w:ascii="Arial" w:cs="Arial" w:eastAsia="Arial" w:hAnsi="Arial"/>
          <w:sz w:val="9"/>
          <w:szCs w:val="9"/>
          <w:color w:val="auto"/>
        </w:rPr>
      </w:pPr>
      <w:r>
        <w:rPr>
          <w:rFonts w:ascii="Arial" w:cs="Arial" w:eastAsia="Arial" w:hAnsi="Arial"/>
          <w:sz w:val="14"/>
          <w:szCs w:val="14"/>
          <w:color w:val="auto"/>
        </w:rPr>
        <w:t>Excludes the impact of a 10 basis point guaranty fee increase implemented pursuant to the TCCA, the incremental revenue from which is paid to Treasury and not retained by us.</w:t>
      </w:r>
    </w:p>
    <w:p>
      <w:pPr>
        <w:spacing w:after="0" w:line="45" w:lineRule="exact"/>
        <w:rPr>
          <w:rFonts w:ascii="Arial" w:cs="Arial" w:eastAsia="Arial" w:hAnsi="Arial"/>
          <w:sz w:val="9"/>
          <w:szCs w:val="9"/>
          <w:color w:val="auto"/>
        </w:rPr>
      </w:pPr>
    </w:p>
    <w:p>
      <w:pPr>
        <w:ind w:left="240" w:right="60" w:hanging="237"/>
        <w:spacing w:after="0" w:line="275" w:lineRule="auto"/>
        <w:tabs>
          <w:tab w:leader="none" w:pos="270" w:val="left"/>
        </w:tabs>
        <w:numPr>
          <w:ilvl w:val="0"/>
          <w:numId w:val="28"/>
        </w:numPr>
        <w:rPr>
          <w:rFonts w:ascii="Arial" w:cs="Arial" w:eastAsia="Arial" w:hAnsi="Arial"/>
          <w:sz w:val="8"/>
          <w:szCs w:val="8"/>
          <w:color w:val="auto"/>
        </w:rPr>
      </w:pPr>
      <w:r>
        <w:rPr>
          <w:rFonts w:ascii="Arial" w:cs="Arial" w:eastAsia="Arial" w:hAnsi="Arial"/>
          <w:sz w:val="13"/>
          <w:szCs w:val="13"/>
          <w:color w:val="auto"/>
        </w:rPr>
        <w:t>Our single-family conventional guaranty book of business primarily consists of single-family conventional mortgage loans underlying Fannie Mae MBS outstanding. It also includes single-family conventional mortgage loans of Fannie Mae held in our retained mortgage portfolio, and other credit enhancements that we provide on single-family conventional mortgage assets. Our single-family conventional guaranty book of business does not include: (a) mortgage loans guaranteed or insured, in whole or in part, by the U.S. government;</w:t>
      </w:r>
    </w:p>
    <w:p>
      <w:pPr>
        <w:ind w:left="240" w:right="100"/>
        <w:spacing w:after="0" w:line="245" w:lineRule="auto"/>
        <w:rPr>
          <w:rFonts w:ascii="Arial" w:cs="Arial" w:eastAsia="Arial" w:hAnsi="Arial"/>
          <w:sz w:val="8"/>
          <w:szCs w:val="8"/>
          <w:color w:val="auto"/>
        </w:rPr>
      </w:pPr>
      <w:r>
        <w:rPr>
          <w:rFonts w:ascii="Arial" w:cs="Arial" w:eastAsia="Arial" w:hAnsi="Arial"/>
          <w:sz w:val="14"/>
          <w:szCs w:val="14"/>
          <w:color w:val="auto"/>
        </w:rPr>
        <w:t>(b) Freddie Mac-acquired mortgage loans underlying Freddie Mac-issued UMBS that we have resecuritized; or (c) non-Fannie Mae single-family mortgage-related securities held in our retained mortgage portfolio for which we do not provide a guaranty. Our average single-family conventional guaranty book of business is based on the average of quarter-end balances.</w:t>
      </w:r>
    </w:p>
    <w:p>
      <w:pPr>
        <w:spacing w:after="0" w:line="74"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Our single-family conventional loan acquisition volumes remained at low levels in the third quarter of 2024. While interest rates decreased in the third quarter of 2024, the average 30-year fixed-rate mortgage rate during the quarter still remained higher than the interest rates of most outstanding single-family loans, resulting in low refinance volumes. In addition, housing affordability constraints and limited supply continued to put downward pressure on the volume of purchase loans we acquired.</w:t>
      </w:r>
    </w:p>
    <w:p>
      <w:pPr>
        <w:spacing w:after="0" w:line="33"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Average charged guaranty fee on newly acquired conventional single-family loans is a metric management uses to measure the amount we earn as compensation for the credit risk we manage and to assess our return. Average charged guaranty fee represents, on an annualized basis, the average of the base guaranty fees charged during the period for our single-family conventional guaranty arrangements, which we receive monthly over the life of the loan, plus the recognition of any upfront cash payments, including loan-level price adjustments, based on an estimated average life at the time of acquisition. Our average charged guaranty fee on newly acquired conventional single-family loans, net of TCCA fees remained relatively flat in the third quarter of 2024 compared with the third quarter of 2023.</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2024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22</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60" w:type="dxa"/>
            <w:vAlign w:val="bottom"/>
            <w:tcBorders>
              <w:bottom w:val="single" w:sz="8" w:color="9A9A9A"/>
            </w:tcBorders>
          </w:tcPr>
          <w:p>
            <w:pPr>
              <w:spacing w:after="0"/>
              <w:rPr>
                <w:sz w:val="17"/>
                <w:szCs w:val="17"/>
                <w:color w:val="auto"/>
              </w:rPr>
            </w:pPr>
          </w:p>
        </w:tc>
        <w:tc>
          <w:tcPr>
            <w:tcW w:w="42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25" w:name="page26"/>
    <w:bookmarkEnd w:id="25"/>
    <w:p>
      <w:pPr>
        <w:ind w:left="6560"/>
        <w:spacing w:after="0"/>
        <w:rPr>
          <w:sz w:val="20"/>
          <w:szCs w:val="20"/>
          <w:color w:val="auto"/>
        </w:rPr>
      </w:pPr>
      <w:r>
        <w:rPr>
          <w:rFonts w:ascii="Arial" w:cs="Arial" w:eastAsia="Arial" w:hAnsi="Arial"/>
          <w:sz w:val="14"/>
          <w:szCs w:val="14"/>
          <w:color w:val="05314D"/>
        </w:rPr>
        <w:t>MD&amp;A | Single-Family Business | Single-Family Business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Single-Family Business Financial Results</w:t>
      </w:r>
    </w:p>
    <w:p>
      <w:pPr>
        <w:spacing w:after="0" w:line="63"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This section provides a discussion of the primary components of net income for our Single-Family Business. This information complements the discussion of financial results in “Consolidated Results of Operations.”</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05314D"/>
        </w:rPr>
        <w:t>Single-Family Business Financial Results</w:t>
      </w:r>
      <w:r>
        <w:rPr>
          <w:rFonts w:ascii="Arial" w:cs="Arial" w:eastAsia="Arial" w:hAnsi="Arial"/>
          <w:sz w:val="24"/>
          <w:szCs w:val="24"/>
          <w:b w:val="1"/>
          <w:bCs w:val="1"/>
          <w:color w:val="05314D"/>
          <w:vertAlign w:val="superscript"/>
        </w:rPr>
        <w:t>(1)</w:t>
      </w:r>
    </w:p>
    <w:p>
      <w:pPr>
        <w:spacing w:after="0" w:line="15" w:lineRule="exact"/>
        <w:rPr>
          <w:sz w:val="20"/>
          <w:szCs w:val="20"/>
          <w:color w:val="auto"/>
        </w:rPr>
      </w:pPr>
    </w:p>
    <w:tbl>
      <w:tblPr>
        <w:tblLayout w:type="fixed"/>
        <w:tblInd w:w="20" w:type="dxa"/>
        <w:tblCellMar>
          <w:top w:w="0" w:type="dxa"/>
          <w:left w:w="0" w:type="dxa"/>
          <w:bottom w:w="0" w:type="dxa"/>
          <w:right w:w="0" w:type="dxa"/>
        </w:tblCellMar>
      </w:tblPr>
      <w:tr>
        <w:trPr>
          <w:trHeight w:val="148"/>
        </w:trPr>
        <w:tc>
          <w:tcPr>
            <w:tcW w:w="4700" w:type="dxa"/>
            <w:vAlign w:val="bottom"/>
            <w:tcBorders>
              <w:top w:val="single" w:sz="8" w:color="2C6937"/>
            </w:tcBorders>
          </w:tcPr>
          <w:p>
            <w:pPr>
              <w:spacing w:after="0"/>
              <w:rPr>
                <w:sz w:val="12"/>
                <w:szCs w:val="12"/>
                <w:color w:val="auto"/>
              </w:rPr>
            </w:pPr>
          </w:p>
        </w:tc>
        <w:tc>
          <w:tcPr>
            <w:tcW w:w="100" w:type="dxa"/>
            <w:vAlign w:val="bottom"/>
            <w:tcBorders>
              <w:top w:val="single" w:sz="8" w:color="2C6937"/>
            </w:tcBorders>
          </w:tcPr>
          <w:p>
            <w:pPr>
              <w:spacing w:after="0"/>
              <w:rPr>
                <w:sz w:val="12"/>
                <w:szCs w:val="12"/>
                <w:color w:val="auto"/>
              </w:rPr>
            </w:pPr>
          </w:p>
        </w:tc>
        <w:tc>
          <w:tcPr>
            <w:tcW w:w="2140" w:type="dxa"/>
            <w:vAlign w:val="bottom"/>
            <w:tcBorders>
              <w:top w:val="single" w:sz="8" w:color="2C6937"/>
            </w:tcBorders>
            <w:gridSpan w:val="6"/>
          </w:tcPr>
          <w:p>
            <w:pPr>
              <w:jc w:val="center"/>
              <w:ind w:right="160"/>
              <w:spacing w:after="0" w:line="148" w:lineRule="exact"/>
              <w:rPr>
                <w:sz w:val="20"/>
                <w:szCs w:val="20"/>
                <w:color w:val="auto"/>
              </w:rPr>
            </w:pPr>
            <w:r>
              <w:rPr>
                <w:rFonts w:ascii="Arial" w:cs="Arial" w:eastAsia="Arial" w:hAnsi="Arial"/>
                <w:sz w:val="14"/>
                <w:szCs w:val="14"/>
                <w:b w:val="1"/>
                <w:bCs w:val="1"/>
                <w:color w:val="auto"/>
                <w:w w:val="97"/>
              </w:rPr>
              <w:t>For the Three Months Ended</w:t>
            </w:r>
          </w:p>
        </w:tc>
        <w:tc>
          <w:tcPr>
            <w:tcW w:w="160" w:type="dxa"/>
            <w:vAlign w:val="bottom"/>
            <w:tcBorders>
              <w:top w:val="single" w:sz="8" w:color="2C6937"/>
            </w:tcBorders>
          </w:tcPr>
          <w:p>
            <w:pPr>
              <w:spacing w:after="0"/>
              <w:rPr>
                <w:sz w:val="12"/>
                <w:szCs w:val="12"/>
                <w:color w:val="auto"/>
              </w:rPr>
            </w:pPr>
          </w:p>
        </w:tc>
        <w:tc>
          <w:tcPr>
            <w:tcW w:w="820" w:type="dxa"/>
            <w:vAlign w:val="bottom"/>
            <w:tcBorders>
              <w:top w:val="single" w:sz="8" w:color="2C6937"/>
            </w:tcBorders>
          </w:tcPr>
          <w:p>
            <w:pPr>
              <w:spacing w:after="0"/>
              <w:rPr>
                <w:sz w:val="12"/>
                <w:szCs w:val="12"/>
                <w:color w:val="auto"/>
              </w:rPr>
            </w:pPr>
          </w:p>
        </w:tc>
        <w:tc>
          <w:tcPr>
            <w:tcW w:w="140" w:type="dxa"/>
            <w:vAlign w:val="bottom"/>
            <w:tcBorders>
              <w:top w:val="single" w:sz="8" w:color="2C6937"/>
            </w:tcBorders>
          </w:tcPr>
          <w:p>
            <w:pPr>
              <w:spacing w:after="0"/>
              <w:rPr>
                <w:sz w:val="12"/>
                <w:szCs w:val="12"/>
                <w:color w:val="auto"/>
              </w:rPr>
            </w:pPr>
          </w:p>
        </w:tc>
        <w:tc>
          <w:tcPr>
            <w:tcW w:w="100" w:type="dxa"/>
            <w:vAlign w:val="bottom"/>
            <w:tcBorders>
              <w:top w:val="single" w:sz="8" w:color="2C6937"/>
            </w:tcBorders>
          </w:tcPr>
          <w:p>
            <w:pPr>
              <w:spacing w:after="0"/>
              <w:rPr>
                <w:sz w:val="12"/>
                <w:szCs w:val="12"/>
                <w:color w:val="auto"/>
              </w:rPr>
            </w:pPr>
          </w:p>
        </w:tc>
        <w:tc>
          <w:tcPr>
            <w:tcW w:w="2040" w:type="dxa"/>
            <w:vAlign w:val="bottom"/>
            <w:tcBorders>
              <w:top w:val="single" w:sz="8" w:color="2C6937"/>
            </w:tcBorders>
            <w:gridSpan w:val="5"/>
          </w:tcPr>
          <w:p>
            <w:pPr>
              <w:jc w:val="center"/>
              <w:ind w:right="220"/>
              <w:spacing w:after="0" w:line="148" w:lineRule="exact"/>
              <w:rPr>
                <w:sz w:val="20"/>
                <w:szCs w:val="20"/>
                <w:color w:val="auto"/>
              </w:rPr>
            </w:pPr>
            <w:r>
              <w:rPr>
                <w:rFonts w:ascii="Arial" w:cs="Arial" w:eastAsia="Arial" w:hAnsi="Arial"/>
                <w:sz w:val="14"/>
                <w:szCs w:val="14"/>
                <w:b w:val="1"/>
                <w:bCs w:val="1"/>
                <w:color w:val="auto"/>
                <w:w w:val="97"/>
              </w:rPr>
              <w:t>For the Nine Months Ended</w:t>
            </w:r>
          </w:p>
        </w:tc>
        <w:tc>
          <w:tcPr>
            <w:tcW w:w="160" w:type="dxa"/>
            <w:vAlign w:val="bottom"/>
            <w:tcBorders>
              <w:top w:val="single" w:sz="8" w:color="2C6937"/>
            </w:tcBorders>
          </w:tcPr>
          <w:p>
            <w:pPr>
              <w:spacing w:after="0"/>
              <w:rPr>
                <w:sz w:val="12"/>
                <w:szCs w:val="12"/>
                <w:color w:val="auto"/>
              </w:rPr>
            </w:pPr>
          </w:p>
        </w:tc>
        <w:tc>
          <w:tcPr>
            <w:tcW w:w="860" w:type="dxa"/>
            <w:vAlign w:val="bottom"/>
            <w:tcBorders>
              <w:top w:val="single" w:sz="8" w:color="2C6937"/>
            </w:tcBorders>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8"/>
              </w:rPr>
              <w:t>September 30,</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8"/>
              </w:rPr>
              <w:t>September 30,</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2C6937"/>
              <w:bottom w:val="single" w:sz="8" w:color="2C6937"/>
            </w:tcBorders>
          </w:tcPr>
          <w:p>
            <w:pPr>
              <w:spacing w:after="0"/>
              <w:rPr>
                <w:sz w:val="16"/>
                <w:szCs w:val="16"/>
                <w:color w:val="auto"/>
              </w:rPr>
            </w:pPr>
          </w:p>
        </w:tc>
        <w:tc>
          <w:tcPr>
            <w:tcW w:w="720" w:type="dxa"/>
            <w:vAlign w:val="bottom"/>
            <w:tcBorders>
              <w:top w:val="single" w:sz="8" w:color="2C6937"/>
              <w:bottom w:val="single" w:sz="8" w:color="2C6937"/>
            </w:tcBorders>
          </w:tcPr>
          <w:p>
            <w:pPr>
              <w:jc w:val="right"/>
              <w:ind w:right="244"/>
              <w:spacing w:after="0"/>
              <w:rPr>
                <w:sz w:val="20"/>
                <w:szCs w:val="20"/>
                <w:color w:val="auto"/>
              </w:rPr>
            </w:pPr>
            <w:r>
              <w:rPr>
                <w:rFonts w:ascii="Arial" w:cs="Arial" w:eastAsia="Arial" w:hAnsi="Arial"/>
                <w:sz w:val="14"/>
                <w:szCs w:val="14"/>
                <w:b w:val="1"/>
                <w:bCs w:val="1"/>
                <w:color w:val="auto"/>
              </w:rPr>
              <w:t>2024</w:t>
            </w:r>
          </w:p>
        </w:tc>
        <w:tc>
          <w:tcPr>
            <w:tcW w:w="140" w:type="dxa"/>
            <w:vAlign w:val="bottom"/>
            <w:tcBorders>
              <w:top w:val="single" w:sz="8" w:color="2C6937"/>
              <w:bottom w:val="single" w:sz="8" w:color="2C6937"/>
            </w:tcBorders>
          </w:tcPr>
          <w:p>
            <w:pPr>
              <w:spacing w:after="0"/>
              <w:rPr>
                <w:sz w:val="16"/>
                <w:szCs w:val="16"/>
                <w:color w:val="auto"/>
              </w:rPr>
            </w:pPr>
          </w:p>
        </w:tc>
        <w:tc>
          <w:tcPr>
            <w:tcW w:w="200" w:type="dxa"/>
            <w:vAlign w:val="bottom"/>
            <w:tcBorders>
              <w:top w:val="single" w:sz="8" w:color="2C6937"/>
              <w:bottom w:val="single" w:sz="8" w:color="2C6937"/>
            </w:tcBorders>
          </w:tcPr>
          <w:p>
            <w:pPr>
              <w:spacing w:after="0"/>
              <w:rPr>
                <w:sz w:val="16"/>
                <w:szCs w:val="16"/>
                <w:color w:val="auto"/>
              </w:rPr>
            </w:pPr>
          </w:p>
        </w:tc>
        <w:tc>
          <w:tcPr>
            <w:tcW w:w="740" w:type="dxa"/>
            <w:vAlign w:val="bottom"/>
            <w:tcBorders>
              <w:top w:val="single" w:sz="8" w:color="2C6937"/>
              <w:bottom w:val="single" w:sz="8" w:color="2C6937"/>
            </w:tcBorders>
          </w:tcPr>
          <w:p>
            <w:pPr>
              <w:jc w:val="right"/>
              <w:ind w:right="243"/>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2C6937"/>
            </w:tcBorders>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gridSpan w:val="2"/>
          </w:tcPr>
          <w:p>
            <w:pPr>
              <w:ind w:left="40"/>
              <w:spacing w:after="0"/>
              <w:rPr>
                <w:sz w:val="20"/>
                <w:szCs w:val="20"/>
                <w:color w:val="auto"/>
              </w:rPr>
            </w:pPr>
            <w:r>
              <w:rPr>
                <w:rFonts w:ascii="Arial" w:cs="Arial" w:eastAsia="Arial" w:hAnsi="Arial"/>
                <w:sz w:val="14"/>
                <w:szCs w:val="14"/>
                <w:b w:val="1"/>
                <w:bCs w:val="1"/>
                <w:color w:val="auto"/>
              </w:rPr>
              <w:t>Variance</w:t>
            </w:r>
          </w:p>
        </w:tc>
        <w:tc>
          <w:tcPr>
            <w:tcW w:w="100" w:type="dxa"/>
            <w:vAlign w:val="bottom"/>
            <w:tcBorders>
              <w:top w:val="single" w:sz="8" w:color="2C6937"/>
              <w:bottom w:val="single" w:sz="8" w:color="2C6937"/>
            </w:tcBorders>
          </w:tcPr>
          <w:p>
            <w:pPr>
              <w:spacing w:after="0"/>
              <w:rPr>
                <w:sz w:val="16"/>
                <w:szCs w:val="16"/>
                <w:color w:val="auto"/>
              </w:rPr>
            </w:pPr>
          </w:p>
        </w:tc>
        <w:tc>
          <w:tcPr>
            <w:tcW w:w="860" w:type="dxa"/>
            <w:vAlign w:val="bottom"/>
            <w:tcBorders>
              <w:top w:val="single" w:sz="8" w:color="2C6937"/>
              <w:bottom w:val="single" w:sz="8" w:color="2C6937"/>
            </w:tcBorders>
          </w:tcPr>
          <w:p>
            <w:pPr>
              <w:jc w:val="right"/>
              <w:ind w:right="26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2C6937"/>
              <w:bottom w:val="single" w:sz="8" w:color="2C6937"/>
            </w:tcBorders>
          </w:tcPr>
          <w:p>
            <w:pPr>
              <w:spacing w:after="0"/>
              <w:rPr>
                <w:sz w:val="16"/>
                <w:szCs w:val="16"/>
                <w:color w:val="auto"/>
              </w:rPr>
            </w:pPr>
          </w:p>
        </w:tc>
        <w:tc>
          <w:tcPr>
            <w:tcW w:w="200" w:type="dxa"/>
            <w:vAlign w:val="bottom"/>
            <w:tcBorders>
              <w:top w:val="single" w:sz="8" w:color="2C6937"/>
              <w:bottom w:val="single" w:sz="8" w:color="2C6937"/>
            </w:tcBorders>
          </w:tcPr>
          <w:p>
            <w:pPr>
              <w:spacing w:after="0"/>
              <w:rPr>
                <w:sz w:val="16"/>
                <w:szCs w:val="16"/>
                <w:color w:val="auto"/>
              </w:rPr>
            </w:pPr>
          </w:p>
        </w:tc>
        <w:tc>
          <w:tcPr>
            <w:tcW w:w="780" w:type="dxa"/>
            <w:vAlign w:val="bottom"/>
            <w:tcBorders>
              <w:top w:val="single" w:sz="8" w:color="2C6937"/>
              <w:bottom w:val="single" w:sz="8" w:color="2C6937"/>
            </w:tcBorders>
          </w:tcPr>
          <w:p>
            <w:pPr>
              <w:jc w:val="right"/>
              <w:ind w:right="26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2C6937"/>
            </w:tcBorders>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jc w:val="right"/>
              <w:ind w:right="163"/>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85"/>
        </w:trPr>
        <w:tc>
          <w:tcPr>
            <w:tcW w:w="4800" w:type="dxa"/>
            <w:vAlign w:val="bottom"/>
            <w:gridSpan w:val="2"/>
            <w:vMerge w:val="restart"/>
          </w:tcPr>
          <w:p>
            <w:pPr>
              <w:ind w:left="20"/>
              <w:spacing w:after="0"/>
              <w:rPr>
                <w:sz w:val="20"/>
                <w:szCs w:val="20"/>
                <w:color w:val="auto"/>
              </w:rPr>
            </w:pPr>
            <w:r>
              <w:rPr>
                <w:rFonts w:ascii="Arial" w:cs="Arial" w:eastAsia="Arial" w:hAnsi="Arial"/>
                <w:sz w:val="15"/>
                <w:szCs w:val="15"/>
                <w:color w:val="auto"/>
              </w:rPr>
              <w:t>Net interest income</w:t>
            </w:r>
            <w:r>
              <w:rPr>
                <w:rFonts w:ascii="Arial" w:cs="Arial" w:eastAsia="Arial" w:hAnsi="Arial"/>
                <w:sz w:val="20"/>
                <w:szCs w:val="20"/>
                <w:color w:val="auto"/>
                <w:vertAlign w:val="superscript"/>
              </w:rPr>
              <w:t>(2)</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gridSpan w:val="5"/>
          </w:tcPr>
          <w:p>
            <w:pPr>
              <w:ind w:left="26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800" w:type="dxa"/>
            <w:vAlign w:val="bottom"/>
            <w:gridSpan w:val="2"/>
            <w:vMerge w:val="continue"/>
          </w:tcPr>
          <w:p>
            <w:pPr>
              <w:spacing w:after="0"/>
              <w:rPr>
                <w:sz w:val="17"/>
                <w:szCs w:val="17"/>
                <w:color w:val="auto"/>
              </w:rPr>
            </w:pPr>
          </w:p>
        </w:tc>
        <w:tc>
          <w:tcPr>
            <w:tcW w:w="200" w:type="dxa"/>
            <w:vAlign w:val="bottom"/>
          </w:tcPr>
          <w:p>
            <w:pPr>
              <w:jc w:val="right"/>
              <w:ind w:right="26"/>
              <w:spacing w:after="0"/>
              <w:rPr>
                <w:sz w:val="20"/>
                <w:szCs w:val="20"/>
                <w:color w:val="auto"/>
              </w:rPr>
            </w:pPr>
            <w:r>
              <w:rPr>
                <w:rFonts w:ascii="Arial" w:cs="Arial" w:eastAsia="Arial" w:hAnsi="Arial"/>
                <w:sz w:val="15"/>
                <w:szCs w:val="15"/>
                <w:b w:val="1"/>
                <w:bCs w:val="1"/>
                <w:color w:val="auto"/>
                <w:w w:val="95"/>
              </w:rPr>
              <w:t>$</w:t>
            </w:r>
          </w:p>
        </w:tc>
        <w:tc>
          <w:tcPr>
            <w:tcW w:w="720" w:type="dxa"/>
            <w:vAlign w:val="bottom"/>
          </w:tcPr>
          <w:p>
            <w:pPr>
              <w:jc w:val="right"/>
              <w:ind w:right="4"/>
              <w:spacing w:after="0"/>
              <w:rPr>
                <w:sz w:val="20"/>
                <w:szCs w:val="20"/>
                <w:color w:val="auto"/>
              </w:rPr>
            </w:pPr>
            <w:r>
              <w:rPr>
                <w:rFonts w:ascii="Arial" w:cs="Arial" w:eastAsia="Arial" w:hAnsi="Arial"/>
                <w:sz w:val="15"/>
                <w:szCs w:val="15"/>
                <w:b w:val="1"/>
                <w:bCs w:val="1"/>
                <w:color w:val="auto"/>
              </w:rPr>
              <w:t>6,131</w:t>
            </w:r>
          </w:p>
        </w:tc>
        <w:tc>
          <w:tcPr>
            <w:tcW w:w="14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6,074</w:t>
            </w:r>
          </w:p>
        </w:tc>
        <w:tc>
          <w:tcPr>
            <w:tcW w:w="1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57</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60" w:type="dxa"/>
            <w:vAlign w:val="bottom"/>
          </w:tcPr>
          <w:p>
            <w:pPr>
              <w:jc w:val="right"/>
              <w:ind w:right="4"/>
              <w:spacing w:after="0"/>
              <w:rPr>
                <w:sz w:val="20"/>
                <w:szCs w:val="20"/>
                <w:color w:val="auto"/>
              </w:rPr>
            </w:pPr>
            <w:r>
              <w:rPr>
                <w:rFonts w:ascii="Arial" w:cs="Arial" w:eastAsia="Arial" w:hAnsi="Arial"/>
                <w:sz w:val="15"/>
                <w:szCs w:val="15"/>
                <w:b w:val="1"/>
                <w:bCs w:val="1"/>
                <w:color w:val="auto"/>
              </w:rPr>
              <w:t>18,101</w:t>
            </w:r>
          </w:p>
        </w:tc>
        <w:tc>
          <w:tcPr>
            <w:tcW w:w="100" w:type="dxa"/>
            <w:vAlign w:val="bottom"/>
          </w:tcPr>
          <w:p>
            <w:pPr>
              <w:spacing w:after="0"/>
              <w:rPr>
                <w:sz w:val="17"/>
                <w:szCs w:val="17"/>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17,663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438</w:t>
            </w:r>
          </w:p>
        </w:tc>
        <w:tc>
          <w:tcPr>
            <w:tcW w:w="0" w:type="dxa"/>
            <w:vAlign w:val="bottom"/>
          </w:tcPr>
          <w:p>
            <w:pPr>
              <w:spacing w:after="0"/>
              <w:rPr>
                <w:sz w:val="1"/>
                <w:szCs w:val="1"/>
                <w:color w:val="auto"/>
              </w:rPr>
            </w:pPr>
          </w:p>
        </w:tc>
      </w:tr>
      <w:tr>
        <w:trPr>
          <w:trHeight w:val="208"/>
        </w:trPr>
        <w:tc>
          <w:tcPr>
            <w:tcW w:w="47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Fee and other income</w:t>
            </w: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b w:val="1"/>
                <w:bCs w:val="1"/>
                <w:color w:val="auto"/>
              </w:rPr>
              <w:t>48</w:t>
            </w:r>
          </w:p>
        </w:tc>
        <w:tc>
          <w:tcPr>
            <w:tcW w:w="14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4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56</w:t>
            </w:r>
          </w:p>
        </w:tc>
        <w:tc>
          <w:tcPr>
            <w:tcW w:w="14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w:t>
            </w:r>
          </w:p>
        </w:tc>
        <w:tc>
          <w:tcPr>
            <w:tcW w:w="140" w:type="dxa"/>
            <w:vAlign w:val="bottom"/>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b w:val="1"/>
                <w:bCs w:val="1"/>
                <w:color w:val="auto"/>
              </w:rPr>
              <w:t>154</w:t>
            </w: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156</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98"/>
        </w:trPr>
        <w:tc>
          <w:tcPr>
            <w:tcW w:w="4800" w:type="dxa"/>
            <w:vAlign w:val="bottom"/>
            <w:gridSpan w:val="2"/>
          </w:tcPr>
          <w:p>
            <w:pPr>
              <w:ind w:left="180"/>
              <w:spacing w:after="0"/>
              <w:rPr>
                <w:sz w:val="20"/>
                <w:szCs w:val="20"/>
                <w:color w:val="auto"/>
              </w:rPr>
            </w:pPr>
            <w:r>
              <w:rPr>
                <w:rFonts w:ascii="Arial" w:cs="Arial" w:eastAsia="Arial" w:hAnsi="Arial"/>
                <w:sz w:val="15"/>
                <w:szCs w:val="15"/>
                <w:color w:val="auto"/>
              </w:rPr>
              <w:t>Net revenues</w:t>
            </w:r>
          </w:p>
        </w:tc>
        <w:tc>
          <w:tcPr>
            <w:tcW w:w="20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b w:val="1"/>
                <w:bCs w:val="1"/>
                <w:color w:val="auto"/>
              </w:rPr>
              <w:t>6,179</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6,130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49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b w:val="1"/>
                <w:bCs w:val="1"/>
                <w:color w:val="auto"/>
              </w:rPr>
              <w:t>18,255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17,819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436</w:t>
            </w:r>
          </w:p>
        </w:tc>
        <w:tc>
          <w:tcPr>
            <w:tcW w:w="0" w:type="dxa"/>
            <w:vAlign w:val="bottom"/>
          </w:tcPr>
          <w:p>
            <w:pPr>
              <w:spacing w:after="0"/>
              <w:rPr>
                <w:sz w:val="1"/>
                <w:szCs w:val="1"/>
                <w:color w:val="auto"/>
              </w:rPr>
            </w:pPr>
          </w:p>
        </w:tc>
      </w:tr>
      <w:tr>
        <w:trPr>
          <w:trHeight w:val="206"/>
        </w:trPr>
        <w:tc>
          <w:tcPr>
            <w:tcW w:w="4800" w:type="dxa"/>
            <w:vAlign w:val="bottom"/>
            <w:gridSpan w:val="2"/>
          </w:tcPr>
          <w:p>
            <w:pPr>
              <w:ind w:left="20"/>
              <w:spacing w:after="0"/>
              <w:rPr>
                <w:sz w:val="20"/>
                <w:szCs w:val="20"/>
                <w:color w:val="auto"/>
              </w:rPr>
            </w:pPr>
            <w:r>
              <w:rPr>
                <w:rFonts w:ascii="Arial" w:cs="Arial" w:eastAsia="Arial" w:hAnsi="Arial"/>
                <w:sz w:val="15"/>
                <w:szCs w:val="15"/>
                <w:color w:val="auto"/>
              </w:rPr>
              <w:t>Investment gains (losses), net</w:t>
            </w:r>
          </w:p>
        </w:tc>
        <w:tc>
          <w:tcPr>
            <w:tcW w:w="20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b w:val="1"/>
                <w:bCs w:val="1"/>
                <w:color w:val="auto"/>
              </w:rPr>
              <w:t>9</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9</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(48)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206"/>
        </w:trPr>
        <w:tc>
          <w:tcPr>
            <w:tcW w:w="4800" w:type="dxa"/>
            <w:vAlign w:val="bottom"/>
            <w:gridSpan w:val="2"/>
          </w:tcPr>
          <w:p>
            <w:pPr>
              <w:ind w:left="20"/>
              <w:spacing w:after="0"/>
              <w:rPr>
                <w:sz w:val="20"/>
                <w:szCs w:val="20"/>
                <w:color w:val="auto"/>
              </w:rPr>
            </w:pPr>
            <w:r>
              <w:rPr>
                <w:rFonts w:ascii="Arial" w:cs="Arial" w:eastAsia="Arial" w:hAnsi="Arial"/>
                <w:sz w:val="15"/>
                <w:szCs w:val="15"/>
                <w:color w:val="auto"/>
              </w:rPr>
              <w:t>Fair value gains (losses), net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(8)</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742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(750)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b w:val="1"/>
                <w:bCs w:val="1"/>
                <w:color w:val="auto"/>
              </w:rPr>
              <w:t>930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1,368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(438)</w:t>
            </w:r>
          </w:p>
        </w:tc>
        <w:tc>
          <w:tcPr>
            <w:tcW w:w="0" w:type="dxa"/>
            <w:vAlign w:val="bottom"/>
          </w:tcPr>
          <w:p>
            <w:pPr>
              <w:spacing w:after="0"/>
              <w:rPr>
                <w:sz w:val="1"/>
                <w:szCs w:val="1"/>
                <w:color w:val="auto"/>
              </w:rPr>
            </w:pPr>
          </w:p>
        </w:tc>
      </w:tr>
      <w:tr>
        <w:trPr>
          <w:trHeight w:val="206"/>
        </w:trPr>
        <w:tc>
          <w:tcPr>
            <w:tcW w:w="4800" w:type="dxa"/>
            <w:vAlign w:val="bottom"/>
            <w:gridSpan w:val="2"/>
          </w:tcPr>
          <w:p>
            <w:pPr>
              <w:ind w:left="20"/>
              <w:spacing w:after="0"/>
              <w:rPr>
                <w:sz w:val="20"/>
                <w:szCs w:val="20"/>
                <w:color w:val="auto"/>
              </w:rPr>
            </w:pPr>
            <w:r>
              <w:rPr>
                <w:rFonts w:ascii="Arial" w:cs="Arial" w:eastAsia="Arial" w:hAnsi="Arial"/>
                <w:sz w:val="15"/>
                <w:szCs w:val="15"/>
                <w:color w:val="auto"/>
              </w:rPr>
              <w:t>Administrative expenses</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(766)</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(745)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(2,327)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(2,183)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(144)</w:t>
            </w:r>
          </w:p>
        </w:tc>
        <w:tc>
          <w:tcPr>
            <w:tcW w:w="0" w:type="dxa"/>
            <w:vAlign w:val="bottom"/>
          </w:tcPr>
          <w:p>
            <w:pPr>
              <w:spacing w:after="0"/>
              <w:rPr>
                <w:sz w:val="1"/>
                <w:szCs w:val="1"/>
                <w:color w:val="auto"/>
              </w:rPr>
            </w:pPr>
          </w:p>
        </w:tc>
      </w:tr>
      <w:tr>
        <w:trPr>
          <w:trHeight w:val="197"/>
        </w:trPr>
        <w:tc>
          <w:tcPr>
            <w:tcW w:w="4800" w:type="dxa"/>
            <w:vAlign w:val="bottom"/>
            <w:gridSpan w:val="2"/>
          </w:tcPr>
          <w:p>
            <w:pPr>
              <w:ind w:left="20"/>
              <w:spacing w:after="0"/>
              <w:rPr>
                <w:sz w:val="20"/>
                <w:szCs w:val="20"/>
                <w:color w:val="auto"/>
              </w:rPr>
            </w:pPr>
            <w:r>
              <w:rPr>
                <w:rFonts w:ascii="Arial" w:cs="Arial" w:eastAsia="Arial" w:hAnsi="Arial"/>
                <w:sz w:val="15"/>
                <w:szCs w:val="15"/>
                <w:color w:val="auto"/>
              </w:rPr>
              <w:t>Benefit (provision) for credit losses</w:t>
            </w:r>
          </w:p>
        </w:tc>
        <w:tc>
          <w:tcPr>
            <w:tcW w:w="20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b w:val="1"/>
                <w:bCs w:val="1"/>
                <w:color w:val="auto"/>
              </w:rPr>
              <w:t>451</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736</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(285)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b w:val="1"/>
                <w:bCs w:val="1"/>
                <w:color w:val="auto"/>
              </w:rPr>
              <w:t>1,334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2,201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(867)</w:t>
            </w:r>
          </w:p>
        </w:tc>
        <w:tc>
          <w:tcPr>
            <w:tcW w:w="0" w:type="dxa"/>
            <w:vAlign w:val="bottom"/>
          </w:tcPr>
          <w:p>
            <w:pPr>
              <w:spacing w:after="0"/>
              <w:rPr>
                <w:sz w:val="1"/>
                <w:szCs w:val="1"/>
                <w:color w:val="auto"/>
              </w:rPr>
            </w:pPr>
          </w:p>
        </w:tc>
      </w:tr>
      <w:tr>
        <w:trPr>
          <w:trHeight w:val="216"/>
        </w:trPr>
        <w:tc>
          <w:tcPr>
            <w:tcW w:w="4800" w:type="dxa"/>
            <w:vAlign w:val="bottom"/>
            <w:gridSpan w:val="2"/>
          </w:tcPr>
          <w:p>
            <w:pPr>
              <w:ind w:left="20"/>
              <w:spacing w:after="0" w:line="216" w:lineRule="exact"/>
              <w:rPr>
                <w:sz w:val="20"/>
                <w:szCs w:val="20"/>
                <w:color w:val="auto"/>
              </w:rPr>
            </w:pPr>
            <w:r>
              <w:rPr>
                <w:rFonts w:ascii="Arial" w:cs="Arial" w:eastAsia="Arial" w:hAnsi="Arial"/>
                <w:sz w:val="15"/>
                <w:szCs w:val="15"/>
                <w:color w:val="auto"/>
              </w:rPr>
              <w:t>TCCA fees</w:t>
            </w:r>
            <w:r>
              <w:rPr>
                <w:rFonts w:ascii="Arial" w:cs="Arial" w:eastAsia="Arial" w:hAnsi="Arial"/>
                <w:sz w:val="20"/>
                <w:szCs w:val="20"/>
                <w:color w:val="auto"/>
                <w:vertAlign w:val="superscript"/>
              </w:rPr>
              <w:t>(2)</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(862)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(860)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(2,581)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(2,571)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10"/>
        </w:trPr>
        <w:tc>
          <w:tcPr>
            <w:tcW w:w="4800" w:type="dxa"/>
            <w:vAlign w:val="bottom"/>
            <w:gridSpan w:val="2"/>
          </w:tcPr>
          <w:p>
            <w:pPr>
              <w:ind w:left="20"/>
              <w:spacing w:after="0"/>
              <w:rPr>
                <w:sz w:val="20"/>
                <w:szCs w:val="20"/>
                <w:color w:val="auto"/>
              </w:rPr>
            </w:pPr>
            <w:r>
              <w:rPr>
                <w:rFonts w:ascii="Arial" w:cs="Arial" w:eastAsia="Arial" w:hAnsi="Arial"/>
                <w:sz w:val="15"/>
                <w:szCs w:val="15"/>
                <w:color w:val="auto"/>
              </w:rPr>
              <w:t>Credit enhancement expense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(336)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(335)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(1,022)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(949)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(73)</w:t>
            </w:r>
          </w:p>
        </w:tc>
        <w:tc>
          <w:tcPr>
            <w:tcW w:w="0" w:type="dxa"/>
            <w:vAlign w:val="bottom"/>
          </w:tcPr>
          <w:p>
            <w:pPr>
              <w:spacing w:after="0"/>
              <w:rPr>
                <w:sz w:val="1"/>
                <w:szCs w:val="1"/>
                <w:color w:val="auto"/>
              </w:rPr>
            </w:pPr>
          </w:p>
        </w:tc>
      </w:tr>
      <w:tr>
        <w:trPr>
          <w:trHeight w:val="219"/>
        </w:trPr>
        <w:tc>
          <w:tcPr>
            <w:tcW w:w="4800" w:type="dxa"/>
            <w:vAlign w:val="bottom"/>
            <w:gridSpan w:val="2"/>
          </w:tcPr>
          <w:p>
            <w:pPr>
              <w:ind w:left="20"/>
              <w:spacing w:after="0" w:line="219" w:lineRule="exact"/>
              <w:rPr>
                <w:sz w:val="20"/>
                <w:szCs w:val="20"/>
                <w:color w:val="auto"/>
              </w:rPr>
            </w:pPr>
            <w:r>
              <w:rPr>
                <w:rFonts w:ascii="Arial" w:cs="Arial" w:eastAsia="Arial" w:hAnsi="Arial"/>
                <w:sz w:val="15"/>
                <w:szCs w:val="15"/>
                <w:color w:val="auto"/>
              </w:rPr>
              <w:t>Change in expected credit enhancement recoveries</w:t>
            </w:r>
            <w:r>
              <w:rPr>
                <w:rFonts w:ascii="Arial" w:cs="Arial" w:eastAsia="Arial" w:hAnsi="Arial"/>
                <w:sz w:val="20"/>
                <w:szCs w:val="20"/>
                <w:color w:val="auto"/>
                <w:vertAlign w:val="superscript"/>
              </w:rPr>
              <w:t>(3)</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(45)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(170)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125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(134)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164</w:t>
            </w:r>
          </w:p>
        </w:tc>
        <w:tc>
          <w:tcPr>
            <w:tcW w:w="0" w:type="dxa"/>
            <w:vAlign w:val="bottom"/>
          </w:tcPr>
          <w:p>
            <w:pPr>
              <w:spacing w:after="0"/>
              <w:rPr>
                <w:sz w:val="1"/>
                <w:szCs w:val="1"/>
                <w:color w:val="auto"/>
              </w:rPr>
            </w:pPr>
          </w:p>
        </w:tc>
      </w:tr>
      <w:tr>
        <w:trPr>
          <w:trHeight w:val="217"/>
        </w:trPr>
        <w:tc>
          <w:tcPr>
            <w:tcW w:w="4700" w:type="dxa"/>
            <w:vAlign w:val="bottom"/>
            <w:tcBorders>
              <w:bottom w:val="single" w:sz="8" w:color="2C6937"/>
            </w:tcBorders>
          </w:tcPr>
          <w:p>
            <w:pPr>
              <w:ind w:left="20"/>
              <w:spacing w:after="0" w:line="217" w:lineRule="exact"/>
              <w:rPr>
                <w:sz w:val="20"/>
                <w:szCs w:val="20"/>
                <w:color w:val="auto"/>
              </w:rPr>
            </w:pPr>
            <w:r>
              <w:rPr>
                <w:rFonts w:ascii="Arial" w:cs="Arial" w:eastAsia="Arial" w:hAnsi="Arial"/>
                <w:sz w:val="15"/>
                <w:szCs w:val="15"/>
                <w:color w:val="auto"/>
              </w:rPr>
              <w:t>Other expenses, net</w:t>
            </w:r>
            <w:r>
              <w:rPr>
                <w:rFonts w:ascii="Arial" w:cs="Arial" w:eastAsia="Arial" w:hAnsi="Arial"/>
                <w:sz w:val="20"/>
                <w:szCs w:val="20"/>
                <w:color w:val="auto"/>
                <w:vertAlign w:val="superscript"/>
              </w:rPr>
              <w:t>(4)</w:t>
            </w: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(218)</w:t>
            </w:r>
          </w:p>
        </w:tc>
        <w:tc>
          <w:tcPr>
            <w:tcW w:w="14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(411)</w:t>
            </w:r>
          </w:p>
        </w:tc>
        <w:tc>
          <w:tcPr>
            <w:tcW w:w="14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82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193</w:t>
            </w:r>
          </w:p>
        </w:tc>
        <w:tc>
          <w:tcPr>
            <w:tcW w:w="140" w:type="dxa"/>
            <w:vAlign w:val="bottom"/>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(612)</w:t>
            </w: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(730)</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118</w:t>
            </w:r>
          </w:p>
        </w:tc>
        <w:tc>
          <w:tcPr>
            <w:tcW w:w="0" w:type="dxa"/>
            <w:vAlign w:val="bottom"/>
          </w:tcPr>
          <w:p>
            <w:pPr>
              <w:spacing w:after="0"/>
              <w:rPr>
                <w:sz w:val="1"/>
                <w:szCs w:val="1"/>
                <w:color w:val="auto"/>
              </w:rPr>
            </w:pPr>
          </w:p>
        </w:tc>
      </w:tr>
      <w:tr>
        <w:trPr>
          <w:trHeight w:val="198"/>
        </w:trPr>
        <w:tc>
          <w:tcPr>
            <w:tcW w:w="4800" w:type="dxa"/>
            <w:vAlign w:val="bottom"/>
            <w:gridSpan w:val="2"/>
          </w:tcPr>
          <w:p>
            <w:pPr>
              <w:ind w:left="20"/>
              <w:spacing w:after="0"/>
              <w:rPr>
                <w:sz w:val="20"/>
                <w:szCs w:val="20"/>
                <w:color w:val="auto"/>
              </w:rPr>
            </w:pPr>
            <w:r>
              <w:rPr>
                <w:rFonts w:ascii="Arial" w:cs="Arial" w:eastAsia="Arial" w:hAnsi="Arial"/>
                <w:sz w:val="15"/>
                <w:szCs w:val="15"/>
                <w:color w:val="auto"/>
              </w:rPr>
              <w:t>Income before federal income taxes</w:t>
            </w:r>
          </w:p>
        </w:tc>
        <w:tc>
          <w:tcPr>
            <w:tcW w:w="20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b w:val="1"/>
                <w:bCs w:val="1"/>
                <w:color w:val="auto"/>
              </w:rPr>
              <w:t>4,404</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5,096</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(692)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b w:val="1"/>
                <w:bCs w:val="1"/>
                <w:color w:val="auto"/>
              </w:rPr>
              <w:t>13,795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14,622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(827)</w:t>
            </w:r>
          </w:p>
        </w:tc>
        <w:tc>
          <w:tcPr>
            <w:tcW w:w="0" w:type="dxa"/>
            <w:vAlign w:val="bottom"/>
          </w:tcPr>
          <w:p>
            <w:pPr>
              <w:spacing w:after="0"/>
              <w:rPr>
                <w:sz w:val="1"/>
                <w:szCs w:val="1"/>
                <w:color w:val="auto"/>
              </w:rPr>
            </w:pPr>
          </w:p>
        </w:tc>
      </w:tr>
      <w:tr>
        <w:trPr>
          <w:trHeight w:val="208"/>
        </w:trPr>
        <w:tc>
          <w:tcPr>
            <w:tcW w:w="47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Provision for federal income taxes</w:t>
            </w: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(890)</w:t>
            </w:r>
          </w:p>
        </w:tc>
        <w:tc>
          <w:tcPr>
            <w:tcW w:w="14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(1,071)</w:t>
            </w:r>
          </w:p>
        </w:tc>
        <w:tc>
          <w:tcPr>
            <w:tcW w:w="14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82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181</w:t>
            </w:r>
          </w:p>
        </w:tc>
        <w:tc>
          <w:tcPr>
            <w:tcW w:w="140" w:type="dxa"/>
            <w:vAlign w:val="bottom"/>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(2,819)</w:t>
            </w: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(3,071)</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252</w:t>
            </w:r>
          </w:p>
        </w:tc>
        <w:tc>
          <w:tcPr>
            <w:tcW w:w="0" w:type="dxa"/>
            <w:vAlign w:val="bottom"/>
          </w:tcPr>
          <w:p>
            <w:pPr>
              <w:spacing w:after="0"/>
              <w:rPr>
                <w:sz w:val="1"/>
                <w:szCs w:val="1"/>
                <w:color w:val="auto"/>
              </w:rPr>
            </w:pPr>
          </w:p>
        </w:tc>
      </w:tr>
      <w:tr>
        <w:trPr>
          <w:trHeight w:val="199"/>
        </w:trPr>
        <w:tc>
          <w:tcPr>
            <w:tcW w:w="4800" w:type="dxa"/>
            <w:vAlign w:val="bottom"/>
            <w:gridSpan w:val="2"/>
          </w:tcPr>
          <w:p>
            <w:pPr>
              <w:ind w:left="180"/>
              <w:spacing w:after="0"/>
              <w:rPr>
                <w:sz w:val="20"/>
                <w:szCs w:val="20"/>
                <w:color w:val="auto"/>
              </w:rPr>
            </w:pPr>
            <w:r>
              <w:rPr>
                <w:rFonts w:ascii="Arial" w:cs="Arial" w:eastAsia="Arial" w:hAnsi="Arial"/>
                <w:sz w:val="15"/>
                <w:szCs w:val="15"/>
                <w:color w:val="auto"/>
              </w:rPr>
              <w:t>Net income</w:t>
            </w:r>
          </w:p>
        </w:tc>
        <w:tc>
          <w:tcPr>
            <w:tcW w:w="200" w:type="dxa"/>
            <w:vAlign w:val="bottom"/>
          </w:tcPr>
          <w:p>
            <w:pPr>
              <w:jc w:val="right"/>
              <w:ind w:right="26"/>
              <w:spacing w:after="0"/>
              <w:rPr>
                <w:sz w:val="20"/>
                <w:szCs w:val="20"/>
                <w:color w:val="auto"/>
              </w:rPr>
            </w:pPr>
            <w:r>
              <w:rPr>
                <w:rFonts w:ascii="Arial" w:cs="Arial" w:eastAsia="Arial" w:hAnsi="Arial"/>
                <w:sz w:val="15"/>
                <w:szCs w:val="15"/>
                <w:b w:val="1"/>
                <w:bCs w:val="1"/>
                <w:color w:val="auto"/>
                <w:w w:val="95"/>
              </w:rPr>
              <w:t>$</w:t>
            </w:r>
          </w:p>
        </w:tc>
        <w:tc>
          <w:tcPr>
            <w:tcW w:w="720" w:type="dxa"/>
            <w:vAlign w:val="bottom"/>
          </w:tcPr>
          <w:p>
            <w:pPr>
              <w:jc w:val="right"/>
              <w:ind w:right="4"/>
              <w:spacing w:after="0"/>
              <w:rPr>
                <w:sz w:val="20"/>
                <w:szCs w:val="20"/>
                <w:color w:val="auto"/>
              </w:rPr>
            </w:pPr>
            <w:r>
              <w:rPr>
                <w:rFonts w:ascii="Arial" w:cs="Arial" w:eastAsia="Arial" w:hAnsi="Arial"/>
                <w:sz w:val="15"/>
                <w:szCs w:val="15"/>
                <w:b w:val="1"/>
                <w:bCs w:val="1"/>
                <w:color w:val="auto"/>
              </w:rPr>
              <w:t>3,514</w:t>
            </w:r>
          </w:p>
        </w:tc>
        <w:tc>
          <w:tcPr>
            <w:tcW w:w="14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4,025</w:t>
            </w:r>
          </w:p>
        </w:tc>
        <w:tc>
          <w:tcPr>
            <w:tcW w:w="1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(511)</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60" w:type="dxa"/>
            <w:vAlign w:val="bottom"/>
          </w:tcPr>
          <w:p>
            <w:pPr>
              <w:jc w:val="right"/>
              <w:ind w:right="4"/>
              <w:spacing w:after="0"/>
              <w:rPr>
                <w:sz w:val="20"/>
                <w:szCs w:val="20"/>
                <w:color w:val="auto"/>
              </w:rPr>
            </w:pPr>
            <w:r>
              <w:rPr>
                <w:rFonts w:ascii="Arial" w:cs="Arial" w:eastAsia="Arial" w:hAnsi="Arial"/>
                <w:sz w:val="15"/>
                <w:szCs w:val="15"/>
                <w:b w:val="1"/>
                <w:bCs w:val="1"/>
                <w:color w:val="auto"/>
              </w:rPr>
              <w:t>10,976</w:t>
            </w:r>
          </w:p>
        </w:tc>
        <w:tc>
          <w:tcPr>
            <w:tcW w:w="100" w:type="dxa"/>
            <w:vAlign w:val="bottom"/>
          </w:tcPr>
          <w:p>
            <w:pPr>
              <w:spacing w:after="0"/>
              <w:rPr>
                <w:sz w:val="17"/>
                <w:szCs w:val="17"/>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11,551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(575)</w:t>
            </w:r>
          </w:p>
        </w:tc>
        <w:tc>
          <w:tcPr>
            <w:tcW w:w="0" w:type="dxa"/>
            <w:vAlign w:val="bottom"/>
          </w:tcPr>
          <w:p>
            <w:pPr>
              <w:spacing w:after="0"/>
              <w:rPr>
                <w:sz w:val="1"/>
                <w:szCs w:val="1"/>
                <w:color w:val="auto"/>
              </w:rPr>
            </w:pPr>
          </w:p>
        </w:tc>
      </w:tr>
      <w:tr>
        <w:trPr>
          <w:trHeight w:val="20"/>
        </w:trPr>
        <w:tc>
          <w:tcPr>
            <w:tcW w:w="47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7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p>
    <w:p>
      <w:pPr>
        <w:ind w:left="220" w:hanging="217"/>
        <w:spacing w:after="0"/>
        <w:tabs>
          <w:tab w:leader="none" w:pos="220" w:val="left"/>
        </w:tabs>
        <w:numPr>
          <w:ilvl w:val="0"/>
          <w:numId w:val="29"/>
        </w:numPr>
        <w:rPr>
          <w:rFonts w:ascii="Arial" w:cs="Arial" w:eastAsia="Arial" w:hAnsi="Arial"/>
          <w:sz w:val="9"/>
          <w:szCs w:val="9"/>
          <w:color w:val="auto"/>
        </w:rPr>
      </w:pPr>
      <w:r>
        <w:rPr>
          <w:rFonts w:ascii="Arial" w:cs="Arial" w:eastAsia="Arial" w:hAnsi="Arial"/>
          <w:sz w:val="14"/>
          <w:szCs w:val="14"/>
          <w:color w:val="auto"/>
        </w:rPr>
        <w:t>See “Note 10, Segment Reporting” for information about our segment allocation methodology.</w:t>
      </w:r>
    </w:p>
    <w:p>
      <w:pPr>
        <w:spacing w:after="0" w:line="45" w:lineRule="exact"/>
        <w:rPr>
          <w:rFonts w:ascii="Arial" w:cs="Arial" w:eastAsia="Arial" w:hAnsi="Arial"/>
          <w:sz w:val="9"/>
          <w:szCs w:val="9"/>
          <w:color w:val="auto"/>
        </w:rPr>
      </w:pPr>
    </w:p>
    <w:p>
      <w:pPr>
        <w:ind w:left="240" w:right="200" w:hanging="237"/>
        <w:spacing w:after="0" w:line="226" w:lineRule="auto"/>
        <w:tabs>
          <w:tab w:leader="none" w:pos="233"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Reflects the impact of a 10 basis point guaranty fee increase implemented pursuant to the TCCA, the incremental revenue from which is paid to Treasury. The resulting revenue is included in “Net interest income” and the expense is recognized as “TCCA fees.”</w:t>
      </w:r>
    </w:p>
    <w:p>
      <w:pPr>
        <w:spacing w:after="0" w:line="27" w:lineRule="exact"/>
        <w:rPr>
          <w:rFonts w:ascii="Arial" w:cs="Arial" w:eastAsia="Arial" w:hAnsi="Arial"/>
          <w:sz w:val="18"/>
          <w:szCs w:val="18"/>
          <w:color w:val="auto"/>
          <w:vertAlign w:val="superscript"/>
        </w:rPr>
      </w:pPr>
    </w:p>
    <w:p>
      <w:pPr>
        <w:ind w:left="240" w:right="420" w:hanging="237"/>
        <w:spacing w:after="0" w:line="226" w:lineRule="auto"/>
        <w:tabs>
          <w:tab w:leader="none" w:pos="233"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Includes estimated changes in benefits, as well as any realized amounts, from our single-family freestanding credit enhancements, which primarily relate to our CAS and CIRT programs.</w:t>
      </w:r>
    </w:p>
    <w:p>
      <w:pPr>
        <w:spacing w:after="0" w:line="14" w:lineRule="exact"/>
        <w:rPr>
          <w:rFonts w:ascii="Arial" w:cs="Arial" w:eastAsia="Arial" w:hAnsi="Arial"/>
          <w:sz w:val="18"/>
          <w:szCs w:val="18"/>
          <w:color w:val="auto"/>
          <w:vertAlign w:val="superscript"/>
        </w:rPr>
      </w:pPr>
    </w:p>
    <w:p>
      <w:pPr>
        <w:ind w:left="240" w:right="440" w:hanging="237"/>
        <w:spacing w:after="0" w:line="278" w:lineRule="auto"/>
        <w:tabs>
          <w:tab w:leader="none" w:pos="233" w:val="left"/>
        </w:tabs>
        <w:numPr>
          <w:ilvl w:val="0"/>
          <w:numId w:val="29"/>
        </w:numPr>
        <w:rPr>
          <w:rFonts w:ascii="Arial" w:cs="Arial" w:eastAsia="Arial" w:hAnsi="Arial"/>
          <w:sz w:val="9"/>
          <w:szCs w:val="9"/>
          <w:color w:val="auto"/>
        </w:rPr>
      </w:pPr>
      <w:r>
        <w:rPr>
          <w:rFonts w:ascii="Arial" w:cs="Arial" w:eastAsia="Arial" w:hAnsi="Arial"/>
          <w:sz w:val="14"/>
          <w:szCs w:val="14"/>
          <w:color w:val="auto"/>
        </w:rPr>
        <w:t>Includes debt extinguishment gains and losses, expenses associated with legal claims, foreclosed property income (expense), gains and losses from partnership investments, housing trust fund expenses, loan subservicing costs, and servicer fees paid in connection with certain loss mitigation activities.</w:t>
      </w:r>
    </w:p>
    <w:p>
      <w:pPr>
        <w:spacing w:after="0" w:line="65"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Net Interest Income</w:t>
      </w:r>
    </w:p>
    <w:p>
      <w:pPr>
        <w:spacing w:after="0" w:line="80" w:lineRule="exact"/>
        <w:rPr>
          <w:sz w:val="20"/>
          <w:szCs w:val="20"/>
          <w:color w:val="auto"/>
        </w:rPr>
      </w:pPr>
    </w:p>
    <w:p>
      <w:pPr>
        <w:ind w:right="380"/>
        <w:spacing w:after="0" w:line="293" w:lineRule="auto"/>
        <w:rPr>
          <w:sz w:val="20"/>
          <w:szCs w:val="20"/>
          <w:color w:val="auto"/>
        </w:rPr>
      </w:pPr>
      <w:r>
        <w:rPr>
          <w:rFonts w:ascii="Arial" w:cs="Arial" w:eastAsia="Arial" w:hAnsi="Arial"/>
          <w:sz w:val="16"/>
          <w:szCs w:val="16"/>
          <w:color w:val="auto"/>
        </w:rPr>
        <w:t>Single-family net interest income remained relatively flat for the third quarter of 2024 compared with the third quarter of 2023. Higher income from base guaranty fees and lower expense from hedge accounting was substantially offset by lower net deferred guaranty fee income.</w:t>
      </w:r>
    </w:p>
    <w:p>
      <w:pPr>
        <w:spacing w:after="0" w:line="15"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The increase in single-family net interest income for the first nine months of 2024 compared with the first nine months of 2023 was primarily as a result of higher base guaranty fee income and higher net interest income from portfolios, partially offset by lower net deferred guaranty fee income.</w:t>
      </w:r>
    </w:p>
    <w:p>
      <w:pPr>
        <w:spacing w:after="0" w:line="15" w:lineRule="exact"/>
        <w:rPr>
          <w:sz w:val="20"/>
          <w:szCs w:val="20"/>
          <w:color w:val="auto"/>
        </w:rPr>
      </w:pPr>
    </w:p>
    <w:p>
      <w:pPr>
        <w:ind w:right="180"/>
        <w:spacing w:after="0" w:line="281" w:lineRule="auto"/>
        <w:rPr>
          <w:sz w:val="20"/>
          <w:szCs w:val="20"/>
          <w:color w:val="auto"/>
        </w:rPr>
      </w:pPr>
      <w:r>
        <w:rPr>
          <w:rFonts w:ascii="Arial" w:cs="Arial" w:eastAsia="Arial" w:hAnsi="Arial"/>
          <w:sz w:val="16"/>
          <w:szCs w:val="16"/>
          <w:color w:val="auto"/>
        </w:rPr>
        <w:t>The drivers of net interest income for the Single-Family segment are consistent with the drivers of net interest income in our condensed consolidated statements of operations and comprehensive income. See “Consolidated Results of Operations—Net Interest Income” for more information on the factors that impact our single-family net interest income.</w:t>
      </w:r>
    </w:p>
    <w:p>
      <w:pPr>
        <w:spacing w:after="0" w:line="64"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Fair Value Gains (Losses), Net</w:t>
      </w:r>
    </w:p>
    <w:p>
      <w:pPr>
        <w:spacing w:after="0" w:line="67"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Fair value losses, net in the third quarter of 2024 were primarily driven by losses on mortgage commitment derivatives, long-term debt of consolidated trusts held at fair value and risk management derivatives, all of which were primarily due to falling interest rates during the third quarter of 2024. These fair value losses were substantially offset by fair value gains on fixed-rate trading securities during the third quarter of 2024, which were also primarily due to falling interest rates during the third quarter of 2024.</w:t>
      </w:r>
    </w:p>
    <w:p>
      <w:pPr>
        <w:spacing w:after="0" w:line="33"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Fair value gains, net in the first nine months of 2024 were driven by gains on fixed-rate trading securities and risk management derivatives, partially offset by losses on long-term debt of consolidated trusts held at fair value and mortgage commitment derivatives.</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2024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23</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60" w:type="dxa"/>
            <w:vAlign w:val="bottom"/>
            <w:tcBorders>
              <w:bottom w:val="single" w:sz="8" w:color="9A9A9A"/>
            </w:tcBorders>
          </w:tcPr>
          <w:p>
            <w:pPr>
              <w:spacing w:after="0"/>
              <w:rPr>
                <w:sz w:val="17"/>
                <w:szCs w:val="17"/>
                <w:color w:val="auto"/>
              </w:rPr>
            </w:pPr>
          </w:p>
        </w:tc>
        <w:tc>
          <w:tcPr>
            <w:tcW w:w="42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26" w:name="page27"/>
    <w:bookmarkEnd w:id="26"/>
    <w:p>
      <w:pPr>
        <w:ind w:left="6560"/>
        <w:spacing w:after="0"/>
        <w:rPr>
          <w:sz w:val="20"/>
          <w:szCs w:val="20"/>
          <w:color w:val="auto"/>
        </w:rPr>
      </w:pPr>
      <w:r>
        <w:rPr>
          <w:rFonts w:ascii="Arial" w:cs="Arial" w:eastAsia="Arial" w:hAnsi="Arial"/>
          <w:sz w:val="14"/>
          <w:szCs w:val="14"/>
          <w:color w:val="05314D"/>
        </w:rPr>
        <w:t>MD&amp;A | Single-Family Business | Single-Family Business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120"/>
        <w:spacing w:after="0" w:line="272" w:lineRule="auto"/>
        <w:rPr>
          <w:sz w:val="20"/>
          <w:szCs w:val="20"/>
          <w:color w:val="auto"/>
        </w:rPr>
      </w:pPr>
      <w:r>
        <w:rPr>
          <w:rFonts w:ascii="Arial" w:cs="Arial" w:eastAsia="Arial" w:hAnsi="Arial"/>
          <w:sz w:val="16"/>
          <w:szCs w:val="16"/>
          <w:color w:val="auto"/>
        </w:rPr>
        <w:t>Fair value gains, net in the third quarter and first nine months of 2023 were primarily driven by gains on mortgage commitment derivatives, risk management derivatives, and long-term debt of consolidated trusts held at fair value, primarily due to rising interest rates. These gains were partially offset by the impact of declining prices of fixed-rate trading securities, primarily driven by rising interest rates.</w:t>
      </w:r>
    </w:p>
    <w:p>
      <w:pPr>
        <w:spacing w:after="0" w:line="45"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The drivers of fair value gains and losses for the Single-Family segment are generally consistent with the drivers of fair value gains and losses in our condensed consolidated statements of operations and comprehensive income, which we discuss in “Consolidated Results of Operations—Fair Value Gains (Losses), Net.”</w:t>
      </w:r>
    </w:p>
    <w:p>
      <w:pPr>
        <w:spacing w:after="0" w:line="71"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Benefit (Provision) for Credit Losses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See “Consolidated Results of Operations—Benefit (Provision) for Credit Losses” for a discussion of our single-family benefit for credit losses.</w:t>
      </w:r>
    </w:p>
    <w:p>
      <w:pPr>
        <w:spacing w:after="0" w:line="126"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Other Expenses, Net</w:t>
      </w:r>
    </w:p>
    <w:p>
      <w:pPr>
        <w:spacing w:after="0" w:line="80" w:lineRule="exact"/>
        <w:rPr>
          <w:sz w:val="20"/>
          <w:szCs w:val="20"/>
          <w:color w:val="auto"/>
        </w:rPr>
      </w:pPr>
    </w:p>
    <w:p>
      <w:pPr>
        <w:ind w:right="500"/>
        <w:spacing w:after="0" w:line="293" w:lineRule="auto"/>
        <w:rPr>
          <w:sz w:val="20"/>
          <w:szCs w:val="20"/>
          <w:color w:val="auto"/>
        </w:rPr>
      </w:pPr>
      <w:r>
        <w:rPr>
          <w:rFonts w:ascii="Arial" w:cs="Arial" w:eastAsia="Arial" w:hAnsi="Arial"/>
          <w:sz w:val="16"/>
          <w:szCs w:val="16"/>
          <w:color w:val="auto"/>
        </w:rPr>
        <w:t>During the third quarter of 2023, other expenses, net included litigation expense attributable to a jury verdict and an award of prejudgment interest for Fannie Mae preferred shareholders, of which $437 million was allocated to the Single-Family business segment.</w:t>
      </w:r>
    </w:p>
    <w:p>
      <w:pPr>
        <w:spacing w:after="0" w:line="6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Single-Family Mortgage Credit Risk Management</w:t>
      </w:r>
    </w:p>
    <w:p>
      <w:pPr>
        <w:spacing w:after="0" w:line="63" w:lineRule="exact"/>
        <w:rPr>
          <w:sz w:val="20"/>
          <w:szCs w:val="20"/>
          <w:color w:val="auto"/>
        </w:rPr>
      </w:pPr>
    </w:p>
    <w:p>
      <w:pPr>
        <w:ind w:right="400"/>
        <w:spacing w:after="0" w:line="272" w:lineRule="auto"/>
        <w:rPr>
          <w:sz w:val="20"/>
          <w:szCs w:val="20"/>
          <w:color w:val="auto"/>
        </w:rPr>
      </w:pPr>
      <w:r>
        <w:rPr>
          <w:rFonts w:ascii="Arial" w:cs="Arial" w:eastAsia="Arial" w:hAnsi="Arial"/>
          <w:sz w:val="16"/>
          <w:szCs w:val="16"/>
          <w:color w:val="auto"/>
        </w:rPr>
        <w:t>This section updates our discussion of single-family mortgage credit risk management in our 2023 Form 10-K. For additional information on our single-family acquisition and servicing policies, underwriting and servicing standards, quality control process, repurchase requests, and representation and warranty framework, see “MD&amp;A—Single-Family Business—Single-Family Mortgage Credit Risk Management” in our 2023 Form 10-K.</w:t>
      </w:r>
    </w:p>
    <w:p>
      <w:pPr>
        <w:spacing w:after="0" w:line="87" w:lineRule="exact"/>
        <w:rPr>
          <w:sz w:val="20"/>
          <w:szCs w:val="20"/>
          <w:color w:val="auto"/>
        </w:rPr>
      </w:pPr>
    </w:p>
    <w:p>
      <w:pPr>
        <w:ind w:right="2100"/>
        <w:spacing w:after="0" w:line="338" w:lineRule="auto"/>
        <w:rPr>
          <w:sz w:val="20"/>
          <w:szCs w:val="20"/>
          <w:color w:val="auto"/>
        </w:rPr>
      </w:pPr>
      <w:r>
        <w:rPr>
          <w:rFonts w:ascii="Georgia" w:cs="Georgia" w:eastAsia="Georgia" w:hAnsi="Georgia"/>
          <w:sz w:val="19"/>
          <w:szCs w:val="19"/>
          <w:b w:val="1"/>
          <w:bCs w:val="1"/>
          <w:i w:val="1"/>
          <w:iCs w:val="1"/>
          <w:color w:val="05314D"/>
        </w:rPr>
        <w:t xml:space="preserve">Single-Family Acquisition and Servicing Policies and Underwriting and Servicing Standards </w:t>
      </w:r>
      <w:r>
        <w:rPr>
          <w:rFonts w:ascii="Georgia" w:cs="Georgia" w:eastAsia="Georgia" w:hAnsi="Georgia"/>
          <w:sz w:val="19"/>
          <w:szCs w:val="19"/>
          <w:i w:val="1"/>
          <w:iCs w:val="1"/>
          <w:color w:val="05314D"/>
        </w:rPr>
        <w:t>Desktop Underwriter Update</w:t>
      </w:r>
    </w:p>
    <w:p>
      <w:pPr>
        <w:spacing w:after="0" w:line="1" w:lineRule="exact"/>
        <w:rPr>
          <w:sz w:val="20"/>
          <w:szCs w:val="20"/>
          <w:color w:val="auto"/>
        </w:rPr>
      </w:pPr>
    </w:p>
    <w:p>
      <w:pPr>
        <w:ind w:right="120"/>
        <w:spacing w:after="0"/>
        <w:rPr>
          <w:sz w:val="20"/>
          <w:szCs w:val="20"/>
          <w:color w:val="auto"/>
        </w:rPr>
      </w:pPr>
      <w:r>
        <w:rPr>
          <w:rFonts w:ascii="Arial" w:cs="Arial" w:eastAsia="Arial" w:hAnsi="Arial"/>
          <w:sz w:val="16"/>
          <w:szCs w:val="16"/>
          <w:color w:val="auto"/>
        </w:rPr>
        <w:t>As part of our comprehensive risk management approach, we periodically update our proprietary automated underwriting system, Desktop Underwriter</w:t>
      </w:r>
      <w:r>
        <w:rPr>
          <w:rFonts w:ascii="Arial" w:cs="Arial" w:eastAsia="Arial" w:hAnsi="Arial"/>
          <w:sz w:val="21"/>
          <w:szCs w:val="21"/>
          <w:color w:val="auto"/>
          <w:vertAlign w:val="superscript"/>
        </w:rPr>
        <w:t>®</w:t>
      </w:r>
      <w:r>
        <w:rPr>
          <w:rFonts w:ascii="Arial" w:cs="Arial" w:eastAsia="Arial" w:hAnsi="Arial"/>
          <w:sz w:val="16"/>
          <w:szCs w:val="16"/>
          <w:color w:val="auto"/>
        </w:rPr>
        <w:t xml:space="preserve"> (“DU</w:t>
      </w:r>
      <w:r>
        <w:rPr>
          <w:rFonts w:ascii="Arial" w:cs="Arial" w:eastAsia="Arial" w:hAnsi="Arial"/>
          <w:sz w:val="21"/>
          <w:szCs w:val="21"/>
          <w:color w:val="auto"/>
          <w:vertAlign w:val="superscript"/>
        </w:rPr>
        <w:t>®</w:t>
      </w:r>
      <w:r>
        <w:rPr>
          <w:rFonts w:ascii="Arial" w:cs="Arial" w:eastAsia="Arial" w:hAnsi="Arial"/>
          <w:sz w:val="16"/>
          <w:szCs w:val="16"/>
          <w:color w:val="auto"/>
        </w:rPr>
        <w:t>”), to reflect changes to our underwriting and eligibility guidelines. In March 2024, we implemented updates to DU to allow lenders to use a single 12-month asset verification report in the DU validation service to identify recurring deposits in the applicant’s digital bank statement data to automatically validate income and employment, as well as assets, in one step. The same report also can be used to identify and consider the applicant’s positive rent payment and cash flow history. We believe this update may help lenders improve operational efficiency and lower costs, as well as potentially increase the number of borrowers that receive an approve/eligible recommendation in DU by assessing eligibility through rent payment identification and cash flow assessment. We will continue to closely monitor loan acquisitions and market conditions and, as appropriate, make changes to DU, including its eligibility criteria, so that the loans we acquire are consistent with our risk appetite and mission.</w:t>
      </w:r>
    </w:p>
    <w:p>
      <w:pPr>
        <w:spacing w:after="0" w:line="96"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New Credit Score Models and Credit Report Requirements</w:t>
      </w:r>
    </w:p>
    <w:p>
      <w:pPr>
        <w:spacing w:after="0" w:line="80" w:lineRule="exact"/>
        <w:rPr>
          <w:sz w:val="20"/>
          <w:szCs w:val="20"/>
          <w:color w:val="auto"/>
        </w:rPr>
      </w:pPr>
    </w:p>
    <w:p>
      <w:pPr>
        <w:ind w:right="360"/>
        <w:spacing w:after="0" w:line="263" w:lineRule="auto"/>
        <w:rPr>
          <w:sz w:val="20"/>
          <w:szCs w:val="20"/>
          <w:color w:val="auto"/>
        </w:rPr>
      </w:pPr>
      <w:r>
        <w:rPr>
          <w:rFonts w:ascii="Arial" w:cs="Arial" w:eastAsia="Arial" w:hAnsi="Arial"/>
          <w:sz w:val="16"/>
          <w:szCs w:val="16"/>
          <w:color w:val="auto"/>
        </w:rPr>
        <w:t>Fannie Mae uses credit scores to establish a minimum credit threshold for mortgage lending, provide a foundation for risk-based pricing, and support disclosures to investors. We currently use the “classic FICO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Score” from Fair Isaac Corporation as our credit score model, which FHFA has approved.</w:t>
      </w:r>
    </w:p>
    <w:p>
      <w:pPr>
        <w:spacing w:after="0" w:line="1" w:lineRule="exact"/>
        <w:rPr>
          <w:sz w:val="20"/>
          <w:szCs w:val="20"/>
          <w:color w:val="auto"/>
        </w:rPr>
      </w:pPr>
    </w:p>
    <w:p>
      <w:pPr>
        <w:ind w:right="40"/>
        <w:spacing w:after="0" w:line="232" w:lineRule="auto"/>
        <w:rPr>
          <w:sz w:val="20"/>
          <w:szCs w:val="20"/>
          <w:color w:val="auto"/>
        </w:rPr>
      </w:pPr>
      <w:r>
        <w:rPr>
          <w:rFonts w:ascii="Arial" w:cs="Arial" w:eastAsia="Arial" w:hAnsi="Arial"/>
          <w:sz w:val="16"/>
          <w:szCs w:val="16"/>
          <w:color w:val="auto"/>
        </w:rPr>
        <w:t>In October 2022, FHFA announced the validation and approval of two new credit score models for use by Fannie Mae and Freddie Mac: the FICO</w:t>
      </w:r>
      <w:r>
        <w:rPr>
          <w:rFonts w:ascii="Arial" w:cs="Arial" w:eastAsia="Arial" w:hAnsi="Arial"/>
          <w:sz w:val="21"/>
          <w:szCs w:val="21"/>
          <w:color w:val="auto"/>
          <w:vertAlign w:val="superscript"/>
        </w:rPr>
        <w:t>®</w:t>
      </w:r>
      <w:r>
        <w:rPr>
          <w:rFonts w:ascii="Arial" w:cs="Arial" w:eastAsia="Arial" w:hAnsi="Arial"/>
          <w:sz w:val="16"/>
          <w:szCs w:val="16"/>
          <w:color w:val="auto"/>
        </w:rPr>
        <w:t xml:space="preserve"> Score 10 T credit score model and the VantageScore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4.0 credit score model. Once implemented, lenders will be required to deliver both FICO Score 10 T and VantageScore 4.0 credit scores with each loan sold to us when available, replacing the classic FICO Score model. FHFA also announced in October 2022 that Fannie Mae and Freddie Mac will work toward changing the requirement that lenders provide credit reports from all three nationwide consumer reporting agencies. Instead, we will require lenders to provide credit reports from at least two of the three nationwide consumer reporting agencies (referred to as the new bi-merge credit reporting requirements).</w:t>
      </w:r>
    </w:p>
    <w:p>
      <w:pPr>
        <w:spacing w:after="0" w:line="57"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In February 2024, FHFA announced updates regarding the implementation of the new credit score requirements for loans acquired by Fannie Mae and Freddie Mac, as well as the new bi-merge credit reporting requirements. FHFA announced that the implementation dates for both new requirements would be aligned and expected to occur in the fourth quarter of 2025. FHFA also announced that, to better support market participants with this transition, Fannie Mae and Freddie Mac would accelerate the publication of VantageScore 4.0 historical data to early in the third quarter of 2024, and in July 2024 this historical data was made available. The FHFA Director stated that synchronizing bi-merge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2024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24</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60" w:type="dxa"/>
            <w:vAlign w:val="bottom"/>
            <w:tcBorders>
              <w:bottom w:val="single" w:sz="8" w:color="9A9A9A"/>
            </w:tcBorders>
          </w:tcPr>
          <w:p>
            <w:pPr>
              <w:spacing w:after="0"/>
              <w:rPr>
                <w:sz w:val="16"/>
                <w:szCs w:val="16"/>
                <w:color w:val="auto"/>
              </w:rPr>
            </w:pPr>
          </w:p>
        </w:tc>
        <w:tc>
          <w:tcPr>
            <w:tcW w:w="428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27" w:name="page28"/>
    <w:bookmarkEnd w:id="27"/>
    <w:p>
      <w:pPr>
        <w:jc w:val="right"/>
        <w:ind w:right="12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credit reporting with the implementation of the new credit score model requirements will reduce complexity for market participants.</w:t>
      </w:r>
    </w:p>
    <w:p>
      <w:pPr>
        <w:spacing w:after="0" w:line="126"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Single-Family Guaranty Book Diversification and Monitoring</w:t>
      </w:r>
    </w:p>
    <w:p>
      <w:pPr>
        <w:spacing w:after="0" w:line="106" w:lineRule="exact"/>
        <w:rPr>
          <w:sz w:val="20"/>
          <w:szCs w:val="20"/>
          <w:color w:val="auto"/>
        </w:rPr>
      </w:pPr>
    </w:p>
    <w:p>
      <w:pPr>
        <w:ind w:right="360"/>
        <w:spacing w:after="0" w:line="266" w:lineRule="auto"/>
        <w:rPr>
          <w:sz w:val="20"/>
          <w:szCs w:val="20"/>
          <w:color w:val="auto"/>
        </w:rPr>
      </w:pPr>
      <w:r>
        <w:rPr>
          <w:rFonts w:ascii="Arial" w:cs="Arial" w:eastAsia="Arial" w:hAnsi="Arial"/>
          <w:sz w:val="16"/>
          <w:szCs w:val="16"/>
          <w:color w:val="auto"/>
        </w:rPr>
        <w:t>The following table displays our single-family conventional business volumes and our single-family conventional guaranty book of business, based on certain key risk characteristics that we use to evaluate the risk profile and credit quality of our single-family loans. For a description of the key risk characteristics of our single-family conventional guaranty book of business, see “MD&amp;A—Single-Family Business—Single-Family Mortgage Credit Risk Management—Single-Family Guaranty Book Diversification and Monitoring—Overview” in our 2023 Form 10-K.</w:t>
      </w:r>
    </w:p>
    <w:p>
      <w:pPr>
        <w:spacing w:after="0" w:line="48" w:lineRule="exact"/>
        <w:rPr>
          <w:sz w:val="20"/>
          <w:szCs w:val="20"/>
          <w:color w:val="auto"/>
        </w:rPr>
      </w:pPr>
    </w:p>
    <w:p>
      <w:pPr>
        <w:jc w:val="both"/>
        <w:ind w:right="620"/>
        <w:spacing w:after="0" w:line="272" w:lineRule="auto"/>
        <w:rPr>
          <w:sz w:val="20"/>
          <w:szCs w:val="20"/>
          <w:color w:val="auto"/>
        </w:rPr>
      </w:pPr>
      <w:r>
        <w:rPr>
          <w:rFonts w:ascii="Arial" w:cs="Arial" w:eastAsia="Arial" w:hAnsi="Arial"/>
          <w:sz w:val="16"/>
          <w:szCs w:val="16"/>
          <w:color w:val="auto"/>
        </w:rPr>
        <w:t>We provide additional information on the credit characteristics of our single-family loans in quarterly financial supplements, which we furnish to the Securities and Exchange Commission (the “SEC”) with current reports on Form 8-K and make available on our website. Information in our quarterly financial supplements is not incorporated by reference into this report.</w:t>
      </w: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2024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25</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60" w:type="dxa"/>
            <w:vAlign w:val="bottom"/>
            <w:tcBorders>
              <w:bottom w:val="single" w:sz="8" w:color="9A9A9A"/>
            </w:tcBorders>
          </w:tcPr>
          <w:p>
            <w:pPr>
              <w:spacing w:after="0"/>
              <w:rPr>
                <w:sz w:val="17"/>
                <w:szCs w:val="17"/>
                <w:color w:val="auto"/>
              </w:rPr>
            </w:pPr>
          </w:p>
        </w:tc>
        <w:tc>
          <w:tcPr>
            <w:tcW w:w="42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28" w:name="page29"/>
    <w:bookmarkEnd w:id="28"/>
    <w:p>
      <w:pPr>
        <w:ind w:left="606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Key Risk Characteristics of Single-Family Conventional Business Volume and Guaranty Book of Business</w:t>
      </w:r>
      <w:r>
        <w:rPr>
          <w:rFonts w:ascii="Arial" w:cs="Arial" w:eastAsia="Arial" w:hAnsi="Arial"/>
          <w:sz w:val="24"/>
          <w:szCs w:val="24"/>
          <w:b w:val="1"/>
          <w:bCs w:val="1"/>
          <w:color w:val="05314D"/>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7138670" cy="165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380" w:type="dxa"/>
            <w:vAlign w:val="bottom"/>
            <w:gridSpan w:val="10"/>
          </w:tcPr>
          <w:p>
            <w:pPr>
              <w:jc w:val="right"/>
              <w:ind w:right="271"/>
              <w:spacing w:after="0"/>
              <w:rPr>
                <w:sz w:val="20"/>
                <w:szCs w:val="20"/>
                <w:color w:val="auto"/>
              </w:rPr>
            </w:pPr>
            <w:r>
              <w:rPr>
                <w:rFonts w:ascii="Arial" w:cs="Arial" w:eastAsia="Arial" w:hAnsi="Arial"/>
                <w:sz w:val="14"/>
                <w:szCs w:val="14"/>
                <w:b w:val="1"/>
                <w:bCs w:val="1"/>
                <w:color w:val="auto"/>
              </w:rPr>
              <w:t>Percent of Single-Family Conventional Business Volume at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800" w:type="dxa"/>
            <w:vAlign w:val="bottom"/>
            <w:tcBorders>
              <w:bottom w:val="single" w:sz="8" w:color="2C6937"/>
            </w:tcBorders>
          </w:tcPr>
          <w:p>
            <w:pPr>
              <w:spacing w:after="0"/>
              <w:rPr>
                <w:sz w:val="17"/>
                <w:szCs w:val="17"/>
                <w:color w:val="auto"/>
              </w:rPr>
            </w:pPr>
          </w:p>
        </w:tc>
        <w:tc>
          <w:tcPr>
            <w:tcW w:w="240" w:type="dxa"/>
            <w:vAlign w:val="bottom"/>
            <w:tcBorders>
              <w:bottom w:val="single" w:sz="8" w:color="2C6937"/>
            </w:tcBorders>
          </w:tcPr>
          <w:p>
            <w:pPr>
              <w:spacing w:after="0"/>
              <w:rPr>
                <w:sz w:val="17"/>
                <w:szCs w:val="17"/>
                <w:color w:val="auto"/>
              </w:rPr>
            </w:pPr>
          </w:p>
        </w:tc>
        <w:tc>
          <w:tcPr>
            <w:tcW w:w="220" w:type="dxa"/>
            <w:vAlign w:val="bottom"/>
            <w:tcBorders>
              <w:bottom w:val="single" w:sz="8" w:color="2C6937"/>
            </w:tcBorders>
          </w:tcPr>
          <w:p>
            <w:pPr>
              <w:spacing w:after="0"/>
              <w:rPr>
                <w:sz w:val="17"/>
                <w:szCs w:val="17"/>
                <w:color w:val="auto"/>
              </w:rPr>
            </w:pPr>
          </w:p>
        </w:tc>
        <w:tc>
          <w:tcPr>
            <w:tcW w:w="1920" w:type="dxa"/>
            <w:vAlign w:val="bottom"/>
            <w:tcBorders>
              <w:bottom w:val="single" w:sz="8" w:color="2C6937"/>
            </w:tcBorders>
            <w:gridSpan w:val="4"/>
          </w:tcPr>
          <w:p>
            <w:pPr>
              <w:jc w:val="right"/>
              <w:ind w:right="571"/>
              <w:spacing w:after="0"/>
              <w:rPr>
                <w:sz w:val="20"/>
                <w:szCs w:val="20"/>
                <w:color w:val="auto"/>
              </w:rPr>
            </w:pPr>
            <w:r>
              <w:rPr>
                <w:rFonts w:ascii="Arial" w:cs="Arial" w:eastAsia="Arial" w:hAnsi="Arial"/>
                <w:sz w:val="14"/>
                <w:szCs w:val="14"/>
                <w:b w:val="1"/>
                <w:bCs w:val="1"/>
                <w:color w:val="auto"/>
              </w:rPr>
              <w:t>Acquisition</w:t>
            </w:r>
            <w:r>
              <w:rPr>
                <w:rFonts w:ascii="Arial" w:cs="Arial" w:eastAsia="Arial" w:hAnsi="Arial"/>
                <w:sz w:val="17"/>
                <w:szCs w:val="17"/>
                <w:b w:val="1"/>
                <w:bCs w:val="1"/>
                <w:color w:val="auto"/>
                <w:vertAlign w:val="superscript"/>
              </w:rPr>
              <w:t>(2)</w:t>
            </w:r>
          </w:p>
        </w:tc>
        <w:tc>
          <w:tcPr>
            <w:tcW w:w="24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760" w:type="dxa"/>
            <w:vAlign w:val="bottom"/>
            <w:tcBorders>
              <w:bottom w:val="single" w:sz="8" w:color="2C6937"/>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40" w:type="dxa"/>
            <w:vAlign w:val="bottom"/>
            <w:gridSpan w:val="4"/>
            <w:vMerge w:val="restart"/>
          </w:tcPr>
          <w:p>
            <w:pPr>
              <w:jc w:val="center"/>
              <w:ind w:left="71"/>
              <w:spacing w:after="0"/>
              <w:rPr>
                <w:sz w:val="20"/>
                <w:szCs w:val="20"/>
                <w:color w:val="auto"/>
              </w:rPr>
            </w:pPr>
            <w:r>
              <w:rPr>
                <w:rFonts w:ascii="Arial" w:cs="Arial" w:eastAsia="Arial" w:hAnsi="Arial"/>
                <w:sz w:val="14"/>
                <w:szCs w:val="14"/>
                <w:b w:val="1"/>
                <w:bCs w:val="1"/>
                <w:color w:val="auto"/>
                <w:w w:val="97"/>
              </w:rPr>
              <w:t>Percent of Single-Family Conventional</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gridSpan w:val="4"/>
            <w:vMerge w:val="restart"/>
          </w:tcPr>
          <w:p>
            <w:pPr>
              <w:jc w:val="right"/>
              <w:ind w:right="51"/>
              <w:spacing w:after="0"/>
              <w:rPr>
                <w:sz w:val="20"/>
                <w:szCs w:val="20"/>
                <w:color w:val="auto"/>
              </w:rPr>
            </w:pPr>
            <w:r>
              <w:rPr>
                <w:rFonts w:ascii="Arial" w:cs="Arial" w:eastAsia="Arial" w:hAnsi="Arial"/>
                <w:sz w:val="14"/>
                <w:szCs w:val="14"/>
                <w:b w:val="1"/>
                <w:bCs w:val="1"/>
                <w:color w:val="auto"/>
                <w:w w:val="96"/>
              </w:rPr>
              <w:t>For the Three Months Ended</w:t>
            </w: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gridSpan w:val="4"/>
            <w:vMerge w:val="restart"/>
          </w:tcPr>
          <w:p>
            <w:pPr>
              <w:jc w:val="right"/>
              <w:ind w:right="111"/>
              <w:spacing w:after="0"/>
              <w:rPr>
                <w:sz w:val="20"/>
                <w:szCs w:val="20"/>
                <w:color w:val="auto"/>
              </w:rPr>
            </w:pPr>
            <w:r>
              <w:rPr>
                <w:rFonts w:ascii="Arial" w:cs="Arial" w:eastAsia="Arial" w:hAnsi="Arial"/>
                <w:sz w:val="14"/>
                <w:szCs w:val="14"/>
                <w:b w:val="1"/>
                <w:bCs w:val="1"/>
                <w:color w:val="auto"/>
                <w:w w:val="99"/>
              </w:rPr>
              <w:t>For the Nine Months Ended</w:t>
            </w: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4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80" w:type="dxa"/>
            <w:vAlign w:val="bottom"/>
            <w:gridSpan w:val="4"/>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40" w:type="dxa"/>
            <w:vAlign w:val="bottom"/>
            <w:gridSpan w:val="4"/>
          </w:tcPr>
          <w:p>
            <w:pPr>
              <w:jc w:val="center"/>
              <w:ind w:left="71"/>
              <w:spacing w:after="0" w:line="141" w:lineRule="exact"/>
              <w:rPr>
                <w:sz w:val="20"/>
                <w:szCs w:val="20"/>
                <w:color w:val="auto"/>
              </w:rPr>
            </w:pPr>
            <w:r>
              <w:rPr>
                <w:rFonts w:ascii="Arial" w:cs="Arial" w:eastAsia="Arial" w:hAnsi="Arial"/>
                <w:sz w:val="13"/>
                <w:szCs w:val="13"/>
                <w:b w:val="1"/>
                <w:bCs w:val="1"/>
                <w:color w:val="auto"/>
              </w:rPr>
              <w:t>Guaranty Book of Business</w:t>
            </w:r>
            <w:r>
              <w:rPr>
                <w:rFonts w:ascii="Arial" w:cs="Arial" w:eastAsia="Arial" w:hAnsi="Arial"/>
                <w:sz w:val="16"/>
                <w:szCs w:val="16"/>
                <w:b w:val="1"/>
                <w:bCs w:val="1"/>
                <w:color w:val="auto"/>
                <w:vertAlign w:val="superscript"/>
              </w:rPr>
              <w:t>(3)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980" w:type="dxa"/>
            <w:vAlign w:val="bottom"/>
            <w:tcBorders>
              <w:bottom w:val="single" w:sz="8" w:color="2C6937"/>
            </w:tcBorders>
            <w:gridSpan w:val="4"/>
          </w:tcPr>
          <w:p>
            <w:pPr>
              <w:jc w:val="right"/>
              <w:ind w:right="511"/>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2020" w:type="dxa"/>
            <w:vAlign w:val="bottom"/>
            <w:tcBorders>
              <w:bottom w:val="single" w:sz="8" w:color="2C6937"/>
            </w:tcBorders>
            <w:gridSpan w:val="4"/>
          </w:tcPr>
          <w:p>
            <w:pPr>
              <w:jc w:val="right"/>
              <w:ind w:right="531"/>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540" w:type="dxa"/>
            <w:vAlign w:val="bottom"/>
            <w:tcBorders>
              <w:bottom w:val="single" w:sz="8" w:color="2C6937"/>
            </w:tcBorders>
          </w:tcPr>
          <w:p>
            <w:pPr>
              <w:spacing w:after="0"/>
              <w:rPr>
                <w:sz w:val="15"/>
                <w:szCs w:val="15"/>
                <w:color w:val="auto"/>
              </w:rPr>
            </w:pPr>
          </w:p>
        </w:tc>
        <w:tc>
          <w:tcPr>
            <w:tcW w:w="440" w:type="dxa"/>
            <w:vAlign w:val="bottom"/>
            <w:tcBorders>
              <w:bottom w:val="single" w:sz="8" w:color="2C6937"/>
            </w:tcBorders>
            <w:gridSpan w:val="2"/>
          </w:tcPr>
          <w:p>
            <w:pPr>
              <w:jc w:val="center"/>
              <w:spacing w:after="0"/>
              <w:rPr>
                <w:sz w:val="20"/>
                <w:szCs w:val="20"/>
                <w:color w:val="auto"/>
              </w:rPr>
            </w:pPr>
            <w:r>
              <w:rPr>
                <w:rFonts w:ascii="Arial" w:cs="Arial" w:eastAsia="Arial" w:hAnsi="Arial"/>
                <w:sz w:val="14"/>
                <w:szCs w:val="14"/>
                <w:b w:val="1"/>
                <w:bCs w:val="1"/>
                <w:color w:val="auto"/>
                <w:w w:val="97"/>
              </w:rPr>
              <w:t>As of</w:t>
            </w:r>
          </w:p>
        </w:tc>
        <w:tc>
          <w:tcPr>
            <w:tcW w:w="1460" w:type="dxa"/>
            <w:vAlign w:val="bottom"/>
            <w:tcBorders>
              <w:bottom w:val="single" w:sz="8" w:color="2C6937"/>
            </w:tcBorders>
          </w:tcPr>
          <w:p>
            <w:pPr>
              <w:spacing w:after="0"/>
              <w:rPr>
                <w:sz w:val="15"/>
                <w:szCs w:val="15"/>
                <w:color w:val="auto"/>
              </w:rPr>
            </w:pPr>
          </w:p>
        </w:tc>
        <w:tc>
          <w:tcPr>
            <w:tcW w:w="40" w:type="dxa"/>
            <w:vAlign w:val="bottom"/>
            <w:tcBorders>
              <w:bottom w:val="single" w:sz="8" w:color="2C6937"/>
            </w:tcBorders>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ind w:right="251"/>
              <w:spacing w:after="0"/>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ind w:right="251"/>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820" w:type="dxa"/>
            <w:vAlign w:val="bottom"/>
            <w:tcBorders>
              <w:bottom w:val="single" w:sz="8" w:color="2C6937"/>
            </w:tcBorders>
          </w:tcPr>
          <w:p>
            <w:pPr>
              <w:jc w:val="right"/>
              <w:ind w:right="251"/>
              <w:spacing w:after="0"/>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jc w:val="right"/>
              <w:ind w:right="271"/>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540" w:type="dxa"/>
            <w:vAlign w:val="bottom"/>
            <w:tcBorders>
              <w:bottom w:val="single" w:sz="8" w:color="2C6937"/>
            </w:tcBorders>
          </w:tcPr>
          <w:p>
            <w:pPr>
              <w:jc w:val="right"/>
              <w:ind w:right="131"/>
              <w:spacing w:after="0"/>
              <w:rPr>
                <w:sz w:val="20"/>
                <w:szCs w:val="20"/>
                <w:color w:val="auto"/>
              </w:rPr>
            </w:pPr>
            <w:r>
              <w:rPr>
                <w:rFonts w:ascii="Arial" w:cs="Arial" w:eastAsia="Arial" w:hAnsi="Arial"/>
                <w:sz w:val="14"/>
                <w:szCs w:val="14"/>
                <w:b w:val="1"/>
                <w:bCs w:val="1"/>
                <w:color w:val="auto"/>
              </w:rPr>
              <w:t>September 30, 2024</w:t>
            </w:r>
          </w:p>
        </w:tc>
        <w:tc>
          <w:tcPr>
            <w:tcW w:w="24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1460" w:type="dxa"/>
            <w:vAlign w:val="bottom"/>
            <w:tcBorders>
              <w:bottom w:val="single" w:sz="8" w:color="2C6937"/>
            </w:tcBorders>
          </w:tcPr>
          <w:p>
            <w:pPr>
              <w:jc w:val="right"/>
              <w:ind w:right="131"/>
              <w:spacing w:after="0"/>
              <w:rPr>
                <w:sz w:val="20"/>
                <w:szCs w:val="20"/>
                <w:color w:val="auto"/>
              </w:rPr>
            </w:pPr>
            <w:r>
              <w:rPr>
                <w:rFonts w:ascii="Arial" w:cs="Arial" w:eastAsia="Arial" w:hAnsi="Arial"/>
                <w:sz w:val="14"/>
                <w:szCs w:val="14"/>
                <w:b w:val="1"/>
                <w:bCs w:val="1"/>
                <w:color w:val="auto"/>
                <w:w w:val="98"/>
              </w:rPr>
              <w:t>December 31, 2023</w:t>
            </w:r>
          </w:p>
        </w:tc>
        <w:tc>
          <w:tcPr>
            <w:tcW w:w="40" w:type="dxa"/>
            <w:vAlign w:val="bottom"/>
            <w:tcBorders>
              <w:bottom w:val="single" w:sz="8" w:color="2C6937"/>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620" w:type="dxa"/>
            <w:vAlign w:val="bottom"/>
            <w:gridSpan w:val="3"/>
          </w:tcPr>
          <w:p>
            <w:pPr>
              <w:ind w:left="20"/>
              <w:spacing w:after="0"/>
              <w:rPr>
                <w:sz w:val="20"/>
                <w:szCs w:val="20"/>
                <w:color w:val="auto"/>
              </w:rPr>
            </w:pPr>
            <w:r>
              <w:rPr>
                <w:rFonts w:ascii="Arial" w:cs="Arial" w:eastAsia="Arial" w:hAnsi="Arial"/>
                <w:sz w:val="14"/>
                <w:szCs w:val="14"/>
                <w:b w:val="1"/>
                <w:bCs w:val="1"/>
                <w:color w:val="auto"/>
              </w:rPr>
              <w:t>Original LTV ratio:</w:t>
            </w:r>
            <w:r>
              <w:rPr>
                <w:rFonts w:ascii="Arial" w:cs="Arial" w:eastAsia="Arial" w:hAnsi="Arial"/>
                <w:sz w:val="17"/>
                <w:szCs w:val="17"/>
                <w:b w:val="1"/>
                <w:bCs w:val="1"/>
                <w:color w:val="auto"/>
                <w:vertAlign w:val="superscript"/>
              </w:rPr>
              <w:t>(4)</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520" w:type="dxa"/>
            <w:vAlign w:val="bottom"/>
            <w:gridSpan w:val="2"/>
          </w:tcPr>
          <w:p>
            <w:pPr>
              <w:ind w:left="120"/>
              <w:spacing w:after="0"/>
              <w:rPr>
                <w:sz w:val="20"/>
                <w:szCs w:val="20"/>
                <w:color w:val="auto"/>
              </w:rPr>
            </w:pPr>
            <w:r>
              <w:rPr>
                <w:rFonts w:ascii="Arial" w:cs="Arial" w:eastAsia="Arial" w:hAnsi="Arial"/>
                <w:sz w:val="14"/>
                <w:szCs w:val="14"/>
                <w:color w:val="auto"/>
              </w:rPr>
              <w:t>&lt;= 60%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17</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17</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16</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540" w:type="dxa"/>
            <w:vAlign w:val="bottom"/>
          </w:tcPr>
          <w:p>
            <w:pPr>
              <w:jc w:val="right"/>
              <w:ind w:right="11"/>
              <w:spacing w:after="0"/>
              <w:rPr>
                <w:sz w:val="20"/>
                <w:szCs w:val="20"/>
                <w:color w:val="auto"/>
              </w:rPr>
            </w:pPr>
            <w:r>
              <w:rPr>
                <w:rFonts w:ascii="Arial" w:cs="Arial" w:eastAsia="Arial" w:hAnsi="Arial"/>
                <w:sz w:val="14"/>
                <w:szCs w:val="14"/>
                <w:b w:val="1"/>
                <w:bCs w:val="1"/>
                <w:color w:val="auto"/>
              </w:rPr>
              <w:t>25</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25</w:t>
            </w:r>
          </w:p>
        </w:tc>
        <w:tc>
          <w:tcPr>
            <w:tcW w:w="2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2520" w:type="dxa"/>
            <w:vAlign w:val="bottom"/>
            <w:gridSpan w:val="2"/>
          </w:tcPr>
          <w:p>
            <w:pPr>
              <w:ind w:left="20"/>
              <w:spacing w:after="0"/>
              <w:rPr>
                <w:sz w:val="20"/>
                <w:szCs w:val="20"/>
                <w:color w:val="auto"/>
              </w:rPr>
            </w:pPr>
            <w:r>
              <w:rPr>
                <w:rFonts w:ascii="Arial" w:cs="Arial" w:eastAsia="Arial" w:hAnsi="Arial"/>
                <w:sz w:val="14"/>
                <w:szCs w:val="14"/>
                <w:color w:val="auto"/>
              </w:rPr>
              <w:t>60.01% to 70%</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10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10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ind w:right="11"/>
              <w:spacing w:after="0"/>
              <w:rPr>
                <w:sz w:val="20"/>
                <w:szCs w:val="20"/>
                <w:color w:val="auto"/>
              </w:rPr>
            </w:pPr>
            <w:r>
              <w:rPr>
                <w:rFonts w:ascii="Arial" w:cs="Arial" w:eastAsia="Arial" w:hAnsi="Arial"/>
                <w:sz w:val="14"/>
                <w:szCs w:val="14"/>
                <w:b w:val="1"/>
                <w:bCs w:val="1"/>
                <w:color w:val="auto"/>
              </w:rPr>
              <w:t>14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2520" w:type="dxa"/>
            <w:vAlign w:val="bottom"/>
            <w:gridSpan w:val="2"/>
          </w:tcPr>
          <w:p>
            <w:pPr>
              <w:ind w:left="20"/>
              <w:spacing w:after="0"/>
              <w:rPr>
                <w:sz w:val="20"/>
                <w:szCs w:val="20"/>
                <w:color w:val="auto"/>
              </w:rPr>
            </w:pPr>
            <w:r>
              <w:rPr>
                <w:rFonts w:ascii="Arial" w:cs="Arial" w:eastAsia="Arial" w:hAnsi="Arial"/>
                <w:sz w:val="14"/>
                <w:szCs w:val="14"/>
                <w:color w:val="auto"/>
              </w:rPr>
              <w:t>70.01% to 80%</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34</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33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33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ind w:right="11"/>
              <w:spacing w:after="0"/>
              <w:rPr>
                <w:sz w:val="20"/>
                <w:szCs w:val="20"/>
                <w:color w:val="auto"/>
              </w:rPr>
            </w:pPr>
            <w:r>
              <w:rPr>
                <w:rFonts w:ascii="Arial" w:cs="Arial" w:eastAsia="Arial" w:hAnsi="Arial"/>
                <w:sz w:val="14"/>
                <w:szCs w:val="14"/>
                <w:b w:val="1"/>
                <w:bCs w:val="1"/>
                <w:color w:val="auto"/>
              </w:rPr>
              <w:t>33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33</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2520" w:type="dxa"/>
            <w:vAlign w:val="bottom"/>
            <w:gridSpan w:val="2"/>
          </w:tcPr>
          <w:p>
            <w:pPr>
              <w:ind w:left="20"/>
              <w:spacing w:after="0"/>
              <w:rPr>
                <w:sz w:val="20"/>
                <w:szCs w:val="20"/>
                <w:color w:val="auto"/>
              </w:rPr>
            </w:pPr>
            <w:r>
              <w:rPr>
                <w:rFonts w:ascii="Arial" w:cs="Arial" w:eastAsia="Arial" w:hAnsi="Arial"/>
                <w:sz w:val="14"/>
                <w:szCs w:val="14"/>
                <w:color w:val="auto"/>
              </w:rPr>
              <w:t>80.01% to 90%</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16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16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ind w:right="11"/>
              <w:spacing w:after="0"/>
              <w:rPr>
                <w:sz w:val="20"/>
                <w:szCs w:val="20"/>
                <w:color w:val="auto"/>
              </w:rPr>
            </w:pPr>
            <w:r>
              <w:rPr>
                <w:rFonts w:ascii="Arial" w:cs="Arial" w:eastAsia="Arial" w:hAnsi="Arial"/>
                <w:sz w:val="14"/>
                <w:szCs w:val="14"/>
                <w:b w:val="1"/>
                <w:bCs w:val="1"/>
                <w:color w:val="auto"/>
              </w:rPr>
              <w:t>11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2520" w:type="dxa"/>
            <w:vAlign w:val="bottom"/>
            <w:gridSpan w:val="2"/>
          </w:tcPr>
          <w:p>
            <w:pPr>
              <w:ind w:left="20"/>
              <w:spacing w:after="0"/>
              <w:rPr>
                <w:sz w:val="20"/>
                <w:szCs w:val="20"/>
                <w:color w:val="auto"/>
              </w:rPr>
            </w:pPr>
            <w:r>
              <w:rPr>
                <w:rFonts w:ascii="Arial" w:cs="Arial" w:eastAsia="Arial" w:hAnsi="Arial"/>
                <w:sz w:val="14"/>
                <w:szCs w:val="14"/>
                <w:color w:val="auto"/>
              </w:rPr>
              <w:t>90.01% to 95%</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17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19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ind w:right="11"/>
              <w:spacing w:after="0"/>
              <w:rPr>
                <w:sz w:val="20"/>
                <w:szCs w:val="20"/>
                <w:color w:val="auto"/>
              </w:rPr>
            </w:pPr>
            <w:r>
              <w:rPr>
                <w:rFonts w:ascii="Arial" w:cs="Arial" w:eastAsia="Arial" w:hAnsi="Arial"/>
                <w:sz w:val="14"/>
                <w:szCs w:val="14"/>
                <w:b w:val="1"/>
                <w:bCs w:val="1"/>
                <w:color w:val="auto"/>
              </w:rPr>
              <w:t>12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12</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2520" w:type="dxa"/>
            <w:vAlign w:val="bottom"/>
            <w:gridSpan w:val="2"/>
          </w:tcPr>
          <w:p>
            <w:pPr>
              <w:ind w:left="20"/>
              <w:spacing w:after="0"/>
              <w:rPr>
                <w:sz w:val="20"/>
                <w:szCs w:val="20"/>
                <w:color w:val="auto"/>
              </w:rPr>
            </w:pPr>
            <w:r>
              <w:rPr>
                <w:rFonts w:ascii="Arial" w:cs="Arial" w:eastAsia="Arial" w:hAnsi="Arial"/>
                <w:sz w:val="14"/>
                <w:szCs w:val="14"/>
                <w:color w:val="auto"/>
              </w:rPr>
              <w:t>95.01% to 100%</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ind w:right="11"/>
              <w:spacing w:after="0"/>
              <w:rPr>
                <w:sz w:val="20"/>
                <w:szCs w:val="20"/>
                <w:color w:val="auto"/>
              </w:rPr>
            </w:pPr>
            <w:r>
              <w:rPr>
                <w:rFonts w:ascii="Arial" w:cs="Arial" w:eastAsia="Arial" w:hAnsi="Arial"/>
                <w:sz w:val="14"/>
                <w:szCs w:val="14"/>
                <w:b w:val="1"/>
                <w:bCs w:val="1"/>
                <w:color w:val="auto"/>
              </w:rPr>
              <w:t>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 w:type="dxa"/>
            <w:vAlign w:val="bottom"/>
            <w:tcBorders>
              <w:bottom w:val="single" w:sz="8" w:color="2C6937"/>
            </w:tcBorders>
          </w:tcPr>
          <w:p>
            <w:pPr>
              <w:spacing w:after="0"/>
              <w:rPr>
                <w:sz w:val="19"/>
                <w:szCs w:val="19"/>
                <w:color w:val="auto"/>
              </w:rPr>
            </w:pPr>
          </w:p>
        </w:tc>
        <w:tc>
          <w:tcPr>
            <w:tcW w:w="242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Greater than 100%</w:t>
            </w:r>
          </w:p>
        </w:tc>
        <w:tc>
          <w:tcPr>
            <w:tcW w:w="10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9"/>
                <w:szCs w:val="19"/>
                <w:color w:val="auto"/>
              </w:rPr>
            </w:pPr>
          </w:p>
        </w:tc>
        <w:tc>
          <w:tcPr>
            <w:tcW w:w="220" w:type="dxa"/>
            <w:vAlign w:val="bottom"/>
            <w:tcBorders>
              <w:bottom w:val="single" w:sz="8" w:color="2C6937"/>
            </w:tcBorders>
          </w:tcPr>
          <w:p>
            <w:pPr>
              <w:spacing w:after="0"/>
              <w:rPr>
                <w:sz w:val="19"/>
                <w:szCs w:val="19"/>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120" w:type="dxa"/>
            <w:vAlign w:val="bottom"/>
            <w:tcBorders>
              <w:bottom w:val="single" w:sz="8" w:color="2C6937"/>
            </w:tcBorders>
          </w:tcPr>
          <w:p>
            <w:pPr>
              <w:spacing w:after="0"/>
              <w:rPr>
                <w:sz w:val="19"/>
                <w:szCs w:val="19"/>
                <w:color w:val="auto"/>
              </w:rPr>
            </w:pPr>
          </w:p>
        </w:tc>
        <w:tc>
          <w:tcPr>
            <w:tcW w:w="82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7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15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w:t>
            </w:r>
          </w:p>
        </w:tc>
        <w:tc>
          <w:tcPr>
            <w:tcW w:w="24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14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w:t>
            </w:r>
          </w:p>
        </w:tc>
        <w:tc>
          <w:tcPr>
            <w:tcW w:w="40" w:type="dxa"/>
            <w:vAlign w:val="bottom"/>
            <w:tcBorders>
              <w:bottom w:val="single" w:sz="8" w:color="2C6937"/>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2520" w:type="dxa"/>
            <w:vAlign w:val="bottom"/>
            <w:gridSpan w:val="2"/>
          </w:tcPr>
          <w:p>
            <w:pPr>
              <w:ind w:left="120"/>
              <w:spacing w:after="0"/>
              <w:rPr>
                <w:sz w:val="20"/>
                <w:szCs w:val="20"/>
                <w:color w:val="auto"/>
              </w:rPr>
            </w:pPr>
            <w:r>
              <w:rPr>
                <w:rFonts w:ascii="Arial" w:cs="Arial" w:eastAsia="Arial" w:hAnsi="Arial"/>
                <w:sz w:val="14"/>
                <w:szCs w:val="14"/>
                <w:color w:val="auto"/>
              </w:rPr>
              <w:t>Total</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100</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540" w:type="dxa"/>
            <w:vAlign w:val="bottom"/>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100</w:t>
            </w:r>
          </w:p>
        </w:tc>
        <w:tc>
          <w:tcPr>
            <w:tcW w:w="2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00" w:type="dxa"/>
            <w:vAlign w:val="bottom"/>
            <w:tcBorders>
              <w:top w:val="single" w:sz="8" w:color="2C6937"/>
              <w:bottom w:val="single" w:sz="8" w:color="2C6937"/>
            </w:tcBorders>
          </w:tcPr>
          <w:p>
            <w:pPr>
              <w:spacing w:after="0" w:line="20" w:lineRule="exact"/>
              <w:rPr>
                <w:sz w:val="1"/>
                <w:szCs w:val="1"/>
                <w:color w:val="auto"/>
              </w:rPr>
            </w:pPr>
          </w:p>
        </w:tc>
        <w:tc>
          <w:tcPr>
            <w:tcW w:w="24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bottom w:val="single" w:sz="8" w:color="CBC8C3"/>
            </w:tcBorders>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260" w:type="dxa"/>
            <w:vAlign w:val="bottom"/>
            <w:tcBorders>
              <w:bottom w:val="single" w:sz="8" w:color="CBC8C3"/>
            </w:tcBorders>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76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54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46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Borders>
              <w:bottom w:val="single" w:sz="8" w:color="CBC8C3"/>
            </w:tcBorders>
          </w:tcPr>
          <w:p>
            <w:pPr>
              <w:spacing w:after="0" w:line="20" w:lineRule="exact"/>
              <w:rPr>
                <w:sz w:val="1"/>
                <w:szCs w:val="1"/>
                <w:color w:val="auto"/>
              </w:rPr>
            </w:pPr>
          </w:p>
        </w:tc>
        <w:tc>
          <w:tcPr>
            <w:tcW w:w="100" w:type="dxa"/>
            <w:vAlign w:val="bottom"/>
            <w:tcBorders>
              <w:bottom w:val="single" w:sz="8" w:color="CBC8C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00" w:type="dxa"/>
            <w:vAlign w:val="bottom"/>
            <w:shd w:val="clear" w:color="auto" w:fill="CBC8C3"/>
          </w:tcPr>
          <w:p>
            <w:pPr>
              <w:spacing w:after="0"/>
              <w:rPr>
                <w:sz w:val="18"/>
                <w:szCs w:val="18"/>
                <w:color w:val="auto"/>
              </w:rPr>
            </w:pPr>
          </w:p>
        </w:tc>
        <w:tc>
          <w:tcPr>
            <w:tcW w:w="2520" w:type="dxa"/>
            <w:vAlign w:val="bottom"/>
            <w:gridSpan w:val="2"/>
            <w:shd w:val="clear" w:color="auto" w:fill="CBC8C3"/>
          </w:tcPr>
          <w:p>
            <w:pPr>
              <w:ind w:left="120"/>
              <w:spacing w:after="0"/>
              <w:rPr>
                <w:sz w:val="20"/>
                <w:szCs w:val="20"/>
                <w:color w:val="auto"/>
              </w:rPr>
            </w:pPr>
            <w:r>
              <w:rPr>
                <w:rFonts w:ascii="Arial" w:cs="Arial" w:eastAsia="Arial" w:hAnsi="Arial"/>
                <w:sz w:val="14"/>
                <w:szCs w:val="14"/>
                <w:b w:val="1"/>
                <w:bCs w:val="1"/>
                <w:i w:val="1"/>
                <w:iCs w:val="1"/>
                <w:color w:val="auto"/>
              </w:rPr>
              <w:t>Weighted average</w:t>
            </w:r>
          </w:p>
        </w:tc>
        <w:tc>
          <w:tcPr>
            <w:tcW w:w="140" w:type="dxa"/>
            <w:vAlign w:val="bottom"/>
            <w:shd w:val="clear" w:color="auto" w:fill="CBC8C3"/>
          </w:tcPr>
          <w:p>
            <w:pPr>
              <w:spacing w:after="0"/>
              <w:rPr>
                <w:sz w:val="18"/>
                <w:szCs w:val="18"/>
                <w:color w:val="auto"/>
              </w:rPr>
            </w:pPr>
          </w:p>
        </w:tc>
        <w:tc>
          <w:tcPr>
            <w:tcW w:w="80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77</w:t>
            </w:r>
          </w:p>
        </w:tc>
        <w:tc>
          <w:tcPr>
            <w:tcW w:w="24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220" w:type="dxa"/>
            <w:vAlign w:val="bottom"/>
            <w:shd w:val="clear" w:color="auto" w:fill="CBC8C3"/>
          </w:tcPr>
          <w:p>
            <w:pPr>
              <w:spacing w:after="0"/>
              <w:rPr>
                <w:sz w:val="18"/>
                <w:szCs w:val="18"/>
                <w:color w:val="auto"/>
              </w:rPr>
            </w:pPr>
          </w:p>
        </w:tc>
        <w:tc>
          <w:tcPr>
            <w:tcW w:w="72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78</w:t>
            </w:r>
          </w:p>
        </w:tc>
        <w:tc>
          <w:tcPr>
            <w:tcW w:w="26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w:t>
            </w:r>
          </w:p>
        </w:tc>
        <w:tc>
          <w:tcPr>
            <w:tcW w:w="120" w:type="dxa"/>
            <w:vAlign w:val="bottom"/>
            <w:shd w:val="clear" w:color="auto" w:fill="CBC8C3"/>
          </w:tcPr>
          <w:p>
            <w:pPr>
              <w:spacing w:after="0"/>
              <w:rPr>
                <w:sz w:val="18"/>
                <w:szCs w:val="18"/>
                <w:color w:val="auto"/>
              </w:rPr>
            </w:pPr>
          </w:p>
        </w:tc>
        <w:tc>
          <w:tcPr>
            <w:tcW w:w="820" w:type="dxa"/>
            <w:vAlign w:val="bottom"/>
            <w:shd w:val="clear" w:color="auto" w:fill="CBC8C3"/>
          </w:tcPr>
          <w:p>
            <w:pPr>
              <w:jc w:val="right"/>
              <w:ind w:right="11"/>
              <w:spacing w:after="0"/>
              <w:rPr>
                <w:sz w:val="20"/>
                <w:szCs w:val="20"/>
                <w:color w:val="auto"/>
              </w:rPr>
            </w:pPr>
            <w:r>
              <w:rPr>
                <w:rFonts w:ascii="Arial" w:cs="Arial" w:eastAsia="Arial" w:hAnsi="Arial"/>
                <w:sz w:val="14"/>
                <w:szCs w:val="14"/>
                <w:b w:val="1"/>
                <w:bCs w:val="1"/>
                <w:i w:val="1"/>
                <w:iCs w:val="1"/>
                <w:color w:val="auto"/>
              </w:rPr>
              <w:t>78</w:t>
            </w:r>
          </w:p>
        </w:tc>
        <w:tc>
          <w:tcPr>
            <w:tcW w:w="24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200" w:type="dxa"/>
            <w:vAlign w:val="bottom"/>
            <w:shd w:val="clear" w:color="auto" w:fill="CBC8C3"/>
          </w:tcPr>
          <w:p>
            <w:pPr>
              <w:spacing w:after="0"/>
              <w:rPr>
                <w:sz w:val="18"/>
                <w:szCs w:val="18"/>
                <w:color w:val="auto"/>
              </w:rPr>
            </w:pPr>
          </w:p>
        </w:tc>
        <w:tc>
          <w:tcPr>
            <w:tcW w:w="760" w:type="dxa"/>
            <w:vAlign w:val="bottom"/>
            <w:shd w:val="clear" w:color="auto" w:fill="CBC8C3"/>
          </w:tcPr>
          <w:p>
            <w:pPr>
              <w:jc w:val="right"/>
              <w:ind w:right="11"/>
              <w:spacing w:after="0"/>
              <w:rPr>
                <w:sz w:val="20"/>
                <w:szCs w:val="20"/>
                <w:color w:val="auto"/>
              </w:rPr>
            </w:pPr>
            <w:r>
              <w:rPr>
                <w:rFonts w:ascii="Arial" w:cs="Arial" w:eastAsia="Arial" w:hAnsi="Arial"/>
                <w:sz w:val="14"/>
                <w:szCs w:val="14"/>
                <w:i w:val="1"/>
                <w:iCs w:val="1"/>
                <w:color w:val="auto"/>
              </w:rPr>
              <w:t>78</w:t>
            </w:r>
          </w:p>
        </w:tc>
        <w:tc>
          <w:tcPr>
            <w:tcW w:w="24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w:t>
            </w:r>
          </w:p>
        </w:tc>
        <w:tc>
          <w:tcPr>
            <w:tcW w:w="140" w:type="dxa"/>
            <w:vAlign w:val="bottom"/>
            <w:shd w:val="clear" w:color="auto" w:fill="CBC8C3"/>
          </w:tcPr>
          <w:p>
            <w:pPr>
              <w:spacing w:after="0"/>
              <w:rPr>
                <w:sz w:val="18"/>
                <w:szCs w:val="18"/>
                <w:color w:val="auto"/>
              </w:rPr>
            </w:pPr>
          </w:p>
        </w:tc>
        <w:tc>
          <w:tcPr>
            <w:tcW w:w="1540" w:type="dxa"/>
            <w:vAlign w:val="bottom"/>
            <w:shd w:val="clear" w:color="auto" w:fill="CBC8C3"/>
          </w:tcPr>
          <w:p>
            <w:pPr>
              <w:jc w:val="right"/>
              <w:ind w:right="11"/>
              <w:spacing w:after="0"/>
              <w:rPr>
                <w:sz w:val="20"/>
                <w:szCs w:val="20"/>
                <w:color w:val="auto"/>
              </w:rPr>
            </w:pPr>
            <w:r>
              <w:rPr>
                <w:rFonts w:ascii="Arial" w:cs="Arial" w:eastAsia="Arial" w:hAnsi="Arial"/>
                <w:sz w:val="14"/>
                <w:szCs w:val="14"/>
                <w:b w:val="1"/>
                <w:bCs w:val="1"/>
                <w:i w:val="1"/>
                <w:iCs w:val="1"/>
                <w:color w:val="auto"/>
              </w:rPr>
              <w:t>73</w:t>
            </w:r>
          </w:p>
        </w:tc>
        <w:tc>
          <w:tcPr>
            <w:tcW w:w="24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200" w:type="dxa"/>
            <w:vAlign w:val="bottom"/>
            <w:shd w:val="clear" w:color="auto" w:fill="CBC8C3"/>
          </w:tcPr>
          <w:p>
            <w:pPr>
              <w:spacing w:after="0"/>
              <w:rPr>
                <w:sz w:val="18"/>
                <w:szCs w:val="18"/>
                <w:color w:val="auto"/>
              </w:rPr>
            </w:pPr>
          </w:p>
        </w:tc>
        <w:tc>
          <w:tcPr>
            <w:tcW w:w="146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73</w:t>
            </w:r>
          </w:p>
        </w:tc>
        <w:tc>
          <w:tcPr>
            <w:tcW w:w="280" w:type="dxa"/>
            <w:vAlign w:val="bottom"/>
            <w:gridSpan w:val="3"/>
            <w:shd w:val="clear" w:color="auto" w:fill="CBC8C3"/>
          </w:tcPr>
          <w:p>
            <w:pPr>
              <w:jc w:val="right"/>
              <w:ind w:right="60"/>
              <w:spacing w:after="0"/>
              <w:rPr>
                <w:sz w:val="20"/>
                <w:szCs w:val="20"/>
                <w:color w:val="auto"/>
              </w:rPr>
            </w:pPr>
            <w:r>
              <w:rPr>
                <w:rFonts w:ascii="Arial" w:cs="Arial" w:eastAsia="Arial" w:hAnsi="Arial"/>
                <w:sz w:val="14"/>
                <w:szCs w:val="14"/>
                <w:i w:val="1"/>
                <w:iCs w:val="1"/>
                <w:color w:val="auto"/>
              </w:rPr>
              <w:t>%</w:t>
            </w:r>
          </w:p>
        </w:tc>
        <w:tc>
          <w:tcPr>
            <w:tcW w:w="0" w:type="dxa"/>
            <w:vAlign w:val="bottom"/>
          </w:tcPr>
          <w:p>
            <w:pPr>
              <w:spacing w:after="0"/>
              <w:rPr>
                <w:sz w:val="1"/>
                <w:szCs w:val="1"/>
                <w:color w:val="auto"/>
              </w:rPr>
            </w:pPr>
          </w:p>
        </w:tc>
      </w:tr>
      <w:tr>
        <w:trPr>
          <w:trHeight w:val="218"/>
        </w:trPr>
        <w:tc>
          <w:tcPr>
            <w:tcW w:w="2620" w:type="dxa"/>
            <w:vAlign w:val="bottom"/>
            <w:gridSpan w:val="3"/>
          </w:tcPr>
          <w:p>
            <w:pPr>
              <w:ind w:left="20"/>
              <w:spacing w:after="0"/>
              <w:rPr>
                <w:sz w:val="20"/>
                <w:szCs w:val="20"/>
                <w:color w:val="auto"/>
              </w:rPr>
            </w:pPr>
            <w:r>
              <w:rPr>
                <w:rFonts w:ascii="Arial" w:cs="Arial" w:eastAsia="Arial" w:hAnsi="Arial"/>
                <w:sz w:val="14"/>
                <w:szCs w:val="14"/>
                <w:color w:val="auto"/>
              </w:rPr>
              <w:t>Average loan amount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332,039</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331,073</w:t>
            </w:r>
          </w:p>
        </w:tc>
        <w:tc>
          <w:tcPr>
            <w:tcW w:w="3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330,682</w:t>
            </w: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321,385</w:t>
            </w:r>
          </w:p>
        </w:tc>
        <w:tc>
          <w:tcPr>
            <w:tcW w:w="3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1540" w:type="dxa"/>
            <w:vAlign w:val="bottom"/>
          </w:tcPr>
          <w:p>
            <w:pPr>
              <w:jc w:val="right"/>
              <w:ind w:right="11"/>
              <w:spacing w:after="0"/>
              <w:rPr>
                <w:sz w:val="20"/>
                <w:szCs w:val="20"/>
                <w:color w:val="auto"/>
              </w:rPr>
            </w:pPr>
            <w:r>
              <w:rPr>
                <w:rFonts w:ascii="Arial" w:cs="Arial" w:eastAsia="Arial" w:hAnsi="Arial"/>
                <w:sz w:val="14"/>
                <w:szCs w:val="14"/>
                <w:b w:val="1"/>
                <w:bCs w:val="1"/>
                <w:color w:val="auto"/>
              </w:rPr>
              <w:t>209,020</w:t>
            </w: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207,883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20" w:type="dxa"/>
            <w:vAlign w:val="bottom"/>
            <w:gridSpan w:val="3"/>
          </w:tcPr>
          <w:p>
            <w:pPr>
              <w:ind w:left="20"/>
              <w:spacing w:after="0"/>
              <w:rPr>
                <w:sz w:val="20"/>
                <w:szCs w:val="20"/>
                <w:color w:val="auto"/>
              </w:rPr>
            </w:pPr>
            <w:r>
              <w:rPr>
                <w:rFonts w:ascii="Arial" w:cs="Arial" w:eastAsia="Arial" w:hAnsi="Arial"/>
                <w:sz w:val="14"/>
                <w:szCs w:val="14"/>
                <w:color w:val="auto"/>
              </w:rPr>
              <w:t>Loan count (in thousands)</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281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730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765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ind w:right="11"/>
              <w:spacing w:after="0"/>
              <w:rPr>
                <w:sz w:val="20"/>
                <w:szCs w:val="20"/>
                <w:color w:val="auto"/>
              </w:rPr>
            </w:pPr>
            <w:r>
              <w:rPr>
                <w:rFonts w:ascii="Arial" w:cs="Arial" w:eastAsia="Arial" w:hAnsi="Arial"/>
                <w:sz w:val="14"/>
                <w:szCs w:val="14"/>
                <w:b w:val="1"/>
                <w:bCs w:val="1"/>
                <w:color w:val="auto"/>
              </w:rPr>
              <w:t>17,354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17,494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620" w:type="dxa"/>
            <w:vAlign w:val="bottom"/>
            <w:gridSpan w:val="3"/>
          </w:tcPr>
          <w:p>
            <w:pPr>
              <w:ind w:left="20"/>
              <w:spacing w:after="0"/>
              <w:rPr>
                <w:sz w:val="20"/>
                <w:szCs w:val="20"/>
                <w:color w:val="auto"/>
              </w:rPr>
            </w:pPr>
            <w:r>
              <w:rPr>
                <w:rFonts w:ascii="Arial" w:cs="Arial" w:eastAsia="Arial" w:hAnsi="Arial"/>
                <w:sz w:val="14"/>
                <w:szCs w:val="14"/>
                <w:b w:val="1"/>
                <w:bCs w:val="1"/>
                <w:color w:val="auto"/>
              </w:rPr>
              <w:t>Estimated mark-to-market LTV ratio:</w:t>
            </w:r>
            <w:r>
              <w:rPr>
                <w:rFonts w:ascii="Arial" w:cs="Arial" w:eastAsia="Arial" w:hAnsi="Arial"/>
                <w:sz w:val="17"/>
                <w:szCs w:val="17"/>
                <w:b w:val="1"/>
                <w:bCs w:val="1"/>
                <w:color w:val="auto"/>
                <w:vertAlign w:val="superscript"/>
              </w:rPr>
              <w:t>(5)</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520" w:type="dxa"/>
            <w:vAlign w:val="bottom"/>
            <w:gridSpan w:val="2"/>
          </w:tcPr>
          <w:p>
            <w:pPr>
              <w:ind w:left="120"/>
              <w:spacing w:after="0"/>
              <w:rPr>
                <w:sz w:val="20"/>
                <w:szCs w:val="20"/>
                <w:color w:val="auto"/>
              </w:rPr>
            </w:pPr>
            <w:r>
              <w:rPr>
                <w:rFonts w:ascii="Arial" w:cs="Arial" w:eastAsia="Arial" w:hAnsi="Arial"/>
                <w:sz w:val="14"/>
                <w:szCs w:val="14"/>
                <w:color w:val="auto"/>
              </w:rPr>
              <w:t>&lt;= 60%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ind w:right="11"/>
              <w:spacing w:after="0"/>
              <w:rPr>
                <w:sz w:val="20"/>
                <w:szCs w:val="20"/>
                <w:color w:val="auto"/>
              </w:rPr>
            </w:pPr>
            <w:r>
              <w:rPr>
                <w:rFonts w:ascii="Arial" w:cs="Arial" w:eastAsia="Arial" w:hAnsi="Arial"/>
                <w:sz w:val="14"/>
                <w:szCs w:val="14"/>
                <w:b w:val="1"/>
                <w:bCs w:val="1"/>
                <w:color w:val="auto"/>
              </w:rPr>
              <w:t>70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68</w:t>
            </w:r>
          </w:p>
        </w:tc>
        <w:tc>
          <w:tcPr>
            <w:tcW w:w="2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2520" w:type="dxa"/>
            <w:vAlign w:val="bottom"/>
            <w:gridSpan w:val="2"/>
          </w:tcPr>
          <w:p>
            <w:pPr>
              <w:ind w:left="20"/>
              <w:spacing w:after="0"/>
              <w:rPr>
                <w:sz w:val="20"/>
                <w:szCs w:val="20"/>
                <w:color w:val="auto"/>
              </w:rPr>
            </w:pPr>
            <w:r>
              <w:rPr>
                <w:rFonts w:ascii="Arial" w:cs="Arial" w:eastAsia="Arial" w:hAnsi="Arial"/>
                <w:sz w:val="14"/>
                <w:szCs w:val="14"/>
                <w:color w:val="auto"/>
              </w:rPr>
              <w:t>60.01% to 70%</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ind w:right="11"/>
              <w:spacing w:after="0"/>
              <w:rPr>
                <w:sz w:val="20"/>
                <w:szCs w:val="20"/>
                <w:color w:val="auto"/>
              </w:rPr>
            </w:pPr>
            <w:r>
              <w:rPr>
                <w:rFonts w:ascii="Arial" w:cs="Arial" w:eastAsia="Arial" w:hAnsi="Arial"/>
                <w:sz w:val="14"/>
                <w:szCs w:val="14"/>
                <w:b w:val="1"/>
                <w:bCs w:val="1"/>
                <w:color w:val="auto"/>
              </w:rPr>
              <w:t>12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2520" w:type="dxa"/>
            <w:vAlign w:val="bottom"/>
            <w:gridSpan w:val="2"/>
          </w:tcPr>
          <w:p>
            <w:pPr>
              <w:ind w:left="20"/>
              <w:spacing w:after="0"/>
              <w:rPr>
                <w:sz w:val="20"/>
                <w:szCs w:val="20"/>
                <w:color w:val="auto"/>
              </w:rPr>
            </w:pPr>
            <w:r>
              <w:rPr>
                <w:rFonts w:ascii="Arial" w:cs="Arial" w:eastAsia="Arial" w:hAnsi="Arial"/>
                <w:sz w:val="14"/>
                <w:szCs w:val="14"/>
                <w:color w:val="auto"/>
              </w:rPr>
              <w:t>70.01% to 80%</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ind w:right="11"/>
              <w:spacing w:after="0"/>
              <w:rPr>
                <w:sz w:val="20"/>
                <w:szCs w:val="20"/>
                <w:color w:val="auto"/>
              </w:rPr>
            </w:pPr>
            <w:r>
              <w:rPr>
                <w:rFonts w:ascii="Arial" w:cs="Arial" w:eastAsia="Arial" w:hAnsi="Arial"/>
                <w:sz w:val="14"/>
                <w:szCs w:val="14"/>
                <w:b w:val="1"/>
                <w:bCs w:val="1"/>
                <w:color w:val="auto"/>
              </w:rPr>
              <w:t>10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2520" w:type="dxa"/>
            <w:vAlign w:val="bottom"/>
            <w:gridSpan w:val="2"/>
          </w:tcPr>
          <w:p>
            <w:pPr>
              <w:ind w:left="20"/>
              <w:spacing w:after="0"/>
              <w:rPr>
                <w:sz w:val="20"/>
                <w:szCs w:val="20"/>
                <w:color w:val="auto"/>
              </w:rPr>
            </w:pPr>
            <w:r>
              <w:rPr>
                <w:rFonts w:ascii="Arial" w:cs="Arial" w:eastAsia="Arial" w:hAnsi="Arial"/>
                <w:sz w:val="14"/>
                <w:szCs w:val="14"/>
                <w:color w:val="auto"/>
              </w:rPr>
              <w:t>80.01% to 90%</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ind w:right="11"/>
              <w:spacing w:after="0"/>
              <w:rPr>
                <w:sz w:val="20"/>
                <w:szCs w:val="20"/>
                <w:color w:val="auto"/>
              </w:rPr>
            </w:pPr>
            <w:r>
              <w:rPr>
                <w:rFonts w:ascii="Arial" w:cs="Arial" w:eastAsia="Arial" w:hAnsi="Arial"/>
                <w:sz w:val="14"/>
                <w:szCs w:val="14"/>
                <w:b w:val="1"/>
                <w:bCs w:val="1"/>
                <w:color w:val="auto"/>
              </w:rPr>
              <w:t>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2520" w:type="dxa"/>
            <w:vAlign w:val="bottom"/>
            <w:gridSpan w:val="2"/>
          </w:tcPr>
          <w:p>
            <w:pPr>
              <w:ind w:left="20"/>
              <w:spacing w:after="0"/>
              <w:rPr>
                <w:sz w:val="20"/>
                <w:szCs w:val="20"/>
                <w:color w:val="auto"/>
              </w:rPr>
            </w:pPr>
            <w:r>
              <w:rPr>
                <w:rFonts w:ascii="Arial" w:cs="Arial" w:eastAsia="Arial" w:hAnsi="Arial"/>
                <w:sz w:val="14"/>
                <w:szCs w:val="14"/>
                <w:color w:val="auto"/>
              </w:rPr>
              <w:t>90.01% to 100%</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ind w:right="11"/>
              <w:spacing w:after="0"/>
              <w:rPr>
                <w:sz w:val="20"/>
                <w:szCs w:val="20"/>
                <w:color w:val="auto"/>
              </w:rPr>
            </w:pPr>
            <w:r>
              <w:rPr>
                <w:rFonts w:ascii="Arial" w:cs="Arial" w:eastAsia="Arial" w:hAnsi="Arial"/>
                <w:sz w:val="14"/>
                <w:szCs w:val="14"/>
                <w:b w:val="1"/>
                <w:bCs w:val="1"/>
                <w:color w:val="auto"/>
              </w:rPr>
              <w:t>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 w:type="dxa"/>
            <w:vAlign w:val="bottom"/>
            <w:tcBorders>
              <w:bottom w:val="single" w:sz="8" w:color="2C6937"/>
            </w:tcBorders>
          </w:tcPr>
          <w:p>
            <w:pPr>
              <w:spacing w:after="0"/>
              <w:rPr>
                <w:sz w:val="19"/>
                <w:szCs w:val="19"/>
                <w:color w:val="auto"/>
              </w:rPr>
            </w:pPr>
          </w:p>
        </w:tc>
        <w:tc>
          <w:tcPr>
            <w:tcW w:w="242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Greater than 100%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15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1500" w:type="dxa"/>
            <w:vAlign w:val="bottom"/>
            <w:tcBorders>
              <w:bottom w:val="single" w:sz="8" w:color="2C6937"/>
            </w:tcBorders>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2520" w:type="dxa"/>
            <w:vAlign w:val="bottom"/>
            <w:gridSpan w:val="2"/>
          </w:tcPr>
          <w:p>
            <w:pPr>
              <w:ind w:left="120"/>
              <w:spacing w:after="0"/>
              <w:rPr>
                <w:sz w:val="20"/>
                <w:szCs w:val="20"/>
                <w:color w:val="auto"/>
              </w:rPr>
            </w:pPr>
            <w:r>
              <w:rPr>
                <w:rFonts w:ascii="Arial" w:cs="Arial" w:eastAsia="Arial" w:hAnsi="Arial"/>
                <w:sz w:val="14"/>
                <w:szCs w:val="14"/>
                <w:color w:val="auto"/>
              </w:rPr>
              <w:t>Total</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100</w:t>
            </w:r>
          </w:p>
        </w:tc>
        <w:tc>
          <w:tcPr>
            <w:tcW w:w="2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00" w:type="dxa"/>
            <w:vAlign w:val="bottom"/>
            <w:tcBorders>
              <w:top w:val="single" w:sz="8" w:color="2C6937"/>
              <w:bottom w:val="single" w:sz="8" w:color="2C6937"/>
            </w:tcBorders>
          </w:tcPr>
          <w:p>
            <w:pPr>
              <w:spacing w:after="0" w:line="20" w:lineRule="exact"/>
              <w:rPr>
                <w:sz w:val="1"/>
                <w:szCs w:val="1"/>
                <w:color w:val="auto"/>
              </w:rPr>
            </w:pPr>
          </w:p>
        </w:tc>
        <w:tc>
          <w:tcPr>
            <w:tcW w:w="24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bottom w:val="single" w:sz="8" w:color="CBC8C3"/>
            </w:tcBorders>
          </w:tcPr>
          <w:p>
            <w:pPr>
              <w:spacing w:after="0" w:line="20" w:lineRule="exact"/>
              <w:rPr>
                <w:sz w:val="1"/>
                <w:szCs w:val="1"/>
                <w:color w:val="auto"/>
              </w:rPr>
            </w:pPr>
          </w:p>
        </w:tc>
        <w:tc>
          <w:tcPr>
            <w:tcW w:w="140" w:type="dxa"/>
            <w:vAlign w:val="bottom"/>
            <w:tcBorders>
              <w:bottom w:val="single" w:sz="8" w:color="CBC8C3"/>
            </w:tcBorders>
          </w:tcPr>
          <w:p>
            <w:pPr>
              <w:spacing w:after="0" w:line="20" w:lineRule="exact"/>
              <w:rPr>
                <w:sz w:val="1"/>
                <w:szCs w:val="1"/>
                <w:color w:val="auto"/>
              </w:rPr>
            </w:pPr>
          </w:p>
        </w:tc>
        <w:tc>
          <w:tcPr>
            <w:tcW w:w="800" w:type="dxa"/>
            <w:vAlign w:val="bottom"/>
            <w:tcBorders>
              <w:bottom w:val="single" w:sz="8" w:color="CBC8C3"/>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20" w:type="dxa"/>
            <w:vAlign w:val="bottom"/>
            <w:tcBorders>
              <w:bottom w:val="single" w:sz="8" w:color="CBC8C3"/>
            </w:tcBorders>
          </w:tcPr>
          <w:p>
            <w:pPr>
              <w:spacing w:after="0" w:line="20" w:lineRule="exact"/>
              <w:rPr>
                <w:sz w:val="1"/>
                <w:szCs w:val="1"/>
                <w:color w:val="auto"/>
              </w:rPr>
            </w:pPr>
          </w:p>
        </w:tc>
        <w:tc>
          <w:tcPr>
            <w:tcW w:w="720" w:type="dxa"/>
            <w:vAlign w:val="bottom"/>
            <w:tcBorders>
              <w:bottom w:val="single" w:sz="8" w:color="CBC8C3"/>
            </w:tcBorders>
          </w:tcPr>
          <w:p>
            <w:pPr>
              <w:spacing w:after="0" w:line="20" w:lineRule="exact"/>
              <w:rPr>
                <w:sz w:val="1"/>
                <w:szCs w:val="1"/>
                <w:color w:val="auto"/>
              </w:rPr>
            </w:pPr>
          </w:p>
        </w:tc>
        <w:tc>
          <w:tcPr>
            <w:tcW w:w="260" w:type="dxa"/>
            <w:vAlign w:val="bottom"/>
            <w:tcBorders>
              <w:bottom w:val="single" w:sz="8" w:color="CBC8C3"/>
            </w:tcBorders>
          </w:tcPr>
          <w:p>
            <w:pPr>
              <w:spacing w:after="0" w:line="20" w:lineRule="exact"/>
              <w:rPr>
                <w:sz w:val="1"/>
                <w:szCs w:val="1"/>
                <w:color w:val="auto"/>
              </w:rPr>
            </w:pPr>
          </w:p>
        </w:tc>
        <w:tc>
          <w:tcPr>
            <w:tcW w:w="120" w:type="dxa"/>
            <w:vAlign w:val="bottom"/>
            <w:tcBorders>
              <w:bottom w:val="single" w:sz="8" w:color="CBC8C3"/>
            </w:tcBorders>
          </w:tcPr>
          <w:p>
            <w:pPr>
              <w:spacing w:after="0" w:line="20" w:lineRule="exact"/>
              <w:rPr>
                <w:sz w:val="1"/>
                <w:szCs w:val="1"/>
                <w:color w:val="auto"/>
              </w:rPr>
            </w:pPr>
          </w:p>
        </w:tc>
        <w:tc>
          <w:tcPr>
            <w:tcW w:w="820" w:type="dxa"/>
            <w:vAlign w:val="bottom"/>
            <w:tcBorders>
              <w:bottom w:val="single" w:sz="8" w:color="CBC8C3"/>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00" w:type="dxa"/>
            <w:vAlign w:val="bottom"/>
            <w:tcBorders>
              <w:bottom w:val="single" w:sz="8" w:color="CBC8C3"/>
            </w:tcBorders>
          </w:tcPr>
          <w:p>
            <w:pPr>
              <w:spacing w:after="0" w:line="20" w:lineRule="exact"/>
              <w:rPr>
                <w:sz w:val="1"/>
                <w:szCs w:val="1"/>
                <w:color w:val="auto"/>
              </w:rPr>
            </w:pPr>
          </w:p>
        </w:tc>
        <w:tc>
          <w:tcPr>
            <w:tcW w:w="760" w:type="dxa"/>
            <w:vAlign w:val="bottom"/>
            <w:tcBorders>
              <w:bottom w:val="single" w:sz="8" w:color="CBC8C3"/>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54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46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Borders>
              <w:bottom w:val="single" w:sz="8" w:color="CBC8C3"/>
            </w:tcBorders>
          </w:tcPr>
          <w:p>
            <w:pPr>
              <w:spacing w:after="0" w:line="20" w:lineRule="exact"/>
              <w:rPr>
                <w:sz w:val="1"/>
                <w:szCs w:val="1"/>
                <w:color w:val="auto"/>
              </w:rPr>
            </w:pPr>
          </w:p>
        </w:tc>
        <w:tc>
          <w:tcPr>
            <w:tcW w:w="100" w:type="dxa"/>
            <w:vAlign w:val="bottom"/>
            <w:tcBorders>
              <w:bottom w:val="single" w:sz="8" w:color="CBC8C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00" w:type="dxa"/>
            <w:vAlign w:val="bottom"/>
            <w:shd w:val="clear" w:color="auto" w:fill="CBC8C3"/>
          </w:tcPr>
          <w:p>
            <w:pPr>
              <w:spacing w:after="0"/>
              <w:rPr>
                <w:sz w:val="18"/>
                <w:szCs w:val="18"/>
                <w:color w:val="auto"/>
              </w:rPr>
            </w:pPr>
          </w:p>
        </w:tc>
        <w:tc>
          <w:tcPr>
            <w:tcW w:w="2520" w:type="dxa"/>
            <w:vAlign w:val="bottom"/>
            <w:gridSpan w:val="2"/>
            <w:shd w:val="clear" w:color="auto" w:fill="CBC8C3"/>
          </w:tcPr>
          <w:p>
            <w:pPr>
              <w:ind w:left="120"/>
              <w:spacing w:after="0"/>
              <w:rPr>
                <w:sz w:val="20"/>
                <w:szCs w:val="20"/>
                <w:color w:val="auto"/>
              </w:rPr>
            </w:pPr>
            <w:r>
              <w:rPr>
                <w:rFonts w:ascii="Arial" w:cs="Arial" w:eastAsia="Arial" w:hAnsi="Arial"/>
                <w:sz w:val="14"/>
                <w:szCs w:val="14"/>
                <w:b w:val="1"/>
                <w:bCs w:val="1"/>
                <w:i w:val="1"/>
                <w:iCs w:val="1"/>
                <w:color w:val="auto"/>
              </w:rPr>
              <w:t>Weighted average</w:t>
            </w:r>
          </w:p>
        </w:tc>
        <w:tc>
          <w:tcPr>
            <w:tcW w:w="140" w:type="dxa"/>
            <w:vAlign w:val="bottom"/>
            <w:shd w:val="clear" w:color="auto" w:fill="CBC8C3"/>
          </w:tcPr>
          <w:p>
            <w:pPr>
              <w:spacing w:after="0"/>
              <w:rPr>
                <w:sz w:val="18"/>
                <w:szCs w:val="18"/>
                <w:color w:val="auto"/>
              </w:rPr>
            </w:pPr>
          </w:p>
        </w:tc>
        <w:tc>
          <w:tcPr>
            <w:tcW w:w="800" w:type="dxa"/>
            <w:vAlign w:val="bottom"/>
            <w:shd w:val="clear" w:color="auto" w:fill="CBC8C3"/>
          </w:tcPr>
          <w:p>
            <w:pPr>
              <w:spacing w:after="0"/>
              <w:rPr>
                <w:sz w:val="18"/>
                <w:szCs w:val="18"/>
                <w:color w:val="auto"/>
              </w:rPr>
            </w:pPr>
          </w:p>
        </w:tc>
        <w:tc>
          <w:tcPr>
            <w:tcW w:w="240" w:type="dxa"/>
            <w:vAlign w:val="bottom"/>
            <w:shd w:val="clear" w:color="auto" w:fill="CBC8C3"/>
          </w:tcPr>
          <w:p>
            <w:pPr>
              <w:spacing w:after="0"/>
              <w:rPr>
                <w:sz w:val="18"/>
                <w:szCs w:val="18"/>
                <w:color w:val="auto"/>
              </w:rPr>
            </w:pPr>
          </w:p>
        </w:tc>
        <w:tc>
          <w:tcPr>
            <w:tcW w:w="220" w:type="dxa"/>
            <w:vAlign w:val="bottom"/>
            <w:shd w:val="clear" w:color="auto" w:fill="CBC8C3"/>
          </w:tcPr>
          <w:p>
            <w:pPr>
              <w:spacing w:after="0"/>
              <w:rPr>
                <w:sz w:val="18"/>
                <w:szCs w:val="18"/>
                <w:color w:val="auto"/>
              </w:rPr>
            </w:pPr>
          </w:p>
        </w:tc>
        <w:tc>
          <w:tcPr>
            <w:tcW w:w="720" w:type="dxa"/>
            <w:vAlign w:val="bottom"/>
            <w:shd w:val="clear" w:color="auto" w:fill="CBC8C3"/>
          </w:tcPr>
          <w:p>
            <w:pPr>
              <w:spacing w:after="0"/>
              <w:rPr>
                <w:sz w:val="18"/>
                <w:szCs w:val="18"/>
                <w:color w:val="auto"/>
              </w:rPr>
            </w:pPr>
          </w:p>
        </w:tc>
        <w:tc>
          <w:tcPr>
            <w:tcW w:w="260" w:type="dxa"/>
            <w:vAlign w:val="bottom"/>
            <w:shd w:val="clear" w:color="auto" w:fill="CBC8C3"/>
          </w:tcPr>
          <w:p>
            <w:pPr>
              <w:spacing w:after="0"/>
              <w:rPr>
                <w:sz w:val="18"/>
                <w:szCs w:val="18"/>
                <w:color w:val="auto"/>
              </w:rPr>
            </w:pPr>
          </w:p>
        </w:tc>
        <w:tc>
          <w:tcPr>
            <w:tcW w:w="120" w:type="dxa"/>
            <w:vAlign w:val="bottom"/>
            <w:shd w:val="clear" w:color="auto" w:fill="CBC8C3"/>
          </w:tcPr>
          <w:p>
            <w:pPr>
              <w:spacing w:after="0"/>
              <w:rPr>
                <w:sz w:val="18"/>
                <w:szCs w:val="18"/>
                <w:color w:val="auto"/>
              </w:rPr>
            </w:pPr>
          </w:p>
        </w:tc>
        <w:tc>
          <w:tcPr>
            <w:tcW w:w="820" w:type="dxa"/>
            <w:vAlign w:val="bottom"/>
            <w:shd w:val="clear" w:color="auto" w:fill="CBC8C3"/>
          </w:tcPr>
          <w:p>
            <w:pPr>
              <w:spacing w:after="0"/>
              <w:rPr>
                <w:sz w:val="18"/>
                <w:szCs w:val="18"/>
                <w:color w:val="auto"/>
              </w:rPr>
            </w:pPr>
          </w:p>
        </w:tc>
        <w:tc>
          <w:tcPr>
            <w:tcW w:w="240" w:type="dxa"/>
            <w:vAlign w:val="bottom"/>
            <w:shd w:val="clear" w:color="auto" w:fill="CBC8C3"/>
          </w:tcPr>
          <w:p>
            <w:pPr>
              <w:spacing w:after="0"/>
              <w:rPr>
                <w:sz w:val="18"/>
                <w:szCs w:val="18"/>
                <w:color w:val="auto"/>
              </w:rPr>
            </w:pPr>
          </w:p>
        </w:tc>
        <w:tc>
          <w:tcPr>
            <w:tcW w:w="200" w:type="dxa"/>
            <w:vAlign w:val="bottom"/>
            <w:shd w:val="clear" w:color="auto" w:fill="CBC8C3"/>
          </w:tcPr>
          <w:p>
            <w:pPr>
              <w:spacing w:after="0"/>
              <w:rPr>
                <w:sz w:val="18"/>
                <w:szCs w:val="18"/>
                <w:color w:val="auto"/>
              </w:rPr>
            </w:pPr>
          </w:p>
        </w:tc>
        <w:tc>
          <w:tcPr>
            <w:tcW w:w="760" w:type="dxa"/>
            <w:vAlign w:val="bottom"/>
            <w:shd w:val="clear" w:color="auto" w:fill="CBC8C3"/>
          </w:tcPr>
          <w:p>
            <w:pPr>
              <w:spacing w:after="0"/>
              <w:rPr>
                <w:sz w:val="18"/>
                <w:szCs w:val="18"/>
                <w:color w:val="auto"/>
              </w:rPr>
            </w:pPr>
          </w:p>
        </w:tc>
        <w:tc>
          <w:tcPr>
            <w:tcW w:w="240" w:type="dxa"/>
            <w:vAlign w:val="bottom"/>
            <w:shd w:val="clear" w:color="auto" w:fill="CBC8C3"/>
          </w:tcPr>
          <w:p>
            <w:pPr>
              <w:spacing w:after="0"/>
              <w:rPr>
                <w:sz w:val="18"/>
                <w:szCs w:val="18"/>
                <w:color w:val="auto"/>
              </w:rPr>
            </w:pPr>
          </w:p>
        </w:tc>
        <w:tc>
          <w:tcPr>
            <w:tcW w:w="140" w:type="dxa"/>
            <w:vAlign w:val="bottom"/>
            <w:shd w:val="clear" w:color="auto" w:fill="CBC8C3"/>
          </w:tcPr>
          <w:p>
            <w:pPr>
              <w:spacing w:after="0"/>
              <w:rPr>
                <w:sz w:val="18"/>
                <w:szCs w:val="18"/>
                <w:color w:val="auto"/>
              </w:rPr>
            </w:pPr>
          </w:p>
        </w:tc>
        <w:tc>
          <w:tcPr>
            <w:tcW w:w="1540" w:type="dxa"/>
            <w:vAlign w:val="bottom"/>
            <w:shd w:val="clear" w:color="auto" w:fill="CBC8C3"/>
          </w:tcPr>
          <w:p>
            <w:pPr>
              <w:jc w:val="right"/>
              <w:ind w:right="11"/>
              <w:spacing w:after="0"/>
              <w:rPr>
                <w:sz w:val="20"/>
                <w:szCs w:val="20"/>
                <w:color w:val="auto"/>
              </w:rPr>
            </w:pPr>
            <w:r>
              <w:rPr>
                <w:rFonts w:ascii="Arial" w:cs="Arial" w:eastAsia="Arial" w:hAnsi="Arial"/>
                <w:sz w:val="14"/>
                <w:szCs w:val="14"/>
                <w:b w:val="1"/>
                <w:bCs w:val="1"/>
                <w:i w:val="1"/>
                <w:iCs w:val="1"/>
                <w:color w:val="auto"/>
              </w:rPr>
              <w:t>50</w:t>
            </w:r>
          </w:p>
        </w:tc>
        <w:tc>
          <w:tcPr>
            <w:tcW w:w="24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200" w:type="dxa"/>
            <w:vAlign w:val="bottom"/>
            <w:shd w:val="clear" w:color="auto" w:fill="CBC8C3"/>
          </w:tcPr>
          <w:p>
            <w:pPr>
              <w:spacing w:after="0"/>
              <w:rPr>
                <w:sz w:val="18"/>
                <w:szCs w:val="18"/>
                <w:color w:val="auto"/>
              </w:rPr>
            </w:pPr>
          </w:p>
        </w:tc>
        <w:tc>
          <w:tcPr>
            <w:tcW w:w="146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51</w:t>
            </w:r>
          </w:p>
        </w:tc>
        <w:tc>
          <w:tcPr>
            <w:tcW w:w="280" w:type="dxa"/>
            <w:vAlign w:val="bottom"/>
            <w:gridSpan w:val="3"/>
            <w:shd w:val="clear" w:color="auto" w:fill="CBC8C3"/>
          </w:tcPr>
          <w:p>
            <w:pPr>
              <w:jc w:val="right"/>
              <w:ind w:right="60"/>
              <w:spacing w:after="0"/>
              <w:rPr>
                <w:sz w:val="20"/>
                <w:szCs w:val="20"/>
                <w:color w:val="auto"/>
              </w:rPr>
            </w:pPr>
            <w:r>
              <w:rPr>
                <w:rFonts w:ascii="Arial" w:cs="Arial" w:eastAsia="Arial" w:hAnsi="Arial"/>
                <w:sz w:val="14"/>
                <w:szCs w:val="14"/>
                <w:i w:val="1"/>
                <w:iCs w:val="1"/>
                <w:color w:val="auto"/>
              </w:rPr>
              <w:t>%</w:t>
            </w:r>
          </w:p>
        </w:tc>
        <w:tc>
          <w:tcPr>
            <w:tcW w:w="0" w:type="dxa"/>
            <w:vAlign w:val="bottom"/>
          </w:tcPr>
          <w:p>
            <w:pPr>
              <w:spacing w:after="0"/>
              <w:rPr>
                <w:sz w:val="1"/>
                <w:szCs w:val="1"/>
                <w:color w:val="auto"/>
              </w:rPr>
            </w:pPr>
          </w:p>
        </w:tc>
      </w:tr>
      <w:tr>
        <w:trPr>
          <w:trHeight w:val="182"/>
        </w:trPr>
        <w:tc>
          <w:tcPr>
            <w:tcW w:w="2620" w:type="dxa"/>
            <w:vAlign w:val="bottom"/>
            <w:gridSpan w:val="3"/>
          </w:tcPr>
          <w:p>
            <w:pPr>
              <w:ind w:left="20"/>
              <w:spacing w:after="0"/>
              <w:rPr>
                <w:sz w:val="20"/>
                <w:szCs w:val="20"/>
                <w:color w:val="auto"/>
              </w:rPr>
            </w:pPr>
            <w:r>
              <w:rPr>
                <w:rFonts w:ascii="Arial" w:cs="Arial" w:eastAsia="Arial" w:hAnsi="Arial"/>
                <w:sz w:val="14"/>
                <w:szCs w:val="14"/>
                <w:b w:val="1"/>
                <w:bCs w:val="1"/>
                <w:color w:val="auto"/>
              </w:rPr>
              <w:t>FICO credit score at</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2520" w:type="dxa"/>
            <w:vAlign w:val="bottom"/>
            <w:gridSpan w:val="2"/>
          </w:tcPr>
          <w:p>
            <w:pPr>
              <w:ind w:left="80"/>
              <w:spacing w:after="0"/>
              <w:rPr>
                <w:sz w:val="20"/>
                <w:szCs w:val="20"/>
                <w:color w:val="auto"/>
              </w:rPr>
            </w:pPr>
            <w:r>
              <w:rPr>
                <w:rFonts w:ascii="Arial" w:cs="Arial" w:eastAsia="Arial" w:hAnsi="Arial"/>
                <w:sz w:val="14"/>
                <w:szCs w:val="14"/>
                <w:b w:val="1"/>
                <w:bCs w:val="1"/>
                <w:color w:val="auto"/>
              </w:rPr>
              <w:t>origination:</w:t>
            </w:r>
            <w:r>
              <w:rPr>
                <w:rFonts w:ascii="Arial" w:cs="Arial" w:eastAsia="Arial" w:hAnsi="Arial"/>
                <w:sz w:val="17"/>
                <w:szCs w:val="17"/>
                <w:b w:val="1"/>
                <w:bCs w:val="1"/>
                <w:color w:val="auto"/>
                <w:vertAlign w:val="superscript"/>
              </w:rPr>
              <w:t>(6)</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520" w:type="dxa"/>
            <w:vAlign w:val="bottom"/>
            <w:gridSpan w:val="2"/>
          </w:tcPr>
          <w:p>
            <w:pPr>
              <w:ind w:left="120"/>
              <w:spacing w:after="0"/>
              <w:rPr>
                <w:sz w:val="20"/>
                <w:szCs w:val="20"/>
                <w:color w:val="auto"/>
              </w:rPr>
            </w:pPr>
            <w:r>
              <w:rPr>
                <w:rFonts w:ascii="Arial" w:cs="Arial" w:eastAsia="Arial" w:hAnsi="Arial"/>
                <w:sz w:val="14"/>
                <w:szCs w:val="14"/>
                <w:color w:val="auto"/>
              </w:rPr>
              <w:t>&lt; 620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 %</w:t>
            </w:r>
          </w:p>
        </w:tc>
        <w:tc>
          <w:tcPr>
            <w:tcW w:w="22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 %</w:t>
            </w:r>
          </w:p>
        </w:tc>
        <w:tc>
          <w:tcPr>
            <w:tcW w:w="20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140" w:type="dxa"/>
            <w:vAlign w:val="bottom"/>
          </w:tcPr>
          <w:p>
            <w:pPr>
              <w:spacing w:after="0"/>
              <w:rPr>
                <w:sz w:val="17"/>
                <w:szCs w:val="17"/>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b w:val="1"/>
                <w:bCs w:val="1"/>
                <w:color w:val="auto"/>
              </w:rPr>
              <w:t>* %</w:t>
            </w:r>
          </w:p>
        </w:tc>
        <w:tc>
          <w:tcPr>
            <w:tcW w:w="200" w:type="dxa"/>
            <w:vAlign w:val="bottom"/>
          </w:tcPr>
          <w:p>
            <w:pPr>
              <w:spacing w:after="0"/>
              <w:rPr>
                <w:sz w:val="17"/>
                <w:szCs w:val="17"/>
                <w:color w:val="auto"/>
              </w:rPr>
            </w:pPr>
          </w:p>
        </w:tc>
        <w:tc>
          <w:tcPr>
            <w:tcW w:w="1740" w:type="dxa"/>
            <w:vAlign w:val="bottom"/>
            <w:gridSpan w:val="4"/>
          </w:tcPr>
          <w:p>
            <w:pPr>
              <w:jc w:val="right"/>
              <w:ind w:right="60"/>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2520" w:type="dxa"/>
            <w:vAlign w:val="bottom"/>
            <w:gridSpan w:val="2"/>
          </w:tcPr>
          <w:p>
            <w:pPr>
              <w:ind w:left="20"/>
              <w:spacing w:after="0"/>
              <w:rPr>
                <w:sz w:val="20"/>
                <w:szCs w:val="20"/>
                <w:color w:val="auto"/>
              </w:rPr>
            </w:pPr>
            <w:r>
              <w:rPr>
                <w:rFonts w:ascii="Arial" w:cs="Arial" w:eastAsia="Arial" w:hAnsi="Arial"/>
                <w:sz w:val="14"/>
                <w:szCs w:val="14"/>
                <w:color w:val="auto"/>
              </w:rPr>
              <w:t>620 to &lt; 660</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ind w:right="11"/>
              <w:spacing w:after="0"/>
              <w:rPr>
                <w:sz w:val="20"/>
                <w:szCs w:val="20"/>
                <w:color w:val="auto"/>
              </w:rPr>
            </w:pPr>
            <w:r>
              <w:rPr>
                <w:rFonts w:ascii="Arial" w:cs="Arial" w:eastAsia="Arial" w:hAnsi="Arial"/>
                <w:sz w:val="14"/>
                <w:szCs w:val="14"/>
                <w:b w:val="1"/>
                <w:bCs w:val="1"/>
                <w:color w:val="auto"/>
              </w:rPr>
              <w:t>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2520" w:type="dxa"/>
            <w:vAlign w:val="bottom"/>
            <w:gridSpan w:val="2"/>
          </w:tcPr>
          <w:p>
            <w:pPr>
              <w:ind w:left="20"/>
              <w:spacing w:after="0"/>
              <w:rPr>
                <w:sz w:val="20"/>
                <w:szCs w:val="20"/>
                <w:color w:val="auto"/>
              </w:rPr>
            </w:pPr>
            <w:r>
              <w:rPr>
                <w:rFonts w:ascii="Arial" w:cs="Arial" w:eastAsia="Arial" w:hAnsi="Arial"/>
                <w:sz w:val="14"/>
                <w:szCs w:val="14"/>
                <w:color w:val="auto"/>
              </w:rPr>
              <w:t>660 to &lt; 680</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ind w:right="11"/>
              <w:spacing w:after="0"/>
              <w:rPr>
                <w:sz w:val="20"/>
                <w:szCs w:val="20"/>
                <w:color w:val="auto"/>
              </w:rPr>
            </w:pPr>
            <w:r>
              <w:rPr>
                <w:rFonts w:ascii="Arial" w:cs="Arial" w:eastAsia="Arial" w:hAnsi="Arial"/>
                <w:sz w:val="14"/>
                <w:szCs w:val="14"/>
                <w:b w:val="1"/>
                <w:bCs w:val="1"/>
                <w:color w:val="auto"/>
              </w:rPr>
              <w:t>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2520" w:type="dxa"/>
            <w:vAlign w:val="bottom"/>
            <w:gridSpan w:val="2"/>
          </w:tcPr>
          <w:p>
            <w:pPr>
              <w:ind w:left="20"/>
              <w:spacing w:after="0"/>
              <w:rPr>
                <w:sz w:val="20"/>
                <w:szCs w:val="20"/>
                <w:color w:val="auto"/>
              </w:rPr>
            </w:pPr>
            <w:r>
              <w:rPr>
                <w:rFonts w:ascii="Arial" w:cs="Arial" w:eastAsia="Arial" w:hAnsi="Arial"/>
                <w:sz w:val="14"/>
                <w:szCs w:val="14"/>
                <w:color w:val="auto"/>
              </w:rPr>
              <w:t>680 to &lt; 700</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ind w:right="11"/>
              <w:spacing w:after="0"/>
              <w:rPr>
                <w:sz w:val="20"/>
                <w:szCs w:val="20"/>
                <w:color w:val="auto"/>
              </w:rPr>
            </w:pPr>
            <w:r>
              <w:rPr>
                <w:rFonts w:ascii="Arial" w:cs="Arial" w:eastAsia="Arial" w:hAnsi="Arial"/>
                <w:sz w:val="14"/>
                <w:szCs w:val="14"/>
                <w:b w:val="1"/>
                <w:bCs w:val="1"/>
                <w:color w:val="auto"/>
              </w:rPr>
              <w:t>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2520" w:type="dxa"/>
            <w:vAlign w:val="bottom"/>
            <w:gridSpan w:val="2"/>
          </w:tcPr>
          <w:p>
            <w:pPr>
              <w:ind w:left="20"/>
              <w:spacing w:after="0"/>
              <w:rPr>
                <w:sz w:val="20"/>
                <w:szCs w:val="20"/>
                <w:color w:val="auto"/>
              </w:rPr>
            </w:pPr>
            <w:r>
              <w:rPr>
                <w:rFonts w:ascii="Arial" w:cs="Arial" w:eastAsia="Arial" w:hAnsi="Arial"/>
                <w:sz w:val="14"/>
                <w:szCs w:val="14"/>
                <w:color w:val="auto"/>
              </w:rPr>
              <w:t>700 to &lt; 740</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18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20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ind w:right="11"/>
              <w:spacing w:after="0"/>
              <w:rPr>
                <w:sz w:val="20"/>
                <w:szCs w:val="20"/>
                <w:color w:val="auto"/>
              </w:rPr>
            </w:pPr>
            <w:r>
              <w:rPr>
                <w:rFonts w:ascii="Arial" w:cs="Arial" w:eastAsia="Arial" w:hAnsi="Arial"/>
                <w:sz w:val="14"/>
                <w:szCs w:val="14"/>
                <w:b w:val="1"/>
                <w:bCs w:val="1"/>
                <w:color w:val="auto"/>
              </w:rPr>
              <w:t>20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20" w:type="dxa"/>
            <w:vAlign w:val="bottom"/>
            <w:tcBorders>
              <w:bottom w:val="single" w:sz="8" w:color="2C6937"/>
            </w:tcBorders>
            <w:gridSpan w:val="2"/>
          </w:tcPr>
          <w:p>
            <w:pPr>
              <w:ind w:left="120"/>
              <w:spacing w:after="0"/>
              <w:rPr>
                <w:sz w:val="20"/>
                <w:szCs w:val="20"/>
                <w:color w:val="auto"/>
              </w:rPr>
            </w:pPr>
            <w:r>
              <w:rPr>
                <w:rFonts w:ascii="Arial" w:cs="Arial" w:eastAsia="Arial" w:hAnsi="Arial"/>
                <w:sz w:val="14"/>
                <w:szCs w:val="14"/>
                <w:color w:val="auto"/>
              </w:rPr>
              <w:t>&gt;= 740</w:t>
            </w:r>
          </w:p>
        </w:tc>
        <w:tc>
          <w:tcPr>
            <w:tcW w:w="10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72</w:t>
            </w:r>
          </w:p>
        </w:tc>
        <w:tc>
          <w:tcPr>
            <w:tcW w:w="240" w:type="dxa"/>
            <w:vAlign w:val="bottom"/>
          </w:tcPr>
          <w:p>
            <w:pPr>
              <w:spacing w:after="0"/>
              <w:rPr>
                <w:sz w:val="19"/>
                <w:szCs w:val="19"/>
                <w:color w:val="auto"/>
              </w:rPr>
            </w:pPr>
          </w:p>
        </w:tc>
        <w:tc>
          <w:tcPr>
            <w:tcW w:w="220" w:type="dxa"/>
            <w:vAlign w:val="bottom"/>
            <w:tcBorders>
              <w:bottom w:val="single" w:sz="8" w:color="2C6937"/>
            </w:tcBorders>
          </w:tcPr>
          <w:p>
            <w:pPr>
              <w:spacing w:after="0"/>
              <w:rPr>
                <w:sz w:val="19"/>
                <w:szCs w:val="19"/>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71</w:t>
            </w:r>
          </w:p>
        </w:tc>
        <w:tc>
          <w:tcPr>
            <w:tcW w:w="260" w:type="dxa"/>
            <w:vAlign w:val="bottom"/>
          </w:tcPr>
          <w:p>
            <w:pPr>
              <w:spacing w:after="0"/>
              <w:rPr>
                <w:sz w:val="19"/>
                <w:szCs w:val="19"/>
                <w:color w:val="auto"/>
              </w:rPr>
            </w:pPr>
          </w:p>
        </w:tc>
        <w:tc>
          <w:tcPr>
            <w:tcW w:w="120" w:type="dxa"/>
            <w:vAlign w:val="bottom"/>
            <w:tcBorders>
              <w:bottom w:val="single" w:sz="8" w:color="2C6937"/>
            </w:tcBorders>
          </w:tcPr>
          <w:p>
            <w:pPr>
              <w:spacing w:after="0"/>
              <w:rPr>
                <w:sz w:val="19"/>
                <w:szCs w:val="19"/>
                <w:color w:val="auto"/>
              </w:rPr>
            </w:pPr>
          </w:p>
        </w:tc>
        <w:tc>
          <w:tcPr>
            <w:tcW w:w="82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72</w:t>
            </w:r>
          </w:p>
        </w:tc>
        <w:tc>
          <w:tcPr>
            <w:tcW w:w="24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7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69</w:t>
            </w:r>
          </w:p>
        </w:tc>
        <w:tc>
          <w:tcPr>
            <w:tcW w:w="24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15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67</w:t>
            </w:r>
          </w:p>
        </w:tc>
        <w:tc>
          <w:tcPr>
            <w:tcW w:w="24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14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66</w:t>
            </w:r>
          </w:p>
        </w:tc>
        <w:tc>
          <w:tcPr>
            <w:tcW w:w="40" w:type="dxa"/>
            <w:vAlign w:val="bottom"/>
            <w:tcBorders>
              <w:bottom w:val="single" w:sz="8" w:color="2C6937"/>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2520" w:type="dxa"/>
            <w:vAlign w:val="bottom"/>
            <w:gridSpan w:val="2"/>
          </w:tcPr>
          <w:p>
            <w:pPr>
              <w:ind w:left="120"/>
              <w:spacing w:after="0"/>
              <w:rPr>
                <w:sz w:val="20"/>
                <w:szCs w:val="20"/>
                <w:color w:val="auto"/>
              </w:rPr>
            </w:pPr>
            <w:r>
              <w:rPr>
                <w:rFonts w:ascii="Arial" w:cs="Arial" w:eastAsia="Arial" w:hAnsi="Arial"/>
                <w:sz w:val="14"/>
                <w:szCs w:val="14"/>
                <w:color w:val="auto"/>
              </w:rPr>
              <w:t>Total</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100</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540" w:type="dxa"/>
            <w:vAlign w:val="bottom"/>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100</w:t>
            </w:r>
          </w:p>
        </w:tc>
        <w:tc>
          <w:tcPr>
            <w:tcW w:w="2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00" w:type="dxa"/>
            <w:vAlign w:val="bottom"/>
            <w:tcBorders>
              <w:top w:val="single" w:sz="8" w:color="2C6937"/>
              <w:bottom w:val="single" w:sz="8" w:color="2C6937"/>
            </w:tcBorders>
          </w:tcPr>
          <w:p>
            <w:pPr>
              <w:spacing w:after="0" w:line="20" w:lineRule="exact"/>
              <w:rPr>
                <w:sz w:val="1"/>
                <w:szCs w:val="1"/>
                <w:color w:val="auto"/>
              </w:rPr>
            </w:pPr>
          </w:p>
        </w:tc>
        <w:tc>
          <w:tcPr>
            <w:tcW w:w="24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bottom w:val="single" w:sz="8" w:color="CBC8C3"/>
            </w:tcBorders>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260" w:type="dxa"/>
            <w:vAlign w:val="bottom"/>
            <w:tcBorders>
              <w:bottom w:val="single" w:sz="8" w:color="CBC8C3"/>
            </w:tcBorders>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76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54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46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Borders>
              <w:bottom w:val="single" w:sz="8" w:color="CBC8C3"/>
            </w:tcBorders>
          </w:tcPr>
          <w:p>
            <w:pPr>
              <w:spacing w:after="0" w:line="20" w:lineRule="exact"/>
              <w:rPr>
                <w:sz w:val="1"/>
                <w:szCs w:val="1"/>
                <w:color w:val="auto"/>
              </w:rPr>
            </w:pPr>
          </w:p>
        </w:tc>
        <w:tc>
          <w:tcPr>
            <w:tcW w:w="100" w:type="dxa"/>
            <w:vAlign w:val="bottom"/>
            <w:tcBorders>
              <w:bottom w:val="single" w:sz="8" w:color="CBC8C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00" w:type="dxa"/>
            <w:vAlign w:val="bottom"/>
            <w:shd w:val="clear" w:color="auto" w:fill="CBC8C3"/>
          </w:tcPr>
          <w:p>
            <w:pPr>
              <w:spacing w:after="0"/>
              <w:rPr>
                <w:sz w:val="18"/>
                <w:szCs w:val="18"/>
                <w:color w:val="auto"/>
              </w:rPr>
            </w:pPr>
          </w:p>
        </w:tc>
        <w:tc>
          <w:tcPr>
            <w:tcW w:w="2520" w:type="dxa"/>
            <w:vAlign w:val="bottom"/>
            <w:gridSpan w:val="2"/>
            <w:shd w:val="clear" w:color="auto" w:fill="CBC8C3"/>
          </w:tcPr>
          <w:p>
            <w:pPr>
              <w:ind w:left="120"/>
              <w:spacing w:after="0"/>
              <w:rPr>
                <w:sz w:val="20"/>
                <w:szCs w:val="20"/>
                <w:color w:val="auto"/>
              </w:rPr>
            </w:pPr>
            <w:r>
              <w:rPr>
                <w:rFonts w:ascii="Arial" w:cs="Arial" w:eastAsia="Arial" w:hAnsi="Arial"/>
                <w:sz w:val="14"/>
                <w:szCs w:val="14"/>
                <w:b w:val="1"/>
                <w:bCs w:val="1"/>
                <w:i w:val="1"/>
                <w:iCs w:val="1"/>
                <w:color w:val="auto"/>
              </w:rPr>
              <w:t>Weighted average</w:t>
            </w:r>
          </w:p>
        </w:tc>
        <w:tc>
          <w:tcPr>
            <w:tcW w:w="140" w:type="dxa"/>
            <w:vAlign w:val="bottom"/>
            <w:shd w:val="clear" w:color="auto" w:fill="CBC8C3"/>
          </w:tcPr>
          <w:p>
            <w:pPr>
              <w:spacing w:after="0"/>
              <w:rPr>
                <w:sz w:val="18"/>
                <w:szCs w:val="18"/>
                <w:color w:val="auto"/>
              </w:rPr>
            </w:pPr>
          </w:p>
        </w:tc>
        <w:tc>
          <w:tcPr>
            <w:tcW w:w="80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759</w:t>
            </w:r>
          </w:p>
        </w:tc>
        <w:tc>
          <w:tcPr>
            <w:tcW w:w="240" w:type="dxa"/>
            <w:vAlign w:val="bottom"/>
            <w:shd w:val="clear" w:color="auto" w:fill="CBC8C3"/>
          </w:tcPr>
          <w:p>
            <w:pPr>
              <w:spacing w:after="0"/>
              <w:rPr>
                <w:sz w:val="18"/>
                <w:szCs w:val="18"/>
                <w:color w:val="auto"/>
              </w:rPr>
            </w:pPr>
          </w:p>
        </w:tc>
        <w:tc>
          <w:tcPr>
            <w:tcW w:w="220" w:type="dxa"/>
            <w:vAlign w:val="bottom"/>
            <w:shd w:val="clear" w:color="auto" w:fill="CBC8C3"/>
          </w:tcPr>
          <w:p>
            <w:pPr>
              <w:spacing w:after="0"/>
              <w:rPr>
                <w:sz w:val="18"/>
                <w:szCs w:val="18"/>
                <w:color w:val="auto"/>
              </w:rPr>
            </w:pPr>
          </w:p>
        </w:tc>
        <w:tc>
          <w:tcPr>
            <w:tcW w:w="72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757</w:t>
            </w:r>
          </w:p>
        </w:tc>
        <w:tc>
          <w:tcPr>
            <w:tcW w:w="260" w:type="dxa"/>
            <w:vAlign w:val="bottom"/>
            <w:shd w:val="clear" w:color="auto" w:fill="CBC8C3"/>
          </w:tcPr>
          <w:p>
            <w:pPr>
              <w:spacing w:after="0"/>
              <w:rPr>
                <w:sz w:val="18"/>
                <w:szCs w:val="18"/>
                <w:color w:val="auto"/>
              </w:rPr>
            </w:pPr>
          </w:p>
        </w:tc>
        <w:tc>
          <w:tcPr>
            <w:tcW w:w="120" w:type="dxa"/>
            <w:vAlign w:val="bottom"/>
            <w:shd w:val="clear" w:color="auto" w:fill="CBC8C3"/>
          </w:tcPr>
          <w:p>
            <w:pPr>
              <w:spacing w:after="0"/>
              <w:rPr>
                <w:sz w:val="18"/>
                <w:szCs w:val="18"/>
                <w:color w:val="auto"/>
              </w:rPr>
            </w:pPr>
          </w:p>
        </w:tc>
        <w:tc>
          <w:tcPr>
            <w:tcW w:w="820" w:type="dxa"/>
            <w:vAlign w:val="bottom"/>
            <w:shd w:val="clear" w:color="auto" w:fill="CBC8C3"/>
          </w:tcPr>
          <w:p>
            <w:pPr>
              <w:jc w:val="right"/>
              <w:ind w:right="11"/>
              <w:spacing w:after="0"/>
              <w:rPr>
                <w:sz w:val="20"/>
                <w:szCs w:val="20"/>
                <w:color w:val="auto"/>
              </w:rPr>
            </w:pPr>
            <w:r>
              <w:rPr>
                <w:rFonts w:ascii="Arial" w:cs="Arial" w:eastAsia="Arial" w:hAnsi="Arial"/>
                <w:sz w:val="14"/>
                <w:szCs w:val="14"/>
                <w:b w:val="1"/>
                <w:bCs w:val="1"/>
                <w:i w:val="1"/>
                <w:iCs w:val="1"/>
                <w:color w:val="auto"/>
              </w:rPr>
              <w:t>758</w:t>
            </w:r>
          </w:p>
        </w:tc>
        <w:tc>
          <w:tcPr>
            <w:tcW w:w="240" w:type="dxa"/>
            <w:vAlign w:val="bottom"/>
            <w:shd w:val="clear" w:color="auto" w:fill="CBC8C3"/>
          </w:tcPr>
          <w:p>
            <w:pPr>
              <w:spacing w:after="0"/>
              <w:rPr>
                <w:sz w:val="18"/>
                <w:szCs w:val="18"/>
                <w:color w:val="auto"/>
              </w:rPr>
            </w:pPr>
          </w:p>
        </w:tc>
        <w:tc>
          <w:tcPr>
            <w:tcW w:w="200" w:type="dxa"/>
            <w:vAlign w:val="bottom"/>
            <w:shd w:val="clear" w:color="auto" w:fill="CBC8C3"/>
          </w:tcPr>
          <w:p>
            <w:pPr>
              <w:spacing w:after="0"/>
              <w:rPr>
                <w:sz w:val="18"/>
                <w:szCs w:val="18"/>
                <w:color w:val="auto"/>
              </w:rPr>
            </w:pPr>
          </w:p>
        </w:tc>
        <w:tc>
          <w:tcPr>
            <w:tcW w:w="760" w:type="dxa"/>
            <w:vAlign w:val="bottom"/>
            <w:shd w:val="clear" w:color="auto" w:fill="CBC8C3"/>
          </w:tcPr>
          <w:p>
            <w:pPr>
              <w:jc w:val="right"/>
              <w:ind w:right="11"/>
              <w:spacing w:after="0"/>
              <w:rPr>
                <w:sz w:val="20"/>
                <w:szCs w:val="20"/>
                <w:color w:val="auto"/>
              </w:rPr>
            </w:pPr>
            <w:r>
              <w:rPr>
                <w:rFonts w:ascii="Arial" w:cs="Arial" w:eastAsia="Arial" w:hAnsi="Arial"/>
                <w:sz w:val="14"/>
                <w:szCs w:val="14"/>
                <w:i w:val="1"/>
                <w:iCs w:val="1"/>
                <w:color w:val="auto"/>
              </w:rPr>
              <w:t>755</w:t>
            </w:r>
          </w:p>
        </w:tc>
        <w:tc>
          <w:tcPr>
            <w:tcW w:w="240" w:type="dxa"/>
            <w:vAlign w:val="bottom"/>
            <w:shd w:val="clear" w:color="auto" w:fill="CBC8C3"/>
          </w:tcPr>
          <w:p>
            <w:pPr>
              <w:spacing w:after="0"/>
              <w:rPr>
                <w:sz w:val="18"/>
                <w:szCs w:val="18"/>
                <w:color w:val="auto"/>
              </w:rPr>
            </w:pPr>
          </w:p>
        </w:tc>
        <w:tc>
          <w:tcPr>
            <w:tcW w:w="140" w:type="dxa"/>
            <w:vAlign w:val="bottom"/>
            <w:shd w:val="clear" w:color="auto" w:fill="CBC8C3"/>
          </w:tcPr>
          <w:p>
            <w:pPr>
              <w:spacing w:after="0"/>
              <w:rPr>
                <w:sz w:val="18"/>
                <w:szCs w:val="18"/>
                <w:color w:val="auto"/>
              </w:rPr>
            </w:pPr>
          </w:p>
        </w:tc>
        <w:tc>
          <w:tcPr>
            <w:tcW w:w="1540" w:type="dxa"/>
            <w:vAlign w:val="bottom"/>
            <w:shd w:val="clear" w:color="auto" w:fill="CBC8C3"/>
          </w:tcPr>
          <w:p>
            <w:pPr>
              <w:jc w:val="right"/>
              <w:ind w:right="11"/>
              <w:spacing w:after="0"/>
              <w:rPr>
                <w:sz w:val="20"/>
                <w:szCs w:val="20"/>
                <w:color w:val="auto"/>
              </w:rPr>
            </w:pPr>
            <w:r>
              <w:rPr>
                <w:rFonts w:ascii="Arial" w:cs="Arial" w:eastAsia="Arial" w:hAnsi="Arial"/>
                <w:sz w:val="14"/>
                <w:szCs w:val="14"/>
                <w:b w:val="1"/>
                <w:bCs w:val="1"/>
                <w:i w:val="1"/>
                <w:iCs w:val="1"/>
                <w:color w:val="auto"/>
              </w:rPr>
              <w:t>753</w:t>
            </w:r>
          </w:p>
        </w:tc>
        <w:tc>
          <w:tcPr>
            <w:tcW w:w="240" w:type="dxa"/>
            <w:vAlign w:val="bottom"/>
            <w:shd w:val="clear" w:color="auto" w:fill="CBC8C3"/>
          </w:tcPr>
          <w:p>
            <w:pPr>
              <w:spacing w:after="0"/>
              <w:rPr>
                <w:sz w:val="18"/>
                <w:szCs w:val="18"/>
                <w:color w:val="auto"/>
              </w:rPr>
            </w:pPr>
          </w:p>
        </w:tc>
        <w:tc>
          <w:tcPr>
            <w:tcW w:w="200" w:type="dxa"/>
            <w:vAlign w:val="bottom"/>
            <w:shd w:val="clear" w:color="auto" w:fill="CBC8C3"/>
          </w:tcPr>
          <w:p>
            <w:pPr>
              <w:spacing w:after="0"/>
              <w:rPr>
                <w:sz w:val="18"/>
                <w:szCs w:val="18"/>
                <w:color w:val="auto"/>
              </w:rPr>
            </w:pPr>
          </w:p>
        </w:tc>
        <w:tc>
          <w:tcPr>
            <w:tcW w:w="146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753</w:t>
            </w:r>
          </w:p>
        </w:tc>
        <w:tc>
          <w:tcPr>
            <w:tcW w:w="40" w:type="dxa"/>
            <w:vAlign w:val="bottom"/>
            <w:shd w:val="clear" w:color="auto" w:fill="CBC8C3"/>
          </w:tcPr>
          <w:p>
            <w:pPr>
              <w:spacing w:after="0"/>
              <w:rPr>
                <w:sz w:val="18"/>
                <w:szCs w:val="18"/>
                <w:color w:val="auto"/>
              </w:rPr>
            </w:pPr>
          </w:p>
        </w:tc>
        <w:tc>
          <w:tcPr>
            <w:tcW w:w="140" w:type="dxa"/>
            <w:vAlign w:val="bottom"/>
            <w:shd w:val="clear" w:color="auto" w:fill="CBC8C3"/>
          </w:tcPr>
          <w:p>
            <w:pPr>
              <w:spacing w:after="0"/>
              <w:rPr>
                <w:sz w:val="18"/>
                <w:szCs w:val="18"/>
                <w:color w:val="auto"/>
              </w:rPr>
            </w:pPr>
          </w:p>
        </w:tc>
        <w:tc>
          <w:tcPr>
            <w:tcW w:w="100" w:type="dxa"/>
            <w:vAlign w:val="bottom"/>
            <w:shd w:val="clear" w:color="auto" w:fill="CBC8C3"/>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620" w:type="dxa"/>
            <w:vAlign w:val="bottom"/>
            <w:gridSpan w:val="3"/>
          </w:tcPr>
          <w:p>
            <w:pPr>
              <w:ind w:left="20"/>
              <w:spacing w:after="0"/>
              <w:rPr>
                <w:sz w:val="20"/>
                <w:szCs w:val="20"/>
                <w:color w:val="auto"/>
              </w:rPr>
            </w:pPr>
            <w:r>
              <w:rPr>
                <w:rFonts w:ascii="Arial" w:cs="Arial" w:eastAsia="Arial" w:hAnsi="Arial"/>
                <w:sz w:val="14"/>
                <w:szCs w:val="14"/>
                <w:b w:val="1"/>
                <w:bCs w:val="1"/>
                <w:color w:val="auto"/>
              </w:rPr>
              <w:t>Debt-to-income (“DTI”) ratio at</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2520" w:type="dxa"/>
            <w:vAlign w:val="bottom"/>
            <w:gridSpan w:val="2"/>
          </w:tcPr>
          <w:p>
            <w:pPr>
              <w:ind w:left="80"/>
              <w:spacing w:after="0"/>
              <w:rPr>
                <w:sz w:val="20"/>
                <w:szCs w:val="20"/>
                <w:color w:val="auto"/>
              </w:rPr>
            </w:pPr>
            <w:r>
              <w:rPr>
                <w:rFonts w:ascii="Arial" w:cs="Arial" w:eastAsia="Arial" w:hAnsi="Arial"/>
                <w:sz w:val="14"/>
                <w:szCs w:val="14"/>
                <w:b w:val="1"/>
                <w:bCs w:val="1"/>
                <w:color w:val="auto"/>
              </w:rPr>
              <w:t>origination:</w:t>
            </w:r>
            <w:r>
              <w:rPr>
                <w:rFonts w:ascii="Arial" w:cs="Arial" w:eastAsia="Arial" w:hAnsi="Arial"/>
                <w:sz w:val="17"/>
                <w:szCs w:val="17"/>
                <w:b w:val="1"/>
                <w:bCs w:val="1"/>
                <w:color w:val="auto"/>
                <w:vertAlign w:val="superscript"/>
              </w:rPr>
              <w:t>(7)</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520" w:type="dxa"/>
            <w:vAlign w:val="bottom"/>
            <w:gridSpan w:val="2"/>
          </w:tcPr>
          <w:p>
            <w:pPr>
              <w:ind w:left="120"/>
              <w:spacing w:after="0"/>
              <w:rPr>
                <w:sz w:val="20"/>
                <w:szCs w:val="20"/>
                <w:color w:val="auto"/>
              </w:rPr>
            </w:pPr>
            <w:r>
              <w:rPr>
                <w:rFonts w:ascii="Arial" w:cs="Arial" w:eastAsia="Arial" w:hAnsi="Arial"/>
                <w:sz w:val="14"/>
                <w:szCs w:val="14"/>
                <w:color w:val="auto"/>
              </w:rPr>
              <w:t>&lt;= 43%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63</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65</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63</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65</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540" w:type="dxa"/>
            <w:vAlign w:val="bottom"/>
          </w:tcPr>
          <w:p>
            <w:pPr>
              <w:jc w:val="right"/>
              <w:ind w:right="11"/>
              <w:spacing w:after="0"/>
              <w:rPr>
                <w:sz w:val="20"/>
                <w:szCs w:val="20"/>
                <w:color w:val="auto"/>
              </w:rPr>
            </w:pPr>
            <w:r>
              <w:rPr>
                <w:rFonts w:ascii="Arial" w:cs="Arial" w:eastAsia="Arial" w:hAnsi="Arial"/>
                <w:sz w:val="14"/>
                <w:szCs w:val="14"/>
                <w:b w:val="1"/>
                <w:bCs w:val="1"/>
                <w:color w:val="auto"/>
              </w:rPr>
              <w:t>74</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75</w:t>
            </w:r>
          </w:p>
        </w:tc>
        <w:tc>
          <w:tcPr>
            <w:tcW w:w="2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2520" w:type="dxa"/>
            <w:vAlign w:val="bottom"/>
            <w:gridSpan w:val="2"/>
          </w:tcPr>
          <w:p>
            <w:pPr>
              <w:ind w:left="20"/>
              <w:spacing w:after="0"/>
              <w:rPr>
                <w:sz w:val="20"/>
                <w:szCs w:val="20"/>
                <w:color w:val="auto"/>
              </w:rPr>
            </w:pPr>
            <w:r>
              <w:rPr>
                <w:rFonts w:ascii="Arial" w:cs="Arial" w:eastAsia="Arial" w:hAnsi="Arial"/>
                <w:sz w:val="14"/>
                <w:szCs w:val="14"/>
                <w:color w:val="auto"/>
              </w:rPr>
              <w:t>43.01% to 45%</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10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10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ind w:right="11"/>
              <w:spacing w:after="0"/>
              <w:rPr>
                <w:sz w:val="20"/>
                <w:szCs w:val="20"/>
                <w:color w:val="auto"/>
              </w:rPr>
            </w:pPr>
            <w:r>
              <w:rPr>
                <w:rFonts w:ascii="Arial" w:cs="Arial" w:eastAsia="Arial" w:hAnsi="Arial"/>
                <w:sz w:val="14"/>
                <w:szCs w:val="14"/>
                <w:b w:val="1"/>
                <w:bCs w:val="1"/>
                <w:color w:val="auto"/>
              </w:rPr>
              <w:t>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 w:type="dxa"/>
            <w:vAlign w:val="bottom"/>
            <w:tcBorders>
              <w:bottom w:val="single" w:sz="8" w:color="2C6937"/>
            </w:tcBorders>
          </w:tcPr>
          <w:p>
            <w:pPr>
              <w:spacing w:after="0"/>
              <w:rPr>
                <w:sz w:val="19"/>
                <w:szCs w:val="19"/>
                <w:color w:val="auto"/>
              </w:rPr>
            </w:pPr>
          </w:p>
        </w:tc>
        <w:tc>
          <w:tcPr>
            <w:tcW w:w="242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Greater than 45%</w:t>
            </w:r>
          </w:p>
        </w:tc>
        <w:tc>
          <w:tcPr>
            <w:tcW w:w="10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27</w:t>
            </w:r>
          </w:p>
        </w:tc>
        <w:tc>
          <w:tcPr>
            <w:tcW w:w="240" w:type="dxa"/>
            <w:vAlign w:val="bottom"/>
          </w:tcPr>
          <w:p>
            <w:pPr>
              <w:spacing w:after="0"/>
              <w:rPr>
                <w:sz w:val="19"/>
                <w:szCs w:val="19"/>
                <w:color w:val="auto"/>
              </w:rPr>
            </w:pPr>
          </w:p>
        </w:tc>
        <w:tc>
          <w:tcPr>
            <w:tcW w:w="220" w:type="dxa"/>
            <w:vAlign w:val="bottom"/>
            <w:tcBorders>
              <w:bottom w:val="single" w:sz="8" w:color="2C6937"/>
            </w:tcBorders>
          </w:tcPr>
          <w:p>
            <w:pPr>
              <w:spacing w:after="0"/>
              <w:rPr>
                <w:sz w:val="19"/>
                <w:szCs w:val="19"/>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25</w:t>
            </w:r>
          </w:p>
        </w:tc>
        <w:tc>
          <w:tcPr>
            <w:tcW w:w="260" w:type="dxa"/>
            <w:vAlign w:val="bottom"/>
          </w:tcPr>
          <w:p>
            <w:pPr>
              <w:spacing w:after="0"/>
              <w:rPr>
                <w:sz w:val="19"/>
                <w:szCs w:val="19"/>
                <w:color w:val="auto"/>
              </w:rPr>
            </w:pPr>
          </w:p>
        </w:tc>
        <w:tc>
          <w:tcPr>
            <w:tcW w:w="120" w:type="dxa"/>
            <w:vAlign w:val="bottom"/>
            <w:tcBorders>
              <w:bottom w:val="single" w:sz="8" w:color="2C6937"/>
            </w:tcBorders>
          </w:tcPr>
          <w:p>
            <w:pPr>
              <w:spacing w:after="0"/>
              <w:rPr>
                <w:sz w:val="19"/>
                <w:szCs w:val="19"/>
                <w:color w:val="auto"/>
              </w:rPr>
            </w:pPr>
          </w:p>
        </w:tc>
        <w:tc>
          <w:tcPr>
            <w:tcW w:w="82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27</w:t>
            </w:r>
          </w:p>
        </w:tc>
        <w:tc>
          <w:tcPr>
            <w:tcW w:w="24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7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25</w:t>
            </w:r>
          </w:p>
        </w:tc>
        <w:tc>
          <w:tcPr>
            <w:tcW w:w="24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15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17</w:t>
            </w:r>
          </w:p>
        </w:tc>
        <w:tc>
          <w:tcPr>
            <w:tcW w:w="24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14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16</w:t>
            </w:r>
          </w:p>
        </w:tc>
        <w:tc>
          <w:tcPr>
            <w:tcW w:w="40" w:type="dxa"/>
            <w:vAlign w:val="bottom"/>
            <w:tcBorders>
              <w:bottom w:val="single" w:sz="8" w:color="2C6937"/>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2520" w:type="dxa"/>
            <w:vAlign w:val="bottom"/>
            <w:gridSpan w:val="2"/>
          </w:tcPr>
          <w:p>
            <w:pPr>
              <w:ind w:left="120"/>
              <w:spacing w:after="0"/>
              <w:rPr>
                <w:sz w:val="20"/>
                <w:szCs w:val="20"/>
                <w:color w:val="auto"/>
              </w:rPr>
            </w:pPr>
            <w:r>
              <w:rPr>
                <w:rFonts w:ascii="Arial" w:cs="Arial" w:eastAsia="Arial" w:hAnsi="Arial"/>
                <w:sz w:val="14"/>
                <w:szCs w:val="14"/>
                <w:color w:val="auto"/>
              </w:rPr>
              <w:t>Total</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100</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540" w:type="dxa"/>
            <w:vAlign w:val="bottom"/>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100</w:t>
            </w:r>
          </w:p>
        </w:tc>
        <w:tc>
          <w:tcPr>
            <w:tcW w:w="2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00" w:type="dxa"/>
            <w:vAlign w:val="bottom"/>
            <w:tcBorders>
              <w:top w:val="single" w:sz="8" w:color="2C6937"/>
              <w:bottom w:val="single" w:sz="8" w:color="2C6937"/>
            </w:tcBorders>
          </w:tcPr>
          <w:p>
            <w:pPr>
              <w:spacing w:after="0" w:line="20" w:lineRule="exact"/>
              <w:rPr>
                <w:sz w:val="1"/>
                <w:szCs w:val="1"/>
                <w:color w:val="auto"/>
              </w:rPr>
            </w:pPr>
          </w:p>
        </w:tc>
        <w:tc>
          <w:tcPr>
            <w:tcW w:w="24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bottom w:val="single" w:sz="8" w:color="CBC8C3"/>
            </w:tcBorders>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260" w:type="dxa"/>
            <w:vAlign w:val="bottom"/>
            <w:tcBorders>
              <w:bottom w:val="single" w:sz="8" w:color="CBC8C3"/>
            </w:tcBorders>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76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54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46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Borders>
              <w:bottom w:val="single" w:sz="8" w:color="CBC8C3"/>
            </w:tcBorders>
          </w:tcPr>
          <w:p>
            <w:pPr>
              <w:spacing w:after="0" w:line="20" w:lineRule="exact"/>
              <w:rPr>
                <w:sz w:val="1"/>
                <w:szCs w:val="1"/>
                <w:color w:val="auto"/>
              </w:rPr>
            </w:pPr>
          </w:p>
        </w:tc>
        <w:tc>
          <w:tcPr>
            <w:tcW w:w="100" w:type="dxa"/>
            <w:vAlign w:val="bottom"/>
            <w:tcBorders>
              <w:bottom w:val="single" w:sz="8" w:color="CBC8C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00" w:type="dxa"/>
            <w:vAlign w:val="bottom"/>
            <w:shd w:val="clear" w:color="auto" w:fill="CBC8C3"/>
          </w:tcPr>
          <w:p>
            <w:pPr>
              <w:spacing w:after="0"/>
              <w:rPr>
                <w:sz w:val="18"/>
                <w:szCs w:val="18"/>
                <w:color w:val="auto"/>
              </w:rPr>
            </w:pPr>
          </w:p>
        </w:tc>
        <w:tc>
          <w:tcPr>
            <w:tcW w:w="2520" w:type="dxa"/>
            <w:vAlign w:val="bottom"/>
            <w:gridSpan w:val="2"/>
            <w:shd w:val="clear" w:color="auto" w:fill="CBC8C3"/>
          </w:tcPr>
          <w:p>
            <w:pPr>
              <w:ind w:left="120"/>
              <w:spacing w:after="0"/>
              <w:rPr>
                <w:sz w:val="20"/>
                <w:szCs w:val="20"/>
                <w:color w:val="auto"/>
              </w:rPr>
            </w:pPr>
            <w:r>
              <w:rPr>
                <w:rFonts w:ascii="Arial" w:cs="Arial" w:eastAsia="Arial" w:hAnsi="Arial"/>
                <w:sz w:val="14"/>
                <w:szCs w:val="14"/>
                <w:b w:val="1"/>
                <w:bCs w:val="1"/>
                <w:i w:val="1"/>
                <w:iCs w:val="1"/>
                <w:color w:val="auto"/>
              </w:rPr>
              <w:t>Weighted average</w:t>
            </w:r>
          </w:p>
        </w:tc>
        <w:tc>
          <w:tcPr>
            <w:tcW w:w="140" w:type="dxa"/>
            <w:vAlign w:val="bottom"/>
            <w:shd w:val="clear" w:color="auto" w:fill="CBC8C3"/>
          </w:tcPr>
          <w:p>
            <w:pPr>
              <w:spacing w:after="0"/>
              <w:rPr>
                <w:sz w:val="18"/>
                <w:szCs w:val="18"/>
                <w:color w:val="auto"/>
              </w:rPr>
            </w:pPr>
          </w:p>
        </w:tc>
        <w:tc>
          <w:tcPr>
            <w:tcW w:w="80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38</w:t>
            </w:r>
          </w:p>
        </w:tc>
        <w:tc>
          <w:tcPr>
            <w:tcW w:w="24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220" w:type="dxa"/>
            <w:vAlign w:val="bottom"/>
            <w:shd w:val="clear" w:color="auto" w:fill="CBC8C3"/>
          </w:tcPr>
          <w:p>
            <w:pPr>
              <w:spacing w:after="0"/>
              <w:rPr>
                <w:sz w:val="18"/>
                <w:szCs w:val="18"/>
                <w:color w:val="auto"/>
              </w:rPr>
            </w:pPr>
          </w:p>
        </w:tc>
        <w:tc>
          <w:tcPr>
            <w:tcW w:w="72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38</w:t>
            </w:r>
          </w:p>
        </w:tc>
        <w:tc>
          <w:tcPr>
            <w:tcW w:w="26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w:t>
            </w:r>
          </w:p>
        </w:tc>
        <w:tc>
          <w:tcPr>
            <w:tcW w:w="120" w:type="dxa"/>
            <w:vAlign w:val="bottom"/>
            <w:shd w:val="clear" w:color="auto" w:fill="CBC8C3"/>
          </w:tcPr>
          <w:p>
            <w:pPr>
              <w:spacing w:after="0"/>
              <w:rPr>
                <w:sz w:val="18"/>
                <w:szCs w:val="18"/>
                <w:color w:val="auto"/>
              </w:rPr>
            </w:pPr>
          </w:p>
        </w:tc>
        <w:tc>
          <w:tcPr>
            <w:tcW w:w="820" w:type="dxa"/>
            <w:vAlign w:val="bottom"/>
            <w:shd w:val="clear" w:color="auto" w:fill="CBC8C3"/>
          </w:tcPr>
          <w:p>
            <w:pPr>
              <w:jc w:val="right"/>
              <w:ind w:right="11"/>
              <w:spacing w:after="0"/>
              <w:rPr>
                <w:sz w:val="20"/>
                <w:szCs w:val="20"/>
                <w:color w:val="auto"/>
              </w:rPr>
            </w:pPr>
            <w:r>
              <w:rPr>
                <w:rFonts w:ascii="Arial" w:cs="Arial" w:eastAsia="Arial" w:hAnsi="Arial"/>
                <w:sz w:val="14"/>
                <w:szCs w:val="14"/>
                <w:b w:val="1"/>
                <w:bCs w:val="1"/>
                <w:i w:val="1"/>
                <w:iCs w:val="1"/>
                <w:color w:val="auto"/>
              </w:rPr>
              <w:t>38</w:t>
            </w:r>
          </w:p>
        </w:tc>
        <w:tc>
          <w:tcPr>
            <w:tcW w:w="24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200" w:type="dxa"/>
            <w:vAlign w:val="bottom"/>
            <w:shd w:val="clear" w:color="auto" w:fill="CBC8C3"/>
          </w:tcPr>
          <w:p>
            <w:pPr>
              <w:spacing w:after="0"/>
              <w:rPr>
                <w:sz w:val="18"/>
                <w:szCs w:val="18"/>
                <w:color w:val="auto"/>
              </w:rPr>
            </w:pPr>
          </w:p>
        </w:tc>
        <w:tc>
          <w:tcPr>
            <w:tcW w:w="760" w:type="dxa"/>
            <w:vAlign w:val="bottom"/>
            <w:shd w:val="clear" w:color="auto" w:fill="CBC8C3"/>
          </w:tcPr>
          <w:p>
            <w:pPr>
              <w:jc w:val="right"/>
              <w:ind w:right="11"/>
              <w:spacing w:after="0"/>
              <w:rPr>
                <w:sz w:val="20"/>
                <w:szCs w:val="20"/>
                <w:color w:val="auto"/>
              </w:rPr>
            </w:pPr>
            <w:r>
              <w:rPr>
                <w:rFonts w:ascii="Arial" w:cs="Arial" w:eastAsia="Arial" w:hAnsi="Arial"/>
                <w:sz w:val="14"/>
                <w:szCs w:val="14"/>
                <w:i w:val="1"/>
                <w:iCs w:val="1"/>
                <w:color w:val="auto"/>
              </w:rPr>
              <w:t>38</w:t>
            </w:r>
          </w:p>
        </w:tc>
        <w:tc>
          <w:tcPr>
            <w:tcW w:w="24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w:t>
            </w:r>
          </w:p>
        </w:tc>
        <w:tc>
          <w:tcPr>
            <w:tcW w:w="140" w:type="dxa"/>
            <w:vAlign w:val="bottom"/>
            <w:shd w:val="clear" w:color="auto" w:fill="CBC8C3"/>
          </w:tcPr>
          <w:p>
            <w:pPr>
              <w:spacing w:after="0"/>
              <w:rPr>
                <w:sz w:val="18"/>
                <w:szCs w:val="18"/>
                <w:color w:val="auto"/>
              </w:rPr>
            </w:pPr>
          </w:p>
        </w:tc>
        <w:tc>
          <w:tcPr>
            <w:tcW w:w="1540" w:type="dxa"/>
            <w:vAlign w:val="bottom"/>
            <w:shd w:val="clear" w:color="auto" w:fill="CBC8C3"/>
          </w:tcPr>
          <w:p>
            <w:pPr>
              <w:jc w:val="right"/>
              <w:ind w:right="11"/>
              <w:spacing w:after="0"/>
              <w:rPr>
                <w:sz w:val="20"/>
                <w:szCs w:val="20"/>
                <w:color w:val="auto"/>
              </w:rPr>
            </w:pPr>
            <w:r>
              <w:rPr>
                <w:rFonts w:ascii="Arial" w:cs="Arial" w:eastAsia="Arial" w:hAnsi="Arial"/>
                <w:sz w:val="14"/>
                <w:szCs w:val="14"/>
                <w:b w:val="1"/>
                <w:bCs w:val="1"/>
                <w:i w:val="1"/>
                <w:iCs w:val="1"/>
                <w:color w:val="auto"/>
              </w:rPr>
              <w:t>35</w:t>
            </w:r>
          </w:p>
        </w:tc>
        <w:tc>
          <w:tcPr>
            <w:tcW w:w="24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w:t>
            </w:r>
          </w:p>
        </w:tc>
        <w:tc>
          <w:tcPr>
            <w:tcW w:w="200" w:type="dxa"/>
            <w:vAlign w:val="bottom"/>
            <w:shd w:val="clear" w:color="auto" w:fill="CBC8C3"/>
          </w:tcPr>
          <w:p>
            <w:pPr>
              <w:spacing w:after="0"/>
              <w:rPr>
                <w:sz w:val="18"/>
                <w:szCs w:val="18"/>
                <w:color w:val="auto"/>
              </w:rPr>
            </w:pPr>
          </w:p>
        </w:tc>
        <w:tc>
          <w:tcPr>
            <w:tcW w:w="146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35</w:t>
            </w:r>
          </w:p>
        </w:tc>
        <w:tc>
          <w:tcPr>
            <w:tcW w:w="280" w:type="dxa"/>
            <w:vAlign w:val="bottom"/>
            <w:gridSpan w:val="3"/>
            <w:shd w:val="clear" w:color="auto" w:fill="CBC8C3"/>
          </w:tcPr>
          <w:p>
            <w:pPr>
              <w:jc w:val="right"/>
              <w:ind w:right="60"/>
              <w:spacing w:after="0"/>
              <w:rPr>
                <w:sz w:val="20"/>
                <w:szCs w:val="20"/>
                <w:color w:val="auto"/>
              </w:rPr>
            </w:pPr>
            <w:r>
              <w:rPr>
                <w:rFonts w:ascii="Arial" w:cs="Arial" w:eastAsia="Arial" w:hAnsi="Arial"/>
                <w:sz w:val="14"/>
                <w:szCs w:val="14"/>
                <w:i w:val="1"/>
                <w:iCs w:val="1"/>
                <w:color w:val="auto"/>
              </w:rPr>
              <w:t>%</w:t>
            </w:r>
          </w:p>
        </w:tc>
        <w:tc>
          <w:tcPr>
            <w:tcW w:w="0" w:type="dxa"/>
            <w:vAlign w:val="bottom"/>
          </w:tcPr>
          <w:p>
            <w:pPr>
              <w:spacing w:after="0"/>
              <w:rPr>
                <w:sz w:val="1"/>
                <w:szCs w:val="1"/>
                <w:color w:val="auto"/>
              </w:rPr>
            </w:pPr>
          </w:p>
        </w:tc>
      </w:tr>
      <w:tr>
        <w:trPr>
          <w:trHeight w:val="722"/>
        </w:trPr>
        <w:tc>
          <w:tcPr>
            <w:tcW w:w="100" w:type="dxa"/>
            <w:vAlign w:val="bottom"/>
          </w:tcPr>
          <w:p>
            <w:pPr>
              <w:spacing w:after="0"/>
              <w:rPr>
                <w:sz w:val="24"/>
                <w:szCs w:val="24"/>
                <w:color w:val="auto"/>
              </w:rPr>
            </w:pPr>
          </w:p>
        </w:tc>
        <w:tc>
          <w:tcPr>
            <w:tcW w:w="2660" w:type="dxa"/>
            <w:vAlign w:val="bottom"/>
            <w:tcBorders>
              <w:bottom w:val="single" w:sz="8" w:color="CBC8C3"/>
            </w:tcBorders>
            <w:gridSpan w:val="3"/>
          </w:tcPr>
          <w:p>
            <w:pPr>
              <w:spacing w:after="0"/>
              <w:rPr>
                <w:sz w:val="24"/>
                <w:szCs w:val="24"/>
                <w:color w:val="auto"/>
              </w:rPr>
            </w:pPr>
          </w:p>
        </w:tc>
        <w:tc>
          <w:tcPr>
            <w:tcW w:w="800" w:type="dxa"/>
            <w:vAlign w:val="bottom"/>
            <w:tcBorders>
              <w:bottom w:val="single" w:sz="8" w:color="CBC8C3"/>
            </w:tcBorders>
          </w:tcPr>
          <w:p>
            <w:pPr>
              <w:spacing w:after="0"/>
              <w:rPr>
                <w:sz w:val="24"/>
                <w:szCs w:val="24"/>
                <w:color w:val="auto"/>
              </w:rPr>
            </w:pPr>
          </w:p>
        </w:tc>
        <w:tc>
          <w:tcPr>
            <w:tcW w:w="240" w:type="dxa"/>
            <w:vAlign w:val="bottom"/>
            <w:tcBorders>
              <w:bottom w:val="single" w:sz="8" w:color="CBC8C3"/>
            </w:tcBorders>
          </w:tcPr>
          <w:p>
            <w:pPr>
              <w:spacing w:after="0"/>
              <w:rPr>
                <w:sz w:val="24"/>
                <w:szCs w:val="24"/>
                <w:color w:val="auto"/>
              </w:rPr>
            </w:pPr>
          </w:p>
        </w:tc>
        <w:tc>
          <w:tcPr>
            <w:tcW w:w="220" w:type="dxa"/>
            <w:vAlign w:val="bottom"/>
            <w:tcBorders>
              <w:bottom w:val="single" w:sz="8" w:color="CBC8C3"/>
            </w:tcBorders>
          </w:tcPr>
          <w:p>
            <w:pPr>
              <w:spacing w:after="0"/>
              <w:rPr>
                <w:sz w:val="24"/>
                <w:szCs w:val="24"/>
                <w:color w:val="auto"/>
              </w:rPr>
            </w:pPr>
          </w:p>
        </w:tc>
        <w:tc>
          <w:tcPr>
            <w:tcW w:w="720" w:type="dxa"/>
            <w:vAlign w:val="bottom"/>
            <w:tcBorders>
              <w:bottom w:val="single" w:sz="8" w:color="CBC8C3"/>
            </w:tcBorders>
          </w:tcPr>
          <w:p>
            <w:pPr>
              <w:spacing w:after="0"/>
              <w:rPr>
                <w:sz w:val="24"/>
                <w:szCs w:val="24"/>
                <w:color w:val="auto"/>
              </w:rPr>
            </w:pPr>
          </w:p>
        </w:tc>
        <w:tc>
          <w:tcPr>
            <w:tcW w:w="260" w:type="dxa"/>
            <w:vAlign w:val="bottom"/>
            <w:tcBorders>
              <w:bottom w:val="single" w:sz="8" w:color="CBC8C3"/>
            </w:tcBorders>
          </w:tcPr>
          <w:p>
            <w:pPr>
              <w:spacing w:after="0"/>
              <w:rPr>
                <w:sz w:val="24"/>
                <w:szCs w:val="24"/>
                <w:color w:val="auto"/>
              </w:rPr>
            </w:pPr>
          </w:p>
        </w:tc>
        <w:tc>
          <w:tcPr>
            <w:tcW w:w="120" w:type="dxa"/>
            <w:vAlign w:val="bottom"/>
            <w:tcBorders>
              <w:bottom w:val="single" w:sz="8" w:color="CBC8C3"/>
            </w:tcBorders>
          </w:tcPr>
          <w:p>
            <w:pPr>
              <w:spacing w:after="0"/>
              <w:rPr>
                <w:sz w:val="24"/>
                <w:szCs w:val="24"/>
                <w:color w:val="auto"/>
              </w:rPr>
            </w:pPr>
          </w:p>
        </w:tc>
        <w:tc>
          <w:tcPr>
            <w:tcW w:w="820" w:type="dxa"/>
            <w:vAlign w:val="bottom"/>
            <w:tcBorders>
              <w:bottom w:val="single" w:sz="8" w:color="CBC8C3"/>
            </w:tcBorders>
          </w:tcPr>
          <w:p>
            <w:pPr>
              <w:spacing w:after="0"/>
              <w:rPr>
                <w:sz w:val="24"/>
                <w:szCs w:val="24"/>
                <w:color w:val="auto"/>
              </w:rPr>
            </w:pPr>
          </w:p>
        </w:tc>
        <w:tc>
          <w:tcPr>
            <w:tcW w:w="240" w:type="dxa"/>
            <w:vAlign w:val="bottom"/>
            <w:tcBorders>
              <w:bottom w:val="single" w:sz="8" w:color="CBC8C3"/>
            </w:tcBorders>
          </w:tcPr>
          <w:p>
            <w:pPr>
              <w:spacing w:after="0"/>
              <w:rPr>
                <w:sz w:val="24"/>
                <w:szCs w:val="24"/>
                <w:color w:val="auto"/>
              </w:rPr>
            </w:pPr>
          </w:p>
        </w:tc>
        <w:tc>
          <w:tcPr>
            <w:tcW w:w="200" w:type="dxa"/>
            <w:vAlign w:val="bottom"/>
            <w:tcBorders>
              <w:bottom w:val="single" w:sz="8" w:color="CBC8C3"/>
            </w:tcBorders>
          </w:tcPr>
          <w:p>
            <w:pPr>
              <w:spacing w:after="0"/>
              <w:rPr>
                <w:sz w:val="24"/>
                <w:szCs w:val="24"/>
                <w:color w:val="auto"/>
              </w:rPr>
            </w:pPr>
          </w:p>
        </w:tc>
        <w:tc>
          <w:tcPr>
            <w:tcW w:w="760" w:type="dxa"/>
            <w:vAlign w:val="bottom"/>
            <w:tcBorders>
              <w:bottom w:val="single" w:sz="8" w:color="CBC8C3"/>
            </w:tcBorders>
          </w:tcPr>
          <w:p>
            <w:pPr>
              <w:spacing w:after="0"/>
              <w:rPr>
                <w:sz w:val="24"/>
                <w:szCs w:val="24"/>
                <w:color w:val="auto"/>
              </w:rPr>
            </w:pPr>
          </w:p>
        </w:tc>
        <w:tc>
          <w:tcPr>
            <w:tcW w:w="240" w:type="dxa"/>
            <w:vAlign w:val="bottom"/>
            <w:tcBorders>
              <w:bottom w:val="single" w:sz="8" w:color="CBC8C3"/>
            </w:tcBorders>
          </w:tcPr>
          <w:p>
            <w:pPr>
              <w:spacing w:after="0"/>
              <w:rPr>
                <w:sz w:val="24"/>
                <w:szCs w:val="24"/>
                <w:color w:val="auto"/>
              </w:rPr>
            </w:pPr>
          </w:p>
        </w:tc>
        <w:tc>
          <w:tcPr>
            <w:tcW w:w="140" w:type="dxa"/>
            <w:vAlign w:val="bottom"/>
            <w:tcBorders>
              <w:bottom w:val="single" w:sz="8" w:color="CBC8C3"/>
            </w:tcBorders>
          </w:tcPr>
          <w:p>
            <w:pPr>
              <w:spacing w:after="0"/>
              <w:rPr>
                <w:sz w:val="24"/>
                <w:szCs w:val="24"/>
                <w:color w:val="auto"/>
              </w:rPr>
            </w:pPr>
          </w:p>
        </w:tc>
        <w:tc>
          <w:tcPr>
            <w:tcW w:w="1540" w:type="dxa"/>
            <w:vAlign w:val="bottom"/>
            <w:tcBorders>
              <w:bottom w:val="single" w:sz="8" w:color="CBC8C3"/>
            </w:tcBorders>
          </w:tcPr>
          <w:p>
            <w:pPr>
              <w:spacing w:after="0"/>
              <w:rPr>
                <w:sz w:val="24"/>
                <w:szCs w:val="24"/>
                <w:color w:val="auto"/>
              </w:rPr>
            </w:pPr>
          </w:p>
        </w:tc>
        <w:tc>
          <w:tcPr>
            <w:tcW w:w="240" w:type="dxa"/>
            <w:vAlign w:val="bottom"/>
            <w:tcBorders>
              <w:bottom w:val="single" w:sz="8" w:color="CBC8C3"/>
            </w:tcBorders>
          </w:tcPr>
          <w:p>
            <w:pPr>
              <w:spacing w:after="0"/>
              <w:rPr>
                <w:sz w:val="24"/>
                <w:szCs w:val="24"/>
                <w:color w:val="auto"/>
              </w:rPr>
            </w:pPr>
          </w:p>
        </w:tc>
        <w:tc>
          <w:tcPr>
            <w:tcW w:w="200" w:type="dxa"/>
            <w:vAlign w:val="bottom"/>
            <w:tcBorders>
              <w:bottom w:val="single" w:sz="8" w:color="CBC8C3"/>
            </w:tcBorders>
          </w:tcPr>
          <w:p>
            <w:pPr>
              <w:spacing w:after="0"/>
              <w:rPr>
                <w:sz w:val="24"/>
                <w:szCs w:val="24"/>
                <w:color w:val="auto"/>
              </w:rPr>
            </w:pPr>
          </w:p>
        </w:tc>
        <w:tc>
          <w:tcPr>
            <w:tcW w:w="1460" w:type="dxa"/>
            <w:vAlign w:val="bottom"/>
            <w:tcBorders>
              <w:bottom w:val="single" w:sz="8" w:color="CBC8C3"/>
            </w:tcBorders>
          </w:tcPr>
          <w:p>
            <w:pPr>
              <w:spacing w:after="0"/>
              <w:rPr>
                <w:sz w:val="24"/>
                <w:szCs w:val="24"/>
                <w:color w:val="auto"/>
              </w:rPr>
            </w:pPr>
          </w:p>
        </w:tc>
        <w:tc>
          <w:tcPr>
            <w:tcW w:w="180" w:type="dxa"/>
            <w:vAlign w:val="bottom"/>
            <w:tcBorders>
              <w:bottom w:val="single" w:sz="8" w:color="CBC8C3"/>
            </w:tcBorders>
            <w:gridSpan w:val="2"/>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00" w:type="dxa"/>
            <w:vAlign w:val="bottom"/>
          </w:tcPr>
          <w:p>
            <w:pPr>
              <w:spacing w:after="0"/>
              <w:rPr>
                <w:sz w:val="15"/>
                <w:szCs w:val="15"/>
                <w:color w:val="auto"/>
              </w:rPr>
            </w:pPr>
          </w:p>
        </w:tc>
        <w:tc>
          <w:tcPr>
            <w:tcW w:w="2660" w:type="dxa"/>
            <w:vAlign w:val="bottom"/>
            <w:gridSpan w:val="3"/>
          </w:tcPr>
          <w:p>
            <w:pPr>
              <w:ind w:left="20"/>
              <w:spacing w:after="0"/>
              <w:rPr>
                <w:sz w:val="20"/>
                <w:szCs w:val="20"/>
                <w:color w:val="auto"/>
              </w:rPr>
            </w:pPr>
            <w:r>
              <w:rPr>
                <w:rFonts w:ascii="Arial" w:cs="Arial" w:eastAsia="Arial" w:hAnsi="Arial"/>
                <w:sz w:val="14"/>
                <w:szCs w:val="14"/>
                <w:color w:val="05314D"/>
                <w:w w:val="97"/>
              </w:rPr>
              <w:t>Fannie Mae Third Quarter 2024 Form 10-Q</w:t>
            </w: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05314D"/>
                <w:w w:val="89"/>
              </w:rPr>
              <w:t>26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24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80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146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29" w:name="page30"/>
    <w:bookmarkEnd w:id="29"/>
    <w:p>
      <w:pPr>
        <w:ind w:left="6060"/>
        <w:spacing w:after="0"/>
        <w:rPr>
          <w:sz w:val="20"/>
          <w:szCs w:val="20"/>
          <w:color w:val="auto"/>
        </w:rPr>
      </w:pPr>
      <w:r>
        <w:rPr>
          <w:rFonts w:ascii="Arial" w:cs="Arial" w:eastAsia="Arial" w:hAnsi="Arial"/>
          <w:sz w:val="13"/>
          <w:szCs w:val="13"/>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24130</wp:posOffset>
            </wp:positionV>
            <wp:extent cx="699960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80" w:type="dxa"/>
            <w:vAlign w:val="bottom"/>
            <w:gridSpan w:val="9"/>
          </w:tcPr>
          <w:p>
            <w:pPr>
              <w:jc w:val="right"/>
              <w:ind w:right="251"/>
              <w:spacing w:after="0"/>
              <w:rPr>
                <w:sz w:val="20"/>
                <w:szCs w:val="20"/>
                <w:color w:val="auto"/>
              </w:rPr>
            </w:pPr>
            <w:r>
              <w:rPr>
                <w:rFonts w:ascii="Arial" w:cs="Arial" w:eastAsia="Arial" w:hAnsi="Arial"/>
                <w:sz w:val="14"/>
                <w:szCs w:val="14"/>
                <w:b w:val="1"/>
                <w:bCs w:val="1"/>
                <w:color w:val="auto"/>
              </w:rPr>
              <w:t>Percent of Single-Family Conventional Business Volume at</w:t>
            </w:r>
          </w:p>
        </w:tc>
        <w:tc>
          <w:tcPr>
            <w:tcW w:w="200" w:type="dxa"/>
            <w:vAlign w:val="bottom"/>
          </w:tcPr>
          <w:p>
            <w:pPr>
              <w:spacing w:after="0"/>
              <w:rPr>
                <w:sz w:val="14"/>
                <w:szCs w:val="14"/>
                <w:color w:val="auto"/>
              </w:rPr>
            </w:pPr>
          </w:p>
        </w:tc>
      </w:tr>
      <w:tr>
        <w:trPr>
          <w:trHeight w:val="205"/>
        </w:trPr>
        <w:tc>
          <w:tcPr>
            <w:tcW w:w="2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bottom w:val="single" w:sz="8" w:color="2C6937"/>
            </w:tcBorders>
          </w:tcPr>
          <w:p>
            <w:pPr>
              <w:spacing w:after="0"/>
              <w:rPr>
                <w:sz w:val="17"/>
                <w:szCs w:val="17"/>
                <w:color w:val="auto"/>
              </w:rPr>
            </w:pPr>
          </w:p>
        </w:tc>
        <w:tc>
          <w:tcPr>
            <w:tcW w:w="300" w:type="dxa"/>
            <w:vAlign w:val="bottom"/>
            <w:tcBorders>
              <w:bottom w:val="single" w:sz="8" w:color="2C6937"/>
            </w:tcBorders>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620" w:type="dxa"/>
            <w:vAlign w:val="bottom"/>
            <w:tcBorders>
              <w:bottom w:val="single" w:sz="8" w:color="2C6937"/>
            </w:tcBorders>
          </w:tcPr>
          <w:p>
            <w:pPr>
              <w:spacing w:after="0"/>
              <w:rPr>
                <w:sz w:val="17"/>
                <w:szCs w:val="17"/>
                <w:color w:val="auto"/>
              </w:rPr>
            </w:pPr>
          </w:p>
        </w:tc>
        <w:tc>
          <w:tcPr>
            <w:tcW w:w="1500" w:type="dxa"/>
            <w:vAlign w:val="bottom"/>
            <w:tcBorders>
              <w:bottom w:val="single" w:sz="8" w:color="2C6937"/>
            </w:tcBorders>
            <w:gridSpan w:val="3"/>
          </w:tcPr>
          <w:p>
            <w:pPr>
              <w:jc w:val="right"/>
              <w:ind w:right="551"/>
              <w:spacing w:after="0"/>
              <w:rPr>
                <w:sz w:val="20"/>
                <w:szCs w:val="20"/>
                <w:color w:val="auto"/>
              </w:rPr>
            </w:pPr>
            <w:r>
              <w:rPr>
                <w:rFonts w:ascii="Arial" w:cs="Arial" w:eastAsia="Arial" w:hAnsi="Arial"/>
                <w:sz w:val="14"/>
                <w:szCs w:val="14"/>
                <w:b w:val="1"/>
                <w:bCs w:val="1"/>
                <w:color w:val="auto"/>
                <w:w w:val="95"/>
              </w:rPr>
              <w:t>Acquisition</w:t>
            </w:r>
            <w:r>
              <w:rPr>
                <w:rFonts w:ascii="Arial" w:cs="Arial" w:eastAsia="Arial" w:hAnsi="Arial"/>
                <w:sz w:val="17"/>
                <w:szCs w:val="17"/>
                <w:b w:val="1"/>
                <w:bCs w:val="1"/>
                <w:color w:val="auto"/>
                <w:w w:val="95"/>
                <w:vertAlign w:val="superscript"/>
              </w:rPr>
              <w:t>(2)</w:t>
            </w:r>
          </w:p>
        </w:tc>
        <w:tc>
          <w:tcPr>
            <w:tcW w:w="240" w:type="dxa"/>
            <w:vAlign w:val="bottom"/>
            <w:tcBorders>
              <w:bottom w:val="single" w:sz="8" w:color="2C6937"/>
            </w:tcBorders>
          </w:tcPr>
          <w:p>
            <w:pPr>
              <w:spacing w:after="0"/>
              <w:rPr>
                <w:sz w:val="17"/>
                <w:szCs w:val="17"/>
                <w:color w:val="auto"/>
              </w:rPr>
            </w:pPr>
          </w:p>
        </w:tc>
        <w:tc>
          <w:tcPr>
            <w:tcW w:w="940" w:type="dxa"/>
            <w:vAlign w:val="bottom"/>
            <w:tcBorders>
              <w:bottom w:val="single" w:sz="8" w:color="2C6937"/>
            </w:tcBorders>
          </w:tcPr>
          <w:p>
            <w:pPr>
              <w:spacing w:after="0"/>
              <w:rPr>
                <w:sz w:val="17"/>
                <w:szCs w:val="17"/>
                <w:color w:val="auto"/>
              </w:rPr>
            </w:pPr>
          </w:p>
        </w:tc>
        <w:tc>
          <w:tcPr>
            <w:tcW w:w="200" w:type="dxa"/>
            <w:vAlign w:val="bottom"/>
          </w:tcPr>
          <w:p>
            <w:pPr>
              <w:spacing w:after="0"/>
              <w:rPr>
                <w:sz w:val="17"/>
                <w:szCs w:val="17"/>
                <w:color w:val="auto"/>
              </w:rPr>
            </w:pPr>
          </w:p>
        </w:tc>
      </w:tr>
      <w:tr>
        <w:trPr>
          <w:trHeight w:val="151"/>
        </w:trPr>
        <w:tc>
          <w:tcPr>
            <w:tcW w:w="2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gridSpan w:val="5"/>
          </w:tcPr>
          <w:p>
            <w:pPr>
              <w:jc w:val="center"/>
              <w:spacing w:after="0" w:line="151" w:lineRule="exact"/>
              <w:rPr>
                <w:sz w:val="20"/>
                <w:szCs w:val="20"/>
                <w:color w:val="auto"/>
              </w:rPr>
            </w:pPr>
            <w:r>
              <w:rPr>
                <w:rFonts w:ascii="Arial" w:cs="Arial" w:eastAsia="Arial" w:hAnsi="Arial"/>
                <w:sz w:val="14"/>
                <w:szCs w:val="14"/>
                <w:b w:val="1"/>
                <w:bCs w:val="1"/>
                <w:color w:val="auto"/>
                <w:w w:val="97"/>
              </w:rPr>
              <w:t>For the Three Months Ended</w:t>
            </w:r>
          </w:p>
        </w:tc>
        <w:tc>
          <w:tcPr>
            <w:tcW w:w="240" w:type="dxa"/>
            <w:vAlign w:val="bottom"/>
          </w:tcPr>
          <w:p>
            <w:pPr>
              <w:spacing w:after="0"/>
              <w:rPr>
                <w:sz w:val="13"/>
                <w:szCs w:val="13"/>
                <w:color w:val="auto"/>
              </w:rPr>
            </w:pPr>
          </w:p>
        </w:tc>
        <w:tc>
          <w:tcPr>
            <w:tcW w:w="2120" w:type="dxa"/>
            <w:vAlign w:val="bottom"/>
            <w:gridSpan w:val="3"/>
          </w:tcPr>
          <w:p>
            <w:pPr>
              <w:jc w:val="center"/>
              <w:spacing w:after="0" w:line="151" w:lineRule="exact"/>
              <w:rPr>
                <w:sz w:val="20"/>
                <w:szCs w:val="20"/>
                <w:color w:val="auto"/>
              </w:rPr>
            </w:pPr>
            <w:r>
              <w:rPr>
                <w:rFonts w:ascii="Arial" w:cs="Arial" w:eastAsia="Arial" w:hAnsi="Arial"/>
                <w:sz w:val="14"/>
                <w:szCs w:val="14"/>
                <w:b w:val="1"/>
                <w:bCs w:val="1"/>
                <w:color w:val="auto"/>
                <w:w w:val="97"/>
              </w:rPr>
              <w:t>For the Nine Months Ended</w:t>
            </w:r>
          </w:p>
        </w:tc>
        <w:tc>
          <w:tcPr>
            <w:tcW w:w="200" w:type="dxa"/>
            <w:vAlign w:val="bottom"/>
          </w:tcPr>
          <w:p>
            <w:pPr>
              <w:spacing w:after="0"/>
              <w:rPr>
                <w:sz w:val="13"/>
                <w:szCs w:val="13"/>
                <w:color w:val="auto"/>
              </w:rPr>
            </w:pPr>
          </w:p>
        </w:tc>
      </w:tr>
      <w:tr>
        <w:trPr>
          <w:trHeight w:val="189"/>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Borders>
              <w:bottom w:val="single" w:sz="8" w:color="2C6937"/>
            </w:tcBorders>
            <w:gridSpan w:val="4"/>
          </w:tcPr>
          <w:p>
            <w:pPr>
              <w:jc w:val="center"/>
              <w:ind w:left="231"/>
              <w:spacing w:after="0"/>
              <w:rPr>
                <w:sz w:val="20"/>
                <w:szCs w:val="20"/>
                <w:color w:val="auto"/>
              </w:rPr>
            </w:pPr>
            <w:r>
              <w:rPr>
                <w:rFonts w:ascii="Arial" w:cs="Arial" w:eastAsia="Arial" w:hAnsi="Arial"/>
                <w:sz w:val="14"/>
                <w:szCs w:val="14"/>
                <w:b w:val="1"/>
                <w:bCs w:val="1"/>
                <w:color w:val="auto"/>
                <w:w w:val="98"/>
              </w:rPr>
              <w:t>September 30,</w:t>
            </w:r>
          </w:p>
        </w:tc>
        <w:tc>
          <w:tcPr>
            <w:tcW w:w="320" w:type="dxa"/>
            <w:vAlign w:val="bottom"/>
            <w:tcBorders>
              <w:bottom w:val="single" w:sz="8" w:color="2C6937"/>
            </w:tcBorders>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tcBorders>
              <w:bottom w:val="single" w:sz="8" w:color="2C6937"/>
            </w:tcBorders>
            <w:gridSpan w:val="3"/>
          </w:tcPr>
          <w:p>
            <w:pPr>
              <w:jc w:val="center"/>
              <w:spacing w:after="0"/>
              <w:rPr>
                <w:sz w:val="20"/>
                <w:szCs w:val="20"/>
                <w:color w:val="auto"/>
              </w:rPr>
            </w:pPr>
            <w:r>
              <w:rPr>
                <w:rFonts w:ascii="Arial" w:cs="Arial" w:eastAsia="Arial" w:hAnsi="Arial"/>
                <w:sz w:val="14"/>
                <w:szCs w:val="14"/>
                <w:b w:val="1"/>
                <w:bCs w:val="1"/>
                <w:color w:val="auto"/>
                <w:w w:val="98"/>
              </w:rPr>
              <w:t>September 30,</w:t>
            </w:r>
          </w:p>
        </w:tc>
        <w:tc>
          <w:tcPr>
            <w:tcW w:w="200" w:type="dxa"/>
            <w:vAlign w:val="bottom"/>
          </w:tcPr>
          <w:p>
            <w:pPr>
              <w:spacing w:after="0"/>
              <w:rPr>
                <w:sz w:val="16"/>
                <w:szCs w:val="16"/>
                <w:color w:val="auto"/>
              </w:rPr>
            </w:pPr>
          </w:p>
        </w:tc>
      </w:tr>
      <w:tr>
        <w:trPr>
          <w:trHeight w:val="186"/>
        </w:trPr>
        <w:tc>
          <w:tcPr>
            <w:tcW w:w="2620" w:type="dxa"/>
            <w:vAlign w:val="bottom"/>
            <w:gridSpan w:val="2"/>
          </w:tcPr>
          <w:p>
            <w:pPr>
              <w:spacing w:after="0"/>
              <w:rPr>
                <w:sz w:val="16"/>
                <w:szCs w:val="16"/>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2C6937"/>
            </w:tcBorders>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2C6937"/>
            </w:tcBorders>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Borders>
              <w:bottom w:val="single" w:sz="8" w:color="2C6937"/>
            </w:tcBorders>
          </w:tcPr>
          <w:p>
            <w:pPr>
              <w:jc w:val="right"/>
              <w:ind w:right="251"/>
              <w:spacing w:after="0"/>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6"/>
                <w:szCs w:val="16"/>
                <w:color w:val="auto"/>
              </w:rPr>
            </w:pPr>
          </w:p>
        </w:tc>
        <w:tc>
          <w:tcPr>
            <w:tcW w:w="940" w:type="dxa"/>
            <w:vAlign w:val="bottom"/>
            <w:tcBorders>
              <w:bottom w:val="single" w:sz="8" w:color="2C6937"/>
            </w:tcBorders>
          </w:tcPr>
          <w:p>
            <w:pPr>
              <w:jc w:val="right"/>
              <w:ind w:right="251"/>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6"/>
                <w:szCs w:val="16"/>
                <w:color w:val="auto"/>
              </w:rPr>
            </w:pPr>
          </w:p>
        </w:tc>
      </w:tr>
      <w:tr>
        <w:trPr>
          <w:trHeight w:val="185"/>
        </w:trPr>
        <w:tc>
          <w:tcPr>
            <w:tcW w:w="3240" w:type="dxa"/>
            <w:vAlign w:val="bottom"/>
            <w:gridSpan w:val="3"/>
          </w:tcPr>
          <w:p>
            <w:pPr>
              <w:ind w:left="20"/>
              <w:spacing w:after="0"/>
              <w:rPr>
                <w:sz w:val="20"/>
                <w:szCs w:val="20"/>
                <w:color w:val="auto"/>
              </w:rPr>
            </w:pPr>
            <w:r>
              <w:rPr>
                <w:rFonts w:ascii="Arial" w:cs="Arial" w:eastAsia="Arial" w:hAnsi="Arial"/>
                <w:sz w:val="14"/>
                <w:szCs w:val="14"/>
                <w:b w:val="1"/>
                <w:bCs w:val="1"/>
                <w:color w:val="auto"/>
              </w:rPr>
              <w:t>Product type:</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45"/>
        </w:trPr>
        <w:tc>
          <w:tcPr>
            <w:tcW w:w="3240" w:type="dxa"/>
            <w:vAlign w:val="bottom"/>
            <w:gridSpan w:val="3"/>
          </w:tcPr>
          <w:p>
            <w:pPr>
              <w:ind w:left="120"/>
              <w:spacing w:after="0"/>
              <w:rPr>
                <w:sz w:val="20"/>
                <w:szCs w:val="20"/>
                <w:color w:val="auto"/>
              </w:rPr>
            </w:pPr>
            <w:r>
              <w:rPr>
                <w:rFonts w:ascii="Arial" w:cs="Arial" w:eastAsia="Arial" w:hAnsi="Arial"/>
                <w:sz w:val="14"/>
                <w:szCs w:val="14"/>
                <w:color w:val="auto"/>
              </w:rPr>
              <w:t>Fixed-rate:</w:t>
            </w:r>
            <w:r>
              <w:rPr>
                <w:rFonts w:ascii="Arial" w:cs="Arial" w:eastAsia="Arial" w:hAnsi="Arial"/>
                <w:sz w:val="17"/>
                <w:szCs w:val="17"/>
                <w:color w:val="auto"/>
                <w:vertAlign w:val="superscript"/>
              </w:rPr>
              <w:t>(8)</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14"/>
        </w:trPr>
        <w:tc>
          <w:tcPr>
            <w:tcW w:w="3240" w:type="dxa"/>
            <w:vAlign w:val="bottom"/>
            <w:gridSpan w:val="3"/>
          </w:tcPr>
          <w:p>
            <w:pPr>
              <w:ind w:left="220"/>
              <w:spacing w:after="0"/>
              <w:rPr>
                <w:sz w:val="20"/>
                <w:szCs w:val="20"/>
                <w:color w:val="auto"/>
              </w:rPr>
            </w:pPr>
            <w:r>
              <w:rPr>
                <w:rFonts w:ascii="Arial" w:cs="Arial" w:eastAsia="Arial" w:hAnsi="Arial"/>
                <w:sz w:val="14"/>
                <w:szCs w:val="14"/>
                <w:color w:val="auto"/>
              </w:rPr>
              <w:t>Long-term</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96</w:t>
            </w:r>
          </w:p>
        </w:tc>
        <w:tc>
          <w:tcPr>
            <w:tcW w:w="260" w:type="dxa"/>
            <w:vAlign w:val="bottom"/>
          </w:tcPr>
          <w:p>
            <w:pPr>
              <w:jc w:val="center"/>
              <w:spacing w:after="0"/>
              <w:rPr>
                <w:sz w:val="20"/>
                <w:szCs w:val="20"/>
                <w:color w:val="auto"/>
              </w:rPr>
            </w:pPr>
            <w:r>
              <w:rPr>
                <w:rFonts w:ascii="Arial" w:cs="Arial" w:eastAsia="Arial" w:hAnsi="Arial"/>
                <w:sz w:val="15"/>
                <w:szCs w:val="15"/>
                <w:b w:val="1"/>
                <w:bCs w:val="1"/>
                <w:color w:val="auto"/>
              </w:rPr>
              <w:t>%</w:t>
            </w:r>
          </w:p>
        </w:tc>
        <w:tc>
          <w:tcPr>
            <w:tcW w:w="6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97</w:t>
            </w:r>
          </w:p>
        </w:tc>
        <w:tc>
          <w:tcPr>
            <w:tcW w:w="240" w:type="dxa"/>
            <w:vAlign w:val="bottom"/>
          </w:tcPr>
          <w:p>
            <w:pPr>
              <w:jc w:val="center"/>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96</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2"/>
        </w:trPr>
        <w:tc>
          <w:tcPr>
            <w:tcW w:w="252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Intermediate-term</w:t>
            </w:r>
          </w:p>
        </w:tc>
        <w:tc>
          <w:tcPr>
            <w:tcW w:w="100" w:type="dxa"/>
            <w:vAlign w:val="bottom"/>
          </w:tcPr>
          <w:p>
            <w:pPr>
              <w:spacing w:after="0"/>
              <w:rPr>
                <w:sz w:val="18"/>
                <w:szCs w:val="18"/>
                <w:color w:val="auto"/>
              </w:rPr>
            </w:pPr>
          </w:p>
        </w:tc>
        <w:tc>
          <w:tcPr>
            <w:tcW w:w="620" w:type="dxa"/>
            <w:vAlign w:val="bottom"/>
            <w:tcBorders>
              <w:bottom w:val="single" w:sz="8" w:color="2C6937"/>
            </w:tcBorders>
          </w:tcPr>
          <w:p>
            <w:pPr>
              <w:spacing w:after="0"/>
              <w:rPr>
                <w:sz w:val="18"/>
                <w:szCs w:val="18"/>
                <w:color w:val="auto"/>
              </w:rPr>
            </w:pPr>
          </w:p>
        </w:tc>
        <w:tc>
          <w:tcPr>
            <w:tcW w:w="3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w:t>
            </w:r>
          </w:p>
        </w:tc>
        <w:tc>
          <w:tcPr>
            <w:tcW w:w="260" w:type="dxa"/>
            <w:vAlign w:val="bottom"/>
          </w:tcPr>
          <w:p>
            <w:pPr>
              <w:spacing w:after="0"/>
              <w:rPr>
                <w:sz w:val="18"/>
                <w:szCs w:val="18"/>
                <w:color w:val="auto"/>
              </w:rPr>
            </w:pPr>
          </w:p>
        </w:tc>
        <w:tc>
          <w:tcPr>
            <w:tcW w:w="620" w:type="dxa"/>
            <w:vAlign w:val="bottom"/>
            <w:tcBorders>
              <w:bottom w:val="single" w:sz="8" w:color="2C6937"/>
            </w:tcBorders>
          </w:tcPr>
          <w:p>
            <w:pPr>
              <w:spacing w:after="0"/>
              <w:rPr>
                <w:sz w:val="18"/>
                <w:szCs w:val="18"/>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w:t>
            </w:r>
          </w:p>
        </w:tc>
        <w:tc>
          <w:tcPr>
            <w:tcW w:w="240" w:type="dxa"/>
            <w:vAlign w:val="bottom"/>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w:t>
            </w:r>
          </w:p>
        </w:tc>
        <w:tc>
          <w:tcPr>
            <w:tcW w:w="200" w:type="dxa"/>
            <w:vAlign w:val="bottom"/>
          </w:tcPr>
          <w:p>
            <w:pPr>
              <w:spacing w:after="0"/>
              <w:rPr>
                <w:sz w:val="18"/>
                <w:szCs w:val="18"/>
                <w:color w:val="auto"/>
              </w:rPr>
            </w:pPr>
          </w:p>
        </w:tc>
      </w:tr>
      <w:tr>
        <w:trPr>
          <w:trHeight w:val="212"/>
        </w:trPr>
        <w:tc>
          <w:tcPr>
            <w:tcW w:w="252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Total fixed-rate</w:t>
            </w:r>
          </w:p>
        </w:tc>
        <w:tc>
          <w:tcPr>
            <w:tcW w:w="100" w:type="dxa"/>
            <w:vAlign w:val="bottom"/>
          </w:tcPr>
          <w:p>
            <w:pPr>
              <w:spacing w:after="0"/>
              <w:rPr>
                <w:sz w:val="18"/>
                <w:szCs w:val="18"/>
                <w:color w:val="auto"/>
              </w:rPr>
            </w:pPr>
          </w:p>
        </w:tc>
        <w:tc>
          <w:tcPr>
            <w:tcW w:w="620" w:type="dxa"/>
            <w:vAlign w:val="bottom"/>
            <w:tcBorders>
              <w:bottom w:val="single" w:sz="8" w:color="2C6937"/>
            </w:tcBorders>
          </w:tcPr>
          <w:p>
            <w:pPr>
              <w:spacing w:after="0"/>
              <w:rPr>
                <w:sz w:val="18"/>
                <w:szCs w:val="18"/>
                <w:color w:val="auto"/>
              </w:rPr>
            </w:pPr>
          </w:p>
        </w:tc>
        <w:tc>
          <w:tcPr>
            <w:tcW w:w="3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99</w:t>
            </w:r>
          </w:p>
        </w:tc>
        <w:tc>
          <w:tcPr>
            <w:tcW w:w="260" w:type="dxa"/>
            <w:vAlign w:val="bottom"/>
          </w:tcPr>
          <w:p>
            <w:pPr>
              <w:spacing w:after="0"/>
              <w:rPr>
                <w:sz w:val="18"/>
                <w:szCs w:val="18"/>
                <w:color w:val="auto"/>
              </w:rPr>
            </w:pPr>
          </w:p>
        </w:tc>
        <w:tc>
          <w:tcPr>
            <w:tcW w:w="620" w:type="dxa"/>
            <w:vAlign w:val="bottom"/>
            <w:tcBorders>
              <w:bottom w:val="single" w:sz="8" w:color="2C6937"/>
            </w:tcBorders>
          </w:tcPr>
          <w:p>
            <w:pPr>
              <w:spacing w:after="0"/>
              <w:rPr>
                <w:sz w:val="18"/>
                <w:szCs w:val="18"/>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99</w:t>
            </w:r>
          </w:p>
        </w:tc>
        <w:tc>
          <w:tcPr>
            <w:tcW w:w="240" w:type="dxa"/>
            <w:vAlign w:val="bottom"/>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99</w:t>
            </w:r>
          </w:p>
        </w:tc>
        <w:tc>
          <w:tcPr>
            <w:tcW w:w="240" w:type="dxa"/>
            <w:vAlign w:val="bottom"/>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99</w:t>
            </w:r>
          </w:p>
        </w:tc>
        <w:tc>
          <w:tcPr>
            <w:tcW w:w="200" w:type="dxa"/>
            <w:vAlign w:val="bottom"/>
          </w:tcPr>
          <w:p>
            <w:pPr>
              <w:spacing w:after="0"/>
              <w:rPr>
                <w:sz w:val="18"/>
                <w:szCs w:val="18"/>
                <w:color w:val="auto"/>
              </w:rPr>
            </w:pPr>
          </w:p>
        </w:tc>
      </w:tr>
      <w:tr>
        <w:trPr>
          <w:trHeight w:val="212"/>
        </w:trPr>
        <w:tc>
          <w:tcPr>
            <w:tcW w:w="252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Adjustable-rate</w:t>
            </w:r>
          </w:p>
        </w:tc>
        <w:tc>
          <w:tcPr>
            <w:tcW w:w="100" w:type="dxa"/>
            <w:vAlign w:val="bottom"/>
          </w:tcPr>
          <w:p>
            <w:pPr>
              <w:spacing w:after="0"/>
              <w:rPr>
                <w:sz w:val="18"/>
                <w:szCs w:val="18"/>
                <w:color w:val="auto"/>
              </w:rPr>
            </w:pPr>
          </w:p>
        </w:tc>
        <w:tc>
          <w:tcPr>
            <w:tcW w:w="620" w:type="dxa"/>
            <w:vAlign w:val="bottom"/>
            <w:tcBorders>
              <w:bottom w:val="single" w:sz="8" w:color="2C6937"/>
            </w:tcBorders>
          </w:tcPr>
          <w:p>
            <w:pPr>
              <w:spacing w:after="0"/>
              <w:rPr>
                <w:sz w:val="18"/>
                <w:szCs w:val="18"/>
                <w:color w:val="auto"/>
              </w:rPr>
            </w:pPr>
          </w:p>
        </w:tc>
        <w:tc>
          <w:tcPr>
            <w:tcW w:w="3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w:t>
            </w:r>
          </w:p>
        </w:tc>
        <w:tc>
          <w:tcPr>
            <w:tcW w:w="260" w:type="dxa"/>
            <w:vAlign w:val="bottom"/>
          </w:tcPr>
          <w:p>
            <w:pPr>
              <w:spacing w:after="0"/>
              <w:rPr>
                <w:sz w:val="18"/>
                <w:szCs w:val="18"/>
                <w:color w:val="auto"/>
              </w:rPr>
            </w:pPr>
          </w:p>
        </w:tc>
        <w:tc>
          <w:tcPr>
            <w:tcW w:w="620" w:type="dxa"/>
            <w:vAlign w:val="bottom"/>
            <w:tcBorders>
              <w:bottom w:val="single" w:sz="8" w:color="2C6937"/>
            </w:tcBorders>
          </w:tcPr>
          <w:p>
            <w:pPr>
              <w:spacing w:after="0"/>
              <w:rPr>
                <w:sz w:val="18"/>
                <w:szCs w:val="18"/>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w:t>
            </w:r>
          </w:p>
        </w:tc>
        <w:tc>
          <w:tcPr>
            <w:tcW w:w="240" w:type="dxa"/>
            <w:vAlign w:val="bottom"/>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8"/>
                <w:szCs w:val="18"/>
                <w:color w:val="auto"/>
              </w:rPr>
            </w:pPr>
          </w:p>
        </w:tc>
      </w:tr>
      <w:tr>
        <w:trPr>
          <w:trHeight w:val="213"/>
        </w:trPr>
        <w:tc>
          <w:tcPr>
            <w:tcW w:w="252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8"/>
                <w:szCs w:val="18"/>
                <w:color w:val="auto"/>
              </w:rPr>
            </w:pPr>
          </w:p>
        </w:tc>
        <w:tc>
          <w:tcPr>
            <w:tcW w:w="620" w:type="dxa"/>
            <w:vAlign w:val="bottom"/>
            <w:tcBorders>
              <w:bottom w:val="single" w:sz="8" w:color="2C6937"/>
            </w:tcBorders>
          </w:tcPr>
          <w:p>
            <w:pPr>
              <w:spacing w:after="0"/>
              <w:rPr>
                <w:sz w:val="18"/>
                <w:szCs w:val="18"/>
                <w:color w:val="auto"/>
              </w:rPr>
            </w:pPr>
          </w:p>
        </w:tc>
        <w:tc>
          <w:tcPr>
            <w:tcW w:w="3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w w:val="94"/>
              </w:rPr>
              <w:t>100</w:t>
            </w:r>
          </w:p>
        </w:tc>
        <w:tc>
          <w:tcPr>
            <w:tcW w:w="260" w:type="dxa"/>
            <w:vAlign w:val="bottom"/>
          </w:tcPr>
          <w:p>
            <w:pPr>
              <w:jc w:val="center"/>
              <w:spacing w:after="0"/>
              <w:rPr>
                <w:sz w:val="20"/>
                <w:szCs w:val="20"/>
                <w:color w:val="auto"/>
              </w:rPr>
            </w:pPr>
            <w:r>
              <w:rPr>
                <w:rFonts w:ascii="Arial" w:cs="Arial" w:eastAsia="Arial" w:hAnsi="Arial"/>
                <w:sz w:val="15"/>
                <w:szCs w:val="15"/>
                <w:b w:val="1"/>
                <w:bCs w:val="1"/>
                <w:color w:val="auto"/>
              </w:rPr>
              <w:t>%</w:t>
            </w:r>
          </w:p>
        </w:tc>
        <w:tc>
          <w:tcPr>
            <w:tcW w:w="620" w:type="dxa"/>
            <w:vAlign w:val="bottom"/>
            <w:tcBorders>
              <w:bottom w:val="single" w:sz="8" w:color="2C6937"/>
            </w:tcBorders>
          </w:tcPr>
          <w:p>
            <w:pPr>
              <w:spacing w:after="0"/>
              <w:rPr>
                <w:sz w:val="18"/>
                <w:szCs w:val="18"/>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center"/>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5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2C6937"/>
            </w:tcBorders>
          </w:tcPr>
          <w:p>
            <w:pPr>
              <w:spacing w:after="0" w:line="20" w:lineRule="exact"/>
              <w:rPr>
                <w:sz w:val="1"/>
                <w:szCs w:val="1"/>
                <w:color w:val="auto"/>
              </w:rPr>
            </w:pPr>
          </w:p>
        </w:tc>
        <w:tc>
          <w:tcPr>
            <w:tcW w:w="30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2C6937"/>
            </w:tcBorders>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3240" w:type="dxa"/>
            <w:vAlign w:val="bottom"/>
            <w:gridSpan w:val="3"/>
          </w:tcPr>
          <w:p>
            <w:pPr>
              <w:ind w:left="20"/>
              <w:spacing w:after="0"/>
              <w:rPr>
                <w:sz w:val="20"/>
                <w:szCs w:val="20"/>
                <w:color w:val="auto"/>
              </w:rPr>
            </w:pPr>
            <w:r>
              <w:rPr>
                <w:rFonts w:ascii="Arial" w:cs="Arial" w:eastAsia="Arial" w:hAnsi="Arial"/>
                <w:sz w:val="14"/>
                <w:szCs w:val="14"/>
                <w:b w:val="1"/>
                <w:bCs w:val="1"/>
                <w:color w:val="auto"/>
              </w:rPr>
              <w:t>Number of property units:</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40"/>
        </w:trPr>
        <w:tc>
          <w:tcPr>
            <w:tcW w:w="3240" w:type="dxa"/>
            <w:vAlign w:val="bottom"/>
            <w:gridSpan w:val="3"/>
          </w:tcPr>
          <w:p>
            <w:pPr>
              <w:ind w:left="120"/>
              <w:spacing w:after="0"/>
              <w:rPr>
                <w:sz w:val="20"/>
                <w:szCs w:val="20"/>
                <w:color w:val="auto"/>
              </w:rPr>
            </w:pPr>
            <w:r>
              <w:rPr>
                <w:rFonts w:ascii="Arial" w:cs="Arial" w:eastAsia="Arial" w:hAnsi="Arial"/>
                <w:sz w:val="14"/>
                <w:szCs w:val="14"/>
                <w:color w:val="auto"/>
              </w:rPr>
              <w:t>1 unit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97</w:t>
            </w:r>
          </w:p>
        </w:tc>
        <w:tc>
          <w:tcPr>
            <w:tcW w:w="260" w:type="dxa"/>
            <w:vAlign w:val="bottom"/>
          </w:tcPr>
          <w:p>
            <w:pPr>
              <w:jc w:val="center"/>
              <w:spacing w:after="0"/>
              <w:rPr>
                <w:sz w:val="20"/>
                <w:szCs w:val="20"/>
                <w:color w:val="auto"/>
              </w:rPr>
            </w:pPr>
            <w:r>
              <w:rPr>
                <w:rFonts w:ascii="Arial" w:cs="Arial" w:eastAsia="Arial" w:hAnsi="Arial"/>
                <w:sz w:val="15"/>
                <w:szCs w:val="15"/>
                <w:b w:val="1"/>
                <w:bCs w:val="1"/>
                <w:color w:val="auto"/>
              </w:rPr>
              <w:t>%</w:t>
            </w:r>
          </w:p>
        </w:tc>
        <w:tc>
          <w:tcPr>
            <w:tcW w:w="6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98</w:t>
            </w:r>
          </w:p>
        </w:tc>
        <w:tc>
          <w:tcPr>
            <w:tcW w:w="240" w:type="dxa"/>
            <w:vAlign w:val="bottom"/>
          </w:tcPr>
          <w:p>
            <w:pPr>
              <w:jc w:val="center"/>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97</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2"/>
        </w:trPr>
        <w:tc>
          <w:tcPr>
            <w:tcW w:w="252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2-4 units</w:t>
            </w:r>
          </w:p>
        </w:tc>
        <w:tc>
          <w:tcPr>
            <w:tcW w:w="100" w:type="dxa"/>
            <w:vAlign w:val="bottom"/>
          </w:tcPr>
          <w:p>
            <w:pPr>
              <w:spacing w:after="0"/>
              <w:rPr>
                <w:sz w:val="18"/>
                <w:szCs w:val="18"/>
                <w:color w:val="auto"/>
              </w:rPr>
            </w:pPr>
          </w:p>
        </w:tc>
        <w:tc>
          <w:tcPr>
            <w:tcW w:w="620" w:type="dxa"/>
            <w:vAlign w:val="bottom"/>
            <w:tcBorders>
              <w:bottom w:val="single" w:sz="8" w:color="2C6937"/>
            </w:tcBorders>
          </w:tcPr>
          <w:p>
            <w:pPr>
              <w:spacing w:after="0"/>
              <w:rPr>
                <w:sz w:val="18"/>
                <w:szCs w:val="18"/>
                <w:color w:val="auto"/>
              </w:rPr>
            </w:pPr>
          </w:p>
        </w:tc>
        <w:tc>
          <w:tcPr>
            <w:tcW w:w="3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w:t>
            </w:r>
          </w:p>
        </w:tc>
        <w:tc>
          <w:tcPr>
            <w:tcW w:w="260" w:type="dxa"/>
            <w:vAlign w:val="bottom"/>
          </w:tcPr>
          <w:p>
            <w:pPr>
              <w:spacing w:after="0"/>
              <w:rPr>
                <w:sz w:val="18"/>
                <w:szCs w:val="18"/>
                <w:color w:val="auto"/>
              </w:rPr>
            </w:pPr>
          </w:p>
        </w:tc>
        <w:tc>
          <w:tcPr>
            <w:tcW w:w="620" w:type="dxa"/>
            <w:vAlign w:val="bottom"/>
            <w:tcBorders>
              <w:bottom w:val="single" w:sz="8" w:color="2C6937"/>
            </w:tcBorders>
          </w:tcPr>
          <w:p>
            <w:pPr>
              <w:spacing w:after="0"/>
              <w:rPr>
                <w:sz w:val="18"/>
                <w:szCs w:val="18"/>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w:t>
            </w:r>
          </w:p>
        </w:tc>
        <w:tc>
          <w:tcPr>
            <w:tcW w:w="240" w:type="dxa"/>
            <w:vAlign w:val="bottom"/>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w:t>
            </w:r>
          </w:p>
        </w:tc>
        <w:tc>
          <w:tcPr>
            <w:tcW w:w="200" w:type="dxa"/>
            <w:vAlign w:val="bottom"/>
          </w:tcPr>
          <w:p>
            <w:pPr>
              <w:spacing w:after="0"/>
              <w:rPr>
                <w:sz w:val="18"/>
                <w:szCs w:val="18"/>
                <w:color w:val="auto"/>
              </w:rPr>
            </w:pPr>
          </w:p>
        </w:tc>
      </w:tr>
      <w:tr>
        <w:trPr>
          <w:trHeight w:val="213"/>
        </w:trPr>
        <w:tc>
          <w:tcPr>
            <w:tcW w:w="252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8"/>
                <w:szCs w:val="18"/>
                <w:color w:val="auto"/>
              </w:rPr>
            </w:pPr>
          </w:p>
        </w:tc>
        <w:tc>
          <w:tcPr>
            <w:tcW w:w="620" w:type="dxa"/>
            <w:vAlign w:val="bottom"/>
            <w:tcBorders>
              <w:bottom w:val="single" w:sz="8" w:color="2C6937"/>
            </w:tcBorders>
          </w:tcPr>
          <w:p>
            <w:pPr>
              <w:spacing w:after="0"/>
              <w:rPr>
                <w:sz w:val="18"/>
                <w:szCs w:val="18"/>
                <w:color w:val="auto"/>
              </w:rPr>
            </w:pPr>
          </w:p>
        </w:tc>
        <w:tc>
          <w:tcPr>
            <w:tcW w:w="3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w w:val="94"/>
              </w:rPr>
              <w:t>100</w:t>
            </w:r>
          </w:p>
        </w:tc>
        <w:tc>
          <w:tcPr>
            <w:tcW w:w="260" w:type="dxa"/>
            <w:vAlign w:val="bottom"/>
          </w:tcPr>
          <w:p>
            <w:pPr>
              <w:jc w:val="center"/>
              <w:spacing w:after="0"/>
              <w:rPr>
                <w:sz w:val="20"/>
                <w:szCs w:val="20"/>
                <w:color w:val="auto"/>
              </w:rPr>
            </w:pPr>
            <w:r>
              <w:rPr>
                <w:rFonts w:ascii="Arial" w:cs="Arial" w:eastAsia="Arial" w:hAnsi="Arial"/>
                <w:sz w:val="15"/>
                <w:szCs w:val="15"/>
                <w:b w:val="1"/>
                <w:bCs w:val="1"/>
                <w:color w:val="auto"/>
              </w:rPr>
              <w:t>%</w:t>
            </w:r>
          </w:p>
        </w:tc>
        <w:tc>
          <w:tcPr>
            <w:tcW w:w="620" w:type="dxa"/>
            <w:vAlign w:val="bottom"/>
            <w:tcBorders>
              <w:bottom w:val="single" w:sz="8" w:color="2C6937"/>
            </w:tcBorders>
          </w:tcPr>
          <w:p>
            <w:pPr>
              <w:spacing w:after="0"/>
              <w:rPr>
                <w:sz w:val="18"/>
                <w:szCs w:val="18"/>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center"/>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5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2C6937"/>
            </w:tcBorders>
          </w:tcPr>
          <w:p>
            <w:pPr>
              <w:spacing w:after="0" w:line="20" w:lineRule="exact"/>
              <w:rPr>
                <w:sz w:val="1"/>
                <w:szCs w:val="1"/>
                <w:color w:val="auto"/>
              </w:rPr>
            </w:pPr>
          </w:p>
        </w:tc>
        <w:tc>
          <w:tcPr>
            <w:tcW w:w="30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2C6937"/>
            </w:tcBorders>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3240" w:type="dxa"/>
            <w:vAlign w:val="bottom"/>
            <w:gridSpan w:val="3"/>
          </w:tcPr>
          <w:p>
            <w:pPr>
              <w:ind w:left="20"/>
              <w:spacing w:after="0"/>
              <w:rPr>
                <w:sz w:val="20"/>
                <w:szCs w:val="20"/>
                <w:color w:val="auto"/>
              </w:rPr>
            </w:pPr>
            <w:r>
              <w:rPr>
                <w:rFonts w:ascii="Arial" w:cs="Arial" w:eastAsia="Arial" w:hAnsi="Arial"/>
                <w:sz w:val="14"/>
                <w:szCs w:val="14"/>
                <w:b w:val="1"/>
                <w:bCs w:val="1"/>
                <w:color w:val="auto"/>
              </w:rPr>
              <w:t>Property type:</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40"/>
        </w:trPr>
        <w:tc>
          <w:tcPr>
            <w:tcW w:w="3240" w:type="dxa"/>
            <w:vAlign w:val="bottom"/>
            <w:gridSpan w:val="3"/>
          </w:tcPr>
          <w:p>
            <w:pPr>
              <w:ind w:left="120"/>
              <w:spacing w:after="0"/>
              <w:rPr>
                <w:sz w:val="20"/>
                <w:szCs w:val="20"/>
                <w:color w:val="auto"/>
              </w:rPr>
            </w:pPr>
            <w:r>
              <w:rPr>
                <w:rFonts w:ascii="Arial" w:cs="Arial" w:eastAsia="Arial" w:hAnsi="Arial"/>
                <w:sz w:val="14"/>
                <w:szCs w:val="14"/>
                <w:color w:val="auto"/>
              </w:rPr>
              <w:t>Single-family homes</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92</w:t>
            </w:r>
          </w:p>
        </w:tc>
        <w:tc>
          <w:tcPr>
            <w:tcW w:w="260" w:type="dxa"/>
            <w:vAlign w:val="bottom"/>
          </w:tcPr>
          <w:p>
            <w:pPr>
              <w:jc w:val="center"/>
              <w:spacing w:after="0"/>
              <w:rPr>
                <w:sz w:val="20"/>
                <w:szCs w:val="20"/>
                <w:color w:val="auto"/>
              </w:rPr>
            </w:pPr>
            <w:r>
              <w:rPr>
                <w:rFonts w:ascii="Arial" w:cs="Arial" w:eastAsia="Arial" w:hAnsi="Arial"/>
                <w:sz w:val="15"/>
                <w:szCs w:val="15"/>
                <w:b w:val="1"/>
                <w:bCs w:val="1"/>
                <w:color w:val="auto"/>
              </w:rPr>
              <w:t>%</w:t>
            </w:r>
          </w:p>
        </w:tc>
        <w:tc>
          <w:tcPr>
            <w:tcW w:w="6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91</w:t>
            </w:r>
          </w:p>
        </w:tc>
        <w:tc>
          <w:tcPr>
            <w:tcW w:w="240" w:type="dxa"/>
            <w:vAlign w:val="bottom"/>
          </w:tcPr>
          <w:p>
            <w:pPr>
              <w:jc w:val="center"/>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91</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2"/>
        </w:trPr>
        <w:tc>
          <w:tcPr>
            <w:tcW w:w="252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Condo/Co-op</w:t>
            </w:r>
          </w:p>
        </w:tc>
        <w:tc>
          <w:tcPr>
            <w:tcW w:w="100" w:type="dxa"/>
            <w:vAlign w:val="bottom"/>
          </w:tcPr>
          <w:p>
            <w:pPr>
              <w:spacing w:after="0"/>
              <w:rPr>
                <w:sz w:val="18"/>
                <w:szCs w:val="18"/>
                <w:color w:val="auto"/>
              </w:rPr>
            </w:pPr>
          </w:p>
        </w:tc>
        <w:tc>
          <w:tcPr>
            <w:tcW w:w="620" w:type="dxa"/>
            <w:vAlign w:val="bottom"/>
            <w:tcBorders>
              <w:bottom w:val="single" w:sz="8" w:color="2C6937"/>
            </w:tcBorders>
          </w:tcPr>
          <w:p>
            <w:pPr>
              <w:spacing w:after="0"/>
              <w:rPr>
                <w:sz w:val="18"/>
                <w:szCs w:val="18"/>
                <w:color w:val="auto"/>
              </w:rPr>
            </w:pPr>
          </w:p>
        </w:tc>
        <w:tc>
          <w:tcPr>
            <w:tcW w:w="3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8</w:t>
            </w:r>
          </w:p>
        </w:tc>
        <w:tc>
          <w:tcPr>
            <w:tcW w:w="260" w:type="dxa"/>
            <w:vAlign w:val="bottom"/>
          </w:tcPr>
          <w:p>
            <w:pPr>
              <w:spacing w:after="0"/>
              <w:rPr>
                <w:sz w:val="18"/>
                <w:szCs w:val="18"/>
                <w:color w:val="auto"/>
              </w:rPr>
            </w:pPr>
          </w:p>
        </w:tc>
        <w:tc>
          <w:tcPr>
            <w:tcW w:w="620" w:type="dxa"/>
            <w:vAlign w:val="bottom"/>
            <w:tcBorders>
              <w:bottom w:val="single" w:sz="8" w:color="2C6937"/>
            </w:tcBorders>
          </w:tcPr>
          <w:p>
            <w:pPr>
              <w:spacing w:after="0"/>
              <w:rPr>
                <w:sz w:val="18"/>
                <w:szCs w:val="18"/>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w:t>
            </w:r>
          </w:p>
        </w:tc>
        <w:tc>
          <w:tcPr>
            <w:tcW w:w="240" w:type="dxa"/>
            <w:vAlign w:val="bottom"/>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9</w:t>
            </w:r>
          </w:p>
        </w:tc>
        <w:tc>
          <w:tcPr>
            <w:tcW w:w="240" w:type="dxa"/>
            <w:vAlign w:val="bottom"/>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w:t>
            </w:r>
          </w:p>
        </w:tc>
        <w:tc>
          <w:tcPr>
            <w:tcW w:w="200" w:type="dxa"/>
            <w:vAlign w:val="bottom"/>
          </w:tcPr>
          <w:p>
            <w:pPr>
              <w:spacing w:after="0"/>
              <w:rPr>
                <w:sz w:val="18"/>
                <w:szCs w:val="18"/>
                <w:color w:val="auto"/>
              </w:rPr>
            </w:pPr>
          </w:p>
        </w:tc>
      </w:tr>
      <w:tr>
        <w:trPr>
          <w:trHeight w:val="213"/>
        </w:trPr>
        <w:tc>
          <w:tcPr>
            <w:tcW w:w="252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8"/>
                <w:szCs w:val="18"/>
                <w:color w:val="auto"/>
              </w:rPr>
            </w:pPr>
          </w:p>
        </w:tc>
        <w:tc>
          <w:tcPr>
            <w:tcW w:w="620" w:type="dxa"/>
            <w:vAlign w:val="bottom"/>
            <w:tcBorders>
              <w:bottom w:val="single" w:sz="8" w:color="2C6937"/>
            </w:tcBorders>
          </w:tcPr>
          <w:p>
            <w:pPr>
              <w:spacing w:after="0"/>
              <w:rPr>
                <w:sz w:val="18"/>
                <w:szCs w:val="18"/>
                <w:color w:val="auto"/>
              </w:rPr>
            </w:pPr>
          </w:p>
        </w:tc>
        <w:tc>
          <w:tcPr>
            <w:tcW w:w="3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w w:val="94"/>
              </w:rPr>
              <w:t>100</w:t>
            </w:r>
          </w:p>
        </w:tc>
        <w:tc>
          <w:tcPr>
            <w:tcW w:w="260" w:type="dxa"/>
            <w:vAlign w:val="bottom"/>
          </w:tcPr>
          <w:p>
            <w:pPr>
              <w:jc w:val="center"/>
              <w:spacing w:after="0"/>
              <w:rPr>
                <w:sz w:val="20"/>
                <w:szCs w:val="20"/>
                <w:color w:val="auto"/>
              </w:rPr>
            </w:pPr>
            <w:r>
              <w:rPr>
                <w:rFonts w:ascii="Arial" w:cs="Arial" w:eastAsia="Arial" w:hAnsi="Arial"/>
                <w:sz w:val="15"/>
                <w:szCs w:val="15"/>
                <w:b w:val="1"/>
                <w:bCs w:val="1"/>
                <w:color w:val="auto"/>
              </w:rPr>
              <w:t>%</w:t>
            </w:r>
          </w:p>
        </w:tc>
        <w:tc>
          <w:tcPr>
            <w:tcW w:w="620" w:type="dxa"/>
            <w:vAlign w:val="bottom"/>
            <w:tcBorders>
              <w:bottom w:val="single" w:sz="8" w:color="2C6937"/>
            </w:tcBorders>
          </w:tcPr>
          <w:p>
            <w:pPr>
              <w:spacing w:after="0"/>
              <w:rPr>
                <w:sz w:val="18"/>
                <w:szCs w:val="18"/>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center"/>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5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2C6937"/>
            </w:tcBorders>
          </w:tcPr>
          <w:p>
            <w:pPr>
              <w:spacing w:after="0" w:line="20" w:lineRule="exact"/>
              <w:rPr>
                <w:sz w:val="1"/>
                <w:szCs w:val="1"/>
                <w:color w:val="auto"/>
              </w:rPr>
            </w:pPr>
          </w:p>
        </w:tc>
        <w:tc>
          <w:tcPr>
            <w:tcW w:w="30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2C6937"/>
            </w:tcBorders>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3"/>
        </w:trPr>
        <w:tc>
          <w:tcPr>
            <w:tcW w:w="3240" w:type="dxa"/>
            <w:vAlign w:val="bottom"/>
            <w:gridSpan w:val="3"/>
          </w:tcPr>
          <w:p>
            <w:pPr>
              <w:ind w:left="20"/>
              <w:spacing w:after="0"/>
              <w:rPr>
                <w:sz w:val="20"/>
                <w:szCs w:val="20"/>
                <w:color w:val="auto"/>
              </w:rPr>
            </w:pPr>
            <w:r>
              <w:rPr>
                <w:rFonts w:ascii="Arial" w:cs="Arial" w:eastAsia="Arial" w:hAnsi="Arial"/>
                <w:sz w:val="14"/>
                <w:szCs w:val="14"/>
                <w:b w:val="1"/>
                <w:bCs w:val="1"/>
                <w:color w:val="auto"/>
              </w:rPr>
              <w:t>Occupancy type:</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19"/>
        </w:trPr>
        <w:tc>
          <w:tcPr>
            <w:tcW w:w="3240" w:type="dxa"/>
            <w:vAlign w:val="bottom"/>
            <w:gridSpan w:val="3"/>
          </w:tcPr>
          <w:p>
            <w:pPr>
              <w:ind w:left="120"/>
              <w:spacing w:after="0"/>
              <w:rPr>
                <w:sz w:val="20"/>
                <w:szCs w:val="20"/>
                <w:color w:val="auto"/>
              </w:rPr>
            </w:pPr>
            <w:r>
              <w:rPr>
                <w:rFonts w:ascii="Arial" w:cs="Arial" w:eastAsia="Arial" w:hAnsi="Arial"/>
                <w:sz w:val="14"/>
                <w:szCs w:val="14"/>
                <w:color w:val="auto"/>
              </w:rPr>
              <w:t>Primary residence</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93</w:t>
            </w:r>
          </w:p>
        </w:tc>
        <w:tc>
          <w:tcPr>
            <w:tcW w:w="2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93</w:t>
            </w:r>
          </w:p>
        </w:tc>
        <w:tc>
          <w:tcPr>
            <w:tcW w:w="240" w:type="dxa"/>
            <w:vAlign w:val="bottom"/>
          </w:tcPr>
          <w:p>
            <w:pPr>
              <w:jc w:val="center"/>
              <w:spacing w:after="0"/>
              <w:rPr>
                <w:sz w:val="20"/>
                <w:szCs w:val="20"/>
                <w:color w:val="auto"/>
              </w:rPr>
            </w:pPr>
            <w:r>
              <w:rPr>
                <w:rFonts w:ascii="Arial" w:cs="Arial" w:eastAsia="Arial" w:hAnsi="Arial"/>
                <w:sz w:val="14"/>
                <w:szCs w:val="14"/>
                <w:color w:val="auto"/>
                <w:w w:val="96"/>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93</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92</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9"/>
        </w:trPr>
        <w:tc>
          <w:tcPr>
            <w:tcW w:w="3240" w:type="dxa"/>
            <w:vAlign w:val="bottom"/>
            <w:gridSpan w:val="3"/>
          </w:tcPr>
          <w:p>
            <w:pPr>
              <w:ind w:left="120"/>
              <w:spacing w:after="0"/>
              <w:rPr>
                <w:sz w:val="20"/>
                <w:szCs w:val="20"/>
                <w:color w:val="auto"/>
              </w:rPr>
            </w:pPr>
            <w:r>
              <w:rPr>
                <w:rFonts w:ascii="Arial" w:cs="Arial" w:eastAsia="Arial" w:hAnsi="Arial"/>
                <w:sz w:val="14"/>
                <w:szCs w:val="14"/>
                <w:color w:val="auto"/>
              </w:rPr>
              <w:t>Second/vacation home</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w:t>
            </w:r>
          </w:p>
        </w:tc>
        <w:tc>
          <w:tcPr>
            <w:tcW w:w="200" w:type="dxa"/>
            <w:vAlign w:val="bottom"/>
          </w:tcPr>
          <w:p>
            <w:pPr>
              <w:spacing w:after="0"/>
              <w:rPr>
                <w:sz w:val="19"/>
                <w:szCs w:val="19"/>
                <w:color w:val="auto"/>
              </w:rPr>
            </w:pPr>
          </w:p>
        </w:tc>
      </w:tr>
      <w:tr>
        <w:trPr>
          <w:trHeight w:val="220"/>
        </w:trPr>
        <w:tc>
          <w:tcPr>
            <w:tcW w:w="252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Investor</w:t>
            </w:r>
          </w:p>
        </w:tc>
        <w:tc>
          <w:tcPr>
            <w:tcW w:w="100" w:type="dxa"/>
            <w:vAlign w:val="bottom"/>
          </w:tcPr>
          <w:p>
            <w:pPr>
              <w:spacing w:after="0"/>
              <w:rPr>
                <w:sz w:val="19"/>
                <w:szCs w:val="19"/>
                <w:color w:val="auto"/>
              </w:rPr>
            </w:pPr>
          </w:p>
        </w:tc>
        <w:tc>
          <w:tcPr>
            <w:tcW w:w="620" w:type="dxa"/>
            <w:vAlign w:val="bottom"/>
            <w:tcBorders>
              <w:bottom w:val="single" w:sz="8" w:color="2C6937"/>
            </w:tcBorders>
          </w:tcPr>
          <w:p>
            <w:pPr>
              <w:spacing w:after="0"/>
              <w:rPr>
                <w:sz w:val="19"/>
                <w:szCs w:val="19"/>
                <w:color w:val="auto"/>
              </w:rPr>
            </w:pPr>
          </w:p>
        </w:tc>
        <w:tc>
          <w:tcPr>
            <w:tcW w:w="3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5</w:t>
            </w:r>
          </w:p>
        </w:tc>
        <w:tc>
          <w:tcPr>
            <w:tcW w:w="260" w:type="dxa"/>
            <w:vAlign w:val="bottom"/>
          </w:tcPr>
          <w:p>
            <w:pPr>
              <w:spacing w:after="0"/>
              <w:rPr>
                <w:sz w:val="19"/>
                <w:szCs w:val="19"/>
                <w:color w:val="auto"/>
              </w:rPr>
            </w:pPr>
          </w:p>
        </w:tc>
        <w:tc>
          <w:tcPr>
            <w:tcW w:w="620" w:type="dxa"/>
            <w:vAlign w:val="bottom"/>
            <w:tcBorders>
              <w:bottom w:val="single" w:sz="8" w:color="2C6937"/>
            </w:tcBorders>
          </w:tcPr>
          <w:p>
            <w:pPr>
              <w:spacing w:after="0"/>
              <w:rPr>
                <w:sz w:val="19"/>
                <w:szCs w:val="19"/>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w:t>
            </w:r>
          </w:p>
        </w:tc>
        <w:tc>
          <w:tcPr>
            <w:tcW w:w="240" w:type="dxa"/>
            <w:vAlign w:val="bottom"/>
          </w:tcPr>
          <w:p>
            <w:pPr>
              <w:spacing w:after="0"/>
              <w:rPr>
                <w:sz w:val="19"/>
                <w:szCs w:val="19"/>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5</w:t>
            </w:r>
          </w:p>
        </w:tc>
        <w:tc>
          <w:tcPr>
            <w:tcW w:w="240" w:type="dxa"/>
            <w:vAlign w:val="bottom"/>
          </w:tcPr>
          <w:p>
            <w:pPr>
              <w:spacing w:after="0"/>
              <w:rPr>
                <w:sz w:val="19"/>
                <w:szCs w:val="19"/>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w:t>
            </w:r>
          </w:p>
        </w:tc>
        <w:tc>
          <w:tcPr>
            <w:tcW w:w="200" w:type="dxa"/>
            <w:vAlign w:val="bottom"/>
          </w:tcPr>
          <w:p>
            <w:pPr>
              <w:spacing w:after="0"/>
              <w:rPr>
                <w:sz w:val="19"/>
                <w:szCs w:val="19"/>
                <w:color w:val="auto"/>
              </w:rPr>
            </w:pPr>
          </w:p>
        </w:tc>
      </w:tr>
      <w:tr>
        <w:trPr>
          <w:trHeight w:val="213"/>
        </w:trPr>
        <w:tc>
          <w:tcPr>
            <w:tcW w:w="252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8"/>
                <w:szCs w:val="18"/>
                <w:color w:val="auto"/>
              </w:rPr>
            </w:pPr>
          </w:p>
        </w:tc>
        <w:tc>
          <w:tcPr>
            <w:tcW w:w="620" w:type="dxa"/>
            <w:vAlign w:val="bottom"/>
            <w:tcBorders>
              <w:bottom w:val="single" w:sz="8" w:color="2C6937"/>
            </w:tcBorders>
          </w:tcPr>
          <w:p>
            <w:pPr>
              <w:spacing w:after="0"/>
              <w:rPr>
                <w:sz w:val="18"/>
                <w:szCs w:val="18"/>
                <w:color w:val="auto"/>
              </w:rPr>
            </w:pPr>
          </w:p>
        </w:tc>
        <w:tc>
          <w:tcPr>
            <w:tcW w:w="3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w w:val="94"/>
              </w:rPr>
              <w:t>100</w:t>
            </w:r>
          </w:p>
        </w:tc>
        <w:tc>
          <w:tcPr>
            <w:tcW w:w="2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2C6937"/>
            </w:tcBorders>
          </w:tcPr>
          <w:p>
            <w:pPr>
              <w:spacing w:after="0"/>
              <w:rPr>
                <w:sz w:val="18"/>
                <w:szCs w:val="18"/>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center"/>
              <w:spacing w:after="0"/>
              <w:rPr>
                <w:sz w:val="20"/>
                <w:szCs w:val="20"/>
                <w:color w:val="auto"/>
              </w:rPr>
            </w:pPr>
            <w:r>
              <w:rPr>
                <w:rFonts w:ascii="Arial" w:cs="Arial" w:eastAsia="Arial" w:hAnsi="Arial"/>
                <w:sz w:val="14"/>
                <w:szCs w:val="14"/>
                <w:color w:val="auto"/>
                <w:w w:val="96"/>
              </w:rPr>
              <w:t>%</w:t>
            </w: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5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2C6937"/>
            </w:tcBorders>
          </w:tcPr>
          <w:p>
            <w:pPr>
              <w:spacing w:after="0" w:line="20" w:lineRule="exact"/>
              <w:rPr>
                <w:sz w:val="1"/>
                <w:szCs w:val="1"/>
                <w:color w:val="auto"/>
              </w:rPr>
            </w:pPr>
          </w:p>
        </w:tc>
        <w:tc>
          <w:tcPr>
            <w:tcW w:w="30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2C6937"/>
            </w:tcBorders>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3240" w:type="dxa"/>
            <w:vAlign w:val="bottom"/>
            <w:gridSpan w:val="3"/>
          </w:tcPr>
          <w:p>
            <w:pPr>
              <w:ind w:left="20"/>
              <w:spacing w:after="0"/>
              <w:rPr>
                <w:sz w:val="20"/>
                <w:szCs w:val="20"/>
                <w:color w:val="auto"/>
              </w:rPr>
            </w:pPr>
            <w:r>
              <w:rPr>
                <w:rFonts w:ascii="Arial" w:cs="Arial" w:eastAsia="Arial" w:hAnsi="Arial"/>
                <w:sz w:val="14"/>
                <w:szCs w:val="14"/>
                <w:b w:val="1"/>
                <w:bCs w:val="1"/>
                <w:color w:val="auto"/>
              </w:rPr>
              <w:t>Loan purpose:</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2"/>
        </w:trPr>
        <w:tc>
          <w:tcPr>
            <w:tcW w:w="3240" w:type="dxa"/>
            <w:vAlign w:val="bottom"/>
            <w:gridSpan w:val="3"/>
          </w:tcPr>
          <w:p>
            <w:pPr>
              <w:ind w:left="120"/>
              <w:spacing w:after="0"/>
              <w:rPr>
                <w:sz w:val="20"/>
                <w:szCs w:val="20"/>
                <w:color w:val="auto"/>
              </w:rPr>
            </w:pPr>
            <w:r>
              <w:rPr>
                <w:rFonts w:ascii="Arial" w:cs="Arial" w:eastAsia="Arial" w:hAnsi="Arial"/>
                <w:sz w:val="14"/>
                <w:szCs w:val="14"/>
                <w:color w:val="auto"/>
              </w:rPr>
              <w:t>Purchase</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86</w:t>
            </w:r>
          </w:p>
        </w:tc>
        <w:tc>
          <w:tcPr>
            <w:tcW w:w="2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88</w:t>
            </w:r>
          </w:p>
        </w:tc>
        <w:tc>
          <w:tcPr>
            <w:tcW w:w="240" w:type="dxa"/>
            <w:vAlign w:val="bottom"/>
          </w:tcPr>
          <w:p>
            <w:pPr>
              <w:jc w:val="center"/>
              <w:spacing w:after="0"/>
              <w:rPr>
                <w:sz w:val="20"/>
                <w:szCs w:val="20"/>
                <w:color w:val="auto"/>
              </w:rPr>
            </w:pPr>
            <w:r>
              <w:rPr>
                <w:rFonts w:ascii="Arial" w:cs="Arial" w:eastAsia="Arial" w:hAnsi="Arial"/>
                <w:sz w:val="14"/>
                <w:szCs w:val="14"/>
                <w:color w:val="auto"/>
                <w:w w:val="96"/>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86</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86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9"/>
        </w:trPr>
        <w:tc>
          <w:tcPr>
            <w:tcW w:w="3240" w:type="dxa"/>
            <w:vAlign w:val="bottom"/>
            <w:gridSpan w:val="3"/>
          </w:tcPr>
          <w:p>
            <w:pPr>
              <w:ind w:left="120"/>
              <w:spacing w:after="0"/>
              <w:rPr>
                <w:sz w:val="20"/>
                <w:szCs w:val="20"/>
                <w:color w:val="auto"/>
              </w:rPr>
            </w:pPr>
            <w:r>
              <w:rPr>
                <w:rFonts w:ascii="Arial" w:cs="Arial" w:eastAsia="Arial" w:hAnsi="Arial"/>
                <w:sz w:val="14"/>
                <w:szCs w:val="14"/>
                <w:color w:val="auto"/>
              </w:rPr>
              <w:t>Cash-out refinance</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8</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w:t>
            </w:r>
          </w:p>
        </w:tc>
        <w:tc>
          <w:tcPr>
            <w:tcW w:w="200" w:type="dxa"/>
            <w:vAlign w:val="bottom"/>
          </w:tcPr>
          <w:p>
            <w:pPr>
              <w:spacing w:after="0"/>
              <w:rPr>
                <w:sz w:val="19"/>
                <w:szCs w:val="19"/>
                <w:color w:val="auto"/>
              </w:rPr>
            </w:pPr>
          </w:p>
        </w:tc>
      </w:tr>
      <w:tr>
        <w:trPr>
          <w:trHeight w:val="220"/>
        </w:trPr>
        <w:tc>
          <w:tcPr>
            <w:tcW w:w="252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Other refinance</w:t>
            </w:r>
          </w:p>
        </w:tc>
        <w:tc>
          <w:tcPr>
            <w:tcW w:w="100" w:type="dxa"/>
            <w:vAlign w:val="bottom"/>
          </w:tcPr>
          <w:p>
            <w:pPr>
              <w:spacing w:after="0"/>
              <w:rPr>
                <w:sz w:val="19"/>
                <w:szCs w:val="19"/>
                <w:color w:val="auto"/>
              </w:rPr>
            </w:pPr>
          </w:p>
        </w:tc>
        <w:tc>
          <w:tcPr>
            <w:tcW w:w="620" w:type="dxa"/>
            <w:vAlign w:val="bottom"/>
            <w:tcBorders>
              <w:bottom w:val="single" w:sz="8" w:color="2C6937"/>
            </w:tcBorders>
          </w:tcPr>
          <w:p>
            <w:pPr>
              <w:spacing w:after="0"/>
              <w:rPr>
                <w:sz w:val="19"/>
                <w:szCs w:val="19"/>
                <w:color w:val="auto"/>
              </w:rPr>
            </w:pPr>
          </w:p>
        </w:tc>
        <w:tc>
          <w:tcPr>
            <w:tcW w:w="3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6</w:t>
            </w:r>
          </w:p>
        </w:tc>
        <w:tc>
          <w:tcPr>
            <w:tcW w:w="260" w:type="dxa"/>
            <w:vAlign w:val="bottom"/>
          </w:tcPr>
          <w:p>
            <w:pPr>
              <w:spacing w:after="0"/>
              <w:rPr>
                <w:sz w:val="19"/>
                <w:szCs w:val="19"/>
                <w:color w:val="auto"/>
              </w:rPr>
            </w:pPr>
          </w:p>
        </w:tc>
        <w:tc>
          <w:tcPr>
            <w:tcW w:w="620" w:type="dxa"/>
            <w:vAlign w:val="bottom"/>
            <w:tcBorders>
              <w:bottom w:val="single" w:sz="8" w:color="2C6937"/>
            </w:tcBorders>
          </w:tcPr>
          <w:p>
            <w:pPr>
              <w:spacing w:after="0"/>
              <w:rPr>
                <w:sz w:val="19"/>
                <w:szCs w:val="19"/>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w:t>
            </w:r>
          </w:p>
        </w:tc>
        <w:tc>
          <w:tcPr>
            <w:tcW w:w="240" w:type="dxa"/>
            <w:vAlign w:val="bottom"/>
          </w:tcPr>
          <w:p>
            <w:pPr>
              <w:spacing w:after="0"/>
              <w:rPr>
                <w:sz w:val="19"/>
                <w:szCs w:val="19"/>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5</w:t>
            </w:r>
          </w:p>
        </w:tc>
        <w:tc>
          <w:tcPr>
            <w:tcW w:w="240" w:type="dxa"/>
            <w:vAlign w:val="bottom"/>
          </w:tcPr>
          <w:p>
            <w:pPr>
              <w:spacing w:after="0"/>
              <w:rPr>
                <w:sz w:val="19"/>
                <w:szCs w:val="19"/>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w:t>
            </w:r>
          </w:p>
        </w:tc>
        <w:tc>
          <w:tcPr>
            <w:tcW w:w="200" w:type="dxa"/>
            <w:vAlign w:val="bottom"/>
          </w:tcPr>
          <w:p>
            <w:pPr>
              <w:spacing w:after="0"/>
              <w:rPr>
                <w:sz w:val="19"/>
                <w:szCs w:val="19"/>
                <w:color w:val="auto"/>
              </w:rPr>
            </w:pPr>
          </w:p>
        </w:tc>
      </w:tr>
      <w:tr>
        <w:trPr>
          <w:trHeight w:val="213"/>
        </w:trPr>
        <w:tc>
          <w:tcPr>
            <w:tcW w:w="252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8"/>
                <w:szCs w:val="18"/>
                <w:color w:val="auto"/>
              </w:rPr>
            </w:pPr>
          </w:p>
        </w:tc>
        <w:tc>
          <w:tcPr>
            <w:tcW w:w="620" w:type="dxa"/>
            <w:vAlign w:val="bottom"/>
            <w:tcBorders>
              <w:bottom w:val="single" w:sz="8" w:color="2C6937"/>
            </w:tcBorders>
          </w:tcPr>
          <w:p>
            <w:pPr>
              <w:spacing w:after="0"/>
              <w:rPr>
                <w:sz w:val="18"/>
                <w:szCs w:val="18"/>
                <w:color w:val="auto"/>
              </w:rPr>
            </w:pPr>
          </w:p>
        </w:tc>
        <w:tc>
          <w:tcPr>
            <w:tcW w:w="3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w w:val="94"/>
              </w:rPr>
              <w:t>100</w:t>
            </w:r>
          </w:p>
        </w:tc>
        <w:tc>
          <w:tcPr>
            <w:tcW w:w="2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2C6937"/>
            </w:tcBorders>
          </w:tcPr>
          <w:p>
            <w:pPr>
              <w:spacing w:after="0"/>
              <w:rPr>
                <w:sz w:val="18"/>
                <w:szCs w:val="18"/>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center"/>
              <w:spacing w:after="0"/>
              <w:rPr>
                <w:sz w:val="20"/>
                <w:szCs w:val="20"/>
                <w:color w:val="auto"/>
              </w:rPr>
            </w:pPr>
            <w:r>
              <w:rPr>
                <w:rFonts w:ascii="Arial" w:cs="Arial" w:eastAsia="Arial" w:hAnsi="Arial"/>
                <w:sz w:val="14"/>
                <w:szCs w:val="14"/>
                <w:color w:val="auto"/>
                <w:w w:val="96"/>
              </w:rPr>
              <w:t>%</w:t>
            </w: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5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2C6937"/>
            </w:tcBorders>
          </w:tcPr>
          <w:p>
            <w:pPr>
              <w:spacing w:after="0" w:line="20" w:lineRule="exact"/>
              <w:rPr>
                <w:sz w:val="1"/>
                <w:szCs w:val="1"/>
                <w:color w:val="auto"/>
              </w:rPr>
            </w:pPr>
          </w:p>
        </w:tc>
        <w:tc>
          <w:tcPr>
            <w:tcW w:w="30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2C6937"/>
            </w:tcBorders>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9"/>
        </w:trPr>
        <w:tc>
          <w:tcPr>
            <w:tcW w:w="3240" w:type="dxa"/>
            <w:vAlign w:val="bottom"/>
            <w:gridSpan w:val="3"/>
          </w:tcPr>
          <w:p>
            <w:pPr>
              <w:ind w:left="20"/>
              <w:spacing w:after="0"/>
              <w:rPr>
                <w:sz w:val="20"/>
                <w:szCs w:val="20"/>
                <w:color w:val="auto"/>
              </w:rPr>
            </w:pPr>
            <w:r>
              <w:rPr>
                <w:rFonts w:ascii="Arial" w:cs="Arial" w:eastAsia="Arial" w:hAnsi="Arial"/>
                <w:sz w:val="14"/>
                <w:szCs w:val="14"/>
                <w:b w:val="1"/>
                <w:bCs w:val="1"/>
                <w:color w:val="auto"/>
              </w:rPr>
              <w:t>Geographic concentration:</w:t>
            </w:r>
            <w:r>
              <w:rPr>
                <w:rFonts w:ascii="Arial" w:cs="Arial" w:eastAsia="Arial" w:hAnsi="Arial"/>
                <w:sz w:val="17"/>
                <w:szCs w:val="17"/>
                <w:b w:val="1"/>
                <w:bCs w:val="1"/>
                <w:color w:val="auto"/>
                <w:vertAlign w:val="superscript"/>
              </w:rPr>
              <w:t>(9)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199"/>
        </w:trPr>
        <w:tc>
          <w:tcPr>
            <w:tcW w:w="3240" w:type="dxa"/>
            <w:vAlign w:val="bottom"/>
            <w:gridSpan w:val="3"/>
          </w:tcPr>
          <w:p>
            <w:pPr>
              <w:ind w:left="120"/>
              <w:spacing w:after="0"/>
              <w:rPr>
                <w:sz w:val="20"/>
                <w:szCs w:val="20"/>
                <w:color w:val="auto"/>
              </w:rPr>
            </w:pPr>
            <w:r>
              <w:rPr>
                <w:rFonts w:ascii="Arial" w:cs="Arial" w:eastAsia="Arial" w:hAnsi="Arial"/>
                <w:sz w:val="14"/>
                <w:szCs w:val="14"/>
                <w:color w:val="auto"/>
              </w:rPr>
              <w:t>Midwest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17</w:t>
            </w:r>
          </w:p>
        </w:tc>
        <w:tc>
          <w:tcPr>
            <w:tcW w:w="2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15</w:t>
            </w:r>
          </w:p>
        </w:tc>
        <w:tc>
          <w:tcPr>
            <w:tcW w:w="240" w:type="dxa"/>
            <w:vAlign w:val="bottom"/>
          </w:tcPr>
          <w:p>
            <w:pPr>
              <w:jc w:val="center"/>
              <w:spacing w:after="0"/>
              <w:rPr>
                <w:sz w:val="20"/>
                <w:szCs w:val="20"/>
                <w:color w:val="auto"/>
              </w:rPr>
            </w:pPr>
            <w:r>
              <w:rPr>
                <w:rFonts w:ascii="Arial" w:cs="Arial" w:eastAsia="Arial" w:hAnsi="Arial"/>
                <w:sz w:val="14"/>
                <w:szCs w:val="14"/>
                <w:color w:val="auto"/>
                <w:w w:val="96"/>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9"/>
        </w:trPr>
        <w:tc>
          <w:tcPr>
            <w:tcW w:w="3240" w:type="dxa"/>
            <w:vAlign w:val="bottom"/>
            <w:gridSpan w:val="3"/>
          </w:tcPr>
          <w:p>
            <w:pPr>
              <w:ind w:left="120"/>
              <w:spacing w:after="0"/>
              <w:rPr>
                <w:sz w:val="20"/>
                <w:szCs w:val="20"/>
                <w:color w:val="auto"/>
              </w:rPr>
            </w:pPr>
            <w:r>
              <w:rPr>
                <w:rFonts w:ascii="Arial" w:cs="Arial" w:eastAsia="Arial" w:hAnsi="Arial"/>
                <w:sz w:val="14"/>
                <w:szCs w:val="14"/>
                <w:color w:val="auto"/>
              </w:rPr>
              <w:t>Northeast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14</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w:t>
            </w:r>
          </w:p>
        </w:tc>
        <w:tc>
          <w:tcPr>
            <w:tcW w:w="200" w:type="dxa"/>
            <w:vAlign w:val="bottom"/>
          </w:tcPr>
          <w:p>
            <w:pPr>
              <w:spacing w:after="0"/>
              <w:rPr>
                <w:sz w:val="19"/>
                <w:szCs w:val="19"/>
                <w:color w:val="auto"/>
              </w:rPr>
            </w:pPr>
          </w:p>
        </w:tc>
      </w:tr>
      <w:tr>
        <w:trPr>
          <w:trHeight w:val="219"/>
        </w:trPr>
        <w:tc>
          <w:tcPr>
            <w:tcW w:w="3240" w:type="dxa"/>
            <w:vAlign w:val="bottom"/>
            <w:gridSpan w:val="3"/>
          </w:tcPr>
          <w:p>
            <w:pPr>
              <w:ind w:left="120"/>
              <w:spacing w:after="0"/>
              <w:rPr>
                <w:sz w:val="20"/>
                <w:szCs w:val="20"/>
                <w:color w:val="auto"/>
              </w:rPr>
            </w:pPr>
            <w:r>
              <w:rPr>
                <w:rFonts w:ascii="Arial" w:cs="Arial" w:eastAsia="Arial" w:hAnsi="Arial"/>
                <w:sz w:val="14"/>
                <w:szCs w:val="14"/>
                <w:color w:val="auto"/>
              </w:rPr>
              <w:t>Southeast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27</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27</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w:t>
            </w:r>
          </w:p>
        </w:tc>
        <w:tc>
          <w:tcPr>
            <w:tcW w:w="200" w:type="dxa"/>
            <w:vAlign w:val="bottom"/>
          </w:tcPr>
          <w:p>
            <w:pPr>
              <w:spacing w:after="0"/>
              <w:rPr>
                <w:sz w:val="19"/>
                <w:szCs w:val="19"/>
                <w:color w:val="auto"/>
              </w:rPr>
            </w:pPr>
          </w:p>
        </w:tc>
      </w:tr>
      <w:tr>
        <w:trPr>
          <w:trHeight w:val="219"/>
        </w:trPr>
        <w:tc>
          <w:tcPr>
            <w:tcW w:w="3240" w:type="dxa"/>
            <w:vAlign w:val="bottom"/>
            <w:gridSpan w:val="3"/>
          </w:tcPr>
          <w:p>
            <w:pPr>
              <w:ind w:left="120"/>
              <w:spacing w:after="0"/>
              <w:rPr>
                <w:sz w:val="20"/>
                <w:szCs w:val="20"/>
                <w:color w:val="auto"/>
              </w:rPr>
            </w:pPr>
            <w:r>
              <w:rPr>
                <w:rFonts w:ascii="Arial" w:cs="Arial" w:eastAsia="Arial" w:hAnsi="Arial"/>
                <w:sz w:val="14"/>
                <w:szCs w:val="14"/>
                <w:color w:val="auto"/>
              </w:rPr>
              <w:t>Southwest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22</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23</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22</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w:t>
            </w:r>
          </w:p>
        </w:tc>
        <w:tc>
          <w:tcPr>
            <w:tcW w:w="200" w:type="dxa"/>
            <w:vAlign w:val="bottom"/>
          </w:tcPr>
          <w:p>
            <w:pPr>
              <w:spacing w:after="0"/>
              <w:rPr>
                <w:sz w:val="19"/>
                <w:szCs w:val="19"/>
                <w:color w:val="auto"/>
              </w:rPr>
            </w:pPr>
          </w:p>
        </w:tc>
      </w:tr>
      <w:tr>
        <w:trPr>
          <w:trHeight w:val="220"/>
        </w:trPr>
        <w:tc>
          <w:tcPr>
            <w:tcW w:w="252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West</w:t>
            </w:r>
          </w:p>
        </w:tc>
        <w:tc>
          <w:tcPr>
            <w:tcW w:w="100" w:type="dxa"/>
            <w:vAlign w:val="bottom"/>
          </w:tcPr>
          <w:p>
            <w:pPr>
              <w:spacing w:after="0"/>
              <w:rPr>
                <w:sz w:val="19"/>
                <w:szCs w:val="19"/>
                <w:color w:val="auto"/>
              </w:rPr>
            </w:pPr>
          </w:p>
        </w:tc>
        <w:tc>
          <w:tcPr>
            <w:tcW w:w="620" w:type="dxa"/>
            <w:vAlign w:val="bottom"/>
            <w:tcBorders>
              <w:bottom w:val="single" w:sz="8" w:color="2C6937"/>
            </w:tcBorders>
          </w:tcPr>
          <w:p>
            <w:pPr>
              <w:spacing w:after="0"/>
              <w:rPr>
                <w:sz w:val="19"/>
                <w:szCs w:val="19"/>
                <w:color w:val="auto"/>
              </w:rPr>
            </w:pPr>
          </w:p>
        </w:tc>
        <w:tc>
          <w:tcPr>
            <w:tcW w:w="3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20</w:t>
            </w:r>
          </w:p>
        </w:tc>
        <w:tc>
          <w:tcPr>
            <w:tcW w:w="260" w:type="dxa"/>
            <w:vAlign w:val="bottom"/>
          </w:tcPr>
          <w:p>
            <w:pPr>
              <w:spacing w:after="0"/>
              <w:rPr>
                <w:sz w:val="19"/>
                <w:szCs w:val="19"/>
                <w:color w:val="auto"/>
              </w:rPr>
            </w:pPr>
          </w:p>
        </w:tc>
        <w:tc>
          <w:tcPr>
            <w:tcW w:w="620" w:type="dxa"/>
            <w:vAlign w:val="bottom"/>
            <w:tcBorders>
              <w:bottom w:val="single" w:sz="8" w:color="2C6937"/>
            </w:tcBorders>
          </w:tcPr>
          <w:p>
            <w:pPr>
              <w:spacing w:after="0"/>
              <w:rPr>
                <w:sz w:val="19"/>
                <w:szCs w:val="19"/>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21</w:t>
            </w:r>
          </w:p>
        </w:tc>
        <w:tc>
          <w:tcPr>
            <w:tcW w:w="240" w:type="dxa"/>
            <w:vAlign w:val="bottom"/>
          </w:tcPr>
          <w:p>
            <w:pPr>
              <w:spacing w:after="0"/>
              <w:rPr>
                <w:sz w:val="19"/>
                <w:szCs w:val="19"/>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21</w:t>
            </w:r>
          </w:p>
        </w:tc>
        <w:tc>
          <w:tcPr>
            <w:tcW w:w="240" w:type="dxa"/>
            <w:vAlign w:val="bottom"/>
          </w:tcPr>
          <w:p>
            <w:pPr>
              <w:spacing w:after="0"/>
              <w:rPr>
                <w:sz w:val="19"/>
                <w:szCs w:val="19"/>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21</w:t>
            </w:r>
          </w:p>
        </w:tc>
        <w:tc>
          <w:tcPr>
            <w:tcW w:w="200" w:type="dxa"/>
            <w:vAlign w:val="bottom"/>
          </w:tcPr>
          <w:p>
            <w:pPr>
              <w:spacing w:after="0"/>
              <w:rPr>
                <w:sz w:val="19"/>
                <w:szCs w:val="19"/>
                <w:color w:val="auto"/>
              </w:rPr>
            </w:pPr>
          </w:p>
        </w:tc>
      </w:tr>
      <w:tr>
        <w:trPr>
          <w:trHeight w:val="213"/>
        </w:trPr>
        <w:tc>
          <w:tcPr>
            <w:tcW w:w="3240" w:type="dxa"/>
            <w:vAlign w:val="bottom"/>
            <w:gridSpan w:val="3"/>
          </w:tcPr>
          <w:p>
            <w:pPr>
              <w:ind w:left="220"/>
              <w:spacing w:after="0"/>
              <w:rPr>
                <w:sz w:val="20"/>
                <w:szCs w:val="20"/>
                <w:color w:val="auto"/>
              </w:rPr>
            </w:pPr>
            <w:r>
              <w:rPr>
                <w:rFonts w:ascii="Arial" w:cs="Arial" w:eastAsia="Arial" w:hAnsi="Arial"/>
                <w:sz w:val="14"/>
                <w:szCs w:val="14"/>
                <w:color w:val="auto"/>
              </w:rPr>
              <w:t>Total</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94"/>
              </w:rPr>
              <w:t>100</w:t>
            </w:r>
          </w:p>
        </w:tc>
        <w:tc>
          <w:tcPr>
            <w:tcW w:w="2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center"/>
              <w:spacing w:after="0"/>
              <w:rPr>
                <w:sz w:val="20"/>
                <w:szCs w:val="20"/>
                <w:color w:val="auto"/>
              </w:rPr>
            </w:pPr>
            <w:r>
              <w:rPr>
                <w:rFonts w:ascii="Arial" w:cs="Arial" w:eastAsia="Arial" w:hAnsi="Arial"/>
                <w:sz w:val="14"/>
                <w:szCs w:val="14"/>
                <w:color w:val="auto"/>
                <w:w w:val="96"/>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100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5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2C6937"/>
              <w:bottom w:val="single" w:sz="8" w:color="2C6937"/>
            </w:tcBorders>
          </w:tcPr>
          <w:p>
            <w:pPr>
              <w:spacing w:after="0" w:line="20" w:lineRule="exact"/>
              <w:rPr>
                <w:sz w:val="1"/>
                <w:szCs w:val="1"/>
                <w:color w:val="auto"/>
              </w:rPr>
            </w:pPr>
          </w:p>
        </w:tc>
        <w:tc>
          <w:tcPr>
            <w:tcW w:w="300" w:type="dxa"/>
            <w:vAlign w:val="bottom"/>
            <w:tcBorders>
              <w:top w:val="single" w:sz="8" w:color="2C6937"/>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2C6937"/>
              <w:bottom w:val="single" w:sz="8" w:color="2C6937"/>
            </w:tcBorders>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3240" w:type="dxa"/>
            <w:vAlign w:val="bottom"/>
            <w:gridSpan w:val="3"/>
          </w:tcPr>
          <w:p>
            <w:pPr>
              <w:ind w:left="20"/>
              <w:spacing w:after="0"/>
              <w:rPr>
                <w:sz w:val="20"/>
                <w:szCs w:val="20"/>
                <w:color w:val="auto"/>
              </w:rPr>
            </w:pPr>
            <w:r>
              <w:rPr>
                <w:rFonts w:ascii="Arial" w:cs="Arial" w:eastAsia="Arial" w:hAnsi="Arial"/>
                <w:sz w:val="14"/>
                <w:szCs w:val="14"/>
                <w:b w:val="1"/>
                <w:bCs w:val="1"/>
                <w:color w:val="auto"/>
              </w:rPr>
              <w:t>Origination year:</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3"/>
        </w:trPr>
        <w:tc>
          <w:tcPr>
            <w:tcW w:w="3240" w:type="dxa"/>
            <w:vAlign w:val="bottom"/>
            <w:gridSpan w:val="3"/>
          </w:tcPr>
          <w:p>
            <w:pPr>
              <w:ind w:left="120"/>
              <w:spacing w:after="0"/>
              <w:rPr>
                <w:sz w:val="20"/>
                <w:szCs w:val="20"/>
                <w:color w:val="auto"/>
              </w:rPr>
            </w:pPr>
            <w:r>
              <w:rPr>
                <w:rFonts w:ascii="Arial" w:cs="Arial" w:eastAsia="Arial" w:hAnsi="Arial"/>
                <w:sz w:val="14"/>
                <w:szCs w:val="14"/>
                <w:color w:val="auto"/>
              </w:rPr>
              <w:t>2018 and prior</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9"/>
        </w:trPr>
        <w:tc>
          <w:tcPr>
            <w:tcW w:w="2520" w:type="dxa"/>
            <w:vAlign w:val="bottom"/>
          </w:tcPr>
          <w:p>
            <w:pPr>
              <w:ind w:left="120"/>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spacing w:after="0" w:line="3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2020</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2021</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2022</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2023</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15963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596390" cy="8255"/>
                    </a:xfrm>
                    <a:prstGeom prst="rect">
                      <a:avLst/>
                    </a:prstGeom>
                    <a:noFill/>
                  </pic:spPr>
                </pic:pic>
              </a:graphicData>
            </a:graphic>
          </wp:anchor>
        </w:drawing>
      </w:r>
    </w:p>
    <w:p>
      <w:pPr>
        <w:spacing w:after="0" w:line="5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15963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5963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50165</wp:posOffset>
            </wp:positionV>
            <wp:extent cx="15963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596390" cy="8255"/>
                    </a:xfrm>
                    <a:prstGeom prst="rect">
                      <a:avLst/>
                    </a:prstGeom>
                    <a:noFill/>
                  </pic:spPr>
                </pic:pic>
              </a:graphicData>
            </a:graphic>
          </wp:anchor>
        </w:drawing>
      </w:r>
    </w:p>
    <w:p>
      <w:pPr>
        <w:spacing w:after="0" w:line="193" w:lineRule="exact"/>
        <w:rPr>
          <w:sz w:val="20"/>
          <w:szCs w:val="20"/>
          <w:color w:val="auto"/>
        </w:rPr>
      </w:pPr>
    </w:p>
    <w:p>
      <w:pPr>
        <w:ind w:left="200" w:hanging="197"/>
        <w:spacing w:after="0"/>
        <w:tabs>
          <w:tab w:leader="none" w:pos="2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Represents less than 0.5% of single-family conventional business volume or guaranty book of business.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Percent of Single-Family Conventional</w:t>
      </w:r>
    </w:p>
    <w:p>
      <w:pPr>
        <w:ind w:left="980"/>
        <w:spacing w:after="0" w:line="183" w:lineRule="auto"/>
        <w:rPr>
          <w:sz w:val="20"/>
          <w:szCs w:val="20"/>
          <w:color w:val="auto"/>
        </w:rPr>
      </w:pPr>
      <w:r>
        <w:rPr>
          <w:rFonts w:ascii="Arial" w:cs="Arial" w:eastAsia="Arial" w:hAnsi="Arial"/>
          <w:sz w:val="14"/>
          <w:szCs w:val="14"/>
          <w:b w:val="1"/>
          <w:bCs w:val="1"/>
          <w:color w:val="auto"/>
        </w:rPr>
        <w:t>Guaranty Book of Business</w:t>
      </w:r>
      <w:r>
        <w:rPr>
          <w:rFonts w:ascii="Arial" w:cs="Arial" w:eastAsia="Arial" w:hAnsi="Arial"/>
          <w:sz w:val="17"/>
          <w:szCs w:val="17"/>
          <w:b w:val="1"/>
          <w:bCs w:val="1"/>
          <w:color w:val="auto"/>
          <w:vertAlign w:val="superscript"/>
        </w:rPr>
        <w:t>(3)</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of</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00" w:type="dxa"/>
            <w:vAlign w:val="bottom"/>
            <w:tcBorders>
              <w:top w:val="single" w:sz="8" w:color="2C6937"/>
              <w:bottom w:val="single" w:sz="8" w:color="2C6937"/>
            </w:tcBorders>
          </w:tcPr>
          <w:p>
            <w:pPr>
              <w:jc w:val="right"/>
              <w:ind w:right="151"/>
              <w:spacing w:after="0"/>
              <w:rPr>
                <w:sz w:val="20"/>
                <w:szCs w:val="20"/>
                <w:color w:val="auto"/>
              </w:rPr>
            </w:pPr>
            <w:r>
              <w:rPr>
                <w:rFonts w:ascii="Arial" w:cs="Arial" w:eastAsia="Arial" w:hAnsi="Arial"/>
                <w:sz w:val="14"/>
                <w:szCs w:val="14"/>
                <w:b w:val="1"/>
                <w:bCs w:val="1"/>
                <w:color w:val="auto"/>
              </w:rPr>
              <w:t>September 30, 2024</w:t>
            </w:r>
          </w:p>
        </w:tc>
        <w:tc>
          <w:tcPr>
            <w:tcW w:w="240" w:type="dxa"/>
            <w:vAlign w:val="bottom"/>
            <w:tcBorders>
              <w:top w:val="single" w:sz="8" w:color="2C6937"/>
            </w:tcBorders>
          </w:tcPr>
          <w:p>
            <w:pPr>
              <w:spacing w:after="0"/>
              <w:rPr>
                <w:sz w:val="16"/>
                <w:szCs w:val="16"/>
                <w:color w:val="auto"/>
              </w:rPr>
            </w:pPr>
          </w:p>
        </w:tc>
        <w:tc>
          <w:tcPr>
            <w:tcW w:w="1700" w:type="dxa"/>
            <w:vAlign w:val="bottom"/>
            <w:tcBorders>
              <w:top w:val="single" w:sz="8" w:color="2C6937"/>
              <w:bottom w:val="single" w:sz="8" w:color="2C6937"/>
            </w:tcBorders>
          </w:tcPr>
          <w:p>
            <w:pPr>
              <w:jc w:val="right"/>
              <w:ind w:right="171"/>
              <w:spacing w:after="0"/>
              <w:rPr>
                <w:sz w:val="20"/>
                <w:szCs w:val="20"/>
                <w:color w:val="auto"/>
              </w:rPr>
            </w:pPr>
            <w:r>
              <w:rPr>
                <w:rFonts w:ascii="Arial" w:cs="Arial" w:eastAsia="Arial" w:hAnsi="Arial"/>
                <w:sz w:val="14"/>
                <w:szCs w:val="14"/>
                <w:b w:val="1"/>
                <w:bCs w:val="1"/>
                <w:color w:val="auto"/>
              </w:rPr>
              <w:t>December 31, 2023</w:t>
            </w:r>
          </w:p>
        </w:tc>
        <w:tc>
          <w:tcPr>
            <w:tcW w:w="240" w:type="dxa"/>
            <w:vAlign w:val="bottom"/>
            <w:tcBorders>
              <w:top w:val="single" w:sz="8" w:color="2C6937"/>
            </w:tcBorders>
          </w:tcPr>
          <w:p>
            <w:pPr>
              <w:spacing w:after="0"/>
              <w:rPr>
                <w:sz w:val="16"/>
                <w:szCs w:val="16"/>
                <w:color w:val="auto"/>
              </w:rPr>
            </w:pPr>
          </w:p>
        </w:tc>
      </w:tr>
      <w:tr>
        <w:trPr>
          <w:trHeight w:val="636"/>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89</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87</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0"/>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10</w:t>
            </w:r>
          </w:p>
        </w:tc>
        <w:tc>
          <w:tcPr>
            <w:tcW w:w="240" w:type="dxa"/>
            <w:vAlign w:val="bottom"/>
          </w:tcPr>
          <w:p>
            <w:pPr>
              <w:spacing w:after="0"/>
              <w:rPr>
                <w:sz w:val="19"/>
                <w:szCs w:val="19"/>
                <w:color w:val="auto"/>
              </w:rPr>
            </w:pP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12</w:t>
            </w:r>
          </w:p>
        </w:tc>
        <w:tc>
          <w:tcPr>
            <w:tcW w:w="240" w:type="dxa"/>
            <w:vAlign w:val="bottom"/>
          </w:tcPr>
          <w:p>
            <w:pPr>
              <w:spacing w:after="0"/>
              <w:rPr>
                <w:sz w:val="19"/>
                <w:szCs w:val="19"/>
                <w:color w:val="auto"/>
              </w:rPr>
            </w:pPr>
          </w:p>
        </w:tc>
      </w:tr>
      <w:tr>
        <w:trPr>
          <w:trHeight w:val="212"/>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99</w:t>
            </w:r>
          </w:p>
        </w:tc>
        <w:tc>
          <w:tcPr>
            <w:tcW w:w="240" w:type="dxa"/>
            <w:vAlign w:val="bottom"/>
          </w:tcPr>
          <w:p>
            <w:pPr>
              <w:spacing w:after="0"/>
              <w:rPr>
                <w:sz w:val="18"/>
                <w:szCs w:val="18"/>
                <w:color w:val="auto"/>
              </w:rPr>
            </w:pP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99</w:t>
            </w:r>
          </w:p>
        </w:tc>
        <w:tc>
          <w:tcPr>
            <w:tcW w:w="240" w:type="dxa"/>
            <w:vAlign w:val="bottom"/>
          </w:tcPr>
          <w:p>
            <w:pPr>
              <w:spacing w:after="0"/>
              <w:rPr>
                <w:sz w:val="18"/>
                <w:szCs w:val="18"/>
                <w:color w:val="auto"/>
              </w:rPr>
            </w:pPr>
          </w:p>
        </w:tc>
      </w:tr>
      <w:tr>
        <w:trPr>
          <w:trHeight w:val="212"/>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w:t>
            </w:r>
          </w:p>
        </w:tc>
        <w:tc>
          <w:tcPr>
            <w:tcW w:w="240" w:type="dxa"/>
            <w:vAlign w:val="bottom"/>
          </w:tcPr>
          <w:p>
            <w:pPr>
              <w:spacing w:after="0"/>
              <w:rPr>
                <w:sz w:val="18"/>
                <w:szCs w:val="18"/>
                <w:color w:val="auto"/>
              </w:rPr>
            </w:pP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8"/>
                <w:szCs w:val="18"/>
                <w:color w:val="auto"/>
              </w:rPr>
            </w:pPr>
          </w:p>
        </w:tc>
      </w:tr>
      <w:tr>
        <w:trPr>
          <w:trHeight w:val="213"/>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17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28"/>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97</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98</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0"/>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3</w:t>
            </w:r>
          </w:p>
        </w:tc>
        <w:tc>
          <w:tcPr>
            <w:tcW w:w="240" w:type="dxa"/>
            <w:vAlign w:val="bottom"/>
          </w:tcPr>
          <w:p>
            <w:pPr>
              <w:spacing w:after="0"/>
              <w:rPr>
                <w:sz w:val="19"/>
                <w:szCs w:val="19"/>
                <w:color w:val="auto"/>
              </w:rPr>
            </w:pP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9"/>
                <w:szCs w:val="19"/>
                <w:color w:val="auto"/>
              </w:rPr>
            </w:pPr>
          </w:p>
        </w:tc>
      </w:tr>
      <w:tr>
        <w:trPr>
          <w:trHeight w:val="213"/>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17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28"/>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91</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91</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0"/>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9</w:t>
            </w:r>
          </w:p>
        </w:tc>
        <w:tc>
          <w:tcPr>
            <w:tcW w:w="240" w:type="dxa"/>
            <w:vAlign w:val="bottom"/>
          </w:tcPr>
          <w:p>
            <w:pPr>
              <w:spacing w:after="0"/>
              <w:rPr>
                <w:sz w:val="19"/>
                <w:szCs w:val="19"/>
                <w:color w:val="auto"/>
              </w:rPr>
            </w:pP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w:t>
            </w:r>
          </w:p>
        </w:tc>
        <w:tc>
          <w:tcPr>
            <w:tcW w:w="240" w:type="dxa"/>
            <w:vAlign w:val="bottom"/>
          </w:tcPr>
          <w:p>
            <w:pPr>
              <w:spacing w:after="0"/>
              <w:rPr>
                <w:sz w:val="19"/>
                <w:szCs w:val="19"/>
                <w:color w:val="auto"/>
              </w:rPr>
            </w:pPr>
          </w:p>
        </w:tc>
      </w:tr>
      <w:tr>
        <w:trPr>
          <w:trHeight w:val="213"/>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17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03"/>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91</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91</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9"/>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3</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9"/>
                <w:szCs w:val="19"/>
                <w:color w:val="auto"/>
              </w:rPr>
            </w:pPr>
          </w:p>
        </w:tc>
      </w:tr>
      <w:tr>
        <w:trPr>
          <w:trHeight w:val="220"/>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6</w:t>
            </w:r>
          </w:p>
        </w:tc>
        <w:tc>
          <w:tcPr>
            <w:tcW w:w="240" w:type="dxa"/>
            <w:vAlign w:val="bottom"/>
          </w:tcPr>
          <w:p>
            <w:pPr>
              <w:spacing w:after="0"/>
              <w:rPr>
                <w:sz w:val="19"/>
                <w:szCs w:val="19"/>
                <w:color w:val="auto"/>
              </w:rPr>
            </w:pP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w:t>
            </w:r>
          </w:p>
        </w:tc>
        <w:tc>
          <w:tcPr>
            <w:tcW w:w="240" w:type="dxa"/>
            <w:vAlign w:val="bottom"/>
          </w:tcPr>
          <w:p>
            <w:pPr>
              <w:spacing w:after="0"/>
              <w:rPr>
                <w:sz w:val="19"/>
                <w:szCs w:val="19"/>
                <w:color w:val="auto"/>
              </w:rPr>
            </w:pPr>
          </w:p>
        </w:tc>
      </w:tr>
      <w:tr>
        <w:trPr>
          <w:trHeight w:val="213"/>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17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28"/>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47</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45</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9"/>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20</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20</w:t>
            </w:r>
          </w:p>
        </w:tc>
        <w:tc>
          <w:tcPr>
            <w:tcW w:w="240" w:type="dxa"/>
            <w:vAlign w:val="bottom"/>
          </w:tcPr>
          <w:p>
            <w:pPr>
              <w:spacing w:after="0"/>
              <w:rPr>
                <w:sz w:val="19"/>
                <w:szCs w:val="19"/>
                <w:color w:val="auto"/>
              </w:rPr>
            </w:pPr>
          </w:p>
        </w:tc>
      </w:tr>
      <w:tr>
        <w:trPr>
          <w:trHeight w:val="220"/>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33</w:t>
            </w:r>
          </w:p>
        </w:tc>
        <w:tc>
          <w:tcPr>
            <w:tcW w:w="240" w:type="dxa"/>
            <w:vAlign w:val="bottom"/>
          </w:tcPr>
          <w:p>
            <w:pPr>
              <w:spacing w:after="0"/>
              <w:rPr>
                <w:sz w:val="19"/>
                <w:szCs w:val="19"/>
                <w:color w:val="auto"/>
              </w:rPr>
            </w:pP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35</w:t>
            </w:r>
          </w:p>
        </w:tc>
        <w:tc>
          <w:tcPr>
            <w:tcW w:w="240" w:type="dxa"/>
            <w:vAlign w:val="bottom"/>
          </w:tcPr>
          <w:p>
            <w:pPr>
              <w:spacing w:after="0"/>
              <w:rPr>
                <w:sz w:val="19"/>
                <w:szCs w:val="19"/>
                <w:color w:val="auto"/>
              </w:rPr>
            </w:pPr>
          </w:p>
        </w:tc>
      </w:tr>
      <w:tr>
        <w:trPr>
          <w:trHeight w:val="213"/>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17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28"/>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14</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14</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9"/>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16</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16</w:t>
            </w:r>
          </w:p>
        </w:tc>
        <w:tc>
          <w:tcPr>
            <w:tcW w:w="240" w:type="dxa"/>
            <w:vAlign w:val="bottom"/>
          </w:tcPr>
          <w:p>
            <w:pPr>
              <w:spacing w:after="0"/>
              <w:rPr>
                <w:sz w:val="19"/>
                <w:szCs w:val="19"/>
                <w:color w:val="auto"/>
              </w:rPr>
            </w:pPr>
          </w:p>
        </w:tc>
      </w:tr>
      <w:tr>
        <w:trPr>
          <w:trHeight w:val="219"/>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23</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23</w:t>
            </w:r>
          </w:p>
        </w:tc>
        <w:tc>
          <w:tcPr>
            <w:tcW w:w="240" w:type="dxa"/>
            <w:vAlign w:val="bottom"/>
          </w:tcPr>
          <w:p>
            <w:pPr>
              <w:spacing w:after="0"/>
              <w:rPr>
                <w:sz w:val="19"/>
                <w:szCs w:val="19"/>
                <w:color w:val="auto"/>
              </w:rPr>
            </w:pPr>
          </w:p>
        </w:tc>
      </w:tr>
      <w:tr>
        <w:trPr>
          <w:trHeight w:val="219"/>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19</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19</w:t>
            </w:r>
          </w:p>
        </w:tc>
        <w:tc>
          <w:tcPr>
            <w:tcW w:w="240" w:type="dxa"/>
            <w:vAlign w:val="bottom"/>
          </w:tcPr>
          <w:p>
            <w:pPr>
              <w:spacing w:after="0"/>
              <w:rPr>
                <w:sz w:val="19"/>
                <w:szCs w:val="19"/>
                <w:color w:val="auto"/>
              </w:rPr>
            </w:pPr>
          </w:p>
        </w:tc>
      </w:tr>
      <w:tr>
        <w:trPr>
          <w:trHeight w:val="220"/>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28</w:t>
            </w:r>
          </w:p>
        </w:tc>
        <w:tc>
          <w:tcPr>
            <w:tcW w:w="240" w:type="dxa"/>
            <w:vAlign w:val="bottom"/>
          </w:tcPr>
          <w:p>
            <w:pPr>
              <w:spacing w:after="0"/>
              <w:rPr>
                <w:sz w:val="19"/>
                <w:szCs w:val="19"/>
                <w:color w:val="auto"/>
              </w:rPr>
            </w:pP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28</w:t>
            </w:r>
          </w:p>
        </w:tc>
        <w:tc>
          <w:tcPr>
            <w:tcW w:w="240" w:type="dxa"/>
            <w:vAlign w:val="bottom"/>
          </w:tcPr>
          <w:p>
            <w:pPr>
              <w:spacing w:after="0"/>
              <w:rPr>
                <w:sz w:val="19"/>
                <w:szCs w:val="19"/>
                <w:color w:val="auto"/>
              </w:rPr>
            </w:pPr>
          </w:p>
        </w:tc>
      </w:tr>
      <w:tr>
        <w:trPr>
          <w:trHeight w:val="213"/>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17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28"/>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19</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21</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9"/>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4</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4</w:t>
            </w:r>
          </w:p>
        </w:tc>
        <w:tc>
          <w:tcPr>
            <w:tcW w:w="240" w:type="dxa"/>
            <w:vAlign w:val="bottom"/>
          </w:tcPr>
          <w:p>
            <w:pPr>
              <w:spacing w:after="0"/>
              <w:rPr>
                <w:sz w:val="19"/>
                <w:szCs w:val="19"/>
                <w:color w:val="auto"/>
              </w:rPr>
            </w:pPr>
          </w:p>
        </w:tc>
      </w:tr>
      <w:tr>
        <w:trPr>
          <w:trHeight w:val="219"/>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22</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24</w:t>
            </w:r>
          </w:p>
        </w:tc>
        <w:tc>
          <w:tcPr>
            <w:tcW w:w="240" w:type="dxa"/>
            <w:vAlign w:val="bottom"/>
          </w:tcPr>
          <w:p>
            <w:pPr>
              <w:spacing w:after="0"/>
              <w:rPr>
                <w:sz w:val="19"/>
                <w:szCs w:val="19"/>
                <w:color w:val="auto"/>
              </w:rPr>
            </w:pPr>
          </w:p>
        </w:tc>
      </w:tr>
      <w:tr>
        <w:trPr>
          <w:trHeight w:val="219"/>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28</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30</w:t>
            </w:r>
          </w:p>
        </w:tc>
        <w:tc>
          <w:tcPr>
            <w:tcW w:w="240" w:type="dxa"/>
            <w:vAlign w:val="bottom"/>
          </w:tcPr>
          <w:p>
            <w:pPr>
              <w:spacing w:after="0"/>
              <w:rPr>
                <w:sz w:val="19"/>
                <w:szCs w:val="19"/>
                <w:color w:val="auto"/>
              </w:rPr>
            </w:pPr>
          </w:p>
        </w:tc>
      </w:tr>
      <w:tr>
        <w:trPr>
          <w:trHeight w:val="219"/>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13</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13</w:t>
            </w:r>
          </w:p>
        </w:tc>
        <w:tc>
          <w:tcPr>
            <w:tcW w:w="240" w:type="dxa"/>
            <w:vAlign w:val="bottom"/>
          </w:tcPr>
          <w:p>
            <w:pPr>
              <w:spacing w:after="0"/>
              <w:rPr>
                <w:sz w:val="19"/>
                <w:szCs w:val="19"/>
                <w:color w:val="auto"/>
              </w:rPr>
            </w:pPr>
          </w:p>
        </w:tc>
      </w:tr>
      <w:tr>
        <w:trPr>
          <w:trHeight w:val="219"/>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8</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8</w:t>
            </w:r>
          </w:p>
        </w:tc>
        <w:tc>
          <w:tcPr>
            <w:tcW w:w="240" w:type="dxa"/>
            <w:vAlign w:val="bottom"/>
          </w:tcPr>
          <w:p>
            <w:pPr>
              <w:spacing w:after="0"/>
              <w:rPr>
                <w:sz w:val="19"/>
                <w:szCs w:val="19"/>
                <w:color w:val="auto"/>
              </w:rPr>
            </w:pPr>
          </w:p>
        </w:tc>
      </w:tr>
      <w:tr>
        <w:trPr>
          <w:trHeight w:val="220"/>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6</w:t>
            </w:r>
          </w:p>
        </w:tc>
        <w:tc>
          <w:tcPr>
            <w:tcW w:w="240" w:type="dxa"/>
            <w:vAlign w:val="bottom"/>
          </w:tcPr>
          <w:p>
            <w:pPr>
              <w:spacing w:after="0"/>
              <w:rPr>
                <w:sz w:val="19"/>
                <w:szCs w:val="19"/>
                <w:color w:val="auto"/>
              </w:rPr>
            </w:pP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9"/>
                <w:szCs w:val="19"/>
                <w:color w:val="auto"/>
              </w:rPr>
            </w:pPr>
          </w:p>
        </w:tc>
      </w:tr>
      <w:tr>
        <w:trPr>
          <w:trHeight w:val="213"/>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17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482" w:lineRule="exact"/>
        <w:rPr>
          <w:sz w:val="20"/>
          <w:szCs w:val="20"/>
          <w:color w:val="auto"/>
        </w:rPr>
      </w:pPr>
    </w:p>
    <w:p>
      <w:pPr>
        <w:sectPr>
          <w:pgSz w:w="11900" w:h="16838" w:orient="portrait"/>
          <w:cols w:equalWidth="0" w:num="2">
            <w:col w:w="7300" w:space="60"/>
            <w:col w:w="3880"/>
          </w:cols>
          <w:pgMar w:left="320" w:top="248" w:right="339"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2024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27</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60" w:type="dxa"/>
            <w:vAlign w:val="bottom"/>
            <w:tcBorders>
              <w:bottom w:val="single" w:sz="8" w:color="9A9A9A"/>
            </w:tcBorders>
          </w:tcPr>
          <w:p>
            <w:pPr>
              <w:spacing w:after="0"/>
              <w:rPr>
                <w:sz w:val="17"/>
                <w:szCs w:val="17"/>
                <w:color w:val="auto"/>
              </w:rPr>
            </w:pPr>
          </w:p>
        </w:tc>
        <w:tc>
          <w:tcPr>
            <w:tcW w:w="42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30" w:name="page31"/>
    <w:bookmarkEnd w:id="30"/>
    <w:p>
      <w:pPr>
        <w:ind w:left="606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20" w:hanging="217"/>
        <w:spacing w:after="0"/>
        <w:tabs>
          <w:tab w:leader="none" w:pos="22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Second-lien mortgage loans held by third parties are not reflected in the original LTV or the estimated mark-to-market LTV ratios in this table.</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unpaid principal balance of single-family loans for each category at time of acquisition.</w:t>
      </w:r>
    </w:p>
    <w:p>
      <w:pPr>
        <w:spacing w:after="0" w:line="38" w:lineRule="exact"/>
        <w:rPr>
          <w:rFonts w:ascii="Arial" w:cs="Arial" w:eastAsia="Arial" w:hAnsi="Arial"/>
          <w:sz w:val="18"/>
          <w:szCs w:val="18"/>
          <w:color w:val="auto"/>
          <w:vertAlign w:val="superscript"/>
        </w:rPr>
      </w:pPr>
    </w:p>
    <w:p>
      <w:pPr>
        <w:ind w:left="240" w:right="160" w:hanging="237"/>
        <w:spacing w:after="0" w:line="219" w:lineRule="auto"/>
        <w:tabs>
          <w:tab w:leader="none" w:pos="233"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aggregate unpaid principal balance of single-family loans for each category divided by the aggregate unpaid principal balance of loans in our single-family conventional guaranty book of business as of the end of each period.</w:t>
      </w:r>
    </w:p>
    <w:p>
      <w:pPr>
        <w:spacing w:after="0" w:line="13" w:lineRule="exact"/>
        <w:rPr>
          <w:rFonts w:ascii="Arial" w:cs="Arial" w:eastAsia="Arial" w:hAnsi="Arial"/>
          <w:sz w:val="18"/>
          <w:szCs w:val="18"/>
          <w:color w:val="auto"/>
          <w:vertAlign w:val="superscript"/>
        </w:rPr>
      </w:pPr>
    </w:p>
    <w:p>
      <w:pPr>
        <w:ind w:left="240" w:right="240" w:hanging="237"/>
        <w:spacing w:after="0" w:line="275" w:lineRule="auto"/>
        <w:tabs>
          <w:tab w:leader="none" w:pos="233" w:val="left"/>
        </w:tabs>
        <w:numPr>
          <w:ilvl w:val="0"/>
          <w:numId w:val="31"/>
        </w:numPr>
        <w:rPr>
          <w:rFonts w:ascii="Arial" w:cs="Arial" w:eastAsia="Arial" w:hAnsi="Arial"/>
          <w:sz w:val="9"/>
          <w:szCs w:val="9"/>
          <w:color w:val="auto"/>
        </w:rPr>
      </w:pPr>
      <w:r>
        <w:rPr>
          <w:rFonts w:ascii="Arial" w:cs="Arial" w:eastAsia="Arial" w:hAnsi="Arial"/>
          <w:sz w:val="14"/>
          <w:szCs w:val="14"/>
          <w:color w:val="auto"/>
        </w:rPr>
        <w:t>The original LTV ratio generally is based on the original unpaid principal balance of the loan divided by the appraised property value reported to us at the time of acquisition of the loan. Excludes loans for which this information is not readily available.</w:t>
      </w:r>
    </w:p>
    <w:p>
      <w:pPr>
        <w:spacing w:after="0" w:line="4" w:lineRule="exact"/>
        <w:rPr>
          <w:rFonts w:ascii="Arial" w:cs="Arial" w:eastAsia="Arial" w:hAnsi="Arial"/>
          <w:sz w:val="9"/>
          <w:szCs w:val="9"/>
          <w:color w:val="auto"/>
        </w:rPr>
      </w:pPr>
    </w:p>
    <w:p>
      <w:pPr>
        <w:ind w:left="240" w:right="20" w:hanging="237"/>
        <w:spacing w:after="0" w:line="244" w:lineRule="auto"/>
        <w:tabs>
          <w:tab w:leader="none" w:pos="233" w:val="left"/>
        </w:tabs>
        <w:numPr>
          <w:ilvl w:val="0"/>
          <w:numId w:val="31"/>
        </w:numPr>
        <w:rPr>
          <w:rFonts w:ascii="Arial" w:cs="Arial" w:eastAsia="Arial" w:hAnsi="Arial"/>
          <w:sz w:val="17"/>
          <w:szCs w:val="17"/>
          <w:color w:val="auto"/>
          <w:vertAlign w:val="superscript"/>
        </w:rPr>
      </w:pPr>
      <w:r>
        <w:rPr>
          <w:rFonts w:ascii="Arial" w:cs="Arial" w:eastAsia="Arial" w:hAnsi="Arial"/>
          <w:sz w:val="13"/>
          <w:szCs w:val="13"/>
          <w:color w:val="auto"/>
        </w:rPr>
        <w:t>The aggregate estimated mark-to-market LTV ratio is based on the unpaid principal balance of the loan as of the end of each reported period divided by the estimated current value of the property, which we calculate using an internal valuation model that estimates periodic changes in home value. Excludes loans for which this information is not readily available.</w:t>
      </w:r>
    </w:p>
    <w:p>
      <w:pPr>
        <w:spacing w:after="0" w:line="23" w:lineRule="exact"/>
        <w:rPr>
          <w:rFonts w:ascii="Arial" w:cs="Arial" w:eastAsia="Arial" w:hAnsi="Arial"/>
          <w:sz w:val="17"/>
          <w:szCs w:val="17"/>
          <w:color w:val="auto"/>
          <w:vertAlign w:val="superscript"/>
        </w:rPr>
      </w:pPr>
    </w:p>
    <w:p>
      <w:pPr>
        <w:ind w:left="240" w:right="240" w:hanging="237"/>
        <w:spacing w:after="0" w:line="218" w:lineRule="auto"/>
        <w:tabs>
          <w:tab w:leader="none" w:pos="233"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Loans with unavailable FICO credit scores represent less than 0.5% of single-family conventional business volume or guaranty book of business, and therefore are not presented separately in this table.</w:t>
      </w:r>
    </w:p>
    <w:p>
      <w:pPr>
        <w:spacing w:after="0" w:line="26"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31"/>
        </w:numPr>
        <w:rPr>
          <w:rFonts w:ascii="Arial" w:cs="Arial" w:eastAsia="Arial" w:hAnsi="Arial"/>
          <w:sz w:val="9"/>
          <w:szCs w:val="9"/>
          <w:color w:val="auto"/>
        </w:rPr>
      </w:pPr>
      <w:r>
        <w:rPr>
          <w:rFonts w:ascii="Arial" w:cs="Arial" w:eastAsia="Arial" w:hAnsi="Arial"/>
          <w:sz w:val="14"/>
          <w:szCs w:val="14"/>
          <w:color w:val="auto"/>
        </w:rPr>
        <w:t>Excludes loans for which this information is not readily available.</w:t>
      </w:r>
    </w:p>
    <w:p>
      <w:pPr>
        <w:spacing w:after="0" w:line="19" w:lineRule="exact"/>
        <w:rPr>
          <w:rFonts w:ascii="Arial" w:cs="Arial" w:eastAsia="Arial" w:hAnsi="Arial"/>
          <w:sz w:val="9"/>
          <w:szCs w:val="9"/>
          <w:color w:val="auto"/>
        </w:rPr>
      </w:pPr>
    </w:p>
    <w:p>
      <w:pPr>
        <w:ind w:left="220" w:hanging="217"/>
        <w:spacing w:after="0"/>
        <w:tabs>
          <w:tab w:leader="none" w:pos="22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Long-term fixed-rate consists of mortgage loans with maturities greater than 15 years, while intermediate-term fixed-rate loans have maturities equal to or less than 15 years.</w:t>
      </w:r>
    </w:p>
    <w:p>
      <w:pPr>
        <w:spacing w:after="0" w:line="29" w:lineRule="exact"/>
        <w:rPr>
          <w:rFonts w:ascii="Arial" w:cs="Arial" w:eastAsia="Arial" w:hAnsi="Arial"/>
          <w:sz w:val="18"/>
          <w:szCs w:val="18"/>
          <w:color w:val="auto"/>
          <w:vertAlign w:val="superscript"/>
        </w:rPr>
      </w:pPr>
    </w:p>
    <w:p>
      <w:pPr>
        <w:ind w:left="240" w:right="160" w:hanging="237"/>
        <w:spacing w:after="0" w:line="239" w:lineRule="auto"/>
        <w:tabs>
          <w:tab w:leader="none" w:pos="233" w:val="left"/>
        </w:tabs>
        <w:numPr>
          <w:ilvl w:val="0"/>
          <w:numId w:val="31"/>
        </w:numPr>
        <w:rPr>
          <w:rFonts w:ascii="Arial" w:cs="Arial" w:eastAsia="Arial" w:hAnsi="Arial"/>
          <w:sz w:val="17"/>
          <w:szCs w:val="17"/>
          <w:color w:val="auto"/>
          <w:vertAlign w:val="superscript"/>
        </w:rPr>
      </w:pPr>
      <w:r>
        <w:rPr>
          <w:rFonts w:ascii="Arial" w:cs="Arial" w:eastAsia="Arial" w:hAnsi="Arial"/>
          <w:sz w:val="13"/>
          <w:szCs w:val="13"/>
          <w:color w:val="auto"/>
        </w:rPr>
        <w:t>Midwest consists of IL, IN, IA, MI, MN, NE, ND, OH, SD and WI. Northeast consists of CT, DE, ME, MA, NH, NJ, NY, PA, PR, RI, VT and VI. Southeast consists of AL, DC, FL, GA, KY, MD, MS, NC, SC, TN, VA and WV. Southwest consists of AZ, AR, CO, KS, LA, MO, NM, OK, TX and UT. West consists of AK, CA, GU, HI, ID, MT, NV, OR, WA and WY.</w:t>
      </w:r>
    </w:p>
    <w:p>
      <w:pPr>
        <w:spacing w:after="0" w:line="51"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For a discussion of factors that may impact the volume and credit characteristics of loans we acquire in the future, see “MD&amp;A—Single-Family Business— Single-Family Mortgage Credit Risk Management—Single-Family Guaranty Book Diversification and Monitoring” in our 2023 Form 10-K. In this section of our 2023 Form 10-K, we also provide more information on the credit characteristics of loans in our single-family conventional guaranty book of business, including high-balance loans and adjustable-rate mortgages.</w:t>
      </w:r>
    </w:p>
    <w:p>
      <w:pPr>
        <w:spacing w:after="0" w:line="75"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Single-Family Credit Enhancement and Transfer of Mortgage Credit Risk</w:t>
      </w:r>
    </w:p>
    <w:p>
      <w:pPr>
        <w:spacing w:after="0" w:line="80" w:lineRule="exact"/>
        <w:rPr>
          <w:sz w:val="20"/>
          <w:szCs w:val="20"/>
          <w:color w:val="auto"/>
        </w:rPr>
      </w:pPr>
    </w:p>
    <w:p>
      <w:pPr>
        <w:ind w:right="120"/>
        <w:spacing w:after="0" w:line="272" w:lineRule="auto"/>
        <w:rPr>
          <w:sz w:val="20"/>
          <w:szCs w:val="20"/>
          <w:color w:val="auto"/>
        </w:rPr>
      </w:pPr>
      <w:r>
        <w:rPr>
          <w:rFonts w:ascii="Arial" w:cs="Arial" w:eastAsia="Arial" w:hAnsi="Arial"/>
          <w:sz w:val="16"/>
          <w:szCs w:val="16"/>
          <w:color w:val="auto"/>
        </w:rPr>
        <w:t>Our charter generally requires credit enhancement on any single-family conventional mortgage loan that we purchase or securitize if it has an LTV ratio over 80% at the time of purchase. We generally achieve this through primary mortgage insurance. We also enter into various other types of transactions in which we transfer mortgage credit risk to third parties.</w:t>
      </w:r>
    </w:p>
    <w:p>
      <w:pPr>
        <w:spacing w:after="0" w:line="32" w:lineRule="exact"/>
        <w:rPr>
          <w:sz w:val="20"/>
          <w:szCs w:val="20"/>
          <w:color w:val="auto"/>
        </w:rPr>
      </w:pPr>
    </w:p>
    <w:p>
      <w:pPr>
        <w:jc w:val="both"/>
        <w:ind w:right="80"/>
        <w:spacing w:after="0" w:line="271" w:lineRule="auto"/>
        <w:rPr>
          <w:sz w:val="20"/>
          <w:szCs w:val="20"/>
          <w:color w:val="auto"/>
        </w:rPr>
      </w:pPr>
      <w:r>
        <w:rPr>
          <w:rFonts w:ascii="Arial" w:cs="Arial" w:eastAsia="Arial" w:hAnsi="Arial"/>
          <w:sz w:val="16"/>
          <w:szCs w:val="16"/>
          <w:color w:val="auto"/>
        </w:rPr>
        <w:t>Our approved monoline mortgage insurers’ financial ability and willingness to pay claims is an important determinant of our overall credit risk exposure. For a discussion of our exposure to and management of the counterparty credit risk associated with the providers of these credit enhancements, see “MD&amp;A— Risk Management—Institutional Counterparty Credit Risk Management” and “Note 14, Concentrations of Credit Risk” in our 2023 Form 10-K and “Note 11, Concentrations of Credit Risk” in this report. Also see “Risk Factors—Credit Risk” in our 2023 Form 10-K.</w:t>
      </w:r>
    </w:p>
    <w:p>
      <w:pPr>
        <w:spacing w:after="0" w:line="33"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The table below displays information about loans in our single-family conventional guaranty book of business covered by one or more forms of credit enhancement, including mortgage insurance or a credit risk transfer transaction. For a description of primary mortgage insurance and the other types of credit enhancements specified in the table, see “MD&amp;A—Single-Family Business—Single-Family Mortgage Credit Risk Management—Single-Family Credit Enhancement and Transfer of Mortgage Credit Risk” in our 2023 Form 10-K.</w:t>
      </w:r>
    </w:p>
    <w:p>
      <w:pPr>
        <w:spacing w:after="0" w:line="21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Single-Family Loans with Credit Enhancement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165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860" w:type="dxa"/>
            <w:vAlign w:val="bottom"/>
            <w:tcBorders>
              <w:bottom w:val="single" w:sz="8" w:color="2C6937"/>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88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560" w:type="dxa"/>
            <w:vAlign w:val="bottom"/>
            <w:tcBorders>
              <w:bottom w:val="single" w:sz="8" w:color="2C6937"/>
            </w:tcBorders>
          </w:tcPr>
          <w:p>
            <w:pPr>
              <w:spacing w:after="0"/>
              <w:rPr>
                <w:sz w:val="17"/>
                <w:szCs w:val="17"/>
                <w:color w:val="auto"/>
              </w:rPr>
            </w:pPr>
          </w:p>
        </w:tc>
      </w:tr>
      <w:tr>
        <w:trPr>
          <w:trHeight w:val="193"/>
        </w:trPr>
        <w:tc>
          <w:tcPr>
            <w:tcW w:w="5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2560" w:type="dxa"/>
            <w:vAlign w:val="bottom"/>
            <w:tcBorders>
              <w:bottom w:val="single" w:sz="8" w:color="2C6937"/>
            </w:tcBorders>
            <w:gridSpan w:val="3"/>
          </w:tcPr>
          <w:p>
            <w:pPr>
              <w:jc w:val="right"/>
              <w:ind w:right="645"/>
              <w:spacing w:after="0"/>
              <w:rPr>
                <w:sz w:val="20"/>
                <w:szCs w:val="20"/>
                <w:color w:val="auto"/>
              </w:rPr>
            </w:pPr>
            <w:r>
              <w:rPr>
                <w:rFonts w:ascii="Arial" w:cs="Arial" w:eastAsia="Arial" w:hAnsi="Arial"/>
                <w:sz w:val="14"/>
                <w:szCs w:val="14"/>
                <w:b w:val="1"/>
                <w:bCs w:val="1"/>
                <w:color w:val="auto"/>
              </w:rPr>
              <w:t>September 30, 2024</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2560" w:type="dxa"/>
            <w:vAlign w:val="bottom"/>
            <w:tcBorders>
              <w:bottom w:val="single" w:sz="8" w:color="2C6937"/>
            </w:tcBorders>
            <w:gridSpan w:val="3"/>
          </w:tcPr>
          <w:p>
            <w:pPr>
              <w:jc w:val="right"/>
              <w:ind w:right="664"/>
              <w:spacing w:after="0"/>
              <w:rPr>
                <w:sz w:val="20"/>
                <w:szCs w:val="20"/>
                <w:color w:val="auto"/>
              </w:rPr>
            </w:pPr>
            <w:r>
              <w:rPr>
                <w:rFonts w:ascii="Arial" w:cs="Arial" w:eastAsia="Arial" w:hAnsi="Arial"/>
                <w:sz w:val="14"/>
                <w:szCs w:val="14"/>
                <w:b w:val="1"/>
                <w:bCs w:val="1"/>
                <w:color w:val="auto"/>
              </w:rPr>
              <w:t>December 31, 2023</w:t>
            </w:r>
          </w:p>
        </w:tc>
      </w:tr>
      <w:tr>
        <w:trPr>
          <w:trHeight w:val="178"/>
        </w:trPr>
        <w:tc>
          <w:tcPr>
            <w:tcW w:w="5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Percentage of Single-</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7"/>
              </w:rPr>
              <w:t>Percentage of Single-</w:t>
            </w:r>
          </w:p>
        </w:tc>
      </w:tr>
      <w:tr>
        <w:trPr>
          <w:trHeight w:val="168"/>
        </w:trPr>
        <w:tc>
          <w:tcPr>
            <w:tcW w:w="5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Unpaid</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Family Conventional</w:t>
            </w:r>
          </w:p>
        </w:tc>
        <w:tc>
          <w:tcPr>
            <w:tcW w:w="18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Unpaid</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9"/>
              </w:rPr>
              <w:t>Family Conventional</w:t>
            </w:r>
          </w:p>
        </w:tc>
      </w:tr>
      <w:tr>
        <w:trPr>
          <w:trHeight w:val="155"/>
        </w:trPr>
        <w:tc>
          <w:tcPr>
            <w:tcW w:w="5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7"/>
              </w:rPr>
              <w:t>Principal</w:t>
            </w:r>
          </w:p>
        </w:tc>
        <w:tc>
          <w:tcPr>
            <w:tcW w:w="168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97"/>
              </w:rPr>
              <w:t>Guaranty Book of</w:t>
            </w:r>
          </w:p>
        </w:tc>
        <w:tc>
          <w:tcPr>
            <w:tcW w:w="180" w:type="dxa"/>
            <w:vAlign w:val="bottom"/>
          </w:tcPr>
          <w:p>
            <w:pPr>
              <w:spacing w:after="0"/>
              <w:rPr>
                <w:sz w:val="13"/>
                <w:szCs w:val="13"/>
                <w:color w:val="auto"/>
              </w:rPr>
            </w:pPr>
          </w:p>
        </w:tc>
        <w:tc>
          <w:tcPr>
            <w:tcW w:w="100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7"/>
              </w:rPr>
              <w:t>Principal</w:t>
            </w:r>
          </w:p>
        </w:tc>
        <w:tc>
          <w:tcPr>
            <w:tcW w:w="15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8"/>
              </w:rPr>
              <w:t>Guaranty Book of</w:t>
            </w:r>
          </w:p>
        </w:tc>
      </w:tr>
      <w:tr>
        <w:trPr>
          <w:trHeight w:val="202"/>
        </w:trPr>
        <w:tc>
          <w:tcPr>
            <w:tcW w:w="5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jc w:val="center"/>
              <w:ind w:right="104"/>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7"/>
                <w:szCs w:val="17"/>
                <w:color w:val="auto"/>
              </w:rPr>
            </w:pPr>
          </w:p>
        </w:tc>
        <w:tc>
          <w:tcPr>
            <w:tcW w:w="158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9"/>
              </w:rPr>
              <w:t>Business</w:t>
            </w:r>
          </w:p>
        </w:tc>
        <w:tc>
          <w:tcPr>
            <w:tcW w:w="10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jc w:val="center"/>
              <w:ind w:right="84"/>
              <w:spacing w:after="0"/>
              <w:rPr>
                <w:sz w:val="20"/>
                <w:szCs w:val="20"/>
                <w:color w:val="auto"/>
              </w:rPr>
            </w:pPr>
            <w:r>
              <w:rPr>
                <w:rFonts w:ascii="Arial" w:cs="Arial" w:eastAsia="Arial" w:hAnsi="Arial"/>
                <w:sz w:val="14"/>
                <w:szCs w:val="14"/>
                <w:b w:val="1"/>
                <w:bCs w:val="1"/>
                <w:color w:val="auto"/>
                <w:w w:val="96"/>
              </w:rPr>
              <w:t>Balance</w:t>
            </w:r>
          </w:p>
        </w:tc>
        <w:tc>
          <w:tcPr>
            <w:tcW w:w="120" w:type="dxa"/>
            <w:vAlign w:val="bottom"/>
          </w:tcPr>
          <w:p>
            <w:pPr>
              <w:spacing w:after="0"/>
              <w:rPr>
                <w:sz w:val="17"/>
                <w:szCs w:val="17"/>
                <w:color w:val="auto"/>
              </w:rPr>
            </w:pPr>
          </w:p>
        </w:tc>
        <w:tc>
          <w:tcPr>
            <w:tcW w:w="15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6"/>
              </w:rPr>
              <w:t>Business</w:t>
            </w:r>
          </w:p>
        </w:tc>
      </w:tr>
      <w:tr>
        <w:trPr>
          <w:trHeight w:val="185"/>
        </w:trPr>
        <w:tc>
          <w:tcPr>
            <w:tcW w:w="5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gridSpan w:val="5"/>
          </w:tcPr>
          <w:p>
            <w:pPr>
              <w:ind w:left="940"/>
              <w:spacing w:after="0"/>
              <w:rPr>
                <w:sz w:val="20"/>
                <w:szCs w:val="20"/>
                <w:color w:val="auto"/>
              </w:rPr>
            </w:pPr>
            <w:r>
              <w:rPr>
                <w:rFonts w:ascii="Arial" w:cs="Arial" w:eastAsia="Arial" w:hAnsi="Arial"/>
                <w:sz w:val="14"/>
                <w:szCs w:val="14"/>
                <w:b w:val="1"/>
                <w:bCs w:val="1"/>
                <w:color w:val="auto"/>
              </w:rPr>
              <w:t>(Dollars in billions)</w:t>
            </w:r>
          </w:p>
        </w:tc>
        <w:tc>
          <w:tcPr>
            <w:tcW w:w="1560" w:type="dxa"/>
            <w:vAlign w:val="bottom"/>
          </w:tcPr>
          <w:p>
            <w:pPr>
              <w:spacing w:after="0"/>
              <w:rPr>
                <w:sz w:val="16"/>
                <w:szCs w:val="16"/>
                <w:color w:val="auto"/>
              </w:rPr>
            </w:pPr>
          </w:p>
        </w:tc>
      </w:tr>
      <w:tr>
        <w:trPr>
          <w:trHeight w:val="242"/>
        </w:trPr>
        <w:tc>
          <w:tcPr>
            <w:tcW w:w="5660" w:type="dxa"/>
            <w:vAlign w:val="bottom"/>
            <w:gridSpan w:val="2"/>
          </w:tcPr>
          <w:p>
            <w:pPr>
              <w:ind w:left="20"/>
              <w:spacing w:after="0"/>
              <w:rPr>
                <w:sz w:val="20"/>
                <w:szCs w:val="20"/>
                <w:color w:val="auto"/>
              </w:rPr>
            </w:pPr>
            <w:r>
              <w:rPr>
                <w:rFonts w:ascii="Arial" w:cs="Arial" w:eastAsia="Arial" w:hAnsi="Arial"/>
                <w:sz w:val="15"/>
                <w:szCs w:val="15"/>
                <w:color w:val="auto"/>
              </w:rPr>
              <w:t>Primary mortgage insurance and other</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
              <w:spacing w:after="0"/>
              <w:rPr>
                <w:sz w:val="20"/>
                <w:szCs w:val="20"/>
                <w:color w:val="auto"/>
              </w:rPr>
            </w:pPr>
            <w:r>
              <w:rPr>
                <w:rFonts w:ascii="Arial" w:cs="Arial" w:eastAsia="Arial" w:hAnsi="Arial"/>
                <w:sz w:val="16"/>
                <w:szCs w:val="16"/>
                <w:b w:val="1"/>
                <w:bCs w:val="1"/>
                <w:color w:val="auto"/>
              </w:rPr>
              <w:t>764</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21 %</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763</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21 %</w:t>
            </w:r>
          </w:p>
        </w:tc>
      </w:tr>
      <w:tr>
        <w:trPr>
          <w:trHeight w:val="232"/>
        </w:trPr>
        <w:tc>
          <w:tcPr>
            <w:tcW w:w="5660" w:type="dxa"/>
            <w:vAlign w:val="bottom"/>
            <w:gridSpan w:val="2"/>
          </w:tcPr>
          <w:p>
            <w:pPr>
              <w:ind w:left="20"/>
              <w:spacing w:after="0"/>
              <w:rPr>
                <w:sz w:val="20"/>
                <w:szCs w:val="20"/>
                <w:color w:val="auto"/>
              </w:rPr>
            </w:pPr>
            <w:r>
              <w:rPr>
                <w:rFonts w:ascii="Arial" w:cs="Arial" w:eastAsia="Arial" w:hAnsi="Arial"/>
                <w:sz w:val="15"/>
                <w:szCs w:val="15"/>
                <w:color w:val="auto"/>
              </w:rPr>
              <w:t>Connecticut Avenue Securities</w:t>
            </w:r>
          </w:p>
        </w:tc>
        <w:tc>
          <w:tcPr>
            <w:tcW w:w="180" w:type="dxa"/>
            <w:vAlign w:val="bottom"/>
          </w:tcPr>
          <w:p>
            <w:pPr>
              <w:spacing w:after="0"/>
              <w:rPr>
                <w:sz w:val="20"/>
                <w:szCs w:val="20"/>
                <w:color w:val="auto"/>
              </w:rPr>
            </w:pPr>
          </w:p>
        </w:tc>
        <w:tc>
          <w:tcPr>
            <w:tcW w:w="880" w:type="dxa"/>
            <w:vAlign w:val="bottom"/>
          </w:tcPr>
          <w:p>
            <w:pPr>
              <w:jc w:val="right"/>
              <w:ind w:right="4"/>
              <w:spacing w:after="0"/>
              <w:rPr>
                <w:sz w:val="20"/>
                <w:szCs w:val="20"/>
                <w:color w:val="auto"/>
              </w:rPr>
            </w:pPr>
            <w:r>
              <w:rPr>
                <w:rFonts w:ascii="Arial" w:cs="Arial" w:eastAsia="Arial" w:hAnsi="Arial"/>
                <w:sz w:val="16"/>
                <w:szCs w:val="16"/>
                <w:b w:val="1"/>
                <w:bCs w:val="1"/>
                <w:color w:val="auto"/>
              </w:rPr>
              <w:t>875</w:t>
            </w:r>
          </w:p>
        </w:tc>
        <w:tc>
          <w:tcPr>
            <w:tcW w:w="100" w:type="dxa"/>
            <w:vAlign w:val="bottom"/>
          </w:tcPr>
          <w:p>
            <w:pPr>
              <w:spacing w:after="0"/>
              <w:rPr>
                <w:sz w:val="20"/>
                <w:szCs w:val="20"/>
                <w:color w:val="auto"/>
              </w:rPr>
            </w:pPr>
          </w:p>
        </w:tc>
        <w:tc>
          <w:tcPr>
            <w:tcW w:w="1580" w:type="dxa"/>
            <w:vAlign w:val="bottom"/>
          </w:tcPr>
          <w:p>
            <w:pPr>
              <w:jc w:val="right"/>
              <w:ind w:right="145"/>
              <w:spacing w:after="0"/>
              <w:rPr>
                <w:sz w:val="20"/>
                <w:szCs w:val="20"/>
                <w:color w:val="auto"/>
              </w:rPr>
            </w:pPr>
            <w:r>
              <w:rPr>
                <w:rFonts w:ascii="Arial" w:cs="Arial" w:eastAsia="Arial" w:hAnsi="Arial"/>
                <w:sz w:val="16"/>
                <w:szCs w:val="16"/>
                <w:b w:val="1"/>
                <w:bCs w:val="1"/>
                <w:color w:val="auto"/>
              </w:rPr>
              <w:t>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843</w:t>
            </w:r>
          </w:p>
        </w:tc>
        <w:tc>
          <w:tcPr>
            <w:tcW w:w="120" w:type="dxa"/>
            <w:vAlign w:val="bottom"/>
          </w:tcPr>
          <w:p>
            <w:pPr>
              <w:spacing w:after="0"/>
              <w:rPr>
                <w:sz w:val="20"/>
                <w:szCs w:val="20"/>
                <w:color w:val="auto"/>
              </w:rPr>
            </w:pPr>
          </w:p>
        </w:tc>
        <w:tc>
          <w:tcPr>
            <w:tcW w:w="1560" w:type="dxa"/>
            <w:vAlign w:val="bottom"/>
          </w:tcPr>
          <w:p>
            <w:pPr>
              <w:jc w:val="right"/>
              <w:ind w:right="124"/>
              <w:spacing w:after="0"/>
              <w:rPr>
                <w:sz w:val="20"/>
                <w:szCs w:val="20"/>
                <w:color w:val="auto"/>
              </w:rPr>
            </w:pPr>
            <w:r>
              <w:rPr>
                <w:rFonts w:ascii="Arial" w:cs="Arial" w:eastAsia="Arial" w:hAnsi="Arial"/>
                <w:sz w:val="16"/>
                <w:szCs w:val="16"/>
                <w:color w:val="auto"/>
              </w:rPr>
              <w:t>24</w:t>
            </w:r>
          </w:p>
        </w:tc>
      </w:tr>
      <w:tr>
        <w:trPr>
          <w:trHeight w:val="232"/>
        </w:trPr>
        <w:tc>
          <w:tcPr>
            <w:tcW w:w="5660" w:type="dxa"/>
            <w:vAlign w:val="bottom"/>
            <w:gridSpan w:val="2"/>
          </w:tcPr>
          <w:p>
            <w:pPr>
              <w:ind w:left="20"/>
              <w:spacing w:after="0"/>
              <w:rPr>
                <w:sz w:val="20"/>
                <w:szCs w:val="20"/>
                <w:color w:val="auto"/>
              </w:rPr>
            </w:pPr>
            <w:r>
              <w:rPr>
                <w:rFonts w:ascii="Arial" w:cs="Arial" w:eastAsia="Arial" w:hAnsi="Arial"/>
                <w:sz w:val="15"/>
                <w:szCs w:val="15"/>
                <w:color w:val="auto"/>
              </w:rPr>
              <w:t>Credit Insurance Risk Transfer</w:t>
            </w:r>
          </w:p>
        </w:tc>
        <w:tc>
          <w:tcPr>
            <w:tcW w:w="180" w:type="dxa"/>
            <w:vAlign w:val="bottom"/>
          </w:tcPr>
          <w:p>
            <w:pPr>
              <w:spacing w:after="0"/>
              <w:rPr>
                <w:sz w:val="20"/>
                <w:szCs w:val="20"/>
                <w:color w:val="auto"/>
              </w:rPr>
            </w:pPr>
          </w:p>
        </w:tc>
        <w:tc>
          <w:tcPr>
            <w:tcW w:w="880" w:type="dxa"/>
            <w:vAlign w:val="bottom"/>
          </w:tcPr>
          <w:p>
            <w:pPr>
              <w:jc w:val="right"/>
              <w:ind w:right="4"/>
              <w:spacing w:after="0"/>
              <w:rPr>
                <w:sz w:val="20"/>
                <w:szCs w:val="20"/>
                <w:color w:val="auto"/>
              </w:rPr>
            </w:pPr>
            <w:r>
              <w:rPr>
                <w:rFonts w:ascii="Arial" w:cs="Arial" w:eastAsia="Arial" w:hAnsi="Arial"/>
                <w:sz w:val="16"/>
                <w:szCs w:val="16"/>
                <w:b w:val="1"/>
                <w:bCs w:val="1"/>
                <w:color w:val="auto"/>
              </w:rPr>
              <w:t>425</w:t>
            </w:r>
          </w:p>
        </w:tc>
        <w:tc>
          <w:tcPr>
            <w:tcW w:w="100" w:type="dxa"/>
            <w:vAlign w:val="bottom"/>
          </w:tcPr>
          <w:p>
            <w:pPr>
              <w:spacing w:after="0"/>
              <w:rPr>
                <w:sz w:val="20"/>
                <w:szCs w:val="20"/>
                <w:color w:val="auto"/>
              </w:rPr>
            </w:pPr>
          </w:p>
        </w:tc>
        <w:tc>
          <w:tcPr>
            <w:tcW w:w="1580" w:type="dxa"/>
            <w:vAlign w:val="bottom"/>
          </w:tcPr>
          <w:p>
            <w:pPr>
              <w:jc w:val="right"/>
              <w:ind w:right="145"/>
              <w:spacing w:after="0"/>
              <w:rPr>
                <w:sz w:val="20"/>
                <w:szCs w:val="20"/>
                <w:color w:val="auto"/>
              </w:rPr>
            </w:pPr>
            <w:r>
              <w:rPr>
                <w:rFonts w:ascii="Arial" w:cs="Arial" w:eastAsia="Arial" w:hAnsi="Arial"/>
                <w:sz w:val="16"/>
                <w:szCs w:val="16"/>
                <w:b w:val="1"/>
                <w:bCs w:val="1"/>
                <w:color w:val="auto"/>
              </w:rPr>
              <w:t>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399</w:t>
            </w:r>
          </w:p>
        </w:tc>
        <w:tc>
          <w:tcPr>
            <w:tcW w:w="120" w:type="dxa"/>
            <w:vAlign w:val="bottom"/>
          </w:tcPr>
          <w:p>
            <w:pPr>
              <w:spacing w:after="0"/>
              <w:rPr>
                <w:sz w:val="20"/>
                <w:szCs w:val="20"/>
                <w:color w:val="auto"/>
              </w:rPr>
            </w:pPr>
          </w:p>
        </w:tc>
        <w:tc>
          <w:tcPr>
            <w:tcW w:w="1560" w:type="dxa"/>
            <w:vAlign w:val="bottom"/>
          </w:tcPr>
          <w:p>
            <w:pPr>
              <w:jc w:val="right"/>
              <w:ind w:right="124"/>
              <w:spacing w:after="0"/>
              <w:rPr>
                <w:sz w:val="20"/>
                <w:szCs w:val="20"/>
                <w:color w:val="auto"/>
              </w:rPr>
            </w:pPr>
            <w:r>
              <w:rPr>
                <w:rFonts w:ascii="Arial" w:cs="Arial" w:eastAsia="Arial" w:hAnsi="Arial"/>
                <w:sz w:val="16"/>
                <w:szCs w:val="16"/>
                <w:color w:val="auto"/>
              </w:rPr>
              <w:t>11</w:t>
            </w:r>
          </w:p>
        </w:tc>
      </w:tr>
      <w:tr>
        <w:trPr>
          <w:trHeight w:val="232"/>
        </w:trPr>
        <w:tc>
          <w:tcPr>
            <w:tcW w:w="5660" w:type="dxa"/>
            <w:vAlign w:val="bottom"/>
            <w:gridSpan w:val="2"/>
          </w:tcPr>
          <w:p>
            <w:pPr>
              <w:ind w:left="20"/>
              <w:spacing w:after="0"/>
              <w:rPr>
                <w:sz w:val="20"/>
                <w:szCs w:val="20"/>
                <w:color w:val="auto"/>
              </w:rPr>
            </w:pPr>
            <w:r>
              <w:rPr>
                <w:rFonts w:ascii="Arial" w:cs="Arial" w:eastAsia="Arial" w:hAnsi="Arial"/>
                <w:sz w:val="15"/>
                <w:szCs w:val="15"/>
                <w:color w:val="auto"/>
              </w:rPr>
              <w:t>Lender risk-sharing</w:t>
            </w:r>
          </w:p>
        </w:tc>
        <w:tc>
          <w:tcPr>
            <w:tcW w:w="180" w:type="dxa"/>
            <w:vAlign w:val="bottom"/>
          </w:tcPr>
          <w:p>
            <w:pPr>
              <w:spacing w:after="0"/>
              <w:rPr>
                <w:sz w:val="20"/>
                <w:szCs w:val="20"/>
                <w:color w:val="auto"/>
              </w:rPr>
            </w:pPr>
          </w:p>
        </w:tc>
        <w:tc>
          <w:tcPr>
            <w:tcW w:w="880" w:type="dxa"/>
            <w:vAlign w:val="bottom"/>
          </w:tcPr>
          <w:p>
            <w:pPr>
              <w:jc w:val="right"/>
              <w:ind w:right="4"/>
              <w:spacing w:after="0"/>
              <w:rPr>
                <w:sz w:val="20"/>
                <w:szCs w:val="20"/>
                <w:color w:val="auto"/>
              </w:rPr>
            </w:pPr>
            <w:r>
              <w:rPr>
                <w:rFonts w:ascii="Arial" w:cs="Arial" w:eastAsia="Arial" w:hAnsi="Arial"/>
                <w:sz w:val="16"/>
                <w:szCs w:val="16"/>
                <w:b w:val="1"/>
                <w:bCs w:val="1"/>
                <w:color w:val="auto"/>
              </w:rPr>
              <w:t>46</w:t>
            </w:r>
          </w:p>
        </w:tc>
        <w:tc>
          <w:tcPr>
            <w:tcW w:w="100" w:type="dxa"/>
            <w:vAlign w:val="bottom"/>
          </w:tcPr>
          <w:p>
            <w:pPr>
              <w:spacing w:after="0"/>
              <w:rPr>
                <w:sz w:val="20"/>
                <w:szCs w:val="20"/>
                <w:color w:val="auto"/>
              </w:rPr>
            </w:pPr>
          </w:p>
        </w:tc>
        <w:tc>
          <w:tcPr>
            <w:tcW w:w="1580" w:type="dxa"/>
            <w:vAlign w:val="bottom"/>
          </w:tcPr>
          <w:p>
            <w:pPr>
              <w:jc w:val="right"/>
              <w:ind w:right="145"/>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0"/>
                <w:szCs w:val="20"/>
                <w:color w:val="auto"/>
              </w:rPr>
            </w:pPr>
          </w:p>
        </w:tc>
        <w:tc>
          <w:tcPr>
            <w:tcW w:w="1560" w:type="dxa"/>
            <w:vAlign w:val="bottom"/>
          </w:tcPr>
          <w:p>
            <w:pPr>
              <w:jc w:val="right"/>
              <w:ind w:right="124"/>
              <w:spacing w:after="0"/>
              <w:rPr>
                <w:sz w:val="20"/>
                <w:szCs w:val="20"/>
                <w:color w:val="auto"/>
              </w:rPr>
            </w:pPr>
            <w:r>
              <w:rPr>
                <w:rFonts w:ascii="Arial" w:cs="Arial" w:eastAsia="Arial" w:hAnsi="Arial"/>
                <w:sz w:val="16"/>
                <w:szCs w:val="16"/>
                <w:color w:val="auto"/>
              </w:rPr>
              <w:t>1</w:t>
            </w:r>
          </w:p>
        </w:tc>
      </w:tr>
      <w:tr>
        <w:trPr>
          <w:trHeight w:val="234"/>
        </w:trPr>
        <w:tc>
          <w:tcPr>
            <w:tcW w:w="552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Less: Loans covered by multiple credit enhancements</w:t>
            </w:r>
          </w:p>
        </w:tc>
        <w:tc>
          <w:tcPr>
            <w:tcW w:w="14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(428)</w:t>
            </w:r>
          </w:p>
        </w:tc>
        <w:tc>
          <w:tcPr>
            <w:tcW w:w="100" w:type="dxa"/>
            <w:vAlign w:val="bottom"/>
          </w:tcPr>
          <w:p>
            <w:pPr>
              <w:spacing w:after="0"/>
              <w:rPr>
                <w:sz w:val="20"/>
                <w:szCs w:val="20"/>
                <w:color w:val="auto"/>
              </w:rPr>
            </w:pPr>
          </w:p>
        </w:tc>
        <w:tc>
          <w:tcPr>
            <w:tcW w:w="1580" w:type="dxa"/>
            <w:vAlign w:val="bottom"/>
            <w:tcBorders>
              <w:bottom w:val="single" w:sz="8" w:color="2C6937"/>
            </w:tcBorders>
          </w:tcPr>
          <w:p>
            <w:pPr>
              <w:jc w:val="right"/>
              <w:ind w:right="105"/>
              <w:spacing w:after="0"/>
              <w:rPr>
                <w:sz w:val="20"/>
                <w:szCs w:val="20"/>
                <w:color w:val="auto"/>
              </w:rPr>
            </w:pPr>
            <w:r>
              <w:rPr>
                <w:rFonts w:ascii="Arial" w:cs="Arial" w:eastAsia="Arial" w:hAnsi="Arial"/>
                <w:sz w:val="16"/>
                <w:szCs w:val="16"/>
                <w:b w:val="1"/>
                <w:bCs w:val="1"/>
                <w:color w:val="auto"/>
              </w:rPr>
              <w:t>(12)</w:t>
            </w:r>
          </w:p>
        </w:tc>
        <w:tc>
          <w:tcPr>
            <w:tcW w:w="10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(411)</w:t>
            </w:r>
          </w:p>
        </w:tc>
        <w:tc>
          <w:tcPr>
            <w:tcW w:w="120" w:type="dxa"/>
            <w:vAlign w:val="bottom"/>
          </w:tcPr>
          <w:p>
            <w:pPr>
              <w:spacing w:after="0"/>
              <w:rPr>
                <w:sz w:val="20"/>
                <w:szCs w:val="20"/>
                <w:color w:val="auto"/>
              </w:rPr>
            </w:pPr>
          </w:p>
        </w:tc>
        <w:tc>
          <w:tcPr>
            <w:tcW w:w="1560" w:type="dxa"/>
            <w:vAlign w:val="bottom"/>
            <w:tcBorders>
              <w:bottom w:val="single" w:sz="8" w:color="2C6937"/>
            </w:tcBorders>
          </w:tcPr>
          <w:p>
            <w:pPr>
              <w:jc w:val="right"/>
              <w:ind w:right="84"/>
              <w:spacing w:after="0"/>
              <w:rPr>
                <w:sz w:val="20"/>
                <w:szCs w:val="20"/>
                <w:color w:val="auto"/>
              </w:rPr>
            </w:pPr>
            <w:r>
              <w:rPr>
                <w:rFonts w:ascii="Arial" w:cs="Arial" w:eastAsia="Arial" w:hAnsi="Arial"/>
                <w:sz w:val="16"/>
                <w:szCs w:val="16"/>
                <w:color w:val="auto"/>
              </w:rPr>
              <w:t>(12)</w:t>
            </w:r>
          </w:p>
        </w:tc>
      </w:tr>
      <w:tr>
        <w:trPr>
          <w:trHeight w:val="225"/>
        </w:trPr>
        <w:tc>
          <w:tcPr>
            <w:tcW w:w="5660" w:type="dxa"/>
            <w:vAlign w:val="bottom"/>
            <w:gridSpan w:val="2"/>
          </w:tcPr>
          <w:p>
            <w:pPr>
              <w:ind w:left="320"/>
              <w:spacing w:after="0"/>
              <w:rPr>
                <w:sz w:val="20"/>
                <w:szCs w:val="20"/>
                <w:color w:val="auto"/>
              </w:rPr>
            </w:pPr>
            <w:r>
              <w:rPr>
                <w:rFonts w:ascii="Arial" w:cs="Arial" w:eastAsia="Arial" w:hAnsi="Arial"/>
                <w:sz w:val="15"/>
                <w:szCs w:val="15"/>
                <w:color w:val="auto"/>
              </w:rPr>
              <w:t>Total single-family loans with credit enhancement</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
              <w:spacing w:after="0"/>
              <w:rPr>
                <w:sz w:val="20"/>
                <w:szCs w:val="20"/>
                <w:color w:val="auto"/>
              </w:rPr>
            </w:pPr>
            <w:r>
              <w:rPr>
                <w:rFonts w:ascii="Arial" w:cs="Arial" w:eastAsia="Arial" w:hAnsi="Arial"/>
                <w:sz w:val="16"/>
                <w:szCs w:val="16"/>
                <w:b w:val="1"/>
                <w:bCs w:val="1"/>
                <w:color w:val="auto"/>
              </w:rPr>
              <w:t>1,682</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46 %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1,646</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45 %</w:t>
            </w:r>
          </w:p>
        </w:tc>
      </w:tr>
      <w:tr>
        <w:trPr>
          <w:trHeight w:val="21"/>
        </w:trPr>
        <w:tc>
          <w:tcPr>
            <w:tcW w:w="552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top w:val="single" w:sz="8" w:color="2C6937"/>
              <w:bottom w:val="single" w:sz="8" w:color="2C6937"/>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2024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28</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60" w:type="dxa"/>
            <w:vAlign w:val="bottom"/>
            <w:tcBorders>
              <w:bottom w:val="single" w:sz="8" w:color="9A9A9A"/>
            </w:tcBorders>
          </w:tcPr>
          <w:p>
            <w:pPr>
              <w:spacing w:after="0"/>
              <w:rPr>
                <w:sz w:val="17"/>
                <w:szCs w:val="17"/>
                <w:color w:val="auto"/>
              </w:rPr>
            </w:pPr>
          </w:p>
        </w:tc>
        <w:tc>
          <w:tcPr>
            <w:tcW w:w="42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31" w:name="page32"/>
    <w:bookmarkEnd w:id="31"/>
    <w:p>
      <w:pPr>
        <w:ind w:left="606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Transfer of Mortgage Credit Risk</w:t>
      </w:r>
    </w:p>
    <w:p>
      <w:pPr>
        <w:spacing w:after="0" w:line="80"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In addition to primary mortgage insurance, our Single-Family business has developed other risk-sharing capabilities to transfer portions of our single-family mortgage credit risk to the private market. Our credit risk transfer transactions are generally designed to transfer a portion of the losses we expect would be incurred in an economic downturn or a stressed credit environment. Generally, loss reimbursement payments are received after the underlying property has been liquidated and all applicable proceeds, including private mortgage insurance benefits, have been applied to reduce the loss. As described in “MD&amp;A— Single-Family Business—Single-Family Mortgage Credit Risk Management—Single-Family Credit Enhancement and Transfer of Mortgage Credit Risk— Credit Risk Transfer Transactions” in our 2023 Form 10-K, our two primary single-family credit risk transfer programs are Connecticut Avenue Securities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(“CAS”) and Credit Insurance Risk Transfer™ (“CIRT™”).</w:t>
      </w:r>
    </w:p>
    <w:p>
      <w:pPr>
        <w:spacing w:after="0" w:line="48" w:lineRule="exact"/>
        <w:rPr>
          <w:sz w:val="20"/>
          <w:szCs w:val="20"/>
          <w:color w:val="auto"/>
        </w:rPr>
      </w:pPr>
    </w:p>
    <w:p>
      <w:pPr>
        <w:ind w:right="60"/>
        <w:spacing w:after="0" w:line="263" w:lineRule="auto"/>
        <w:rPr>
          <w:sz w:val="20"/>
          <w:szCs w:val="20"/>
          <w:color w:val="auto"/>
        </w:rPr>
      </w:pPr>
      <w:r>
        <w:rPr>
          <w:rFonts w:ascii="Arial" w:cs="Arial" w:eastAsia="Arial" w:hAnsi="Arial"/>
          <w:sz w:val="16"/>
          <w:szCs w:val="16"/>
          <w:color w:val="auto"/>
        </w:rPr>
        <w:t>In the first nine months of 2024, we transferred a portion of the mortgage credit risk on single-family mortgage loans with an unpaid principal balance of $178.4 billion at the time of the transactions. When engaging in credit risk transfer transactions, we consider their cost, the resulting capital relief, and the overall credit risk transfer capacity of the market. The cost of our credit risk transfer transactions is impacted by macroeconomic and housing market sentiment, as well as the demand and capacity of the investors and reinsurers that support these transactions. Capacity considers both the total aggregate amount of outstanding coverage as well as the volume of new issuances available in the market. In response to these factors, we may choose to adjust the amount of first loss retained by Fannie Mae as a way to manage costs or market capacity when structuring our credit risk transfer transactions.</w:t>
      </w:r>
    </w:p>
    <w:p>
      <w:pPr>
        <w:spacing w:after="0" w:line="41"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color w:val="auto"/>
        </w:rPr>
        <w:t>The table below displays the aggregate mortgage credit risk transferred to third parties and retained by Fannie Mae pursuant to our single-family credit risk transfer transactions. The table does not include the credit risk transferred on single-family transactions that were cancelled or terminated through September 30, 2024. The following table also excludes coverage obtained through primary mortgage insurance.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05314D"/>
        </w:rPr>
        <w:t>Outstanding as of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38735</wp:posOffset>
            </wp:positionV>
            <wp:extent cx="708914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billions)</w:t>
      </w:r>
    </w:p>
    <w:p>
      <w:pPr>
        <w:spacing w:after="0" w:line="35" w:lineRule="exact"/>
        <w:rPr>
          <w:sz w:val="20"/>
          <w:szCs w:val="20"/>
          <w:color w:val="auto"/>
        </w:rPr>
      </w:pPr>
    </w:p>
    <w:tbl>
      <w:tblPr>
        <w:tblLayout w:type="fixed"/>
        <w:tblInd w:w="1930" w:type="dxa"/>
        <w:tblCellMar>
          <w:top w:w="0" w:type="dxa"/>
          <w:left w:w="0" w:type="dxa"/>
          <w:bottom w:w="0" w:type="dxa"/>
          <w:right w:w="0" w:type="dxa"/>
        </w:tblCellMar>
      </w:tblPr>
      <w:tr>
        <w:trPr>
          <w:trHeight w:val="290"/>
        </w:trPr>
        <w:tc>
          <w:tcPr>
            <w:tcW w:w="15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rPr>
              <w:t>Senior</w:t>
            </w:r>
          </w:p>
        </w:tc>
        <w:tc>
          <w:tcPr>
            <w:tcW w:w="100" w:type="dxa"/>
            <w:vAlign w:val="bottom"/>
            <w:tcBorders>
              <w:right w:val="single" w:sz="8" w:color="auto"/>
            </w:tcBorders>
          </w:tcPr>
          <w:p>
            <w:pPr>
              <w:spacing w:after="0"/>
              <w:rPr>
                <w:sz w:val="24"/>
                <w:szCs w:val="24"/>
                <w:color w:val="auto"/>
              </w:rPr>
            </w:pPr>
          </w:p>
        </w:tc>
        <w:tc>
          <w:tcPr>
            <w:tcW w:w="1440" w:type="dxa"/>
            <w:vAlign w:val="bottom"/>
            <w:tcBorders>
              <w:top w:val="single" w:sz="8" w:color="auto"/>
              <w:right w:val="single" w:sz="8" w:color="D9D7DC"/>
            </w:tcBorders>
            <w:shd w:val="clear" w:color="auto" w:fill="D9D7DC"/>
          </w:tcPr>
          <w:p>
            <w:pPr>
              <w:spacing w:after="0"/>
              <w:rPr>
                <w:sz w:val="24"/>
                <w:szCs w:val="24"/>
                <w:color w:val="auto"/>
              </w:rPr>
            </w:pPr>
          </w:p>
        </w:tc>
        <w:tc>
          <w:tcPr>
            <w:tcW w:w="100" w:type="dxa"/>
            <w:vAlign w:val="bottom"/>
            <w:tcBorders>
              <w:top w:val="single" w:sz="8" w:color="auto"/>
              <w:right w:val="single" w:sz="8" w:color="D9D7DC"/>
            </w:tcBorders>
            <w:shd w:val="clear" w:color="auto" w:fill="D9D7DC"/>
          </w:tcPr>
          <w:p>
            <w:pPr>
              <w:spacing w:after="0"/>
              <w:rPr>
                <w:sz w:val="24"/>
                <w:szCs w:val="24"/>
                <w:color w:val="auto"/>
              </w:rPr>
            </w:pPr>
          </w:p>
        </w:tc>
        <w:tc>
          <w:tcPr>
            <w:tcW w:w="440" w:type="dxa"/>
            <w:vAlign w:val="bottom"/>
            <w:tcBorders>
              <w:top w:val="single" w:sz="8" w:color="auto"/>
            </w:tcBorders>
            <w:shd w:val="clear" w:color="auto" w:fill="D9D7DC"/>
          </w:tcPr>
          <w:p>
            <w:pPr>
              <w:spacing w:after="0"/>
              <w:rPr>
                <w:sz w:val="24"/>
                <w:szCs w:val="24"/>
                <w:color w:val="auto"/>
              </w:rPr>
            </w:pPr>
          </w:p>
        </w:tc>
        <w:tc>
          <w:tcPr>
            <w:tcW w:w="540" w:type="dxa"/>
            <w:vAlign w:val="bottom"/>
            <w:tcBorders>
              <w:top w:val="single" w:sz="8" w:color="auto"/>
            </w:tcBorders>
            <w:shd w:val="clear" w:color="auto" w:fill="D9D7DC"/>
          </w:tcPr>
          <w:p>
            <w:pPr>
              <w:spacing w:after="0"/>
              <w:rPr>
                <w:sz w:val="24"/>
                <w:szCs w:val="24"/>
                <w:color w:val="auto"/>
              </w:rPr>
            </w:pPr>
          </w:p>
        </w:tc>
        <w:tc>
          <w:tcPr>
            <w:tcW w:w="2000" w:type="dxa"/>
            <w:vAlign w:val="bottom"/>
            <w:tcBorders>
              <w:top w:val="single" w:sz="8" w:color="auto"/>
              <w:right w:val="single" w:sz="8" w:color="D9D7DC"/>
            </w:tcBorders>
            <w:gridSpan w:val="3"/>
            <w:shd w:val="clear" w:color="auto" w:fill="D9D7DC"/>
          </w:tcPr>
          <w:p>
            <w:pPr>
              <w:jc w:val="center"/>
              <w:ind w:right="918"/>
              <w:spacing w:after="0"/>
              <w:rPr>
                <w:sz w:val="20"/>
                <w:szCs w:val="20"/>
                <w:color w:val="auto"/>
              </w:rPr>
            </w:pPr>
            <w:r>
              <w:rPr>
                <w:rFonts w:ascii="Arial" w:cs="Arial" w:eastAsia="Arial" w:hAnsi="Arial"/>
                <w:sz w:val="15"/>
                <w:szCs w:val="15"/>
                <w:color w:val="auto"/>
                <w:w w:val="98"/>
              </w:rPr>
              <w:t>Fannie Mae</w:t>
            </w:r>
            <w:r>
              <w:rPr>
                <w:rFonts w:ascii="Arial" w:cs="Arial" w:eastAsia="Arial" w:hAnsi="Arial"/>
                <w:sz w:val="20"/>
                <w:szCs w:val="20"/>
                <w:color w:val="auto"/>
                <w:w w:val="98"/>
                <w:vertAlign w:val="superscript"/>
              </w:rPr>
              <w:t>(1)</w:t>
            </w:r>
          </w:p>
        </w:tc>
        <w:tc>
          <w:tcPr>
            <w:tcW w:w="100" w:type="dxa"/>
            <w:vAlign w:val="bottom"/>
            <w:tcBorders>
              <w:top w:val="single" w:sz="8" w:color="auto"/>
              <w:right w:val="single" w:sz="8" w:color="D9D7DC"/>
            </w:tcBorders>
            <w:shd w:val="clear" w:color="auto" w:fill="D9D7DC"/>
          </w:tcPr>
          <w:p>
            <w:pPr>
              <w:spacing w:after="0"/>
              <w:rPr>
                <w:sz w:val="24"/>
                <w:szCs w:val="24"/>
                <w:color w:val="auto"/>
              </w:rPr>
            </w:pPr>
          </w:p>
        </w:tc>
        <w:tc>
          <w:tcPr>
            <w:tcW w:w="1460" w:type="dxa"/>
            <w:vAlign w:val="bottom"/>
            <w:tcBorders>
              <w:top w:val="single" w:sz="8" w:color="auto"/>
              <w:right w:val="single" w:sz="8" w:color="auto"/>
            </w:tcBorders>
            <w:shd w:val="clear" w:color="auto" w:fill="D9D7DC"/>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460" w:type="dxa"/>
            <w:vAlign w:val="bottom"/>
            <w:tcBorders>
              <w:top w:val="single" w:sz="8" w:color="auto"/>
              <w:right w:val="single" w:sz="8" w:color="auto"/>
            </w:tcBorders>
            <w:shd w:val="clear" w:color="auto" w:fill="000F2B"/>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560" w:type="dxa"/>
            <w:vAlign w:val="bottom"/>
            <w:tcBorders>
              <w:left w:val="single" w:sz="8" w:color="auto"/>
              <w:right w:val="single" w:sz="8" w:color="auto"/>
            </w:tcBorders>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440" w:type="dxa"/>
            <w:vAlign w:val="bottom"/>
            <w:tcBorders>
              <w:right w:val="single" w:sz="8" w:color="D9D7DC"/>
            </w:tcBorders>
            <w:shd w:val="clear" w:color="auto" w:fill="D9D7DC"/>
          </w:tcPr>
          <w:p>
            <w:pPr>
              <w:spacing w:after="0"/>
              <w:rPr>
                <w:sz w:val="9"/>
                <w:szCs w:val="9"/>
                <w:color w:val="auto"/>
              </w:rPr>
            </w:pPr>
          </w:p>
        </w:tc>
        <w:tc>
          <w:tcPr>
            <w:tcW w:w="100" w:type="dxa"/>
            <w:vAlign w:val="bottom"/>
            <w:tcBorders>
              <w:right w:val="single" w:sz="8" w:color="D9D7DC"/>
            </w:tcBorders>
            <w:shd w:val="clear" w:color="auto" w:fill="D9D7DC"/>
          </w:tcPr>
          <w:p>
            <w:pPr>
              <w:spacing w:after="0"/>
              <w:rPr>
                <w:sz w:val="9"/>
                <w:szCs w:val="9"/>
                <w:color w:val="auto"/>
              </w:rPr>
            </w:pPr>
          </w:p>
        </w:tc>
        <w:tc>
          <w:tcPr>
            <w:tcW w:w="440" w:type="dxa"/>
            <w:vAlign w:val="bottom"/>
            <w:shd w:val="clear" w:color="auto" w:fill="D9D7DC"/>
          </w:tcPr>
          <w:p>
            <w:pPr>
              <w:spacing w:after="0"/>
              <w:rPr>
                <w:sz w:val="9"/>
                <w:szCs w:val="9"/>
                <w:color w:val="auto"/>
              </w:rPr>
            </w:pPr>
          </w:p>
        </w:tc>
        <w:tc>
          <w:tcPr>
            <w:tcW w:w="540" w:type="dxa"/>
            <w:vAlign w:val="bottom"/>
            <w:shd w:val="clear" w:color="auto" w:fill="D9D7DC"/>
          </w:tcPr>
          <w:p>
            <w:pPr>
              <w:spacing w:after="0"/>
              <w:rPr>
                <w:sz w:val="9"/>
                <w:szCs w:val="9"/>
                <w:color w:val="auto"/>
              </w:rPr>
            </w:pPr>
          </w:p>
        </w:tc>
        <w:tc>
          <w:tcPr>
            <w:tcW w:w="2000" w:type="dxa"/>
            <w:vAlign w:val="bottom"/>
            <w:tcBorders>
              <w:right w:val="single" w:sz="8" w:color="D9D7DC"/>
            </w:tcBorders>
            <w:gridSpan w:val="3"/>
            <w:vMerge w:val="restart"/>
            <w:shd w:val="clear" w:color="auto" w:fill="D9D7DC"/>
          </w:tcPr>
          <w:p>
            <w:pPr>
              <w:jc w:val="right"/>
              <w:ind w:right="1198"/>
              <w:spacing w:after="0"/>
              <w:rPr>
                <w:sz w:val="20"/>
                <w:szCs w:val="20"/>
                <w:color w:val="auto"/>
              </w:rPr>
            </w:pPr>
            <w:r>
              <w:rPr>
                <w:rFonts w:ascii="Arial" w:cs="Arial" w:eastAsia="Arial" w:hAnsi="Arial"/>
                <w:sz w:val="15"/>
                <w:szCs w:val="15"/>
                <w:color w:val="auto"/>
              </w:rPr>
              <w:t>$1,294</w:t>
            </w:r>
          </w:p>
        </w:tc>
        <w:tc>
          <w:tcPr>
            <w:tcW w:w="100" w:type="dxa"/>
            <w:vAlign w:val="bottom"/>
            <w:tcBorders>
              <w:right w:val="single" w:sz="8" w:color="D9D7DC"/>
            </w:tcBorders>
            <w:shd w:val="clear" w:color="auto" w:fill="D9D7DC"/>
          </w:tcPr>
          <w:p>
            <w:pPr>
              <w:spacing w:after="0"/>
              <w:rPr>
                <w:sz w:val="9"/>
                <w:szCs w:val="9"/>
                <w:color w:val="auto"/>
              </w:rPr>
            </w:pPr>
          </w:p>
        </w:tc>
        <w:tc>
          <w:tcPr>
            <w:tcW w:w="1460" w:type="dxa"/>
            <w:vAlign w:val="bottom"/>
            <w:tcBorders>
              <w:right w:val="single" w:sz="8" w:color="auto"/>
            </w:tcBorders>
            <w:shd w:val="clear" w:color="auto" w:fill="D9D7DC"/>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460" w:type="dxa"/>
            <w:vAlign w:val="bottom"/>
            <w:tcBorders>
              <w:right w:val="single" w:sz="8" w:color="auto"/>
            </w:tcBorders>
            <w:shd w:val="clear" w:color="auto" w:fill="000F2B"/>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1560" w:type="dxa"/>
            <w:vAlign w:val="bottom"/>
            <w:tcBorders>
              <w:left w:val="single" w:sz="8" w:color="auto"/>
              <w:right w:val="single" w:sz="8" w:color="auto"/>
            </w:tcBorders>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1440" w:type="dxa"/>
            <w:vAlign w:val="bottom"/>
            <w:tcBorders>
              <w:right w:val="single" w:sz="8" w:color="D9D7DC"/>
            </w:tcBorders>
            <w:shd w:val="clear" w:color="auto" w:fill="D9D7DC"/>
          </w:tcPr>
          <w:p>
            <w:pPr>
              <w:spacing w:after="0"/>
              <w:rPr>
                <w:sz w:val="7"/>
                <w:szCs w:val="7"/>
                <w:color w:val="auto"/>
              </w:rPr>
            </w:pPr>
          </w:p>
        </w:tc>
        <w:tc>
          <w:tcPr>
            <w:tcW w:w="100" w:type="dxa"/>
            <w:vAlign w:val="bottom"/>
            <w:tcBorders>
              <w:right w:val="single" w:sz="8" w:color="D9D7DC"/>
            </w:tcBorders>
            <w:shd w:val="clear" w:color="auto" w:fill="D9D7DC"/>
          </w:tcPr>
          <w:p>
            <w:pPr>
              <w:spacing w:after="0"/>
              <w:rPr>
                <w:sz w:val="7"/>
                <w:szCs w:val="7"/>
                <w:color w:val="auto"/>
              </w:rPr>
            </w:pPr>
          </w:p>
        </w:tc>
        <w:tc>
          <w:tcPr>
            <w:tcW w:w="440" w:type="dxa"/>
            <w:vAlign w:val="bottom"/>
            <w:shd w:val="clear" w:color="auto" w:fill="D9D7DC"/>
          </w:tcPr>
          <w:p>
            <w:pPr>
              <w:spacing w:after="0"/>
              <w:rPr>
                <w:sz w:val="7"/>
                <w:szCs w:val="7"/>
                <w:color w:val="auto"/>
              </w:rPr>
            </w:pPr>
          </w:p>
        </w:tc>
        <w:tc>
          <w:tcPr>
            <w:tcW w:w="540" w:type="dxa"/>
            <w:vAlign w:val="bottom"/>
            <w:shd w:val="clear" w:color="auto" w:fill="D9D7DC"/>
          </w:tcPr>
          <w:p>
            <w:pPr>
              <w:spacing w:after="0"/>
              <w:rPr>
                <w:sz w:val="7"/>
                <w:szCs w:val="7"/>
                <w:color w:val="auto"/>
              </w:rPr>
            </w:pPr>
          </w:p>
        </w:tc>
        <w:tc>
          <w:tcPr>
            <w:tcW w:w="2000" w:type="dxa"/>
            <w:vAlign w:val="bottom"/>
            <w:tcBorders>
              <w:right w:val="single" w:sz="8" w:color="D9D7DC"/>
            </w:tcBorders>
            <w:gridSpan w:val="3"/>
            <w:vMerge w:val="continue"/>
            <w:shd w:val="clear" w:color="auto" w:fill="D9D7DC"/>
          </w:tcPr>
          <w:p>
            <w:pPr>
              <w:spacing w:after="0"/>
              <w:rPr>
                <w:sz w:val="7"/>
                <w:szCs w:val="7"/>
                <w:color w:val="auto"/>
              </w:rPr>
            </w:pPr>
          </w:p>
        </w:tc>
        <w:tc>
          <w:tcPr>
            <w:tcW w:w="100" w:type="dxa"/>
            <w:vAlign w:val="bottom"/>
            <w:tcBorders>
              <w:right w:val="single" w:sz="8" w:color="D9D7DC"/>
            </w:tcBorders>
            <w:shd w:val="clear" w:color="auto" w:fill="D9D7DC"/>
          </w:tcPr>
          <w:p>
            <w:pPr>
              <w:spacing w:after="0"/>
              <w:rPr>
                <w:sz w:val="7"/>
                <w:szCs w:val="7"/>
                <w:color w:val="auto"/>
              </w:rPr>
            </w:pPr>
          </w:p>
        </w:tc>
        <w:tc>
          <w:tcPr>
            <w:tcW w:w="1460" w:type="dxa"/>
            <w:vAlign w:val="bottom"/>
            <w:tcBorders>
              <w:right w:val="single" w:sz="8" w:color="auto"/>
            </w:tcBorders>
            <w:shd w:val="clear" w:color="auto" w:fill="D9D7DC"/>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1460" w:type="dxa"/>
            <w:vAlign w:val="bottom"/>
            <w:tcBorders>
              <w:right w:val="single" w:sz="8" w:color="auto"/>
            </w:tcBorders>
            <w:shd w:val="clear" w:color="auto" w:fill="000F2B"/>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1560" w:type="dxa"/>
            <w:vAlign w:val="bottom"/>
            <w:tcBorders>
              <w:left w:val="single" w:sz="8" w:color="auto"/>
              <w:bottom w:val="single" w:sz="8" w:color="auto"/>
              <w:right w:val="single" w:sz="8" w:color="auto"/>
            </w:tcBorders>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440" w:type="dxa"/>
            <w:vAlign w:val="bottom"/>
            <w:tcBorders>
              <w:bottom w:val="single" w:sz="8" w:color="auto"/>
              <w:right w:val="single" w:sz="8" w:color="D9D7DC"/>
            </w:tcBorders>
            <w:shd w:val="clear" w:color="auto" w:fill="D9D7DC"/>
          </w:tcPr>
          <w:p>
            <w:pPr>
              <w:spacing w:after="0"/>
              <w:rPr>
                <w:sz w:val="9"/>
                <w:szCs w:val="9"/>
                <w:color w:val="auto"/>
              </w:rPr>
            </w:pPr>
          </w:p>
        </w:tc>
        <w:tc>
          <w:tcPr>
            <w:tcW w:w="100" w:type="dxa"/>
            <w:vAlign w:val="bottom"/>
            <w:tcBorders>
              <w:bottom w:val="single" w:sz="8" w:color="auto"/>
              <w:right w:val="single" w:sz="8" w:color="D9D7DC"/>
            </w:tcBorders>
            <w:shd w:val="clear" w:color="auto" w:fill="D9D7DC"/>
          </w:tcPr>
          <w:p>
            <w:pPr>
              <w:spacing w:after="0"/>
              <w:rPr>
                <w:sz w:val="9"/>
                <w:szCs w:val="9"/>
                <w:color w:val="auto"/>
              </w:rPr>
            </w:pPr>
          </w:p>
        </w:tc>
        <w:tc>
          <w:tcPr>
            <w:tcW w:w="440" w:type="dxa"/>
            <w:vAlign w:val="bottom"/>
            <w:tcBorders>
              <w:bottom w:val="single" w:sz="8" w:color="auto"/>
            </w:tcBorders>
            <w:shd w:val="clear" w:color="auto" w:fill="D9D7DC"/>
          </w:tcPr>
          <w:p>
            <w:pPr>
              <w:spacing w:after="0"/>
              <w:rPr>
                <w:sz w:val="9"/>
                <w:szCs w:val="9"/>
                <w:color w:val="auto"/>
              </w:rPr>
            </w:pPr>
          </w:p>
        </w:tc>
        <w:tc>
          <w:tcPr>
            <w:tcW w:w="540" w:type="dxa"/>
            <w:vAlign w:val="bottom"/>
            <w:tcBorders>
              <w:bottom w:val="single" w:sz="8" w:color="auto"/>
            </w:tcBorders>
            <w:shd w:val="clear" w:color="auto" w:fill="D9D7DC"/>
          </w:tcPr>
          <w:p>
            <w:pPr>
              <w:spacing w:after="0"/>
              <w:rPr>
                <w:sz w:val="9"/>
                <w:szCs w:val="9"/>
                <w:color w:val="auto"/>
              </w:rPr>
            </w:pPr>
          </w:p>
        </w:tc>
        <w:tc>
          <w:tcPr>
            <w:tcW w:w="440" w:type="dxa"/>
            <w:vAlign w:val="bottom"/>
            <w:tcBorders>
              <w:bottom w:val="single" w:sz="8" w:color="auto"/>
              <w:right w:val="single" w:sz="8" w:color="D9D7DC"/>
            </w:tcBorders>
            <w:shd w:val="clear" w:color="auto" w:fill="D9D7DC"/>
          </w:tcPr>
          <w:p>
            <w:pPr>
              <w:spacing w:after="0"/>
              <w:rPr>
                <w:sz w:val="9"/>
                <w:szCs w:val="9"/>
                <w:color w:val="auto"/>
              </w:rPr>
            </w:pPr>
          </w:p>
        </w:tc>
        <w:tc>
          <w:tcPr>
            <w:tcW w:w="100" w:type="dxa"/>
            <w:vAlign w:val="bottom"/>
            <w:tcBorders>
              <w:bottom w:val="single" w:sz="8" w:color="auto"/>
              <w:right w:val="single" w:sz="8" w:color="D9D7DC"/>
            </w:tcBorders>
            <w:shd w:val="clear" w:color="auto" w:fill="D9D7DC"/>
          </w:tcPr>
          <w:p>
            <w:pPr>
              <w:spacing w:after="0"/>
              <w:rPr>
                <w:sz w:val="9"/>
                <w:szCs w:val="9"/>
                <w:color w:val="auto"/>
              </w:rPr>
            </w:pPr>
          </w:p>
        </w:tc>
        <w:tc>
          <w:tcPr>
            <w:tcW w:w="1460" w:type="dxa"/>
            <w:vAlign w:val="bottom"/>
            <w:tcBorders>
              <w:bottom w:val="single" w:sz="8" w:color="auto"/>
              <w:right w:val="single" w:sz="8" w:color="D9D7DC"/>
            </w:tcBorders>
            <w:shd w:val="clear" w:color="auto" w:fill="D9D7DC"/>
          </w:tcPr>
          <w:p>
            <w:pPr>
              <w:spacing w:after="0"/>
              <w:rPr>
                <w:sz w:val="9"/>
                <w:szCs w:val="9"/>
                <w:color w:val="auto"/>
              </w:rPr>
            </w:pPr>
          </w:p>
        </w:tc>
        <w:tc>
          <w:tcPr>
            <w:tcW w:w="100" w:type="dxa"/>
            <w:vAlign w:val="bottom"/>
            <w:tcBorders>
              <w:bottom w:val="single" w:sz="8" w:color="auto"/>
              <w:right w:val="single" w:sz="8" w:color="D9D7DC"/>
            </w:tcBorders>
            <w:shd w:val="clear" w:color="auto" w:fill="D9D7DC"/>
          </w:tcPr>
          <w:p>
            <w:pPr>
              <w:spacing w:after="0"/>
              <w:rPr>
                <w:sz w:val="9"/>
                <w:szCs w:val="9"/>
                <w:color w:val="auto"/>
              </w:rPr>
            </w:pPr>
          </w:p>
        </w:tc>
        <w:tc>
          <w:tcPr>
            <w:tcW w:w="1460" w:type="dxa"/>
            <w:vAlign w:val="bottom"/>
            <w:tcBorders>
              <w:bottom w:val="single" w:sz="8" w:color="auto"/>
              <w:right w:val="single" w:sz="8" w:color="auto"/>
            </w:tcBorders>
            <w:shd w:val="clear" w:color="auto" w:fill="D9D7DC"/>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460" w:type="dxa"/>
            <w:vAlign w:val="bottom"/>
            <w:tcBorders>
              <w:bottom w:val="single" w:sz="8" w:color="000F2B"/>
              <w:right w:val="single" w:sz="8" w:color="auto"/>
            </w:tcBorders>
            <w:vMerge w:val="restart"/>
            <w:shd w:val="clear" w:color="auto" w:fill="000F2B"/>
          </w:tcPr>
          <w:p>
            <w:pPr>
              <w:jc w:val="center"/>
              <w:spacing w:after="0"/>
              <w:rPr>
                <w:sz w:val="20"/>
                <w:szCs w:val="20"/>
                <w:color w:val="auto"/>
              </w:rPr>
            </w:pPr>
            <w:r>
              <w:rPr>
                <w:rFonts w:ascii="Arial" w:cs="Arial" w:eastAsia="Arial" w:hAnsi="Arial"/>
                <w:sz w:val="15"/>
                <w:szCs w:val="15"/>
                <w:color w:val="FFFFFF"/>
              </w:rPr>
              <w:t>Outstanding</w:t>
            </w:r>
          </w:p>
        </w:tc>
        <w:tc>
          <w:tcPr>
            <w:tcW w:w="0" w:type="dxa"/>
            <w:vAlign w:val="bottom"/>
          </w:tcPr>
          <w:p>
            <w:pPr>
              <w:spacing w:after="0"/>
              <w:rPr>
                <w:sz w:val="1"/>
                <w:szCs w:val="1"/>
                <w:color w:val="auto"/>
              </w:rPr>
            </w:pPr>
          </w:p>
        </w:tc>
      </w:tr>
      <w:tr>
        <w:trPr>
          <w:trHeight w:val="122"/>
        </w:trPr>
        <w:tc>
          <w:tcPr>
            <w:tcW w:w="1560" w:type="dxa"/>
            <w:vAlign w:val="bottom"/>
            <w:tcBorders>
              <w:left w:val="single" w:sz="8" w:color="auto"/>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460" w:type="dxa"/>
            <w:vAlign w:val="bottom"/>
            <w:tcBorders>
              <w:bottom w:val="single" w:sz="8" w:color="000F2B"/>
              <w:right w:val="single" w:sz="8" w:color="auto"/>
            </w:tcBorders>
            <w:vMerge w:val="continue"/>
            <w:shd w:val="clear" w:color="auto" w:fill="000F2B"/>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560" w:type="dxa"/>
            <w:vAlign w:val="bottom"/>
            <w:tcBorders>
              <w:left w:val="single" w:sz="8" w:color="auto"/>
              <w:right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shd w:val="clear" w:color="auto" w:fill="D9D7DC"/>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440" w:type="dxa"/>
            <w:vAlign w:val="bottom"/>
            <w:shd w:val="clear" w:color="auto" w:fill="216C2B"/>
          </w:tcPr>
          <w:p>
            <w:pPr>
              <w:spacing w:after="0"/>
              <w:rPr>
                <w:sz w:val="13"/>
                <w:szCs w:val="13"/>
                <w:color w:val="auto"/>
              </w:rPr>
            </w:pPr>
          </w:p>
        </w:tc>
        <w:tc>
          <w:tcPr>
            <w:tcW w:w="540" w:type="dxa"/>
            <w:vAlign w:val="bottom"/>
            <w:shd w:val="clear" w:color="auto" w:fill="216C2B"/>
          </w:tcPr>
          <w:p>
            <w:pPr>
              <w:spacing w:after="0"/>
              <w:rPr>
                <w:sz w:val="13"/>
                <w:szCs w:val="13"/>
                <w:color w:val="auto"/>
              </w:rPr>
            </w:pPr>
          </w:p>
        </w:tc>
        <w:tc>
          <w:tcPr>
            <w:tcW w:w="440" w:type="dxa"/>
            <w:vAlign w:val="bottom"/>
            <w:tcBorders>
              <w:right w:val="single" w:sz="8" w:color="auto"/>
            </w:tcBorders>
            <w:shd w:val="clear" w:color="auto" w:fill="216C2B"/>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shd w:val="clear" w:color="auto" w:fill="911A5B"/>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shd w:val="clear" w:color="auto" w:fill="5587A6"/>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vMerge w:val="continue"/>
            <w:shd w:val="clear" w:color="auto" w:fill="000F2B"/>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156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shd w:val="clear" w:color="auto" w:fill="D9D7DC"/>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40" w:type="dxa"/>
            <w:vAlign w:val="bottom"/>
            <w:shd w:val="clear" w:color="auto" w:fill="216C2B"/>
          </w:tcPr>
          <w:p>
            <w:pPr>
              <w:spacing w:after="0"/>
              <w:rPr>
                <w:sz w:val="16"/>
                <w:szCs w:val="16"/>
                <w:color w:val="auto"/>
              </w:rPr>
            </w:pPr>
          </w:p>
        </w:tc>
        <w:tc>
          <w:tcPr>
            <w:tcW w:w="540" w:type="dxa"/>
            <w:vAlign w:val="bottom"/>
            <w:shd w:val="clear" w:color="auto" w:fill="216C2B"/>
          </w:tcPr>
          <w:p>
            <w:pPr>
              <w:spacing w:after="0"/>
              <w:rPr>
                <w:sz w:val="16"/>
                <w:szCs w:val="16"/>
                <w:color w:val="auto"/>
              </w:rPr>
            </w:pPr>
          </w:p>
        </w:tc>
        <w:tc>
          <w:tcPr>
            <w:tcW w:w="440" w:type="dxa"/>
            <w:vAlign w:val="bottom"/>
            <w:tcBorders>
              <w:right w:val="single" w:sz="8" w:color="auto"/>
            </w:tcBorders>
            <w:shd w:val="clear" w:color="auto" w:fill="216C2B"/>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shd w:val="clear" w:color="auto" w:fill="911A5B"/>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shd w:val="clear" w:color="auto" w:fill="5587A6"/>
          </w:tcPr>
          <w:p>
            <w:pPr>
              <w:jc w:val="center"/>
              <w:spacing w:after="0"/>
              <w:rPr>
                <w:sz w:val="20"/>
                <w:szCs w:val="20"/>
                <w:color w:val="auto"/>
              </w:rPr>
            </w:pPr>
            <w:r>
              <w:rPr>
                <w:rFonts w:ascii="Arial" w:cs="Arial" w:eastAsia="Arial" w:hAnsi="Arial"/>
                <w:sz w:val="15"/>
                <w:szCs w:val="15"/>
                <w:color w:val="FFFFFF"/>
              </w:rPr>
              <w:t>Lender Risk-</w:t>
            </w:r>
          </w:p>
        </w:tc>
        <w:tc>
          <w:tcPr>
            <w:tcW w:w="10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shd w:val="clear" w:color="auto" w:fill="000F2B"/>
          </w:tcPr>
          <w:p>
            <w:pPr>
              <w:jc w:val="center"/>
              <w:spacing w:after="0" w:line="193" w:lineRule="exact"/>
              <w:rPr>
                <w:sz w:val="20"/>
                <w:szCs w:val="20"/>
                <w:color w:val="auto"/>
              </w:rPr>
            </w:pPr>
            <w:r>
              <w:rPr>
                <w:rFonts w:ascii="Arial" w:cs="Arial" w:eastAsia="Arial" w:hAnsi="Arial"/>
                <w:sz w:val="15"/>
                <w:szCs w:val="15"/>
                <w:color w:val="FFFFFF"/>
              </w:rPr>
              <w:t>Reference Pool</w:t>
            </w:r>
            <w:r>
              <w:rPr>
                <w:rFonts w:ascii="Arial" w:cs="Arial" w:eastAsia="Arial" w:hAnsi="Arial"/>
                <w:sz w:val="20"/>
                <w:szCs w:val="20"/>
                <w:color w:val="FFFFFF"/>
                <w:vertAlign w:val="superscript"/>
              </w:rPr>
              <w:t>(5)</w:t>
            </w:r>
          </w:p>
        </w:tc>
        <w:tc>
          <w:tcPr>
            <w:tcW w:w="0" w:type="dxa"/>
            <w:vAlign w:val="bottom"/>
          </w:tcPr>
          <w:p>
            <w:pPr>
              <w:spacing w:after="0"/>
              <w:rPr>
                <w:sz w:val="1"/>
                <w:szCs w:val="1"/>
                <w:color w:val="auto"/>
              </w:rPr>
            </w:pPr>
          </w:p>
        </w:tc>
      </w:tr>
      <w:tr>
        <w:trPr>
          <w:trHeight w:val="207"/>
        </w:trPr>
        <w:tc>
          <w:tcPr>
            <w:tcW w:w="1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Mezzanine</w:t>
            </w:r>
          </w:p>
        </w:tc>
        <w:tc>
          <w:tcPr>
            <w:tcW w:w="10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shd w:val="clear" w:color="auto" w:fill="D9D7DC"/>
          </w:tcPr>
          <w:p>
            <w:pPr>
              <w:jc w:val="center"/>
              <w:spacing w:after="0" w:line="207" w:lineRule="exact"/>
              <w:rPr>
                <w:sz w:val="20"/>
                <w:szCs w:val="20"/>
                <w:color w:val="auto"/>
              </w:rPr>
            </w:pPr>
            <w:r>
              <w:rPr>
                <w:rFonts w:ascii="Arial" w:cs="Arial" w:eastAsia="Arial" w:hAnsi="Arial"/>
                <w:sz w:val="15"/>
                <w:szCs w:val="15"/>
                <w:color w:val="auto"/>
                <w:w w:val="98"/>
              </w:rPr>
              <w:t>Fannie Mae</w:t>
            </w:r>
            <w:r>
              <w:rPr>
                <w:rFonts w:ascii="Arial" w:cs="Arial" w:eastAsia="Arial" w:hAnsi="Arial"/>
                <w:sz w:val="20"/>
                <w:szCs w:val="20"/>
                <w:color w:val="auto"/>
                <w:w w:val="98"/>
                <w:vertAlign w:val="superscript"/>
              </w:rPr>
              <w:t>(1)</w:t>
            </w:r>
          </w:p>
        </w:tc>
        <w:tc>
          <w:tcPr>
            <w:tcW w:w="100" w:type="dxa"/>
            <w:vAlign w:val="bottom"/>
            <w:tcBorders>
              <w:right w:val="single" w:sz="8" w:color="auto"/>
            </w:tcBorders>
          </w:tcPr>
          <w:p>
            <w:pPr>
              <w:spacing w:after="0"/>
              <w:rPr>
                <w:sz w:val="17"/>
                <w:szCs w:val="17"/>
                <w:color w:val="auto"/>
              </w:rPr>
            </w:pPr>
          </w:p>
        </w:tc>
        <w:tc>
          <w:tcPr>
            <w:tcW w:w="440" w:type="dxa"/>
            <w:vAlign w:val="bottom"/>
            <w:shd w:val="clear" w:color="auto" w:fill="216C2B"/>
          </w:tcPr>
          <w:p>
            <w:pPr>
              <w:spacing w:after="0"/>
              <w:rPr>
                <w:sz w:val="17"/>
                <w:szCs w:val="17"/>
                <w:color w:val="auto"/>
              </w:rPr>
            </w:pPr>
          </w:p>
        </w:tc>
        <w:tc>
          <w:tcPr>
            <w:tcW w:w="540" w:type="dxa"/>
            <w:vAlign w:val="bottom"/>
            <w:shd w:val="clear" w:color="auto" w:fill="216C2B"/>
          </w:tcPr>
          <w:p>
            <w:pPr>
              <w:jc w:val="center"/>
              <w:spacing w:after="0" w:line="207" w:lineRule="exact"/>
              <w:rPr>
                <w:sz w:val="20"/>
                <w:szCs w:val="20"/>
                <w:color w:val="auto"/>
              </w:rPr>
            </w:pPr>
            <w:r>
              <w:rPr>
                <w:rFonts w:ascii="Arial" w:cs="Arial" w:eastAsia="Arial" w:hAnsi="Arial"/>
                <w:sz w:val="15"/>
                <w:szCs w:val="15"/>
                <w:color w:val="FFFFFF"/>
                <w:w w:val="93"/>
              </w:rPr>
              <w:t>CIRT</w:t>
            </w:r>
            <w:r>
              <w:rPr>
                <w:rFonts w:ascii="Arial" w:cs="Arial" w:eastAsia="Arial" w:hAnsi="Arial"/>
                <w:sz w:val="20"/>
                <w:szCs w:val="20"/>
                <w:color w:val="FFFFFF"/>
                <w:w w:val="93"/>
                <w:vertAlign w:val="superscript"/>
              </w:rPr>
              <w:t>(2)</w:t>
            </w:r>
          </w:p>
        </w:tc>
        <w:tc>
          <w:tcPr>
            <w:tcW w:w="440" w:type="dxa"/>
            <w:vAlign w:val="bottom"/>
            <w:tcBorders>
              <w:right w:val="single" w:sz="8" w:color="auto"/>
            </w:tcBorders>
            <w:shd w:val="clear" w:color="auto" w:fill="216C2B"/>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shd w:val="clear" w:color="auto" w:fill="911A5B"/>
          </w:tcPr>
          <w:p>
            <w:pPr>
              <w:jc w:val="center"/>
              <w:spacing w:after="0" w:line="207" w:lineRule="exact"/>
              <w:rPr>
                <w:sz w:val="20"/>
                <w:szCs w:val="20"/>
                <w:color w:val="auto"/>
              </w:rPr>
            </w:pPr>
            <w:r>
              <w:rPr>
                <w:rFonts w:ascii="Arial" w:cs="Arial" w:eastAsia="Arial" w:hAnsi="Arial"/>
                <w:sz w:val="23"/>
                <w:szCs w:val="23"/>
                <w:color w:val="FFFFFF"/>
                <w:vertAlign w:val="subscript"/>
              </w:rPr>
              <w:t>CAS</w:t>
            </w:r>
            <w:r>
              <w:rPr>
                <w:rFonts w:ascii="Arial" w:cs="Arial" w:eastAsia="Arial" w:hAnsi="Arial"/>
                <w:sz w:val="9"/>
                <w:szCs w:val="9"/>
                <w:color w:val="FFFFFF"/>
              </w:rPr>
              <w:t>(2)(3)</w:t>
            </w:r>
          </w:p>
        </w:tc>
        <w:tc>
          <w:tcPr>
            <w:tcW w:w="1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shd w:val="clear" w:color="auto" w:fill="5587A6"/>
          </w:tcPr>
          <w:p>
            <w:pPr>
              <w:jc w:val="center"/>
              <w:spacing w:after="0" w:line="207" w:lineRule="exact"/>
              <w:rPr>
                <w:sz w:val="20"/>
                <w:szCs w:val="20"/>
                <w:color w:val="auto"/>
              </w:rPr>
            </w:pPr>
            <w:r>
              <w:rPr>
                <w:rFonts w:ascii="Arial" w:cs="Arial" w:eastAsia="Arial" w:hAnsi="Arial"/>
                <w:sz w:val="15"/>
                <w:szCs w:val="15"/>
                <w:color w:val="FFFFFF"/>
                <w:w w:val="92"/>
              </w:rPr>
              <w:t>Sharing</w:t>
            </w:r>
            <w:r>
              <w:rPr>
                <w:rFonts w:ascii="Arial" w:cs="Arial" w:eastAsia="Arial" w:hAnsi="Arial"/>
                <w:sz w:val="20"/>
                <w:szCs w:val="20"/>
                <w:color w:val="FFFFFF"/>
                <w:w w:val="92"/>
                <w:vertAlign w:val="superscript"/>
              </w:rPr>
              <w:t>(2)(4)</w:t>
            </w:r>
          </w:p>
        </w:tc>
        <w:tc>
          <w:tcPr>
            <w:tcW w:w="1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shd w:val="clear" w:color="auto" w:fill="000F2B"/>
          </w:tcPr>
          <w:p>
            <w:pPr>
              <w:jc w:val="center"/>
              <w:spacing w:after="0"/>
              <w:rPr>
                <w:sz w:val="20"/>
                <w:szCs w:val="20"/>
                <w:color w:val="auto"/>
              </w:rPr>
            </w:pPr>
            <w:r>
              <w:rPr>
                <w:rFonts w:ascii="Arial" w:cs="Arial" w:eastAsia="Arial" w:hAnsi="Arial"/>
                <w:sz w:val="15"/>
                <w:szCs w:val="15"/>
                <w:color w:val="FFFFFF"/>
              </w:rPr>
              <w:t>$1,361</w:t>
            </w:r>
          </w:p>
        </w:tc>
        <w:tc>
          <w:tcPr>
            <w:tcW w:w="0" w:type="dxa"/>
            <w:vAlign w:val="bottom"/>
          </w:tcPr>
          <w:p>
            <w:pPr>
              <w:spacing w:after="0"/>
              <w:rPr>
                <w:sz w:val="1"/>
                <w:szCs w:val="1"/>
                <w:color w:val="auto"/>
              </w:rPr>
            </w:pPr>
          </w:p>
        </w:tc>
      </w:tr>
      <w:tr>
        <w:trPr>
          <w:trHeight w:val="204"/>
        </w:trPr>
        <w:tc>
          <w:tcPr>
            <w:tcW w:w="1560" w:type="dxa"/>
            <w:vAlign w:val="bottom"/>
            <w:tcBorders>
              <w:left w:val="single" w:sz="8" w:color="auto"/>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shd w:val="clear" w:color="auto" w:fill="D9D7DC"/>
          </w:tcPr>
          <w:p>
            <w:pPr>
              <w:jc w:val="right"/>
              <w:ind w:right="563"/>
              <w:spacing w:after="0"/>
              <w:rPr>
                <w:sz w:val="20"/>
                <w:szCs w:val="20"/>
                <w:color w:val="auto"/>
              </w:rPr>
            </w:pPr>
            <w:r>
              <w:rPr>
                <w:rFonts w:ascii="Arial" w:cs="Arial" w:eastAsia="Arial" w:hAnsi="Arial"/>
                <w:sz w:val="15"/>
                <w:szCs w:val="15"/>
                <w:color w:val="auto"/>
              </w:rPr>
              <w:t>$4</w:t>
            </w:r>
          </w:p>
        </w:tc>
        <w:tc>
          <w:tcPr>
            <w:tcW w:w="100" w:type="dxa"/>
            <w:vAlign w:val="bottom"/>
            <w:tcBorders>
              <w:right w:val="single" w:sz="8" w:color="auto"/>
            </w:tcBorders>
          </w:tcPr>
          <w:p>
            <w:pPr>
              <w:spacing w:after="0"/>
              <w:rPr>
                <w:sz w:val="17"/>
                <w:szCs w:val="17"/>
                <w:color w:val="auto"/>
              </w:rPr>
            </w:pPr>
          </w:p>
        </w:tc>
        <w:tc>
          <w:tcPr>
            <w:tcW w:w="440" w:type="dxa"/>
            <w:vAlign w:val="bottom"/>
            <w:shd w:val="clear" w:color="auto" w:fill="216C2B"/>
          </w:tcPr>
          <w:p>
            <w:pPr>
              <w:spacing w:after="0"/>
              <w:rPr>
                <w:sz w:val="17"/>
                <w:szCs w:val="17"/>
                <w:color w:val="auto"/>
              </w:rPr>
            </w:pPr>
          </w:p>
        </w:tc>
        <w:tc>
          <w:tcPr>
            <w:tcW w:w="540" w:type="dxa"/>
            <w:vAlign w:val="bottom"/>
            <w:shd w:val="clear" w:color="auto" w:fill="216C2B"/>
          </w:tcPr>
          <w:p>
            <w:pPr>
              <w:jc w:val="right"/>
              <w:ind w:right="63"/>
              <w:spacing w:after="0"/>
              <w:rPr>
                <w:sz w:val="20"/>
                <w:szCs w:val="20"/>
                <w:color w:val="auto"/>
              </w:rPr>
            </w:pPr>
            <w:r>
              <w:rPr>
                <w:rFonts w:ascii="Arial" w:cs="Arial" w:eastAsia="Arial" w:hAnsi="Arial"/>
                <w:sz w:val="15"/>
                <w:szCs w:val="15"/>
                <w:color w:val="FFFFFF"/>
              </w:rPr>
              <w:t>$15</w:t>
            </w:r>
          </w:p>
        </w:tc>
        <w:tc>
          <w:tcPr>
            <w:tcW w:w="440" w:type="dxa"/>
            <w:vAlign w:val="bottom"/>
            <w:tcBorders>
              <w:right w:val="single" w:sz="8" w:color="auto"/>
            </w:tcBorders>
            <w:shd w:val="clear" w:color="auto" w:fill="216C2B"/>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shd w:val="clear" w:color="auto" w:fill="911A5B"/>
          </w:tcPr>
          <w:p>
            <w:pPr>
              <w:jc w:val="center"/>
              <w:spacing w:after="0"/>
              <w:rPr>
                <w:sz w:val="20"/>
                <w:szCs w:val="20"/>
                <w:color w:val="auto"/>
              </w:rPr>
            </w:pPr>
            <w:r>
              <w:rPr>
                <w:rFonts w:ascii="Arial" w:cs="Arial" w:eastAsia="Arial" w:hAnsi="Arial"/>
                <w:sz w:val="15"/>
                <w:szCs w:val="15"/>
                <w:color w:val="FFFFFF"/>
              </w:rPr>
              <w:t>$14</w:t>
            </w:r>
          </w:p>
        </w:tc>
        <w:tc>
          <w:tcPr>
            <w:tcW w:w="1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shd w:val="clear" w:color="auto" w:fill="5587A6"/>
          </w:tcPr>
          <w:p>
            <w:pPr>
              <w:jc w:val="center"/>
              <w:spacing w:after="0"/>
              <w:rPr>
                <w:sz w:val="20"/>
                <w:szCs w:val="20"/>
                <w:color w:val="auto"/>
              </w:rPr>
            </w:pPr>
            <w:r>
              <w:rPr>
                <w:rFonts w:ascii="Arial" w:cs="Arial" w:eastAsia="Arial" w:hAnsi="Arial"/>
                <w:sz w:val="15"/>
                <w:szCs w:val="15"/>
                <w:color w:val="FFFFFF"/>
              </w:rPr>
              <w:t>$3</w:t>
            </w:r>
          </w:p>
        </w:tc>
        <w:tc>
          <w:tcPr>
            <w:tcW w:w="1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shd w:val="clear" w:color="auto" w:fill="000F2B"/>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1560" w:type="dxa"/>
            <w:vAlign w:val="bottom"/>
            <w:tcBorders>
              <w:left w:val="single" w:sz="8" w:color="auto"/>
              <w:bottom w:val="single" w:sz="8" w:color="auto"/>
              <w:right w:val="single" w:sz="8" w:color="auto"/>
            </w:tcBorders>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1440" w:type="dxa"/>
            <w:vAlign w:val="bottom"/>
            <w:tcBorders>
              <w:bottom w:val="single" w:sz="8" w:color="auto"/>
              <w:right w:val="single" w:sz="8" w:color="auto"/>
            </w:tcBorders>
            <w:shd w:val="clear" w:color="auto" w:fill="D9D7DC"/>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440" w:type="dxa"/>
            <w:vAlign w:val="bottom"/>
            <w:tcBorders>
              <w:bottom w:val="single" w:sz="8" w:color="auto"/>
            </w:tcBorders>
            <w:shd w:val="clear" w:color="auto" w:fill="216C2B"/>
          </w:tcPr>
          <w:p>
            <w:pPr>
              <w:spacing w:after="0"/>
              <w:rPr>
                <w:sz w:val="21"/>
                <w:szCs w:val="21"/>
                <w:color w:val="auto"/>
              </w:rPr>
            </w:pPr>
          </w:p>
        </w:tc>
        <w:tc>
          <w:tcPr>
            <w:tcW w:w="540" w:type="dxa"/>
            <w:vAlign w:val="bottom"/>
            <w:tcBorders>
              <w:bottom w:val="single" w:sz="8" w:color="auto"/>
            </w:tcBorders>
            <w:shd w:val="clear" w:color="auto" w:fill="216C2B"/>
          </w:tcPr>
          <w:p>
            <w:pPr>
              <w:spacing w:after="0"/>
              <w:rPr>
                <w:sz w:val="21"/>
                <w:szCs w:val="21"/>
                <w:color w:val="auto"/>
              </w:rPr>
            </w:pPr>
          </w:p>
        </w:tc>
        <w:tc>
          <w:tcPr>
            <w:tcW w:w="440" w:type="dxa"/>
            <w:vAlign w:val="bottom"/>
            <w:tcBorders>
              <w:bottom w:val="single" w:sz="8" w:color="auto"/>
              <w:right w:val="single" w:sz="8" w:color="auto"/>
            </w:tcBorders>
            <w:shd w:val="clear" w:color="auto" w:fill="216C2B"/>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1460" w:type="dxa"/>
            <w:vAlign w:val="bottom"/>
            <w:tcBorders>
              <w:bottom w:val="single" w:sz="8" w:color="auto"/>
              <w:right w:val="single" w:sz="8" w:color="auto"/>
            </w:tcBorders>
            <w:shd w:val="clear" w:color="auto" w:fill="911A5B"/>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1460" w:type="dxa"/>
            <w:vAlign w:val="bottom"/>
            <w:tcBorders>
              <w:bottom w:val="single" w:sz="8" w:color="auto"/>
              <w:right w:val="single" w:sz="8" w:color="auto"/>
            </w:tcBorders>
            <w:shd w:val="clear" w:color="auto" w:fill="5587A6"/>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1460" w:type="dxa"/>
            <w:vAlign w:val="bottom"/>
            <w:tcBorders>
              <w:bottom w:val="single" w:sz="8" w:color="000F2B"/>
              <w:right w:val="single" w:sz="8" w:color="auto"/>
            </w:tcBorders>
            <w:shd w:val="clear" w:color="auto" w:fill="000F2B"/>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560" w:type="dxa"/>
            <w:vAlign w:val="bottom"/>
            <w:tcBorders>
              <w:left w:val="single" w:sz="8" w:color="auto"/>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460" w:type="dxa"/>
            <w:vAlign w:val="bottom"/>
            <w:tcBorders>
              <w:bottom w:val="single" w:sz="8" w:color="000F2B"/>
              <w:right w:val="single" w:sz="8" w:color="auto"/>
            </w:tcBorders>
            <w:shd w:val="clear" w:color="auto" w:fill="000F2B"/>
          </w:tcPr>
          <w:p>
            <w:pPr>
              <w:spacing w:after="0"/>
              <w:rPr>
                <w:sz w:val="10"/>
                <w:szCs w:val="10"/>
                <w:color w:val="auto"/>
              </w:rPr>
            </w:pPr>
          </w:p>
        </w:tc>
        <w:tc>
          <w:tcPr>
            <w:tcW w:w="0" w:type="dxa"/>
            <w:vAlign w:val="bottom"/>
          </w:tcPr>
          <w:p>
            <w:pPr>
              <w:spacing w:after="0"/>
              <w:rPr>
                <w:sz w:val="1"/>
                <w:szCs w:val="1"/>
                <w:color w:val="auto"/>
              </w:rPr>
            </w:pPr>
          </w:p>
        </w:tc>
      </w:tr>
      <w:tr>
        <w:trPr>
          <w:trHeight w:val="375"/>
        </w:trPr>
        <w:tc>
          <w:tcPr>
            <w:tcW w:w="1560" w:type="dxa"/>
            <w:vAlign w:val="bottom"/>
            <w:tcBorders>
              <w:left w:val="single" w:sz="8" w:color="auto"/>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980" w:type="dxa"/>
            <w:vAlign w:val="bottom"/>
            <w:gridSpan w:val="3"/>
            <w:vMerge w:val="restart"/>
            <w:shd w:val="clear" w:color="auto" w:fill="D9D7DC"/>
          </w:tcPr>
          <w:p>
            <w:pPr>
              <w:jc w:val="center"/>
              <w:ind w:left="883"/>
              <w:spacing w:after="0"/>
              <w:rPr>
                <w:sz w:val="20"/>
                <w:szCs w:val="20"/>
                <w:color w:val="auto"/>
              </w:rPr>
            </w:pPr>
            <w:r>
              <w:rPr>
                <w:rFonts w:ascii="Arial" w:cs="Arial" w:eastAsia="Arial" w:hAnsi="Arial"/>
                <w:sz w:val="15"/>
                <w:szCs w:val="15"/>
                <w:color w:val="auto"/>
                <w:w w:val="98"/>
              </w:rPr>
              <w:t>Fannie Mae</w:t>
            </w:r>
            <w:r>
              <w:rPr>
                <w:rFonts w:ascii="Arial" w:cs="Arial" w:eastAsia="Arial" w:hAnsi="Arial"/>
                <w:sz w:val="20"/>
                <w:szCs w:val="20"/>
                <w:color w:val="auto"/>
                <w:w w:val="98"/>
                <w:vertAlign w:val="superscript"/>
              </w:rPr>
              <w:t>(1)</w:t>
            </w:r>
          </w:p>
        </w:tc>
        <w:tc>
          <w:tcPr>
            <w:tcW w:w="540" w:type="dxa"/>
            <w:vAlign w:val="bottom"/>
            <w:shd w:val="clear" w:color="auto" w:fill="D9D7DC"/>
          </w:tcPr>
          <w:p>
            <w:pPr>
              <w:spacing w:after="0"/>
              <w:rPr>
                <w:sz w:val="24"/>
                <w:szCs w:val="24"/>
                <w:color w:val="auto"/>
              </w:rPr>
            </w:pPr>
          </w:p>
        </w:tc>
        <w:tc>
          <w:tcPr>
            <w:tcW w:w="440" w:type="dxa"/>
            <w:vAlign w:val="bottom"/>
            <w:tcBorders>
              <w:right w:val="single" w:sz="8" w:color="auto"/>
            </w:tcBorders>
            <w:shd w:val="clear" w:color="auto" w:fill="D9D7DC"/>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vMerge w:val="restart"/>
            <w:shd w:val="clear" w:color="auto" w:fill="911A5B"/>
          </w:tcPr>
          <w:p>
            <w:pPr>
              <w:jc w:val="center"/>
              <w:spacing w:after="0"/>
              <w:rPr>
                <w:sz w:val="20"/>
                <w:szCs w:val="20"/>
                <w:color w:val="auto"/>
              </w:rPr>
            </w:pPr>
            <w:r>
              <w:rPr>
                <w:rFonts w:ascii="Arial" w:cs="Arial" w:eastAsia="Arial" w:hAnsi="Arial"/>
                <w:sz w:val="30"/>
                <w:szCs w:val="30"/>
                <w:color w:val="FFFFFF"/>
                <w:w w:val="85"/>
                <w:vertAlign w:val="subscript"/>
              </w:rPr>
              <w:t>CAS</w:t>
            </w:r>
            <w:r>
              <w:rPr>
                <w:rFonts w:ascii="Arial" w:cs="Arial" w:eastAsia="Arial" w:hAnsi="Arial"/>
                <w:sz w:val="10"/>
                <w:szCs w:val="10"/>
                <w:color w:val="FFFFFF"/>
                <w:w w:val="85"/>
              </w:rPr>
              <w:t>(2)(6)</w:t>
            </w:r>
          </w:p>
        </w:tc>
        <w:tc>
          <w:tcPr>
            <w:tcW w:w="10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shd w:val="clear" w:color="auto" w:fill="5587A6"/>
          </w:tcPr>
          <w:p>
            <w:pPr>
              <w:jc w:val="center"/>
              <w:spacing w:after="0"/>
              <w:rPr>
                <w:sz w:val="20"/>
                <w:szCs w:val="20"/>
                <w:color w:val="auto"/>
              </w:rPr>
            </w:pPr>
            <w:r>
              <w:rPr>
                <w:rFonts w:ascii="Arial" w:cs="Arial" w:eastAsia="Arial" w:hAnsi="Arial"/>
                <w:sz w:val="15"/>
                <w:szCs w:val="15"/>
                <w:color w:val="FFFFFF"/>
              </w:rPr>
              <w:t>Lender Risk-</w:t>
            </w:r>
          </w:p>
        </w:tc>
        <w:tc>
          <w:tcPr>
            <w:tcW w:w="10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shd w:val="clear" w:color="auto" w:fill="000F2B"/>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First Loss</w:t>
            </w:r>
          </w:p>
        </w:tc>
        <w:tc>
          <w:tcPr>
            <w:tcW w:w="100" w:type="dxa"/>
            <w:vAlign w:val="bottom"/>
            <w:tcBorders>
              <w:right w:val="single" w:sz="8" w:color="auto"/>
            </w:tcBorders>
          </w:tcPr>
          <w:p>
            <w:pPr>
              <w:spacing w:after="0"/>
              <w:rPr>
                <w:sz w:val="15"/>
                <w:szCs w:val="15"/>
                <w:color w:val="auto"/>
              </w:rPr>
            </w:pPr>
          </w:p>
        </w:tc>
        <w:tc>
          <w:tcPr>
            <w:tcW w:w="1980" w:type="dxa"/>
            <w:vAlign w:val="bottom"/>
            <w:gridSpan w:val="3"/>
            <w:vMerge w:val="continue"/>
            <w:shd w:val="clear" w:color="auto" w:fill="D9D7DC"/>
          </w:tcPr>
          <w:p>
            <w:pPr>
              <w:spacing w:after="0"/>
              <w:rPr>
                <w:sz w:val="15"/>
                <w:szCs w:val="15"/>
                <w:color w:val="auto"/>
              </w:rPr>
            </w:pPr>
          </w:p>
        </w:tc>
        <w:tc>
          <w:tcPr>
            <w:tcW w:w="540" w:type="dxa"/>
            <w:vAlign w:val="bottom"/>
            <w:shd w:val="clear" w:color="auto" w:fill="D9D7DC"/>
          </w:tcPr>
          <w:p>
            <w:pPr>
              <w:spacing w:after="0"/>
              <w:rPr>
                <w:sz w:val="15"/>
                <w:szCs w:val="15"/>
                <w:color w:val="auto"/>
              </w:rPr>
            </w:pPr>
          </w:p>
        </w:tc>
        <w:tc>
          <w:tcPr>
            <w:tcW w:w="440" w:type="dxa"/>
            <w:vAlign w:val="bottom"/>
            <w:tcBorders>
              <w:right w:val="single" w:sz="8" w:color="auto"/>
            </w:tcBorders>
            <w:shd w:val="clear" w:color="auto" w:fill="D9D7DC"/>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vMerge w:val="continue"/>
            <w:shd w:val="clear" w:color="auto" w:fill="911A5B"/>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shd w:val="clear" w:color="auto" w:fill="5587A6"/>
          </w:tcPr>
          <w:p>
            <w:pPr>
              <w:jc w:val="center"/>
              <w:spacing w:after="0" w:line="181" w:lineRule="exact"/>
              <w:rPr>
                <w:sz w:val="20"/>
                <w:szCs w:val="20"/>
                <w:color w:val="auto"/>
              </w:rPr>
            </w:pPr>
            <w:r>
              <w:rPr>
                <w:rFonts w:ascii="Arial" w:cs="Arial" w:eastAsia="Arial" w:hAnsi="Arial"/>
                <w:sz w:val="15"/>
                <w:szCs w:val="15"/>
                <w:color w:val="FFFFFF"/>
                <w:w w:val="92"/>
              </w:rPr>
              <w:t>Sharing</w:t>
            </w:r>
            <w:r>
              <w:rPr>
                <w:rFonts w:ascii="Arial" w:cs="Arial" w:eastAsia="Arial" w:hAnsi="Arial"/>
                <w:sz w:val="20"/>
                <w:szCs w:val="20"/>
                <w:color w:val="FFFFFF"/>
                <w:w w:val="92"/>
                <w:vertAlign w:val="superscript"/>
              </w:rPr>
              <w:t>(2)(4)</w:t>
            </w:r>
          </w:p>
        </w:tc>
        <w:tc>
          <w:tcPr>
            <w:tcW w:w="10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shd w:val="clear" w:color="auto" w:fill="000F2B"/>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560" w:type="dxa"/>
            <w:vAlign w:val="bottom"/>
            <w:tcBorders>
              <w:left w:val="single" w:sz="8" w:color="auto"/>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980" w:type="dxa"/>
            <w:vAlign w:val="bottom"/>
            <w:gridSpan w:val="3"/>
            <w:shd w:val="clear" w:color="auto" w:fill="D9D7DC"/>
          </w:tcPr>
          <w:p>
            <w:pPr>
              <w:jc w:val="right"/>
              <w:ind w:right="380"/>
              <w:spacing w:after="0"/>
              <w:rPr>
                <w:sz w:val="20"/>
                <w:szCs w:val="20"/>
                <w:color w:val="auto"/>
              </w:rPr>
            </w:pPr>
            <w:r>
              <w:rPr>
                <w:rFonts w:ascii="Arial" w:cs="Arial" w:eastAsia="Arial" w:hAnsi="Arial"/>
                <w:sz w:val="15"/>
                <w:szCs w:val="15"/>
                <w:color w:val="auto"/>
              </w:rPr>
              <w:t>$19</w:t>
            </w:r>
          </w:p>
        </w:tc>
        <w:tc>
          <w:tcPr>
            <w:tcW w:w="540" w:type="dxa"/>
            <w:vAlign w:val="bottom"/>
            <w:shd w:val="clear" w:color="auto" w:fill="D9D7DC"/>
          </w:tcPr>
          <w:p>
            <w:pPr>
              <w:spacing w:after="0"/>
              <w:rPr>
                <w:sz w:val="17"/>
                <w:szCs w:val="17"/>
                <w:color w:val="auto"/>
              </w:rPr>
            </w:pPr>
          </w:p>
        </w:tc>
        <w:tc>
          <w:tcPr>
            <w:tcW w:w="440" w:type="dxa"/>
            <w:vAlign w:val="bottom"/>
            <w:tcBorders>
              <w:right w:val="single" w:sz="8" w:color="auto"/>
            </w:tcBorders>
            <w:shd w:val="clear" w:color="auto" w:fill="D9D7DC"/>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shd w:val="clear" w:color="auto" w:fill="911A5B"/>
          </w:tcPr>
          <w:p>
            <w:pPr>
              <w:jc w:val="center"/>
              <w:spacing w:after="0"/>
              <w:rPr>
                <w:sz w:val="20"/>
                <w:szCs w:val="20"/>
                <w:color w:val="auto"/>
              </w:rPr>
            </w:pPr>
            <w:r>
              <w:rPr>
                <w:rFonts w:ascii="Arial" w:cs="Arial" w:eastAsia="Arial" w:hAnsi="Arial"/>
                <w:sz w:val="15"/>
                <w:szCs w:val="15"/>
                <w:color w:val="FFFFFF"/>
              </w:rPr>
              <w:t>$10</w:t>
            </w:r>
          </w:p>
        </w:tc>
        <w:tc>
          <w:tcPr>
            <w:tcW w:w="1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shd w:val="clear" w:color="auto" w:fill="5587A6"/>
          </w:tcPr>
          <w:p>
            <w:pPr>
              <w:jc w:val="center"/>
              <w:spacing w:after="0"/>
              <w:rPr>
                <w:sz w:val="20"/>
                <w:szCs w:val="20"/>
                <w:color w:val="auto"/>
              </w:rPr>
            </w:pPr>
            <w:r>
              <w:rPr>
                <w:rFonts w:ascii="Arial" w:cs="Arial" w:eastAsia="Arial" w:hAnsi="Arial"/>
                <w:sz w:val="15"/>
                <w:szCs w:val="15"/>
                <w:color w:val="FFFFFF"/>
              </w:rPr>
              <w:t>$2</w:t>
            </w:r>
          </w:p>
        </w:tc>
        <w:tc>
          <w:tcPr>
            <w:tcW w:w="1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shd w:val="clear" w:color="auto" w:fill="000F2B"/>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1560" w:type="dxa"/>
            <w:vAlign w:val="bottom"/>
            <w:tcBorders>
              <w:left w:val="single" w:sz="8" w:color="auto"/>
              <w:bottom w:val="single" w:sz="8" w:color="auto"/>
              <w:right w:val="single" w:sz="8" w:color="auto"/>
            </w:tcBorders>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1440" w:type="dxa"/>
            <w:vAlign w:val="bottom"/>
            <w:tcBorders>
              <w:bottom w:val="single" w:sz="8" w:color="auto"/>
              <w:right w:val="single" w:sz="8" w:color="D9D7DC"/>
            </w:tcBorders>
            <w:shd w:val="clear" w:color="auto" w:fill="D9D7DC"/>
          </w:tcPr>
          <w:p>
            <w:pPr>
              <w:spacing w:after="0"/>
              <w:rPr>
                <w:sz w:val="21"/>
                <w:szCs w:val="21"/>
                <w:color w:val="auto"/>
              </w:rPr>
            </w:pPr>
          </w:p>
        </w:tc>
        <w:tc>
          <w:tcPr>
            <w:tcW w:w="100" w:type="dxa"/>
            <w:vAlign w:val="bottom"/>
            <w:tcBorders>
              <w:bottom w:val="single" w:sz="8" w:color="auto"/>
              <w:right w:val="single" w:sz="8" w:color="D9D7DC"/>
            </w:tcBorders>
            <w:shd w:val="clear" w:color="auto" w:fill="D9D7DC"/>
          </w:tcPr>
          <w:p>
            <w:pPr>
              <w:spacing w:after="0"/>
              <w:rPr>
                <w:sz w:val="21"/>
                <w:szCs w:val="21"/>
                <w:color w:val="auto"/>
              </w:rPr>
            </w:pPr>
          </w:p>
        </w:tc>
        <w:tc>
          <w:tcPr>
            <w:tcW w:w="440" w:type="dxa"/>
            <w:vAlign w:val="bottom"/>
            <w:tcBorders>
              <w:bottom w:val="single" w:sz="8" w:color="auto"/>
            </w:tcBorders>
            <w:shd w:val="clear" w:color="auto" w:fill="D9D7DC"/>
          </w:tcPr>
          <w:p>
            <w:pPr>
              <w:spacing w:after="0"/>
              <w:rPr>
                <w:sz w:val="21"/>
                <w:szCs w:val="21"/>
                <w:color w:val="auto"/>
              </w:rPr>
            </w:pPr>
          </w:p>
        </w:tc>
        <w:tc>
          <w:tcPr>
            <w:tcW w:w="540" w:type="dxa"/>
            <w:vAlign w:val="bottom"/>
            <w:tcBorders>
              <w:bottom w:val="single" w:sz="8" w:color="auto"/>
            </w:tcBorders>
            <w:shd w:val="clear" w:color="auto" w:fill="D9D7DC"/>
          </w:tcPr>
          <w:p>
            <w:pPr>
              <w:spacing w:after="0"/>
              <w:rPr>
                <w:sz w:val="21"/>
                <w:szCs w:val="21"/>
                <w:color w:val="auto"/>
              </w:rPr>
            </w:pPr>
          </w:p>
        </w:tc>
        <w:tc>
          <w:tcPr>
            <w:tcW w:w="440" w:type="dxa"/>
            <w:vAlign w:val="bottom"/>
            <w:tcBorders>
              <w:bottom w:val="single" w:sz="8" w:color="auto"/>
              <w:right w:val="single" w:sz="8" w:color="auto"/>
            </w:tcBorders>
            <w:shd w:val="clear" w:color="auto" w:fill="D9D7DC"/>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1460" w:type="dxa"/>
            <w:vAlign w:val="bottom"/>
            <w:tcBorders>
              <w:bottom w:val="single" w:sz="8" w:color="auto"/>
              <w:right w:val="single" w:sz="8" w:color="auto"/>
            </w:tcBorders>
            <w:shd w:val="clear" w:color="auto" w:fill="911A5B"/>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1460" w:type="dxa"/>
            <w:vAlign w:val="bottom"/>
            <w:tcBorders>
              <w:bottom w:val="single" w:sz="8" w:color="auto"/>
              <w:right w:val="single" w:sz="8" w:color="auto"/>
            </w:tcBorders>
            <w:shd w:val="clear" w:color="auto" w:fill="5587A6"/>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1460" w:type="dxa"/>
            <w:vAlign w:val="bottom"/>
            <w:tcBorders>
              <w:bottom w:val="single" w:sz="8" w:color="auto"/>
              <w:right w:val="single" w:sz="8" w:color="auto"/>
            </w:tcBorders>
            <w:shd w:val="clear" w:color="auto" w:fill="000F2B"/>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-1865630</wp:posOffset>
            </wp:positionV>
            <wp:extent cx="851535" cy="17684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1535" cy="1768475"/>
                    </a:xfrm>
                    <a:prstGeom prst="rect">
                      <a:avLst/>
                    </a:prstGeom>
                    <a:noFill/>
                  </pic:spPr>
                </pic:pic>
              </a:graphicData>
            </a:graphic>
          </wp:anchor>
        </w:drawing>
      </w:r>
    </w:p>
    <w:p>
      <w:pPr>
        <w:spacing w:after="0" w:line="89" w:lineRule="exact"/>
        <w:rPr>
          <w:sz w:val="20"/>
          <w:szCs w:val="20"/>
          <w:color w:val="auto"/>
        </w:rPr>
      </w:pPr>
    </w:p>
    <w:p>
      <w:pPr>
        <w:ind w:left="240" w:right="120" w:hanging="237"/>
        <w:spacing w:after="0" w:line="277" w:lineRule="auto"/>
        <w:tabs>
          <w:tab w:leader="none" w:pos="233" w:val="left"/>
        </w:tabs>
        <w:numPr>
          <w:ilvl w:val="0"/>
          <w:numId w:val="32"/>
        </w:numPr>
        <w:rPr>
          <w:rFonts w:ascii="Arial" w:cs="Arial" w:eastAsia="Arial" w:hAnsi="Arial"/>
          <w:sz w:val="9"/>
          <w:szCs w:val="9"/>
          <w:color w:val="auto"/>
        </w:rPr>
      </w:pPr>
      <w:r>
        <w:rPr>
          <w:rFonts w:ascii="Arial" w:cs="Arial" w:eastAsia="Arial" w:hAnsi="Arial"/>
          <w:sz w:val="13"/>
          <w:szCs w:val="13"/>
          <w:color w:val="auto"/>
        </w:rPr>
        <w:t>Credit risk retained by Fannie Mae in CAS, CIRT and lender risk-sharing transactions. Also includes credit risk retained in CAS Credit Linked-Note transactions, which are similar to CAS REMICs except they allow us to obtain credit protection on reference pools containing seasoned loans such as Refi Plus</w:t>
      </w:r>
      <w:r>
        <w:rPr>
          <w:rFonts w:ascii="Arial" w:cs="Arial" w:eastAsia="Arial" w:hAnsi="Arial"/>
          <w:sz w:val="16"/>
          <w:szCs w:val="16"/>
          <w:color w:val="auto"/>
          <w:vertAlign w:val="superscript"/>
        </w:rPr>
        <w:t>TM</w:t>
      </w:r>
      <w:r>
        <w:rPr>
          <w:rFonts w:ascii="Arial" w:cs="Arial" w:eastAsia="Arial" w:hAnsi="Arial"/>
          <w:sz w:val="13"/>
          <w:szCs w:val="13"/>
          <w:color w:val="auto"/>
        </w:rPr>
        <w:t xml:space="preserve"> loans. Tranche sizes vary across programs.</w:t>
      </w:r>
    </w:p>
    <w:p>
      <w:pPr>
        <w:ind w:left="220" w:hanging="217"/>
        <w:spacing w:after="0" w:line="195" w:lineRule="auto"/>
        <w:tabs>
          <w:tab w:leader="none" w:pos="220" w:val="left"/>
        </w:tabs>
        <w:numPr>
          <w:ilvl w:val="0"/>
          <w:numId w:val="32"/>
        </w:numPr>
        <w:rPr>
          <w:rFonts w:ascii="Arial" w:cs="Arial" w:eastAsia="Arial" w:hAnsi="Arial"/>
          <w:sz w:val="18"/>
          <w:szCs w:val="18"/>
          <w:color w:val="auto"/>
          <w:vertAlign w:val="superscript"/>
        </w:rPr>
      </w:pPr>
      <w:r>
        <w:rPr>
          <w:rFonts w:ascii="Arial" w:cs="Arial" w:eastAsia="Arial" w:hAnsi="Arial"/>
          <w:sz w:val="14"/>
          <w:szCs w:val="14"/>
          <w:color w:val="auto"/>
        </w:rPr>
        <w:t>Credit risk transferred to third parties. Tranche sizes vary across programs.</w:t>
      </w:r>
    </w:p>
    <w:p>
      <w:pPr>
        <w:spacing w:after="0" w:line="38" w:lineRule="exact"/>
        <w:rPr>
          <w:rFonts w:ascii="Arial" w:cs="Arial" w:eastAsia="Arial" w:hAnsi="Arial"/>
          <w:sz w:val="18"/>
          <w:szCs w:val="18"/>
          <w:color w:val="auto"/>
          <w:vertAlign w:val="superscript"/>
        </w:rPr>
      </w:pPr>
    </w:p>
    <w:p>
      <w:pPr>
        <w:ind w:left="240" w:right="100" w:hanging="237"/>
        <w:spacing w:after="0" w:line="222" w:lineRule="auto"/>
        <w:tabs>
          <w:tab w:leader="none" w:pos="233" w:val="left"/>
        </w:tabs>
        <w:numPr>
          <w:ilvl w:val="0"/>
          <w:numId w:val="32"/>
        </w:numPr>
        <w:rPr>
          <w:rFonts w:ascii="Arial" w:cs="Arial" w:eastAsia="Arial" w:hAnsi="Arial"/>
          <w:sz w:val="18"/>
          <w:szCs w:val="18"/>
          <w:color w:val="auto"/>
          <w:vertAlign w:val="superscript"/>
        </w:rPr>
      </w:pPr>
      <w:r>
        <w:rPr>
          <w:rFonts w:ascii="Arial" w:cs="Arial" w:eastAsia="Arial" w:hAnsi="Arial"/>
          <w:sz w:val="14"/>
          <w:szCs w:val="14"/>
          <w:color w:val="auto"/>
        </w:rPr>
        <w:t>For CAS transactions, “senior” includes the A-H tranche balances, which we retain, while “mezzanine” includes the A-1, M-1 and M-2 tranche balances, portions of which we sell. In May 2024, we created and began selling a portion of the A-1 tranches, which are senior to the M-1, M-2 and B tranches and subordinate to the A-H tranches for the allocation of losses.</w:t>
      </w:r>
    </w:p>
    <w:p>
      <w:pPr>
        <w:spacing w:after="0" w:line="12"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32"/>
        </w:numPr>
        <w:rPr>
          <w:rFonts w:ascii="Arial" w:cs="Arial" w:eastAsia="Arial" w:hAnsi="Arial"/>
          <w:sz w:val="9"/>
          <w:szCs w:val="9"/>
          <w:color w:val="auto"/>
        </w:rPr>
      </w:pPr>
      <w:r>
        <w:rPr>
          <w:rFonts w:ascii="Arial" w:cs="Arial" w:eastAsia="Arial" w:hAnsi="Arial"/>
          <w:sz w:val="14"/>
          <w:szCs w:val="14"/>
          <w:color w:val="auto"/>
        </w:rPr>
        <w:t>Represents customized lender-risk sharing transactions. In most transactions, lenders invest directly in a portion of the credit risk on mortgage loans they originate and/or service</w:t>
      </w:r>
      <w:r>
        <w:rPr>
          <w:rFonts w:ascii="Arial" w:cs="Arial" w:eastAsia="Arial" w:hAnsi="Arial"/>
          <w:sz w:val="16"/>
          <w:szCs w:val="16"/>
          <w:color w:val="auto"/>
        </w:rPr>
        <w:t>.</w:t>
      </w:r>
    </w:p>
    <w:p>
      <w:pPr>
        <w:spacing w:after="0" w:line="62" w:lineRule="exact"/>
        <w:rPr>
          <w:rFonts w:ascii="Arial" w:cs="Arial" w:eastAsia="Arial" w:hAnsi="Arial"/>
          <w:sz w:val="9"/>
          <w:szCs w:val="9"/>
          <w:color w:val="auto"/>
        </w:rPr>
      </w:pPr>
    </w:p>
    <w:p>
      <w:pPr>
        <w:ind w:left="240" w:right="60" w:hanging="237"/>
        <w:spacing w:after="0" w:line="264" w:lineRule="auto"/>
        <w:tabs>
          <w:tab w:leader="none" w:pos="233" w:val="left"/>
        </w:tabs>
        <w:numPr>
          <w:ilvl w:val="0"/>
          <w:numId w:val="32"/>
        </w:numPr>
        <w:rPr>
          <w:rFonts w:ascii="Arial" w:cs="Arial" w:eastAsia="Arial" w:hAnsi="Arial"/>
          <w:sz w:val="9"/>
          <w:szCs w:val="9"/>
          <w:color w:val="auto"/>
        </w:rPr>
      </w:pPr>
      <w:r>
        <w:rPr>
          <w:rFonts w:ascii="Arial" w:cs="Arial" w:eastAsia="Arial" w:hAnsi="Arial"/>
          <w:sz w:val="14"/>
          <w:szCs w:val="14"/>
          <w:color w:val="auto"/>
        </w:rPr>
        <w:t>For CIRT and some lender risk-sharing transactions, “Reference Pool” reflects a pool of covered loans. For CAS and some lender risk-sharing transactions, represents outstanding reference pools, not the outstanding unpaid principal balance of the underlying loans. The outstanding unpaid principal balance for all loans covered by credit risk transfer programs, including all loans on which risk has been transferred in lender risk-sharing transactions, was $1,346 billion as of September 30, 2024.</w:t>
      </w:r>
    </w:p>
    <w:p>
      <w:pPr>
        <w:spacing w:after="0" w:line="10" w:lineRule="exact"/>
        <w:rPr>
          <w:rFonts w:ascii="Arial" w:cs="Arial" w:eastAsia="Arial" w:hAnsi="Arial"/>
          <w:sz w:val="9"/>
          <w:szCs w:val="9"/>
          <w:color w:val="auto"/>
        </w:rPr>
      </w:pPr>
    </w:p>
    <w:p>
      <w:pPr>
        <w:ind w:left="240" w:right="580" w:hanging="237"/>
        <w:spacing w:after="0" w:line="226" w:lineRule="auto"/>
        <w:tabs>
          <w:tab w:leader="none" w:pos="233" w:val="left"/>
        </w:tabs>
        <w:numPr>
          <w:ilvl w:val="0"/>
          <w:numId w:val="32"/>
        </w:numPr>
        <w:rPr>
          <w:rFonts w:ascii="Arial" w:cs="Arial" w:eastAsia="Arial" w:hAnsi="Arial"/>
          <w:sz w:val="18"/>
          <w:szCs w:val="18"/>
          <w:color w:val="auto"/>
          <w:vertAlign w:val="superscript"/>
        </w:rPr>
      </w:pPr>
      <w:r>
        <w:rPr>
          <w:rFonts w:ascii="Arial" w:cs="Arial" w:eastAsia="Arial" w:hAnsi="Arial"/>
          <w:sz w:val="14"/>
          <w:szCs w:val="14"/>
          <w:color w:val="auto"/>
        </w:rPr>
        <w:t>For CAS transactions, “First Loss” represents all B tranche balances. In recent deals we have retained certain subordinated class B tranche(s) that absorb losses before the remaining class B tranches.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2024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29</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60" w:type="dxa"/>
            <w:vAlign w:val="bottom"/>
            <w:tcBorders>
              <w:bottom w:val="single" w:sz="8" w:color="9A9A9A"/>
            </w:tcBorders>
          </w:tcPr>
          <w:p>
            <w:pPr>
              <w:spacing w:after="0"/>
              <w:rPr>
                <w:sz w:val="16"/>
                <w:szCs w:val="16"/>
                <w:color w:val="auto"/>
              </w:rPr>
            </w:pPr>
          </w:p>
        </w:tc>
        <w:tc>
          <w:tcPr>
            <w:tcW w:w="428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32" w:name="page33"/>
    <w:bookmarkEnd w:id="32"/>
    <w:p>
      <w:pPr>
        <w:ind w:left="606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720"/>
        <w:spacing w:after="0" w:line="293" w:lineRule="auto"/>
        <w:rPr>
          <w:sz w:val="20"/>
          <w:szCs w:val="20"/>
          <w:color w:val="auto"/>
        </w:rPr>
      </w:pPr>
      <w:r>
        <w:rPr>
          <w:rFonts w:ascii="Arial" w:cs="Arial" w:eastAsia="Arial" w:hAnsi="Arial"/>
          <w:sz w:val="16"/>
          <w:szCs w:val="16"/>
          <w:color w:val="auto"/>
        </w:rPr>
        <w:t>The risk in force of these transactions, which refers to the maximum amount of losses that could be absorbed by credit risk transfer investors, was approximately $44 billion as of September 30, 2024, compared with approximately $42 billion as of December 31, 2023.</w:t>
      </w:r>
    </w:p>
    <w:p>
      <w:pPr>
        <w:spacing w:after="0" w:line="15" w:lineRule="exact"/>
        <w:rPr>
          <w:sz w:val="20"/>
          <w:szCs w:val="20"/>
          <w:color w:val="auto"/>
        </w:rPr>
      </w:pPr>
    </w:p>
    <w:p>
      <w:pPr>
        <w:ind w:right="180"/>
        <w:spacing w:after="0" w:line="271" w:lineRule="auto"/>
        <w:rPr>
          <w:sz w:val="20"/>
          <w:szCs w:val="20"/>
          <w:color w:val="auto"/>
        </w:rPr>
      </w:pPr>
      <w:r>
        <w:rPr>
          <w:rFonts w:ascii="Arial" w:cs="Arial" w:eastAsia="Arial" w:hAnsi="Arial"/>
          <w:sz w:val="16"/>
          <w:szCs w:val="16"/>
          <w:color w:val="auto"/>
        </w:rPr>
        <w:t>The table below displays information about the credit enhancement recovery receivables we have recognized within “Other assets” in our condensed consolidated balance sheets. The decrease in our single-family freestanding credit enhancement receivables as of September 30, 2024 compared with December 31, 2023 was primarily the result of a decrease in our estimate of credit losses in the first nine months of 2024. As our estimate of credit losses decreases, so does the benefit we expect to receive from our freestanding credit enhancements.</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05314D"/>
        </w:rPr>
        <w:t>Single-Family Credit Enhancement Receivables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6980" w:type="dxa"/>
            <w:vAlign w:val="bottom"/>
            <w:tcBorders>
              <w:top w:val="single" w:sz="8" w:color="2C6937"/>
            </w:tcBorders>
          </w:tcPr>
          <w:p>
            <w:pPr>
              <w:spacing w:after="0"/>
              <w:rPr>
                <w:sz w:val="18"/>
                <w:szCs w:val="18"/>
                <w:color w:val="auto"/>
              </w:rPr>
            </w:pPr>
          </w:p>
        </w:tc>
        <w:tc>
          <w:tcPr>
            <w:tcW w:w="1700" w:type="dxa"/>
            <w:vAlign w:val="bottom"/>
            <w:tcBorders>
              <w:top w:val="single" w:sz="8" w:color="2C6937"/>
              <w:bottom w:val="single" w:sz="8" w:color="2C6937"/>
            </w:tcBorders>
          </w:tcPr>
          <w:p>
            <w:pPr>
              <w:spacing w:after="0"/>
              <w:rPr>
                <w:sz w:val="18"/>
                <w:szCs w:val="18"/>
                <w:color w:val="auto"/>
              </w:rPr>
            </w:pPr>
          </w:p>
        </w:tc>
        <w:tc>
          <w:tcPr>
            <w:tcW w:w="2160" w:type="dxa"/>
            <w:vAlign w:val="bottom"/>
            <w:tcBorders>
              <w:top w:val="single" w:sz="8" w:color="2C6937"/>
              <w:bottom w:val="single" w:sz="8" w:color="2C6937"/>
            </w:tcBorders>
            <w:gridSpan w:val="2"/>
          </w:tcPr>
          <w:p>
            <w:pPr>
              <w:jc w:val="center"/>
              <w:ind w:right="1265"/>
              <w:spacing w:after="0"/>
              <w:rPr>
                <w:sz w:val="20"/>
                <w:szCs w:val="20"/>
                <w:color w:val="auto"/>
              </w:rPr>
            </w:pPr>
            <w:r>
              <w:rPr>
                <w:rFonts w:ascii="Arial" w:cs="Arial" w:eastAsia="Arial" w:hAnsi="Arial"/>
                <w:sz w:val="14"/>
                <w:szCs w:val="14"/>
                <w:b w:val="1"/>
                <w:bCs w:val="1"/>
                <w:color w:val="auto"/>
                <w:w w:val="97"/>
              </w:rPr>
              <w:t>As of</w:t>
            </w:r>
          </w:p>
        </w:tc>
        <w:tc>
          <w:tcPr>
            <w:tcW w:w="380" w:type="dxa"/>
            <w:vAlign w:val="bottom"/>
            <w:tcBorders>
              <w:top w:val="single" w:sz="8" w:color="2C6937"/>
              <w:bottom w:val="single" w:sz="8" w:color="2C6937"/>
            </w:tcBorders>
          </w:tcPr>
          <w:p>
            <w:pPr>
              <w:spacing w:after="0"/>
              <w:rPr>
                <w:sz w:val="18"/>
                <w:szCs w:val="18"/>
                <w:color w:val="auto"/>
              </w:rPr>
            </w:pPr>
          </w:p>
        </w:tc>
      </w:tr>
      <w:tr>
        <w:trPr>
          <w:trHeight w:val="186"/>
        </w:trPr>
        <w:tc>
          <w:tcPr>
            <w:tcW w:w="6980" w:type="dxa"/>
            <w:vAlign w:val="bottom"/>
          </w:tcPr>
          <w:p>
            <w:pPr>
              <w:spacing w:after="0"/>
              <w:rPr>
                <w:sz w:val="16"/>
                <w:szCs w:val="16"/>
                <w:color w:val="auto"/>
              </w:rPr>
            </w:pP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September 30, 2024</w:t>
            </w:r>
          </w:p>
        </w:tc>
        <w:tc>
          <w:tcPr>
            <w:tcW w:w="400" w:type="dxa"/>
            <w:vAlign w:val="bottom"/>
            <w:tcBorders>
              <w:bottom w:val="single" w:sz="8" w:color="2C6937"/>
            </w:tcBorders>
          </w:tcPr>
          <w:p>
            <w:pPr>
              <w:spacing w:after="0"/>
              <w:rPr>
                <w:sz w:val="16"/>
                <w:szCs w:val="16"/>
                <w:color w:val="auto"/>
              </w:rPr>
            </w:pPr>
          </w:p>
        </w:tc>
        <w:tc>
          <w:tcPr>
            <w:tcW w:w="17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December 31, 2023</w:t>
            </w:r>
          </w:p>
        </w:tc>
        <w:tc>
          <w:tcPr>
            <w:tcW w:w="380" w:type="dxa"/>
            <w:vAlign w:val="bottom"/>
            <w:tcBorders>
              <w:bottom w:val="single" w:sz="8" w:color="2C6937"/>
            </w:tcBorders>
          </w:tcPr>
          <w:p>
            <w:pPr>
              <w:spacing w:after="0"/>
              <w:rPr>
                <w:sz w:val="16"/>
                <w:szCs w:val="16"/>
                <w:color w:val="auto"/>
              </w:rPr>
            </w:pPr>
          </w:p>
        </w:tc>
      </w:tr>
      <w:tr>
        <w:trPr>
          <w:trHeight w:val="185"/>
        </w:trPr>
        <w:tc>
          <w:tcPr>
            <w:tcW w:w="6980" w:type="dxa"/>
            <w:vAlign w:val="bottom"/>
          </w:tcPr>
          <w:p>
            <w:pPr>
              <w:spacing w:after="0"/>
              <w:rPr>
                <w:sz w:val="16"/>
                <w:szCs w:val="16"/>
                <w:color w:val="auto"/>
              </w:rPr>
            </w:pPr>
          </w:p>
        </w:tc>
        <w:tc>
          <w:tcPr>
            <w:tcW w:w="3860" w:type="dxa"/>
            <w:vAlign w:val="bottom"/>
            <w:gridSpan w:val="3"/>
          </w:tcPr>
          <w:p>
            <w:pPr>
              <w:jc w:val="center"/>
              <w:ind w:left="307"/>
              <w:spacing w:after="0"/>
              <w:rPr>
                <w:sz w:val="20"/>
                <w:szCs w:val="20"/>
                <w:color w:val="auto"/>
              </w:rPr>
            </w:pPr>
            <w:r>
              <w:rPr>
                <w:rFonts w:ascii="Arial" w:cs="Arial" w:eastAsia="Arial" w:hAnsi="Arial"/>
                <w:sz w:val="14"/>
                <w:szCs w:val="14"/>
                <w:b w:val="1"/>
                <w:bCs w:val="1"/>
                <w:color w:val="auto"/>
                <w:w w:val="98"/>
              </w:rPr>
              <w:t>(Dollars in millions)</w:t>
            </w:r>
          </w:p>
        </w:tc>
        <w:tc>
          <w:tcPr>
            <w:tcW w:w="380" w:type="dxa"/>
            <w:vAlign w:val="bottom"/>
          </w:tcPr>
          <w:p>
            <w:pPr>
              <w:spacing w:after="0"/>
              <w:rPr>
                <w:sz w:val="16"/>
                <w:szCs w:val="16"/>
                <w:color w:val="auto"/>
              </w:rPr>
            </w:pPr>
          </w:p>
        </w:tc>
      </w:tr>
      <w:tr>
        <w:trPr>
          <w:trHeight w:val="229"/>
        </w:trPr>
        <w:tc>
          <w:tcPr>
            <w:tcW w:w="6980" w:type="dxa"/>
            <w:vAlign w:val="bottom"/>
          </w:tcPr>
          <w:p>
            <w:pPr>
              <w:ind w:left="20"/>
              <w:spacing w:after="0"/>
              <w:rPr>
                <w:sz w:val="20"/>
                <w:szCs w:val="20"/>
                <w:color w:val="auto"/>
              </w:rPr>
            </w:pPr>
            <w:r>
              <w:rPr>
                <w:rFonts w:ascii="Arial" w:cs="Arial" w:eastAsia="Arial" w:hAnsi="Arial"/>
                <w:sz w:val="15"/>
                <w:szCs w:val="15"/>
                <w:color w:val="auto"/>
              </w:rPr>
              <w:t>Freestanding credit enhancement receivables</w:t>
            </w:r>
          </w:p>
        </w:tc>
        <w:tc>
          <w:tcPr>
            <w:tcW w:w="1700" w:type="dxa"/>
            <w:vAlign w:val="bottom"/>
          </w:tcPr>
          <w:p>
            <w:pPr>
              <w:jc w:val="right"/>
              <w:ind w:right="1507"/>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jc w:val="right"/>
              <w:ind w:right="23"/>
              <w:spacing w:after="0"/>
              <w:rPr>
                <w:sz w:val="20"/>
                <w:szCs w:val="20"/>
                <w:color w:val="auto"/>
              </w:rPr>
            </w:pPr>
            <w:r>
              <w:rPr>
                <w:rFonts w:ascii="Arial" w:cs="Arial" w:eastAsia="Arial" w:hAnsi="Arial"/>
                <w:sz w:val="16"/>
                <w:szCs w:val="16"/>
                <w:b w:val="1"/>
                <w:bCs w:val="1"/>
                <w:color w:val="auto"/>
              </w:rPr>
              <w:t>117</w:t>
            </w:r>
          </w:p>
        </w:tc>
        <w:tc>
          <w:tcPr>
            <w:tcW w:w="1760" w:type="dxa"/>
            <w:vAlign w:val="bottom"/>
          </w:tcPr>
          <w:p>
            <w:pPr>
              <w:jc w:val="right"/>
              <w:ind w:right="1505"/>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253</w:t>
            </w:r>
          </w:p>
        </w:tc>
      </w:tr>
      <w:tr>
        <w:trPr>
          <w:trHeight w:val="289"/>
        </w:trPr>
        <w:tc>
          <w:tcPr>
            <w:tcW w:w="6980" w:type="dxa"/>
            <w:vAlign w:val="bottom"/>
          </w:tcPr>
          <w:p>
            <w:pPr>
              <w:ind w:left="20"/>
              <w:spacing w:after="0"/>
              <w:rPr>
                <w:sz w:val="20"/>
                <w:szCs w:val="20"/>
                <w:color w:val="auto"/>
              </w:rPr>
            </w:pPr>
            <w:r>
              <w:rPr>
                <w:rFonts w:ascii="Arial" w:cs="Arial" w:eastAsia="Arial" w:hAnsi="Arial"/>
                <w:sz w:val="15"/>
                <w:szCs w:val="15"/>
                <w:color w:val="auto"/>
              </w:rPr>
              <w:t>Primary mortgage insurance receivables, net of allowance</w:t>
            </w:r>
            <w:r>
              <w:rPr>
                <w:rFonts w:ascii="Arial" w:cs="Arial" w:eastAsia="Arial" w:hAnsi="Arial"/>
                <w:sz w:val="20"/>
                <w:szCs w:val="20"/>
                <w:color w:val="auto"/>
                <w:vertAlign w:val="superscript"/>
              </w:rPr>
              <w:t>(1)</w:t>
            </w:r>
          </w:p>
        </w:tc>
        <w:tc>
          <w:tcPr>
            <w:tcW w:w="1700" w:type="dxa"/>
            <w:vAlign w:val="bottom"/>
          </w:tcPr>
          <w:p>
            <w:pPr>
              <w:spacing w:after="0"/>
              <w:rPr>
                <w:sz w:val="24"/>
                <w:szCs w:val="24"/>
                <w:color w:val="auto"/>
              </w:rPr>
            </w:pPr>
          </w:p>
        </w:tc>
        <w:tc>
          <w:tcPr>
            <w:tcW w:w="400" w:type="dxa"/>
            <w:vAlign w:val="bottom"/>
          </w:tcPr>
          <w:p>
            <w:pPr>
              <w:jc w:val="right"/>
              <w:ind w:right="23"/>
              <w:spacing w:after="0"/>
              <w:rPr>
                <w:sz w:val="20"/>
                <w:szCs w:val="20"/>
                <w:color w:val="auto"/>
              </w:rPr>
            </w:pPr>
            <w:r>
              <w:rPr>
                <w:rFonts w:ascii="Arial" w:cs="Arial" w:eastAsia="Arial" w:hAnsi="Arial"/>
                <w:sz w:val="16"/>
                <w:szCs w:val="16"/>
                <w:b w:val="1"/>
                <w:bCs w:val="1"/>
                <w:color w:val="auto"/>
              </w:rPr>
              <w:t>65</w:t>
            </w:r>
          </w:p>
        </w:tc>
        <w:tc>
          <w:tcPr>
            <w:tcW w:w="17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54</w:t>
            </w:r>
          </w:p>
        </w:tc>
      </w:tr>
    </w:tbl>
    <w:p>
      <w:pPr>
        <w:spacing w:after="0" w:line="69" w:lineRule="exact"/>
        <w:rPr>
          <w:sz w:val="20"/>
          <w:szCs w:val="20"/>
          <w:color w:val="auto"/>
        </w:rPr>
      </w:pPr>
    </w:p>
    <w:p>
      <w:pPr>
        <w:ind w:left="240" w:right="120" w:hanging="237"/>
        <w:spacing w:after="0" w:line="226" w:lineRule="auto"/>
        <w:tabs>
          <w:tab w:leader="none" w:pos="233"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Amount is net of a valuation allowance of $402 million as of September 30, 2024 and $417 million as of December 31, 2023. The vast majority of this valuation allowance related to deferred payment obligations associated with unpaid claim amounts for which collectability is uncertain.</w:t>
      </w:r>
    </w:p>
    <w:p>
      <w:pPr>
        <w:spacing w:after="0" w:line="64" w:lineRule="exact"/>
        <w:rPr>
          <w:sz w:val="20"/>
          <w:szCs w:val="20"/>
          <w:color w:val="auto"/>
        </w:rPr>
      </w:pPr>
    </w:p>
    <w:p>
      <w:pPr>
        <w:ind w:right="100"/>
        <w:spacing w:after="0" w:line="310" w:lineRule="auto"/>
        <w:rPr>
          <w:sz w:val="20"/>
          <w:szCs w:val="20"/>
          <w:color w:val="auto"/>
        </w:rPr>
      </w:pPr>
      <w:r>
        <w:rPr>
          <w:rFonts w:ascii="Arial" w:cs="Arial" w:eastAsia="Arial" w:hAnsi="Arial"/>
          <w:sz w:val="16"/>
          <w:szCs w:val="16"/>
          <w:color w:val="auto"/>
        </w:rPr>
        <w:t>The table below displays the approximate cash paid or transferred to investors and counterparties for credit risk transfer transactions. The cash represents the portion of the guaranty fee paid to investors as compensation for taking on a share of the credit risk.</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05314D"/>
        </w:rPr>
        <w:t>Credit Risk Transfer Transactions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6980" w:type="dxa"/>
            <w:vAlign w:val="bottom"/>
            <w:tcBorders>
              <w:top w:val="single" w:sz="8" w:color="2C6937"/>
            </w:tcBorders>
          </w:tcPr>
          <w:p>
            <w:pPr>
              <w:spacing w:after="0"/>
              <w:rPr>
                <w:sz w:val="18"/>
                <w:szCs w:val="18"/>
                <w:color w:val="auto"/>
              </w:rPr>
            </w:pPr>
          </w:p>
        </w:tc>
        <w:tc>
          <w:tcPr>
            <w:tcW w:w="3700" w:type="dxa"/>
            <w:vAlign w:val="bottom"/>
            <w:tcBorders>
              <w:top w:val="single" w:sz="8" w:color="2C6937"/>
              <w:bottom w:val="single" w:sz="8" w:color="2C6937"/>
            </w:tcBorders>
            <w:gridSpan w:val="3"/>
          </w:tcPr>
          <w:p>
            <w:pPr>
              <w:jc w:val="center"/>
              <w:ind w:left="467"/>
              <w:spacing w:after="0"/>
              <w:rPr>
                <w:sz w:val="20"/>
                <w:szCs w:val="20"/>
                <w:color w:val="auto"/>
              </w:rPr>
            </w:pPr>
            <w:r>
              <w:rPr>
                <w:rFonts w:ascii="Arial" w:cs="Arial" w:eastAsia="Arial" w:hAnsi="Arial"/>
                <w:sz w:val="14"/>
                <w:szCs w:val="14"/>
                <w:b w:val="1"/>
                <w:bCs w:val="1"/>
                <w:color w:val="auto"/>
                <w:w w:val="97"/>
              </w:rPr>
              <w:t>For the Nine Months Ended September 30,</w:t>
            </w:r>
          </w:p>
        </w:tc>
        <w:tc>
          <w:tcPr>
            <w:tcW w:w="540" w:type="dxa"/>
            <w:vAlign w:val="bottom"/>
            <w:tcBorders>
              <w:top w:val="single" w:sz="8" w:color="2C6937"/>
              <w:bottom w:val="single" w:sz="8" w:color="2C6937"/>
            </w:tcBorders>
          </w:tcPr>
          <w:p>
            <w:pPr>
              <w:spacing w:after="0"/>
              <w:rPr>
                <w:sz w:val="18"/>
                <w:szCs w:val="18"/>
                <w:color w:val="auto"/>
              </w:rPr>
            </w:pPr>
          </w:p>
        </w:tc>
      </w:tr>
      <w:tr>
        <w:trPr>
          <w:trHeight w:val="186"/>
        </w:trPr>
        <w:tc>
          <w:tcPr>
            <w:tcW w:w="6980" w:type="dxa"/>
            <w:vAlign w:val="bottom"/>
          </w:tcPr>
          <w:p>
            <w:pPr>
              <w:spacing w:after="0"/>
              <w:rPr>
                <w:sz w:val="16"/>
                <w:szCs w:val="16"/>
                <w:color w:val="auto"/>
              </w:rPr>
            </w:pPr>
          </w:p>
        </w:tc>
        <w:tc>
          <w:tcPr>
            <w:tcW w:w="1340" w:type="dxa"/>
            <w:vAlign w:val="bottom"/>
            <w:tcBorders>
              <w:bottom w:val="single" w:sz="8" w:color="2C6937"/>
            </w:tcBorders>
          </w:tcPr>
          <w:p>
            <w:pPr>
              <w:jc w:val="right"/>
              <w:ind w:right="87"/>
              <w:spacing w:after="0"/>
              <w:rPr>
                <w:sz w:val="20"/>
                <w:szCs w:val="20"/>
                <w:color w:val="auto"/>
              </w:rPr>
            </w:pPr>
            <w:r>
              <w:rPr>
                <w:rFonts w:ascii="Arial" w:cs="Arial" w:eastAsia="Arial" w:hAnsi="Arial"/>
                <w:sz w:val="14"/>
                <w:szCs w:val="14"/>
                <w:b w:val="1"/>
                <w:bCs w:val="1"/>
                <w:color w:val="auto"/>
              </w:rPr>
              <w:t>2024</w:t>
            </w:r>
          </w:p>
        </w:tc>
        <w:tc>
          <w:tcPr>
            <w:tcW w:w="760" w:type="dxa"/>
            <w:vAlign w:val="bottom"/>
            <w:tcBorders>
              <w:bottom w:val="single" w:sz="8" w:color="2C6937"/>
            </w:tcBorders>
          </w:tcPr>
          <w:p>
            <w:pPr>
              <w:spacing w:after="0"/>
              <w:rPr>
                <w:sz w:val="16"/>
                <w:szCs w:val="16"/>
                <w:color w:val="auto"/>
              </w:rPr>
            </w:pPr>
          </w:p>
        </w:tc>
        <w:tc>
          <w:tcPr>
            <w:tcW w:w="1600" w:type="dxa"/>
            <w:vAlign w:val="bottom"/>
            <w:tcBorders>
              <w:bottom w:val="single" w:sz="8" w:color="2C6937"/>
            </w:tcBorders>
          </w:tcPr>
          <w:p>
            <w:pPr>
              <w:jc w:val="right"/>
              <w:ind w:right="265"/>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2C6937"/>
            </w:tcBorders>
          </w:tcPr>
          <w:p>
            <w:pPr>
              <w:spacing w:after="0"/>
              <w:rPr>
                <w:sz w:val="16"/>
                <w:szCs w:val="16"/>
                <w:color w:val="auto"/>
              </w:rPr>
            </w:pPr>
          </w:p>
        </w:tc>
      </w:tr>
      <w:tr>
        <w:trPr>
          <w:trHeight w:val="185"/>
        </w:trPr>
        <w:tc>
          <w:tcPr>
            <w:tcW w:w="69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360" w:type="dxa"/>
            <w:vAlign w:val="bottom"/>
            <w:gridSpan w:val="2"/>
          </w:tcPr>
          <w:p>
            <w:pPr>
              <w:jc w:val="center"/>
              <w:ind w:right="725"/>
              <w:spacing w:after="0"/>
              <w:rPr>
                <w:sz w:val="20"/>
                <w:szCs w:val="20"/>
                <w:color w:val="auto"/>
              </w:rPr>
            </w:pPr>
            <w:r>
              <w:rPr>
                <w:rFonts w:ascii="Arial" w:cs="Arial" w:eastAsia="Arial" w:hAnsi="Arial"/>
                <w:sz w:val="14"/>
                <w:szCs w:val="14"/>
                <w:b w:val="1"/>
                <w:bCs w:val="1"/>
                <w:color w:val="auto"/>
                <w:w w:val="98"/>
              </w:rPr>
              <w:t>(Dollars in millions)</w:t>
            </w:r>
          </w:p>
        </w:tc>
        <w:tc>
          <w:tcPr>
            <w:tcW w:w="540" w:type="dxa"/>
            <w:vAlign w:val="bottom"/>
          </w:tcPr>
          <w:p>
            <w:pPr>
              <w:spacing w:after="0"/>
              <w:rPr>
                <w:sz w:val="16"/>
                <w:szCs w:val="16"/>
                <w:color w:val="auto"/>
              </w:rPr>
            </w:pPr>
          </w:p>
        </w:tc>
      </w:tr>
      <w:tr>
        <w:trPr>
          <w:trHeight w:val="238"/>
        </w:trPr>
        <w:tc>
          <w:tcPr>
            <w:tcW w:w="6980" w:type="dxa"/>
            <w:vAlign w:val="bottom"/>
          </w:tcPr>
          <w:p>
            <w:pPr>
              <w:ind w:left="20"/>
              <w:spacing w:after="0"/>
              <w:rPr>
                <w:sz w:val="20"/>
                <w:szCs w:val="20"/>
                <w:color w:val="auto"/>
              </w:rPr>
            </w:pPr>
            <w:r>
              <w:rPr>
                <w:rFonts w:ascii="Arial" w:cs="Arial" w:eastAsia="Arial" w:hAnsi="Arial"/>
                <w:sz w:val="15"/>
                <w:szCs w:val="15"/>
                <w:color w:val="auto"/>
              </w:rPr>
              <w:t>Cash paid or transferred for:</w:t>
            </w:r>
            <w:r>
              <w:rPr>
                <w:rFonts w:ascii="Arial" w:cs="Arial" w:eastAsia="Arial" w:hAnsi="Arial"/>
                <w:sz w:val="20"/>
                <w:szCs w:val="20"/>
                <w:color w:val="auto"/>
                <w:vertAlign w:val="superscript"/>
              </w:rPr>
              <w:t>(1)</w:t>
            </w: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32"/>
        </w:trPr>
        <w:tc>
          <w:tcPr>
            <w:tcW w:w="6980" w:type="dxa"/>
            <w:vAlign w:val="bottom"/>
          </w:tcPr>
          <w:p>
            <w:pPr>
              <w:ind w:left="160"/>
              <w:spacing w:after="0"/>
              <w:rPr>
                <w:sz w:val="20"/>
                <w:szCs w:val="20"/>
                <w:color w:val="auto"/>
              </w:rPr>
            </w:pPr>
            <w:r>
              <w:rPr>
                <w:rFonts w:ascii="Arial" w:cs="Arial" w:eastAsia="Arial" w:hAnsi="Arial"/>
                <w:sz w:val="15"/>
                <w:szCs w:val="15"/>
                <w:color w:val="auto"/>
              </w:rPr>
              <w:t>CAS transactions</w:t>
            </w:r>
            <w:r>
              <w:rPr>
                <w:rFonts w:ascii="Arial" w:cs="Arial" w:eastAsia="Arial" w:hAnsi="Arial"/>
                <w:sz w:val="20"/>
                <w:szCs w:val="20"/>
                <w:color w:val="auto"/>
                <w:vertAlign w:val="superscript"/>
              </w:rPr>
              <w:t>(2)</w:t>
            </w:r>
          </w:p>
        </w:tc>
        <w:tc>
          <w:tcPr>
            <w:tcW w:w="1340" w:type="dxa"/>
            <w:vAlign w:val="bottom"/>
          </w:tcPr>
          <w:p>
            <w:pPr>
              <w:jc w:val="right"/>
              <w:ind w:right="1147"/>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ind w:right="22"/>
              <w:spacing w:after="0"/>
              <w:rPr>
                <w:sz w:val="20"/>
                <w:szCs w:val="20"/>
                <w:color w:val="auto"/>
              </w:rPr>
            </w:pPr>
            <w:r>
              <w:rPr>
                <w:rFonts w:ascii="Arial" w:cs="Arial" w:eastAsia="Arial" w:hAnsi="Arial"/>
                <w:sz w:val="16"/>
                <w:szCs w:val="16"/>
                <w:b w:val="1"/>
                <w:bCs w:val="1"/>
                <w:color w:val="auto"/>
              </w:rPr>
              <w:t>684</w:t>
            </w:r>
          </w:p>
        </w:tc>
        <w:tc>
          <w:tcPr>
            <w:tcW w:w="1600" w:type="dxa"/>
            <w:vAlign w:val="bottom"/>
          </w:tcPr>
          <w:p>
            <w:pPr>
              <w:jc w:val="right"/>
              <w:ind w:right="1345"/>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678</w:t>
            </w:r>
          </w:p>
        </w:tc>
      </w:tr>
      <w:tr>
        <w:trPr>
          <w:trHeight w:val="224"/>
        </w:trPr>
        <w:tc>
          <w:tcPr>
            <w:tcW w:w="6980" w:type="dxa"/>
            <w:vAlign w:val="bottom"/>
          </w:tcPr>
          <w:p>
            <w:pPr>
              <w:ind w:left="160"/>
              <w:spacing w:after="0"/>
              <w:rPr>
                <w:sz w:val="20"/>
                <w:szCs w:val="20"/>
                <w:color w:val="auto"/>
              </w:rPr>
            </w:pPr>
            <w:r>
              <w:rPr>
                <w:rFonts w:ascii="Arial" w:cs="Arial" w:eastAsia="Arial" w:hAnsi="Arial"/>
                <w:sz w:val="15"/>
                <w:szCs w:val="15"/>
                <w:color w:val="auto"/>
              </w:rPr>
              <w:t>CIRT transactions</w:t>
            </w:r>
          </w:p>
        </w:tc>
        <w:tc>
          <w:tcPr>
            <w:tcW w:w="1340" w:type="dxa"/>
            <w:vAlign w:val="bottom"/>
          </w:tcPr>
          <w:p>
            <w:pPr>
              <w:spacing w:after="0"/>
              <w:rPr>
                <w:sz w:val="19"/>
                <w:szCs w:val="19"/>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b w:val="1"/>
                <w:bCs w:val="1"/>
                <w:color w:val="auto"/>
              </w:rPr>
              <w:t>316</w:t>
            </w:r>
          </w:p>
        </w:tc>
        <w:tc>
          <w:tcPr>
            <w:tcW w:w="16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306</w:t>
            </w:r>
          </w:p>
        </w:tc>
      </w:tr>
      <w:tr>
        <w:trPr>
          <w:trHeight w:val="232"/>
        </w:trPr>
        <w:tc>
          <w:tcPr>
            <w:tcW w:w="6980" w:type="dxa"/>
            <w:vAlign w:val="bottom"/>
          </w:tcPr>
          <w:p>
            <w:pPr>
              <w:ind w:left="160"/>
              <w:spacing w:after="0"/>
              <w:rPr>
                <w:sz w:val="20"/>
                <w:szCs w:val="20"/>
                <w:color w:val="auto"/>
              </w:rPr>
            </w:pPr>
            <w:r>
              <w:rPr>
                <w:rFonts w:ascii="Arial" w:cs="Arial" w:eastAsia="Arial" w:hAnsi="Arial"/>
                <w:sz w:val="15"/>
                <w:szCs w:val="15"/>
                <w:color w:val="auto"/>
              </w:rPr>
              <w:t>Lender risk-sharing transactions</w:t>
            </w:r>
          </w:p>
        </w:tc>
        <w:tc>
          <w:tcPr>
            <w:tcW w:w="1340" w:type="dxa"/>
            <w:vAlign w:val="bottom"/>
          </w:tcPr>
          <w:p>
            <w:pPr>
              <w:spacing w:after="0"/>
              <w:rPr>
                <w:sz w:val="20"/>
                <w:szCs w:val="20"/>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b w:val="1"/>
                <w:bCs w:val="1"/>
                <w:color w:val="auto"/>
              </w:rPr>
              <w:t>104</w:t>
            </w:r>
          </w:p>
        </w:tc>
        <w:tc>
          <w:tcPr>
            <w:tcW w:w="16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101</w:t>
            </w:r>
          </w:p>
        </w:tc>
      </w:tr>
    </w:tbl>
    <w:p>
      <w:pPr>
        <w:spacing w:after="0" w:line="126" w:lineRule="exact"/>
        <w:rPr>
          <w:sz w:val="20"/>
          <w:szCs w:val="20"/>
          <w:color w:val="auto"/>
        </w:rPr>
      </w:pPr>
    </w:p>
    <w:p>
      <w:pPr>
        <w:ind w:left="240" w:right="80" w:hanging="237"/>
        <w:spacing w:after="0" w:line="228" w:lineRule="auto"/>
        <w:tabs>
          <w:tab w:leader="none" w:pos="233"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Cash paid or transferred to counterparties for CIRT transactions includes cancellation fees paid on certain CIRT transactions where we determined that the cost of these deals exceeded the expected remaining benefit. The table excludes cash paid upon the repurchase of certain CAS notes. In the first nine months of 2024, we paid $61 million in purchase premiums in connection with our repurchase of $807 million in outstanding CAS notes.</w:t>
      </w:r>
    </w:p>
    <w:p>
      <w:pPr>
        <w:spacing w:after="0" w:line="21" w:lineRule="exact"/>
        <w:rPr>
          <w:rFonts w:ascii="Arial" w:cs="Arial" w:eastAsia="Arial" w:hAnsi="Arial"/>
          <w:sz w:val="18"/>
          <w:szCs w:val="18"/>
          <w:color w:val="auto"/>
          <w:vertAlign w:val="superscript"/>
        </w:rPr>
      </w:pPr>
    </w:p>
    <w:p>
      <w:pPr>
        <w:ind w:left="240" w:right="300" w:hanging="237"/>
        <w:spacing w:after="0" w:line="229" w:lineRule="auto"/>
        <w:tabs>
          <w:tab w:leader="none" w:pos="233"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Consists of cash paid for interest expense net of LIBOR or SOFR, as applicable, on outstanding CAS debt and amounts paid for both CAS REMIC</w:t>
      </w:r>
      <w:r>
        <w:rPr>
          <w:rFonts w:ascii="Arial" w:cs="Arial" w:eastAsia="Arial" w:hAnsi="Arial"/>
          <w:sz w:val="17"/>
          <w:szCs w:val="17"/>
          <w:color w:val="auto"/>
          <w:vertAlign w:val="superscript"/>
        </w:rPr>
        <w:t>®</w:t>
      </w:r>
      <w:r>
        <w:rPr>
          <w:rFonts w:ascii="Arial" w:cs="Arial" w:eastAsia="Arial" w:hAnsi="Arial"/>
          <w:sz w:val="14"/>
          <w:szCs w:val="14"/>
          <w:color w:val="auto"/>
        </w:rPr>
        <w:t xml:space="preserve"> and CAS Credit-linked notes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2024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30</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60" w:type="dxa"/>
            <w:vAlign w:val="bottom"/>
            <w:tcBorders>
              <w:bottom w:val="single" w:sz="8" w:color="9A9A9A"/>
            </w:tcBorders>
          </w:tcPr>
          <w:p>
            <w:pPr>
              <w:spacing w:after="0"/>
              <w:rPr>
                <w:sz w:val="17"/>
                <w:szCs w:val="17"/>
                <w:color w:val="auto"/>
              </w:rPr>
            </w:pPr>
          </w:p>
        </w:tc>
        <w:tc>
          <w:tcPr>
            <w:tcW w:w="42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33" w:name="page34"/>
    <w:bookmarkEnd w:id="33"/>
    <w:p>
      <w:pPr>
        <w:ind w:left="606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displays the primary characteristics of loans in our single-family conventional guaranty book of business without credit enhancement.</w:t>
      </w:r>
    </w:p>
    <w:p>
      <w:pPr>
        <w:spacing w:after="0" w:line="21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Single-Family Loans Currently without Credit Enhancement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540" w:type="dxa"/>
            <w:vAlign w:val="bottom"/>
            <w:tcBorders>
              <w:top w:val="single" w:sz="8" w:color="2C6937"/>
            </w:tcBorders>
          </w:tcPr>
          <w:p>
            <w:pPr>
              <w:spacing w:after="0"/>
              <w:rPr>
                <w:sz w:val="18"/>
                <w:szCs w:val="18"/>
                <w:color w:val="auto"/>
              </w:rPr>
            </w:pPr>
          </w:p>
        </w:tc>
        <w:tc>
          <w:tcPr>
            <w:tcW w:w="100" w:type="dxa"/>
            <w:vAlign w:val="bottom"/>
            <w:tcBorders>
              <w:top w:val="single" w:sz="8" w:color="2C6937"/>
            </w:tcBorders>
          </w:tcPr>
          <w:p>
            <w:pPr>
              <w:spacing w:after="0"/>
              <w:rPr>
                <w:sz w:val="18"/>
                <w:szCs w:val="18"/>
                <w:color w:val="auto"/>
              </w:rPr>
            </w:pPr>
          </w:p>
        </w:tc>
        <w:tc>
          <w:tcPr>
            <w:tcW w:w="180" w:type="dxa"/>
            <w:vAlign w:val="bottom"/>
            <w:tcBorders>
              <w:top w:val="single" w:sz="8" w:color="2C6937"/>
              <w:bottom w:val="single" w:sz="8" w:color="2C6937"/>
            </w:tcBorders>
          </w:tcPr>
          <w:p>
            <w:pPr>
              <w:spacing w:after="0"/>
              <w:rPr>
                <w:sz w:val="18"/>
                <w:szCs w:val="18"/>
                <w:color w:val="auto"/>
              </w:rPr>
            </w:pPr>
          </w:p>
        </w:tc>
        <w:tc>
          <w:tcPr>
            <w:tcW w:w="90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1860" w:type="dxa"/>
            <w:vAlign w:val="bottom"/>
            <w:tcBorders>
              <w:top w:val="single" w:sz="8" w:color="2C6937"/>
              <w:bottom w:val="single" w:sz="8" w:color="2C6937"/>
            </w:tcBorders>
            <w:gridSpan w:val="3"/>
          </w:tcPr>
          <w:p>
            <w:pPr>
              <w:jc w:val="center"/>
              <w:ind w:left="1325"/>
              <w:spacing w:after="0"/>
              <w:rPr>
                <w:sz w:val="20"/>
                <w:szCs w:val="20"/>
                <w:color w:val="auto"/>
              </w:rPr>
            </w:pPr>
            <w:r>
              <w:rPr>
                <w:rFonts w:ascii="Arial" w:cs="Arial" w:eastAsia="Arial" w:hAnsi="Arial"/>
                <w:sz w:val="14"/>
                <w:szCs w:val="14"/>
                <w:b w:val="1"/>
                <w:bCs w:val="1"/>
                <w:color w:val="auto"/>
                <w:w w:val="97"/>
              </w:rPr>
              <w:t>As of</w:t>
            </w:r>
          </w:p>
        </w:tc>
        <w:tc>
          <w:tcPr>
            <w:tcW w:w="880" w:type="dxa"/>
            <w:vAlign w:val="bottom"/>
            <w:tcBorders>
              <w:top w:val="single" w:sz="8" w:color="2C6937"/>
              <w:bottom w:val="single" w:sz="8" w:color="2C6937"/>
            </w:tcBorders>
          </w:tcPr>
          <w:p>
            <w:pPr>
              <w:spacing w:after="0"/>
              <w:rPr>
                <w:sz w:val="18"/>
                <w:szCs w:val="18"/>
                <w:color w:val="auto"/>
              </w:rPr>
            </w:pPr>
          </w:p>
        </w:tc>
        <w:tc>
          <w:tcPr>
            <w:tcW w:w="120" w:type="dxa"/>
            <w:vAlign w:val="bottom"/>
            <w:tcBorders>
              <w:top w:val="single" w:sz="8" w:color="2C6937"/>
              <w:bottom w:val="single" w:sz="8" w:color="2C6937"/>
            </w:tcBorders>
          </w:tcPr>
          <w:p>
            <w:pPr>
              <w:spacing w:after="0"/>
              <w:rPr>
                <w:sz w:val="18"/>
                <w:szCs w:val="18"/>
                <w:color w:val="auto"/>
              </w:rPr>
            </w:pPr>
          </w:p>
        </w:tc>
        <w:tc>
          <w:tcPr>
            <w:tcW w:w="1560" w:type="dxa"/>
            <w:vAlign w:val="bottom"/>
            <w:tcBorders>
              <w:top w:val="single" w:sz="8" w:color="2C6937"/>
              <w:bottom w:val="single" w:sz="8" w:color="2C6937"/>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5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2580" w:type="dxa"/>
            <w:vAlign w:val="bottom"/>
            <w:tcBorders>
              <w:bottom w:val="single" w:sz="8" w:color="2C6937"/>
            </w:tcBorders>
            <w:gridSpan w:val="3"/>
          </w:tcPr>
          <w:p>
            <w:pPr>
              <w:jc w:val="right"/>
              <w:ind w:right="665"/>
              <w:spacing w:after="0"/>
              <w:rPr>
                <w:sz w:val="20"/>
                <w:szCs w:val="20"/>
                <w:color w:val="auto"/>
              </w:rPr>
            </w:pPr>
            <w:r>
              <w:rPr>
                <w:rFonts w:ascii="Arial" w:cs="Arial" w:eastAsia="Arial" w:hAnsi="Arial"/>
                <w:sz w:val="14"/>
                <w:szCs w:val="14"/>
                <w:b w:val="1"/>
                <w:bCs w:val="1"/>
                <w:color w:val="auto"/>
              </w:rPr>
              <w:t>September 30, 2024</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2560" w:type="dxa"/>
            <w:vAlign w:val="bottom"/>
            <w:tcBorders>
              <w:bottom w:val="single" w:sz="8" w:color="2C6937"/>
            </w:tcBorders>
            <w:gridSpan w:val="3"/>
          </w:tcPr>
          <w:p>
            <w:pPr>
              <w:jc w:val="right"/>
              <w:ind w:right="664"/>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139"/>
        </w:trPr>
        <w:tc>
          <w:tcPr>
            <w:tcW w:w="5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Unpaid</w:t>
            </w:r>
          </w:p>
        </w:tc>
        <w:tc>
          <w:tcPr>
            <w:tcW w:w="168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9"/>
              </w:rPr>
              <w:t>Percentage of Single-</w:t>
            </w:r>
          </w:p>
        </w:tc>
        <w:tc>
          <w:tcPr>
            <w:tcW w:w="180" w:type="dxa"/>
            <w:vAlign w:val="bottom"/>
          </w:tcPr>
          <w:p>
            <w:pPr>
              <w:spacing w:after="0"/>
              <w:rPr>
                <w:sz w:val="12"/>
                <w:szCs w:val="12"/>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Unpaid</w:t>
            </w:r>
          </w:p>
        </w:tc>
        <w:tc>
          <w:tcPr>
            <w:tcW w:w="15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7"/>
              </w:rPr>
              <w:t>Percentage of Single-</w:t>
            </w:r>
          </w:p>
        </w:tc>
        <w:tc>
          <w:tcPr>
            <w:tcW w:w="0" w:type="dxa"/>
            <w:vAlign w:val="bottom"/>
          </w:tcPr>
          <w:p>
            <w:pPr>
              <w:spacing w:after="0"/>
              <w:rPr>
                <w:sz w:val="1"/>
                <w:szCs w:val="1"/>
                <w:color w:val="auto"/>
              </w:rPr>
            </w:pPr>
          </w:p>
        </w:tc>
      </w:tr>
      <w:tr>
        <w:trPr>
          <w:trHeight w:val="142"/>
        </w:trPr>
        <w:tc>
          <w:tcPr>
            <w:tcW w:w="5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8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7"/>
              </w:rPr>
              <w:t>Family Conventional</w:t>
            </w:r>
          </w:p>
        </w:tc>
        <w:tc>
          <w:tcPr>
            <w:tcW w:w="1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5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9"/>
              </w:rPr>
              <w:t>Family Conventional</w:t>
            </w:r>
          </w:p>
        </w:tc>
        <w:tc>
          <w:tcPr>
            <w:tcW w:w="0" w:type="dxa"/>
            <w:vAlign w:val="bottom"/>
          </w:tcPr>
          <w:p>
            <w:pPr>
              <w:spacing w:after="0"/>
              <w:rPr>
                <w:sz w:val="1"/>
                <w:szCs w:val="1"/>
                <w:color w:val="auto"/>
              </w:rPr>
            </w:pPr>
          </w:p>
        </w:tc>
      </w:tr>
      <w:tr>
        <w:trPr>
          <w:trHeight w:val="138"/>
        </w:trPr>
        <w:tc>
          <w:tcPr>
            <w:tcW w:w="5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w w:val="97"/>
              </w:rPr>
              <w:t>Principal</w:t>
            </w:r>
          </w:p>
        </w:tc>
        <w:tc>
          <w:tcPr>
            <w:tcW w:w="168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7"/>
              </w:rPr>
              <w:t>Guaranty Book of</w:t>
            </w:r>
          </w:p>
        </w:tc>
        <w:tc>
          <w:tcPr>
            <w:tcW w:w="180" w:type="dxa"/>
            <w:vAlign w:val="bottom"/>
          </w:tcPr>
          <w:p>
            <w:pPr>
              <w:spacing w:after="0"/>
              <w:rPr>
                <w:sz w:val="12"/>
                <w:szCs w:val="12"/>
                <w:color w:val="auto"/>
              </w:rPr>
            </w:pPr>
          </w:p>
        </w:tc>
        <w:tc>
          <w:tcPr>
            <w:tcW w:w="1000" w:type="dxa"/>
            <w:vAlign w:val="bottom"/>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w w:val="97"/>
              </w:rPr>
              <w:t>Principal</w:t>
            </w:r>
          </w:p>
        </w:tc>
        <w:tc>
          <w:tcPr>
            <w:tcW w:w="15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8"/>
              </w:rPr>
              <w:t>Guaranty Book of</w:t>
            </w:r>
          </w:p>
        </w:tc>
        <w:tc>
          <w:tcPr>
            <w:tcW w:w="0" w:type="dxa"/>
            <w:vAlign w:val="bottom"/>
          </w:tcPr>
          <w:p>
            <w:pPr>
              <w:spacing w:after="0"/>
              <w:rPr>
                <w:sz w:val="1"/>
                <w:szCs w:val="1"/>
                <w:color w:val="auto"/>
              </w:rPr>
            </w:pPr>
          </w:p>
        </w:tc>
      </w:tr>
      <w:tr>
        <w:trPr>
          <w:trHeight w:val="180"/>
        </w:trPr>
        <w:tc>
          <w:tcPr>
            <w:tcW w:w="5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1000" w:type="dxa"/>
            <w:vAlign w:val="bottom"/>
            <w:tcBorders>
              <w:bottom w:val="single" w:sz="8" w:color="2C6937"/>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Balance</w:t>
            </w:r>
          </w:p>
        </w:tc>
        <w:tc>
          <w:tcPr>
            <w:tcW w:w="1680" w:type="dxa"/>
            <w:vAlign w:val="bottom"/>
            <w:tcBorders>
              <w:bottom w:val="single" w:sz="8" w:color="2C6937"/>
            </w:tcBorders>
            <w:gridSpan w:val="2"/>
          </w:tcPr>
          <w:p>
            <w:pPr>
              <w:jc w:val="center"/>
              <w:ind w:right="100"/>
              <w:spacing w:after="0"/>
              <w:rPr>
                <w:sz w:val="20"/>
                <w:szCs w:val="20"/>
                <w:color w:val="auto"/>
              </w:rPr>
            </w:pPr>
            <w:r>
              <w:rPr>
                <w:rFonts w:ascii="Arial" w:cs="Arial" w:eastAsia="Arial" w:hAnsi="Arial"/>
                <w:sz w:val="14"/>
                <w:szCs w:val="14"/>
                <w:b w:val="1"/>
                <w:bCs w:val="1"/>
                <w:color w:val="auto"/>
                <w:w w:val="99"/>
              </w:rPr>
              <w:t>Business</w:t>
            </w:r>
          </w:p>
        </w:tc>
        <w:tc>
          <w:tcPr>
            <w:tcW w:w="180" w:type="dxa"/>
            <w:vAlign w:val="bottom"/>
            <w:tcBorders>
              <w:bottom w:val="single" w:sz="8" w:color="2C6937"/>
            </w:tcBorders>
          </w:tcPr>
          <w:p>
            <w:pPr>
              <w:spacing w:after="0"/>
              <w:rPr>
                <w:sz w:val="15"/>
                <w:szCs w:val="15"/>
                <w:color w:val="auto"/>
              </w:rPr>
            </w:pPr>
          </w:p>
        </w:tc>
        <w:tc>
          <w:tcPr>
            <w:tcW w:w="1000" w:type="dxa"/>
            <w:vAlign w:val="bottom"/>
            <w:tcBorders>
              <w:bottom w:val="single" w:sz="8" w:color="2C6937"/>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Balance</w:t>
            </w:r>
          </w:p>
        </w:tc>
        <w:tc>
          <w:tcPr>
            <w:tcW w:w="15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6"/>
              </w:rPr>
              <w:t>Business</w:t>
            </w:r>
          </w:p>
        </w:tc>
        <w:tc>
          <w:tcPr>
            <w:tcW w:w="0" w:type="dxa"/>
            <w:vAlign w:val="bottom"/>
          </w:tcPr>
          <w:p>
            <w:pPr>
              <w:spacing w:after="0"/>
              <w:rPr>
                <w:sz w:val="1"/>
                <w:szCs w:val="1"/>
                <w:color w:val="auto"/>
              </w:rPr>
            </w:pPr>
          </w:p>
        </w:tc>
      </w:tr>
      <w:tr>
        <w:trPr>
          <w:trHeight w:val="185"/>
        </w:trPr>
        <w:tc>
          <w:tcPr>
            <w:tcW w:w="5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gridSpan w:val="5"/>
          </w:tcPr>
          <w:p>
            <w:pPr>
              <w:jc w:val="center"/>
              <w:ind w:left="305"/>
              <w:spacing w:after="0"/>
              <w:rPr>
                <w:sz w:val="20"/>
                <w:szCs w:val="20"/>
                <w:color w:val="auto"/>
              </w:rPr>
            </w:pPr>
            <w:r>
              <w:rPr>
                <w:rFonts w:ascii="Arial" w:cs="Arial" w:eastAsia="Arial" w:hAnsi="Arial"/>
                <w:sz w:val="14"/>
                <w:szCs w:val="14"/>
                <w:b w:val="1"/>
                <w:bCs w:val="1"/>
                <w:color w:val="auto"/>
                <w:w w:val="98"/>
              </w:rPr>
              <w:t>(Dollars in billions)</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640" w:type="dxa"/>
            <w:vAlign w:val="bottom"/>
            <w:gridSpan w:val="2"/>
          </w:tcPr>
          <w:p>
            <w:pPr>
              <w:ind w:left="20"/>
              <w:spacing w:after="0"/>
              <w:rPr>
                <w:sz w:val="20"/>
                <w:szCs w:val="20"/>
                <w:color w:val="auto"/>
              </w:rPr>
            </w:pPr>
            <w:r>
              <w:rPr>
                <w:rFonts w:ascii="Arial" w:cs="Arial" w:eastAsia="Arial" w:hAnsi="Arial"/>
                <w:sz w:val="15"/>
                <w:szCs w:val="15"/>
                <w:color w:val="auto"/>
              </w:rPr>
              <w:t>Low LTV ratio or short-term</w:t>
            </w:r>
            <w:r>
              <w:rPr>
                <w:rFonts w:ascii="Arial" w:cs="Arial" w:eastAsia="Arial" w:hAnsi="Arial"/>
                <w:sz w:val="20"/>
                <w:szCs w:val="20"/>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4"/>
              <w:spacing w:after="0"/>
              <w:rPr>
                <w:sz w:val="20"/>
                <w:szCs w:val="20"/>
                <w:color w:val="auto"/>
              </w:rPr>
            </w:pPr>
            <w:r>
              <w:rPr>
                <w:rFonts w:ascii="Arial" w:cs="Arial" w:eastAsia="Arial" w:hAnsi="Arial"/>
                <w:sz w:val="16"/>
                <w:szCs w:val="16"/>
                <w:b w:val="1"/>
                <w:bCs w:val="1"/>
                <w:color w:val="auto"/>
              </w:rPr>
              <w:t>1,064</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30 %</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1,112</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31 %</w:t>
            </w:r>
          </w:p>
        </w:tc>
        <w:tc>
          <w:tcPr>
            <w:tcW w:w="0" w:type="dxa"/>
            <w:vAlign w:val="bottom"/>
          </w:tcPr>
          <w:p>
            <w:pPr>
              <w:spacing w:after="0"/>
              <w:rPr>
                <w:sz w:val="1"/>
                <w:szCs w:val="1"/>
                <w:color w:val="auto"/>
              </w:rPr>
            </w:pPr>
          </w:p>
        </w:tc>
      </w:tr>
      <w:tr>
        <w:trPr>
          <w:trHeight w:val="232"/>
        </w:trPr>
        <w:tc>
          <w:tcPr>
            <w:tcW w:w="5640" w:type="dxa"/>
            <w:vAlign w:val="bottom"/>
            <w:gridSpan w:val="2"/>
          </w:tcPr>
          <w:p>
            <w:pPr>
              <w:ind w:left="20"/>
              <w:spacing w:after="0"/>
              <w:rPr>
                <w:sz w:val="20"/>
                <w:szCs w:val="20"/>
                <w:color w:val="auto"/>
              </w:rPr>
            </w:pPr>
            <w:r>
              <w:rPr>
                <w:rFonts w:ascii="Arial" w:cs="Arial" w:eastAsia="Arial" w:hAnsi="Arial"/>
                <w:sz w:val="15"/>
                <w:szCs w:val="15"/>
                <w:color w:val="auto"/>
              </w:rPr>
              <w:t>Pre-credit risk transfer program inception</w:t>
            </w:r>
            <w:r>
              <w:rPr>
                <w:rFonts w:ascii="Arial" w:cs="Arial" w:eastAsia="Arial" w:hAnsi="Arial"/>
                <w:sz w:val="20"/>
                <w:szCs w:val="20"/>
                <w:color w:val="auto"/>
                <w:vertAlign w:val="superscript"/>
              </w:rPr>
              <w:t>(2)</w:t>
            </w:r>
          </w:p>
        </w:tc>
        <w:tc>
          <w:tcPr>
            <w:tcW w:w="180" w:type="dxa"/>
            <w:vAlign w:val="bottom"/>
          </w:tcPr>
          <w:p>
            <w:pPr>
              <w:spacing w:after="0"/>
              <w:rPr>
                <w:sz w:val="20"/>
                <w:szCs w:val="20"/>
                <w:color w:val="auto"/>
              </w:rPr>
            </w:pPr>
          </w:p>
        </w:tc>
        <w:tc>
          <w:tcPr>
            <w:tcW w:w="900" w:type="dxa"/>
            <w:vAlign w:val="bottom"/>
          </w:tcPr>
          <w:p>
            <w:pPr>
              <w:jc w:val="right"/>
              <w:ind w:right="4"/>
              <w:spacing w:after="0"/>
              <w:rPr>
                <w:sz w:val="20"/>
                <w:szCs w:val="20"/>
                <w:color w:val="auto"/>
              </w:rPr>
            </w:pPr>
            <w:r>
              <w:rPr>
                <w:rFonts w:ascii="Arial" w:cs="Arial" w:eastAsia="Arial" w:hAnsi="Arial"/>
                <w:sz w:val="16"/>
                <w:szCs w:val="16"/>
                <w:b w:val="1"/>
                <w:bCs w:val="1"/>
                <w:color w:val="auto"/>
              </w:rPr>
              <w:t>217</w:t>
            </w:r>
          </w:p>
        </w:tc>
        <w:tc>
          <w:tcPr>
            <w:tcW w:w="100" w:type="dxa"/>
            <w:vAlign w:val="bottom"/>
          </w:tcPr>
          <w:p>
            <w:pPr>
              <w:spacing w:after="0"/>
              <w:rPr>
                <w:sz w:val="20"/>
                <w:szCs w:val="20"/>
                <w:color w:val="auto"/>
              </w:rPr>
            </w:pPr>
          </w:p>
        </w:tc>
        <w:tc>
          <w:tcPr>
            <w:tcW w:w="1580" w:type="dxa"/>
            <w:vAlign w:val="bottom"/>
          </w:tcPr>
          <w:p>
            <w:pPr>
              <w:jc w:val="right"/>
              <w:ind w:right="145"/>
              <w:spacing w:after="0"/>
              <w:rPr>
                <w:sz w:val="20"/>
                <w:szCs w:val="20"/>
                <w:color w:val="auto"/>
              </w:rPr>
            </w:pPr>
            <w:r>
              <w:rPr>
                <w:rFonts w:ascii="Arial" w:cs="Arial" w:eastAsia="Arial" w:hAnsi="Arial"/>
                <w:sz w:val="16"/>
                <w:szCs w:val="16"/>
                <w:b w:val="1"/>
                <w:bCs w:val="1"/>
                <w:color w:val="auto"/>
              </w:rPr>
              <w:t>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236</w:t>
            </w:r>
          </w:p>
        </w:tc>
        <w:tc>
          <w:tcPr>
            <w:tcW w:w="120" w:type="dxa"/>
            <w:vAlign w:val="bottom"/>
          </w:tcPr>
          <w:p>
            <w:pPr>
              <w:spacing w:after="0"/>
              <w:rPr>
                <w:sz w:val="20"/>
                <w:szCs w:val="20"/>
                <w:color w:val="auto"/>
              </w:rPr>
            </w:pPr>
          </w:p>
        </w:tc>
        <w:tc>
          <w:tcPr>
            <w:tcW w:w="1560" w:type="dxa"/>
            <w:vAlign w:val="bottom"/>
          </w:tcPr>
          <w:p>
            <w:pPr>
              <w:jc w:val="right"/>
              <w:ind w:right="124"/>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2"/>
        </w:trPr>
        <w:tc>
          <w:tcPr>
            <w:tcW w:w="5640" w:type="dxa"/>
            <w:vAlign w:val="bottom"/>
            <w:gridSpan w:val="2"/>
          </w:tcPr>
          <w:p>
            <w:pPr>
              <w:ind w:left="20"/>
              <w:spacing w:after="0"/>
              <w:rPr>
                <w:sz w:val="20"/>
                <w:szCs w:val="20"/>
                <w:color w:val="auto"/>
              </w:rPr>
            </w:pPr>
            <w:r>
              <w:rPr>
                <w:rFonts w:ascii="Arial" w:cs="Arial" w:eastAsia="Arial" w:hAnsi="Arial"/>
                <w:sz w:val="15"/>
                <w:szCs w:val="15"/>
                <w:color w:val="auto"/>
              </w:rPr>
              <w:t>Recently acquired</w:t>
            </w:r>
            <w:r>
              <w:rPr>
                <w:rFonts w:ascii="Arial" w:cs="Arial" w:eastAsia="Arial" w:hAnsi="Arial"/>
                <w:sz w:val="20"/>
                <w:szCs w:val="20"/>
                <w:color w:val="auto"/>
                <w:vertAlign w:val="superscript"/>
              </w:rPr>
              <w:t>(3)</w:t>
            </w:r>
          </w:p>
        </w:tc>
        <w:tc>
          <w:tcPr>
            <w:tcW w:w="180" w:type="dxa"/>
            <w:vAlign w:val="bottom"/>
          </w:tcPr>
          <w:p>
            <w:pPr>
              <w:spacing w:after="0"/>
              <w:rPr>
                <w:sz w:val="20"/>
                <w:szCs w:val="20"/>
                <w:color w:val="auto"/>
              </w:rPr>
            </w:pPr>
          </w:p>
        </w:tc>
        <w:tc>
          <w:tcPr>
            <w:tcW w:w="900" w:type="dxa"/>
            <w:vAlign w:val="bottom"/>
          </w:tcPr>
          <w:p>
            <w:pPr>
              <w:jc w:val="right"/>
              <w:ind w:right="4"/>
              <w:spacing w:after="0"/>
              <w:rPr>
                <w:sz w:val="20"/>
                <w:szCs w:val="20"/>
                <w:color w:val="auto"/>
              </w:rPr>
            </w:pPr>
            <w:r>
              <w:rPr>
                <w:rFonts w:ascii="Arial" w:cs="Arial" w:eastAsia="Arial" w:hAnsi="Arial"/>
                <w:sz w:val="16"/>
                <w:szCs w:val="16"/>
                <w:b w:val="1"/>
                <w:bCs w:val="1"/>
                <w:color w:val="auto"/>
              </w:rPr>
              <w:t>160</w:t>
            </w:r>
          </w:p>
        </w:tc>
        <w:tc>
          <w:tcPr>
            <w:tcW w:w="100" w:type="dxa"/>
            <w:vAlign w:val="bottom"/>
          </w:tcPr>
          <w:p>
            <w:pPr>
              <w:spacing w:after="0"/>
              <w:rPr>
                <w:sz w:val="20"/>
                <w:szCs w:val="20"/>
                <w:color w:val="auto"/>
              </w:rPr>
            </w:pPr>
          </w:p>
        </w:tc>
        <w:tc>
          <w:tcPr>
            <w:tcW w:w="1580" w:type="dxa"/>
            <w:vAlign w:val="bottom"/>
          </w:tcPr>
          <w:p>
            <w:pPr>
              <w:jc w:val="right"/>
              <w:ind w:right="145"/>
              <w:spacing w:after="0"/>
              <w:rPr>
                <w:sz w:val="20"/>
                <w:szCs w:val="20"/>
                <w:color w:val="auto"/>
              </w:rPr>
            </w:pPr>
            <w:r>
              <w:rPr>
                <w:rFonts w:ascii="Arial" w:cs="Arial" w:eastAsia="Arial" w:hAnsi="Arial"/>
                <w:sz w:val="16"/>
                <w:szCs w:val="16"/>
                <w:b w:val="1"/>
                <w:bCs w:val="1"/>
                <w:color w:val="auto"/>
              </w:rPr>
              <w:t>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20"/>
                <w:szCs w:val="20"/>
                <w:color w:val="auto"/>
              </w:rPr>
            </w:pPr>
          </w:p>
        </w:tc>
        <w:tc>
          <w:tcPr>
            <w:tcW w:w="1560" w:type="dxa"/>
            <w:vAlign w:val="bottom"/>
          </w:tcPr>
          <w:p>
            <w:pPr>
              <w:jc w:val="right"/>
              <w:ind w:right="124"/>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2"/>
        </w:trPr>
        <w:tc>
          <w:tcPr>
            <w:tcW w:w="5640" w:type="dxa"/>
            <w:vAlign w:val="bottom"/>
            <w:gridSpan w:val="2"/>
          </w:tcPr>
          <w:p>
            <w:pPr>
              <w:ind w:left="20"/>
              <w:spacing w:after="0"/>
              <w:rPr>
                <w:sz w:val="20"/>
                <w:szCs w:val="20"/>
                <w:color w:val="auto"/>
              </w:rPr>
            </w:pPr>
            <w:r>
              <w:rPr>
                <w:rFonts w:ascii="Arial" w:cs="Arial" w:eastAsia="Arial" w:hAnsi="Arial"/>
                <w:sz w:val="15"/>
                <w:szCs w:val="15"/>
                <w:color w:val="auto"/>
              </w:rPr>
              <w:t>Other</w:t>
            </w:r>
            <w:r>
              <w:rPr>
                <w:rFonts w:ascii="Arial" w:cs="Arial" w:eastAsia="Arial" w:hAnsi="Arial"/>
                <w:sz w:val="20"/>
                <w:szCs w:val="20"/>
                <w:color w:val="auto"/>
                <w:vertAlign w:val="superscript"/>
              </w:rPr>
              <w:t>(4)</w:t>
            </w:r>
          </w:p>
        </w:tc>
        <w:tc>
          <w:tcPr>
            <w:tcW w:w="180" w:type="dxa"/>
            <w:vAlign w:val="bottom"/>
          </w:tcPr>
          <w:p>
            <w:pPr>
              <w:spacing w:after="0"/>
              <w:rPr>
                <w:sz w:val="20"/>
                <w:szCs w:val="20"/>
                <w:color w:val="auto"/>
              </w:rPr>
            </w:pPr>
          </w:p>
        </w:tc>
        <w:tc>
          <w:tcPr>
            <w:tcW w:w="900" w:type="dxa"/>
            <w:vAlign w:val="bottom"/>
          </w:tcPr>
          <w:p>
            <w:pPr>
              <w:jc w:val="right"/>
              <w:ind w:right="4"/>
              <w:spacing w:after="0"/>
              <w:rPr>
                <w:sz w:val="20"/>
                <w:szCs w:val="20"/>
                <w:color w:val="auto"/>
              </w:rPr>
            </w:pPr>
            <w:r>
              <w:rPr>
                <w:rFonts w:ascii="Arial" w:cs="Arial" w:eastAsia="Arial" w:hAnsi="Arial"/>
                <w:sz w:val="16"/>
                <w:szCs w:val="16"/>
                <w:b w:val="1"/>
                <w:bCs w:val="1"/>
                <w:color w:val="auto"/>
              </w:rPr>
              <w:t>760</w:t>
            </w:r>
          </w:p>
        </w:tc>
        <w:tc>
          <w:tcPr>
            <w:tcW w:w="100" w:type="dxa"/>
            <w:vAlign w:val="bottom"/>
          </w:tcPr>
          <w:p>
            <w:pPr>
              <w:spacing w:after="0"/>
              <w:rPr>
                <w:sz w:val="20"/>
                <w:szCs w:val="20"/>
                <w:color w:val="auto"/>
              </w:rPr>
            </w:pPr>
          </w:p>
        </w:tc>
        <w:tc>
          <w:tcPr>
            <w:tcW w:w="1580" w:type="dxa"/>
            <w:vAlign w:val="bottom"/>
          </w:tcPr>
          <w:p>
            <w:pPr>
              <w:jc w:val="right"/>
              <w:ind w:right="145"/>
              <w:spacing w:after="0"/>
              <w:rPr>
                <w:sz w:val="20"/>
                <w:szCs w:val="20"/>
                <w:color w:val="auto"/>
              </w:rPr>
            </w:pPr>
            <w:r>
              <w:rPr>
                <w:rFonts w:ascii="Arial" w:cs="Arial" w:eastAsia="Arial" w:hAnsi="Arial"/>
                <w:sz w:val="16"/>
                <w:szCs w:val="16"/>
                <w:b w:val="1"/>
                <w:bCs w:val="1"/>
                <w:color w:val="auto"/>
              </w:rPr>
              <w:t>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730</w:t>
            </w:r>
          </w:p>
        </w:tc>
        <w:tc>
          <w:tcPr>
            <w:tcW w:w="120" w:type="dxa"/>
            <w:vAlign w:val="bottom"/>
          </w:tcPr>
          <w:p>
            <w:pPr>
              <w:spacing w:after="0"/>
              <w:rPr>
                <w:sz w:val="20"/>
                <w:szCs w:val="20"/>
                <w:color w:val="auto"/>
              </w:rPr>
            </w:pPr>
          </w:p>
        </w:tc>
        <w:tc>
          <w:tcPr>
            <w:tcW w:w="1560" w:type="dxa"/>
            <w:vAlign w:val="bottom"/>
          </w:tcPr>
          <w:p>
            <w:pPr>
              <w:jc w:val="right"/>
              <w:ind w:right="124"/>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26"/>
        </w:trPr>
        <w:tc>
          <w:tcPr>
            <w:tcW w:w="554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Less: Loans in multiple categories</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(256)</w:t>
            </w:r>
          </w:p>
        </w:tc>
        <w:tc>
          <w:tcPr>
            <w:tcW w:w="100" w:type="dxa"/>
            <w:vAlign w:val="bottom"/>
          </w:tcPr>
          <w:p>
            <w:pPr>
              <w:spacing w:after="0"/>
              <w:rPr>
                <w:sz w:val="19"/>
                <w:szCs w:val="19"/>
                <w:color w:val="auto"/>
              </w:rPr>
            </w:pPr>
          </w:p>
        </w:tc>
        <w:tc>
          <w:tcPr>
            <w:tcW w:w="1580" w:type="dxa"/>
            <w:vAlign w:val="bottom"/>
            <w:tcBorders>
              <w:bottom w:val="single" w:sz="8" w:color="2C6937"/>
            </w:tcBorders>
          </w:tcPr>
          <w:p>
            <w:pPr>
              <w:jc w:val="right"/>
              <w:ind w:right="105"/>
              <w:spacing w:after="0"/>
              <w:rPr>
                <w:sz w:val="20"/>
                <w:szCs w:val="20"/>
                <w:color w:val="auto"/>
              </w:rPr>
            </w:pPr>
            <w:r>
              <w:rPr>
                <w:rFonts w:ascii="Arial" w:cs="Arial" w:eastAsia="Arial" w:hAnsi="Arial"/>
                <w:sz w:val="16"/>
                <w:szCs w:val="16"/>
                <w:b w:val="1"/>
                <w:bCs w:val="1"/>
                <w:color w:val="auto"/>
              </w:rPr>
              <w:t>(7)</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(267)</w:t>
            </w:r>
          </w:p>
        </w:tc>
        <w:tc>
          <w:tcPr>
            <w:tcW w:w="120" w:type="dxa"/>
            <w:vAlign w:val="bottom"/>
          </w:tcPr>
          <w:p>
            <w:pPr>
              <w:spacing w:after="0"/>
              <w:rPr>
                <w:sz w:val="19"/>
                <w:szCs w:val="19"/>
                <w:color w:val="auto"/>
              </w:rPr>
            </w:pPr>
          </w:p>
        </w:tc>
        <w:tc>
          <w:tcPr>
            <w:tcW w:w="1560" w:type="dxa"/>
            <w:vAlign w:val="bottom"/>
            <w:tcBorders>
              <w:bottom w:val="single" w:sz="8" w:color="2C6937"/>
            </w:tcBorders>
          </w:tcPr>
          <w:p>
            <w:pPr>
              <w:jc w:val="right"/>
              <w:ind w:right="84"/>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25"/>
        </w:trPr>
        <w:tc>
          <w:tcPr>
            <w:tcW w:w="5640" w:type="dxa"/>
            <w:vAlign w:val="bottom"/>
            <w:gridSpan w:val="2"/>
          </w:tcPr>
          <w:p>
            <w:pPr>
              <w:ind w:left="220"/>
              <w:spacing w:after="0"/>
              <w:rPr>
                <w:sz w:val="20"/>
                <w:szCs w:val="20"/>
                <w:color w:val="auto"/>
              </w:rPr>
            </w:pPr>
            <w:r>
              <w:rPr>
                <w:rFonts w:ascii="Arial" w:cs="Arial" w:eastAsia="Arial" w:hAnsi="Arial"/>
                <w:sz w:val="15"/>
                <w:szCs w:val="15"/>
                <w:color w:val="auto"/>
              </w:rPr>
              <w:t>Total single-family loans currently without credit enhancement</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4"/>
              <w:spacing w:after="0"/>
              <w:rPr>
                <w:sz w:val="20"/>
                <w:szCs w:val="20"/>
                <w:color w:val="auto"/>
              </w:rPr>
            </w:pPr>
            <w:r>
              <w:rPr>
                <w:rFonts w:ascii="Arial" w:cs="Arial" w:eastAsia="Arial" w:hAnsi="Arial"/>
                <w:sz w:val="16"/>
                <w:szCs w:val="16"/>
                <w:b w:val="1"/>
                <w:bCs w:val="1"/>
                <w:color w:val="auto"/>
              </w:rPr>
              <w:t>1,945</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54 %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1,991</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55 %</w:t>
            </w:r>
          </w:p>
        </w:tc>
        <w:tc>
          <w:tcPr>
            <w:tcW w:w="0" w:type="dxa"/>
            <w:vAlign w:val="bottom"/>
          </w:tcPr>
          <w:p>
            <w:pPr>
              <w:spacing w:after="0"/>
              <w:rPr>
                <w:sz w:val="1"/>
                <w:szCs w:val="1"/>
                <w:color w:val="auto"/>
              </w:rPr>
            </w:pPr>
          </w:p>
        </w:tc>
      </w:tr>
      <w:tr>
        <w:trPr>
          <w:trHeight w:val="21"/>
        </w:trPr>
        <w:tc>
          <w:tcPr>
            <w:tcW w:w="55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9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220" w:hanging="217"/>
        <w:spacing w:after="0"/>
        <w:tabs>
          <w:tab w:leader="none" w:pos="220"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Represents loans with an LTV ratio less than or equal to 60% or loans with an original maturity of 20 years or less.</w:t>
      </w:r>
    </w:p>
    <w:p>
      <w:pPr>
        <w:spacing w:after="0" w:line="37"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Represents loans that were acquired before the inception of our credit risk transfer programs. Also includes Refi Plus</w:t>
      </w:r>
      <w:r>
        <w:rPr>
          <w:rFonts w:ascii="Arial" w:cs="Arial" w:eastAsia="Arial" w:hAnsi="Arial"/>
          <w:sz w:val="17"/>
          <w:szCs w:val="17"/>
          <w:color w:val="auto"/>
          <w:vertAlign w:val="superscript"/>
        </w:rPr>
        <w:t>TM</w:t>
      </w:r>
      <w:r>
        <w:rPr>
          <w:rFonts w:ascii="Arial" w:cs="Arial" w:eastAsia="Arial" w:hAnsi="Arial"/>
          <w:sz w:val="14"/>
          <w:szCs w:val="14"/>
          <w:color w:val="auto"/>
        </w:rPr>
        <w:t xml:space="preserve"> loans.</w:t>
      </w:r>
    </w:p>
    <w:p>
      <w:pPr>
        <w:ind w:left="220" w:hanging="217"/>
        <w:spacing w:after="0" w:line="195" w:lineRule="auto"/>
        <w:tabs>
          <w:tab w:leader="none" w:pos="220"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Represents loans that were recently acquired and have not been included in a reference pool.</w:t>
      </w:r>
    </w:p>
    <w:p>
      <w:pPr>
        <w:spacing w:after="0" w:line="25" w:lineRule="exact"/>
        <w:rPr>
          <w:rFonts w:ascii="Arial" w:cs="Arial" w:eastAsia="Arial" w:hAnsi="Arial"/>
          <w:sz w:val="18"/>
          <w:szCs w:val="18"/>
          <w:color w:val="auto"/>
          <w:vertAlign w:val="superscript"/>
        </w:rPr>
      </w:pPr>
    </w:p>
    <w:p>
      <w:pPr>
        <w:ind w:left="240" w:right="80" w:hanging="237"/>
        <w:spacing w:after="0" w:line="255" w:lineRule="auto"/>
        <w:tabs>
          <w:tab w:leader="none" w:pos="233" w:val="left"/>
        </w:tabs>
        <w:numPr>
          <w:ilvl w:val="0"/>
          <w:numId w:val="35"/>
        </w:numPr>
        <w:rPr>
          <w:rFonts w:ascii="Arial" w:cs="Arial" w:eastAsia="Arial" w:hAnsi="Arial"/>
          <w:sz w:val="9"/>
          <w:szCs w:val="9"/>
          <w:color w:val="auto"/>
        </w:rPr>
      </w:pPr>
      <w:r>
        <w:rPr>
          <w:rFonts w:ascii="Arial" w:cs="Arial" w:eastAsia="Arial" w:hAnsi="Arial"/>
          <w:sz w:val="14"/>
          <w:szCs w:val="14"/>
          <w:color w:val="auto"/>
        </w:rPr>
        <w:t>Includes adjustable-rate mortgage loans, loans with a combined LTV ratio greater than 97%, non-Refi Plus loans acquired after the inception of our credit risk transfer programs that became 30 or more days delinquent prior to inclusion in a credit risk transfer transaction, and loans that were delinquent as of September 30, 2024 or December 31, 2023. Also includes loans that were previously included in a credit risk transfer transaction but subsequently had the coverage canceled.</w:t>
      </w:r>
    </w:p>
    <w:p>
      <w:pPr>
        <w:spacing w:after="0" w:line="80"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Single-Family Problem Loan Management</w:t>
      </w:r>
    </w:p>
    <w:p>
      <w:pPr>
        <w:spacing w:after="0" w:line="93"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Our problem loan management strategies focus primarily on reducing defaults to avoid losses that would otherwise occur and pursuing foreclosure alternatives to mitigate the severity of the losses we incur. See “MD&amp;A—Single-Family Business—Single-Family Mortgage Credit Risk Management— Single-Family Problem Loan Management” in our 2023 Form 10-K for a discussion of delinquency statistics on our problem loans, efforts undertaken to manage our problem loans, metrics regarding our loan workout activities, real estate owned (“REO”) management and other single-family credit-related information. The discussion below updates some of that information. We also provide ongoing credit performance information on loans underlying single-family Fannie Mae MBS and loans covered by single-family credit risk transfer transactions. For loans backing Fannie Mae MBS, see the “Forbearance and Delinquency Dashboard” available in the MBS section of our Data Dynamics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tool, which is available at www.fanniemae.com/datadynamics. For loans covered by credit risk transfer transactions, see the “Deal Performance Data” report available in the CAS and CIRT sections of the tool. Information on our website is not incorporated into this report. Information in Data Dynamics may differ from similar measures presented in our financial statements and other public disclosures for a variety of reasons, including as a result of variations in the loan population covered, timing differences in reporting and other factors.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2024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31</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60" w:type="dxa"/>
            <w:vAlign w:val="bottom"/>
            <w:tcBorders>
              <w:bottom w:val="single" w:sz="8" w:color="9A9A9A"/>
            </w:tcBorders>
          </w:tcPr>
          <w:p>
            <w:pPr>
              <w:spacing w:after="0"/>
              <w:rPr>
                <w:sz w:val="16"/>
                <w:szCs w:val="16"/>
                <w:color w:val="auto"/>
              </w:rPr>
            </w:pPr>
          </w:p>
        </w:tc>
        <w:tc>
          <w:tcPr>
            <w:tcW w:w="428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34" w:name="page35"/>
    <w:bookmarkEnd w:id="34"/>
    <w:p>
      <w:pPr>
        <w:ind w:left="608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17145</wp:posOffset>
            </wp:positionV>
            <wp:extent cx="699960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0"/>
        <w:spacing w:after="0"/>
        <w:rPr>
          <w:sz w:val="20"/>
          <w:szCs w:val="20"/>
          <w:color w:val="auto"/>
        </w:rPr>
      </w:pPr>
      <w:r>
        <w:rPr>
          <w:rFonts w:ascii="Georgia" w:cs="Georgia" w:eastAsia="Georgia" w:hAnsi="Georgia"/>
          <w:sz w:val="19"/>
          <w:szCs w:val="19"/>
          <w:i w:val="1"/>
          <w:iCs w:val="1"/>
          <w:color w:val="05314D"/>
        </w:rPr>
        <w:t>Delinquency</w:t>
      </w:r>
    </w:p>
    <w:p>
      <w:pPr>
        <w:spacing w:after="0" w:line="106" w:lineRule="exact"/>
        <w:rPr>
          <w:sz w:val="20"/>
          <w:szCs w:val="20"/>
          <w:color w:val="auto"/>
        </w:rPr>
      </w:pPr>
    </w:p>
    <w:p>
      <w:pPr>
        <w:ind w:left="20" w:right="20"/>
        <w:spacing w:after="0" w:line="263" w:lineRule="auto"/>
        <w:rPr>
          <w:sz w:val="20"/>
          <w:szCs w:val="20"/>
          <w:color w:val="auto"/>
        </w:rPr>
      </w:pPr>
      <w:r>
        <w:rPr>
          <w:rFonts w:ascii="Arial" w:cs="Arial" w:eastAsia="Arial" w:hAnsi="Arial"/>
          <w:sz w:val="16"/>
          <w:szCs w:val="16"/>
          <w:color w:val="auto"/>
        </w:rPr>
        <w:t>The tables below display the delinquency status of loans and changes in the volume of seriously delinquent loans in our single-family conventional guaranty book of business based on the number of loans. Single-family seriously delinquent loans are loans that are 90 days or more past due or in the foreclosure process. Our single-family serious delinquency rate is expressed as a percentage of our single-family conventional guaranty book of business based on loan count. Management monitors the single-family serious delinquency rate as an indicator of potential future credit losses and loss mitigation activities. Serious delinquency rates are reflective of our performance in assessing and managing credit risk associated with single-family loans in our guaranty book of business. Typically, higher serious delinquency rates result in a higher allowance for loan losses.</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b w:val="1"/>
          <w:bCs w:val="1"/>
          <w:color w:val="05314D"/>
        </w:rPr>
        <w:t>Delinquency Status and Activity of Single-Family Conventional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38735</wp:posOffset>
            </wp:positionV>
            <wp:extent cx="7138670" cy="165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83"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192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920" w:type="dxa"/>
            <w:vAlign w:val="bottom"/>
            <w:tcBorders>
              <w:bottom w:val="single" w:sz="8" w:color="2C6937"/>
            </w:tcBorders>
            <w:gridSpan w:val="3"/>
          </w:tcPr>
          <w:p>
            <w:pPr>
              <w:jc w:val="center"/>
              <w:ind w:right="220"/>
              <w:spacing w:after="0"/>
              <w:rPr>
                <w:sz w:val="20"/>
                <w:szCs w:val="20"/>
                <w:color w:val="auto"/>
              </w:rPr>
            </w:pPr>
            <w:r>
              <w:rPr>
                <w:rFonts w:ascii="Arial" w:cs="Arial" w:eastAsia="Arial" w:hAnsi="Arial"/>
                <w:sz w:val="14"/>
                <w:szCs w:val="14"/>
                <w:b w:val="1"/>
                <w:bCs w:val="1"/>
                <w:color w:val="auto"/>
                <w:w w:val="97"/>
              </w:rPr>
              <w:t>As of</w:t>
            </w:r>
          </w:p>
        </w:tc>
        <w:tc>
          <w:tcPr>
            <w:tcW w:w="20" w:type="dxa"/>
            <w:vAlign w:val="bottom"/>
            <w:tcBorders>
              <w:bottom w:val="single" w:sz="8" w:color="2C6937"/>
            </w:tcBorders>
          </w:tcPr>
          <w:p>
            <w:pPr>
              <w:spacing w:after="0"/>
              <w:rPr>
                <w:sz w:val="17"/>
                <w:szCs w:val="17"/>
                <w:color w:val="auto"/>
              </w:rPr>
            </w:pPr>
          </w:p>
        </w:tc>
        <w:tc>
          <w:tcPr>
            <w:tcW w:w="1860" w:type="dxa"/>
            <w:vAlign w:val="bottom"/>
            <w:tcBorders>
              <w:bottom w:val="single" w:sz="8" w:color="2C6937"/>
            </w:tcBorders>
          </w:tcPr>
          <w:p>
            <w:pPr>
              <w:spacing w:after="0"/>
              <w:rPr>
                <w:sz w:val="17"/>
                <w:szCs w:val="17"/>
                <w:color w:val="auto"/>
              </w:rPr>
            </w:pPr>
          </w:p>
        </w:tc>
        <w:tc>
          <w:tcPr>
            <w:tcW w:w="4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2020" w:type="dxa"/>
            <w:vAlign w:val="bottom"/>
            <w:gridSpan w:val="2"/>
          </w:tcPr>
          <w:p>
            <w:pPr>
              <w:ind w:left="320"/>
              <w:spacing w:after="0"/>
              <w:rPr>
                <w:sz w:val="20"/>
                <w:szCs w:val="20"/>
                <w:color w:val="auto"/>
              </w:rPr>
            </w:pPr>
            <w:r>
              <w:rPr>
                <w:rFonts w:ascii="Arial" w:cs="Arial" w:eastAsia="Arial" w:hAnsi="Arial"/>
                <w:sz w:val="14"/>
                <w:szCs w:val="14"/>
                <w:b w:val="1"/>
                <w:bCs w:val="1"/>
                <w:color w:val="auto"/>
              </w:rPr>
              <w:t>September 30, 2024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8"/>
              </w:rPr>
              <w:t>December 31, 2023</w:t>
            </w:r>
          </w:p>
        </w:tc>
        <w:tc>
          <w:tcPr>
            <w:tcW w:w="20" w:type="dxa"/>
            <w:vAlign w:val="bottom"/>
          </w:tcPr>
          <w:p>
            <w:pPr>
              <w:spacing w:after="0"/>
              <w:rPr>
                <w:sz w:val="16"/>
                <w:szCs w:val="16"/>
                <w:color w:val="auto"/>
              </w:rPr>
            </w:pPr>
          </w:p>
        </w:tc>
        <w:tc>
          <w:tcPr>
            <w:tcW w:w="1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September 30, 2023</w:t>
            </w:r>
          </w:p>
        </w:tc>
        <w:tc>
          <w:tcPr>
            <w:tcW w:w="0" w:type="dxa"/>
            <w:vAlign w:val="bottom"/>
          </w:tcPr>
          <w:p>
            <w:pPr>
              <w:spacing w:after="0"/>
              <w:rPr>
                <w:sz w:val="1"/>
                <w:szCs w:val="1"/>
                <w:color w:val="auto"/>
              </w:rPr>
            </w:pPr>
          </w:p>
        </w:tc>
      </w:tr>
      <w:tr>
        <w:trPr>
          <w:trHeight w:val="207"/>
        </w:trPr>
        <w:tc>
          <w:tcPr>
            <w:tcW w:w="5240" w:type="dxa"/>
            <w:vAlign w:val="bottom"/>
            <w:gridSpan w:val="2"/>
          </w:tcPr>
          <w:p>
            <w:pPr>
              <w:spacing w:after="0"/>
              <w:rPr>
                <w:sz w:val="20"/>
                <w:szCs w:val="20"/>
                <w:color w:val="auto"/>
              </w:rPr>
            </w:pPr>
            <w:r>
              <w:rPr>
                <w:rFonts w:ascii="Arial" w:cs="Arial" w:eastAsia="Arial" w:hAnsi="Arial"/>
                <w:sz w:val="15"/>
                <w:szCs w:val="15"/>
                <w:b w:val="1"/>
                <w:bCs w:val="1"/>
                <w:color w:val="auto"/>
              </w:rPr>
              <w:t>Delinquency status:</w:t>
            </w:r>
          </w:p>
        </w:tc>
        <w:tc>
          <w:tcPr>
            <w:tcW w:w="1920" w:type="dxa"/>
            <w:vAlign w:val="bottom"/>
            <w:tcBorders>
              <w:top w:val="single" w:sz="8" w:color="2C6937"/>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2C6937"/>
            </w:tcBorders>
          </w:tcPr>
          <w:p>
            <w:pPr>
              <w:spacing w:after="0"/>
              <w:rPr>
                <w:sz w:val="18"/>
                <w:szCs w:val="18"/>
                <w:color w:val="auto"/>
              </w:rPr>
            </w:pPr>
          </w:p>
        </w:tc>
        <w:tc>
          <w:tcPr>
            <w:tcW w:w="100" w:type="dxa"/>
            <w:vAlign w:val="bottom"/>
            <w:tcBorders>
              <w:top w:val="single" w:sz="8" w:color="2C6937"/>
            </w:tcBorders>
          </w:tcPr>
          <w:p>
            <w:pPr>
              <w:spacing w:after="0"/>
              <w:rPr>
                <w:sz w:val="18"/>
                <w:szCs w:val="18"/>
                <w:color w:val="auto"/>
              </w:rPr>
            </w:pPr>
          </w:p>
        </w:tc>
        <w:tc>
          <w:tcPr>
            <w:tcW w:w="1800" w:type="dxa"/>
            <w:vAlign w:val="bottom"/>
            <w:tcBorders>
              <w:top w:val="single" w:sz="8" w:color="2C6937"/>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2C6937"/>
            </w:tcBorders>
          </w:tcPr>
          <w:p>
            <w:pPr>
              <w:spacing w:after="0"/>
              <w:rPr>
                <w:sz w:val="18"/>
                <w:szCs w:val="18"/>
                <w:color w:val="auto"/>
              </w:rPr>
            </w:pPr>
          </w:p>
        </w:tc>
        <w:tc>
          <w:tcPr>
            <w:tcW w:w="1860" w:type="dxa"/>
            <w:vAlign w:val="bottom"/>
            <w:tcBorders>
              <w:top w:val="single" w:sz="8" w:color="2C6937"/>
            </w:tcBorders>
          </w:tcPr>
          <w:p>
            <w:pPr>
              <w:spacing w:after="0"/>
              <w:rPr>
                <w:sz w:val="18"/>
                <w:szCs w:val="18"/>
                <w:color w:val="auto"/>
              </w:rPr>
            </w:pPr>
          </w:p>
        </w:tc>
        <w:tc>
          <w:tcPr>
            <w:tcW w:w="40" w:type="dxa"/>
            <w:vAlign w:val="bottom"/>
            <w:tcBorders>
              <w:top w:val="single" w:sz="8" w:color="2C6937"/>
            </w:tcBorders>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220" w:type="dxa"/>
            <w:vAlign w:val="bottom"/>
          </w:tcPr>
          <w:p>
            <w:pPr>
              <w:ind w:left="140"/>
              <w:spacing w:after="0"/>
              <w:rPr>
                <w:sz w:val="20"/>
                <w:szCs w:val="20"/>
                <w:color w:val="auto"/>
              </w:rPr>
            </w:pPr>
            <w:r>
              <w:rPr>
                <w:rFonts w:ascii="Arial" w:cs="Arial" w:eastAsia="Arial" w:hAnsi="Arial"/>
                <w:sz w:val="15"/>
                <w:szCs w:val="15"/>
                <w:color w:val="auto"/>
              </w:rPr>
              <w:t>30 to 59 days delinquent</w:t>
            </w:r>
          </w:p>
        </w:tc>
        <w:tc>
          <w:tcPr>
            <w:tcW w:w="1920" w:type="dxa"/>
            <w:vAlign w:val="bottom"/>
          </w:tcPr>
          <w:p>
            <w:pPr>
              <w:jc w:val="right"/>
              <w:spacing w:after="0"/>
              <w:rPr>
                <w:sz w:val="20"/>
                <w:szCs w:val="20"/>
                <w:color w:val="auto"/>
              </w:rPr>
            </w:pPr>
            <w:r>
              <w:rPr>
                <w:rFonts w:ascii="Arial" w:cs="Arial" w:eastAsia="Arial" w:hAnsi="Arial"/>
                <w:sz w:val="15"/>
                <w:szCs w:val="15"/>
                <w:b w:val="1"/>
                <w:bCs w:val="1"/>
                <w:color w:val="auto"/>
              </w:rPr>
              <w:t>1.02 %</w:t>
            </w:r>
          </w:p>
        </w:tc>
        <w:tc>
          <w:tcPr>
            <w:tcW w:w="100" w:type="dxa"/>
            <w:vAlign w:val="bottom"/>
          </w:tcPr>
          <w:p>
            <w:pPr>
              <w:spacing w:after="0"/>
              <w:rPr>
                <w:sz w:val="21"/>
                <w:szCs w:val="21"/>
                <w:color w:val="auto"/>
              </w:rPr>
            </w:pPr>
          </w:p>
        </w:tc>
        <w:tc>
          <w:tcPr>
            <w:tcW w:w="1920" w:type="dxa"/>
            <w:vAlign w:val="bottom"/>
            <w:gridSpan w:val="3"/>
          </w:tcPr>
          <w:p>
            <w:pPr>
              <w:jc w:val="right"/>
              <w:spacing w:after="0"/>
              <w:rPr>
                <w:sz w:val="20"/>
                <w:szCs w:val="20"/>
                <w:color w:val="auto"/>
              </w:rPr>
            </w:pPr>
            <w:r>
              <w:rPr>
                <w:rFonts w:ascii="Arial" w:cs="Arial" w:eastAsia="Arial" w:hAnsi="Arial"/>
                <w:sz w:val="15"/>
                <w:szCs w:val="15"/>
                <w:color w:val="auto"/>
              </w:rPr>
              <w:t>1.06 %</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920" w:type="dxa"/>
            <w:vAlign w:val="bottom"/>
            <w:gridSpan w:val="3"/>
          </w:tcPr>
          <w:p>
            <w:pPr>
              <w:jc w:val="right"/>
              <w:ind w:right="20"/>
              <w:spacing w:after="0"/>
              <w:rPr>
                <w:sz w:val="20"/>
                <w:szCs w:val="20"/>
                <w:color w:val="auto"/>
              </w:rPr>
            </w:pPr>
            <w:r>
              <w:rPr>
                <w:rFonts w:ascii="Arial" w:cs="Arial" w:eastAsia="Arial" w:hAnsi="Arial"/>
                <w:sz w:val="15"/>
                <w:szCs w:val="15"/>
                <w:color w:val="auto"/>
              </w:rPr>
              <w:t>0.95 %</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220" w:type="dxa"/>
            <w:vAlign w:val="bottom"/>
          </w:tcPr>
          <w:p>
            <w:pPr>
              <w:ind w:left="140"/>
              <w:spacing w:after="0"/>
              <w:rPr>
                <w:sz w:val="20"/>
                <w:szCs w:val="20"/>
                <w:color w:val="auto"/>
              </w:rPr>
            </w:pPr>
            <w:r>
              <w:rPr>
                <w:rFonts w:ascii="Arial" w:cs="Arial" w:eastAsia="Arial" w:hAnsi="Arial"/>
                <w:sz w:val="15"/>
                <w:szCs w:val="15"/>
                <w:color w:val="auto"/>
              </w:rPr>
              <w:t>60 to 89 days delinquent</w:t>
            </w:r>
          </w:p>
        </w:tc>
        <w:tc>
          <w:tcPr>
            <w:tcW w:w="1920" w:type="dxa"/>
            <w:vAlign w:val="bottom"/>
          </w:tcPr>
          <w:p>
            <w:pPr>
              <w:jc w:val="right"/>
              <w:ind w:right="124"/>
              <w:spacing w:after="0"/>
              <w:rPr>
                <w:sz w:val="20"/>
                <w:szCs w:val="20"/>
                <w:color w:val="auto"/>
              </w:rPr>
            </w:pPr>
            <w:r>
              <w:rPr>
                <w:rFonts w:ascii="Arial" w:cs="Arial" w:eastAsia="Arial" w:hAnsi="Arial"/>
                <w:sz w:val="15"/>
                <w:szCs w:val="15"/>
                <w:b w:val="1"/>
                <w:bCs w:val="1"/>
                <w:color w:val="auto"/>
              </w:rPr>
              <w:t>0.26</w:t>
            </w:r>
          </w:p>
        </w:tc>
        <w:tc>
          <w:tcPr>
            <w:tcW w:w="100" w:type="dxa"/>
            <w:vAlign w:val="bottom"/>
          </w:tcPr>
          <w:p>
            <w:pPr>
              <w:spacing w:after="0"/>
              <w:rPr>
                <w:sz w:val="20"/>
                <w:szCs w:val="20"/>
                <w:color w:val="auto"/>
              </w:rPr>
            </w:pPr>
          </w:p>
        </w:tc>
        <w:tc>
          <w:tcPr>
            <w:tcW w:w="1920" w:type="dxa"/>
            <w:vAlign w:val="bottom"/>
            <w:gridSpan w:val="3"/>
          </w:tcPr>
          <w:p>
            <w:pPr>
              <w:jc w:val="right"/>
              <w:ind w:right="108"/>
              <w:spacing w:after="0"/>
              <w:rPr>
                <w:sz w:val="20"/>
                <w:szCs w:val="20"/>
                <w:color w:val="auto"/>
              </w:rPr>
            </w:pPr>
            <w:r>
              <w:rPr>
                <w:rFonts w:ascii="Arial" w:cs="Arial" w:eastAsia="Arial" w:hAnsi="Arial"/>
                <w:sz w:val="15"/>
                <w:szCs w:val="15"/>
                <w:color w:val="auto"/>
              </w:rPr>
              <w:t>0.26</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80" w:type="dxa"/>
            <w:vAlign w:val="bottom"/>
            <w:gridSpan w:val="2"/>
          </w:tcPr>
          <w:p>
            <w:pPr>
              <w:jc w:val="right"/>
              <w:ind w:right="87"/>
              <w:spacing w:after="0"/>
              <w:rPr>
                <w:sz w:val="20"/>
                <w:szCs w:val="20"/>
                <w:color w:val="auto"/>
              </w:rPr>
            </w:pPr>
            <w:r>
              <w:rPr>
                <w:rFonts w:ascii="Arial" w:cs="Arial" w:eastAsia="Arial" w:hAnsi="Arial"/>
                <w:sz w:val="15"/>
                <w:szCs w:val="15"/>
                <w:color w:val="auto"/>
              </w:rPr>
              <w:t>0.23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220" w:type="dxa"/>
            <w:vAlign w:val="bottom"/>
          </w:tcPr>
          <w:p>
            <w:pPr>
              <w:ind w:left="140"/>
              <w:spacing w:after="0"/>
              <w:rPr>
                <w:sz w:val="20"/>
                <w:szCs w:val="20"/>
                <w:color w:val="auto"/>
              </w:rPr>
            </w:pPr>
            <w:r>
              <w:rPr>
                <w:rFonts w:ascii="Arial" w:cs="Arial" w:eastAsia="Arial" w:hAnsi="Arial"/>
                <w:sz w:val="15"/>
                <w:szCs w:val="15"/>
                <w:color w:val="auto"/>
              </w:rPr>
              <w:t>Seriously delinquent (“SDQ”):</w:t>
            </w:r>
          </w:p>
        </w:tc>
        <w:tc>
          <w:tcPr>
            <w:tcW w:w="1920" w:type="dxa"/>
            <w:vAlign w:val="bottom"/>
          </w:tcPr>
          <w:p>
            <w:pPr>
              <w:jc w:val="right"/>
              <w:ind w:right="124"/>
              <w:spacing w:after="0"/>
              <w:rPr>
                <w:sz w:val="20"/>
                <w:szCs w:val="20"/>
                <w:color w:val="auto"/>
              </w:rPr>
            </w:pPr>
            <w:r>
              <w:rPr>
                <w:rFonts w:ascii="Arial" w:cs="Arial" w:eastAsia="Arial" w:hAnsi="Arial"/>
                <w:sz w:val="15"/>
                <w:szCs w:val="15"/>
                <w:b w:val="1"/>
                <w:bCs w:val="1"/>
                <w:color w:val="auto"/>
              </w:rPr>
              <w:t>0.52</w:t>
            </w:r>
          </w:p>
        </w:tc>
        <w:tc>
          <w:tcPr>
            <w:tcW w:w="100" w:type="dxa"/>
            <w:vAlign w:val="bottom"/>
          </w:tcPr>
          <w:p>
            <w:pPr>
              <w:spacing w:after="0"/>
              <w:rPr>
                <w:sz w:val="20"/>
                <w:szCs w:val="20"/>
                <w:color w:val="auto"/>
              </w:rPr>
            </w:pPr>
          </w:p>
        </w:tc>
        <w:tc>
          <w:tcPr>
            <w:tcW w:w="1920" w:type="dxa"/>
            <w:vAlign w:val="bottom"/>
            <w:gridSpan w:val="3"/>
          </w:tcPr>
          <w:p>
            <w:pPr>
              <w:jc w:val="right"/>
              <w:ind w:right="108"/>
              <w:spacing w:after="0"/>
              <w:rPr>
                <w:sz w:val="20"/>
                <w:szCs w:val="20"/>
                <w:color w:val="auto"/>
              </w:rPr>
            </w:pPr>
            <w:r>
              <w:rPr>
                <w:rFonts w:ascii="Arial" w:cs="Arial" w:eastAsia="Arial" w:hAnsi="Arial"/>
                <w:sz w:val="15"/>
                <w:szCs w:val="15"/>
                <w:color w:val="auto"/>
              </w:rPr>
              <w:t>0.55</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80" w:type="dxa"/>
            <w:vAlign w:val="bottom"/>
            <w:gridSpan w:val="2"/>
          </w:tcPr>
          <w:p>
            <w:pPr>
              <w:jc w:val="right"/>
              <w:ind w:right="87"/>
              <w:spacing w:after="0"/>
              <w:rPr>
                <w:sz w:val="20"/>
                <w:szCs w:val="20"/>
                <w:color w:val="auto"/>
              </w:rPr>
            </w:pPr>
            <w:r>
              <w:rPr>
                <w:rFonts w:ascii="Arial" w:cs="Arial" w:eastAsia="Arial" w:hAnsi="Arial"/>
                <w:sz w:val="15"/>
                <w:szCs w:val="15"/>
                <w:color w:val="auto"/>
              </w:rPr>
              <w:t>0.54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220" w:type="dxa"/>
            <w:vAlign w:val="bottom"/>
          </w:tcPr>
          <w:p>
            <w:pPr>
              <w:ind w:left="280"/>
              <w:spacing w:after="0"/>
              <w:rPr>
                <w:sz w:val="20"/>
                <w:szCs w:val="20"/>
                <w:color w:val="auto"/>
              </w:rPr>
            </w:pPr>
            <w:r>
              <w:rPr>
                <w:rFonts w:ascii="Arial" w:cs="Arial" w:eastAsia="Arial" w:hAnsi="Arial"/>
                <w:sz w:val="15"/>
                <w:szCs w:val="15"/>
                <w:color w:val="auto"/>
              </w:rPr>
              <w:t>Percentage of SDQ loans that have been delinquent for more than</w:t>
            </w: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20" w:type="dxa"/>
            <w:vAlign w:val="bottom"/>
          </w:tcPr>
          <w:p>
            <w:pPr>
              <w:ind w:left="440"/>
              <w:spacing w:after="0"/>
              <w:rPr>
                <w:sz w:val="20"/>
                <w:szCs w:val="20"/>
                <w:color w:val="auto"/>
              </w:rPr>
            </w:pPr>
            <w:r>
              <w:rPr>
                <w:rFonts w:ascii="Arial" w:cs="Arial" w:eastAsia="Arial" w:hAnsi="Arial"/>
                <w:sz w:val="15"/>
                <w:szCs w:val="15"/>
                <w:color w:val="auto"/>
              </w:rPr>
              <w:t>180 days</w:t>
            </w:r>
          </w:p>
        </w:tc>
        <w:tc>
          <w:tcPr>
            <w:tcW w:w="1920" w:type="dxa"/>
            <w:vAlign w:val="bottom"/>
          </w:tcPr>
          <w:p>
            <w:pPr>
              <w:jc w:val="right"/>
              <w:ind w:right="124"/>
              <w:spacing w:after="0"/>
              <w:rPr>
                <w:sz w:val="20"/>
                <w:szCs w:val="20"/>
                <w:color w:val="auto"/>
              </w:rPr>
            </w:pPr>
            <w:r>
              <w:rPr>
                <w:rFonts w:ascii="Arial" w:cs="Arial" w:eastAsia="Arial" w:hAnsi="Arial"/>
                <w:sz w:val="15"/>
                <w:szCs w:val="15"/>
                <w:b w:val="1"/>
                <w:bCs w:val="1"/>
                <w:color w:val="auto"/>
              </w:rPr>
              <w:t>44</w:t>
            </w:r>
          </w:p>
        </w:tc>
        <w:tc>
          <w:tcPr>
            <w:tcW w:w="100" w:type="dxa"/>
            <w:vAlign w:val="bottom"/>
          </w:tcPr>
          <w:p>
            <w:pPr>
              <w:spacing w:after="0"/>
              <w:rPr>
                <w:sz w:val="20"/>
                <w:szCs w:val="20"/>
                <w:color w:val="auto"/>
              </w:rPr>
            </w:pPr>
          </w:p>
        </w:tc>
        <w:tc>
          <w:tcPr>
            <w:tcW w:w="1920" w:type="dxa"/>
            <w:vAlign w:val="bottom"/>
            <w:gridSpan w:val="3"/>
          </w:tcPr>
          <w:p>
            <w:pPr>
              <w:jc w:val="right"/>
              <w:ind w:right="108"/>
              <w:spacing w:after="0"/>
              <w:rPr>
                <w:sz w:val="20"/>
                <w:szCs w:val="20"/>
                <w:color w:val="auto"/>
              </w:rPr>
            </w:pPr>
            <w:r>
              <w:rPr>
                <w:rFonts w:ascii="Arial" w:cs="Arial" w:eastAsia="Arial" w:hAnsi="Arial"/>
                <w:sz w:val="15"/>
                <w:szCs w:val="15"/>
                <w:color w:val="auto"/>
              </w:rPr>
              <w:t>47</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80" w:type="dxa"/>
            <w:vAlign w:val="bottom"/>
            <w:gridSpan w:val="2"/>
          </w:tcPr>
          <w:p>
            <w:pPr>
              <w:jc w:val="right"/>
              <w:ind w:right="87"/>
              <w:spacing w:after="0"/>
              <w:rPr>
                <w:sz w:val="20"/>
                <w:szCs w:val="20"/>
                <w:color w:val="auto"/>
              </w:rPr>
            </w:pPr>
            <w:r>
              <w:rPr>
                <w:rFonts w:ascii="Arial" w:cs="Arial" w:eastAsia="Arial" w:hAnsi="Arial"/>
                <w:sz w:val="15"/>
                <w:szCs w:val="15"/>
                <w:color w:val="auto"/>
              </w:rPr>
              <w:t>51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220" w:type="dxa"/>
            <w:vAlign w:val="bottom"/>
          </w:tcPr>
          <w:p>
            <w:pPr>
              <w:ind w:left="280"/>
              <w:spacing w:after="0"/>
              <w:rPr>
                <w:sz w:val="20"/>
                <w:szCs w:val="20"/>
                <w:color w:val="auto"/>
              </w:rPr>
            </w:pPr>
            <w:r>
              <w:rPr>
                <w:rFonts w:ascii="Arial" w:cs="Arial" w:eastAsia="Arial" w:hAnsi="Arial"/>
                <w:sz w:val="15"/>
                <w:szCs w:val="15"/>
                <w:color w:val="auto"/>
              </w:rPr>
              <w:t>Percentage of SDQ loans that have been delinquent for more than two</w:t>
            </w: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20" w:type="dxa"/>
            <w:vAlign w:val="bottom"/>
          </w:tcPr>
          <w:p>
            <w:pPr>
              <w:ind w:left="440"/>
              <w:spacing w:after="0"/>
              <w:rPr>
                <w:sz w:val="20"/>
                <w:szCs w:val="20"/>
                <w:color w:val="auto"/>
              </w:rPr>
            </w:pPr>
            <w:r>
              <w:rPr>
                <w:rFonts w:ascii="Arial" w:cs="Arial" w:eastAsia="Arial" w:hAnsi="Arial"/>
                <w:sz w:val="15"/>
                <w:szCs w:val="15"/>
                <w:color w:val="auto"/>
              </w:rPr>
              <w:t>years</w:t>
            </w:r>
          </w:p>
        </w:tc>
        <w:tc>
          <w:tcPr>
            <w:tcW w:w="1920" w:type="dxa"/>
            <w:vAlign w:val="bottom"/>
          </w:tcPr>
          <w:p>
            <w:pPr>
              <w:jc w:val="right"/>
              <w:ind w:right="124"/>
              <w:spacing w:after="0"/>
              <w:rPr>
                <w:sz w:val="20"/>
                <w:szCs w:val="20"/>
                <w:color w:val="auto"/>
              </w:rPr>
            </w:pPr>
            <w:r>
              <w:rPr>
                <w:rFonts w:ascii="Arial" w:cs="Arial" w:eastAsia="Arial" w:hAnsi="Arial"/>
                <w:sz w:val="15"/>
                <w:szCs w:val="15"/>
                <w:b w:val="1"/>
                <w:bCs w:val="1"/>
                <w:color w:val="auto"/>
              </w:rPr>
              <w:t>7</w:t>
            </w:r>
          </w:p>
        </w:tc>
        <w:tc>
          <w:tcPr>
            <w:tcW w:w="100" w:type="dxa"/>
            <w:vAlign w:val="bottom"/>
          </w:tcPr>
          <w:p>
            <w:pPr>
              <w:spacing w:after="0"/>
              <w:rPr>
                <w:sz w:val="20"/>
                <w:szCs w:val="20"/>
                <w:color w:val="auto"/>
              </w:rPr>
            </w:pPr>
          </w:p>
        </w:tc>
        <w:tc>
          <w:tcPr>
            <w:tcW w:w="1920" w:type="dxa"/>
            <w:vAlign w:val="bottom"/>
            <w:gridSpan w:val="3"/>
          </w:tcPr>
          <w:p>
            <w:pPr>
              <w:jc w:val="right"/>
              <w:ind w:right="108"/>
              <w:spacing w:after="0"/>
              <w:rPr>
                <w:sz w:val="20"/>
                <w:szCs w:val="20"/>
                <w:color w:val="auto"/>
              </w:rPr>
            </w:pPr>
            <w:r>
              <w:rPr>
                <w:rFonts w:ascii="Arial" w:cs="Arial" w:eastAsia="Arial" w:hAnsi="Arial"/>
                <w:sz w:val="15"/>
                <w:szCs w:val="15"/>
                <w:color w:val="auto"/>
              </w:rPr>
              <w:t>10</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80" w:type="dxa"/>
            <w:vAlign w:val="bottom"/>
            <w:gridSpan w:val="2"/>
          </w:tcPr>
          <w:p>
            <w:pPr>
              <w:jc w:val="right"/>
              <w:ind w:right="87"/>
              <w:spacing w:after="0"/>
              <w:rPr>
                <w:sz w:val="20"/>
                <w:szCs w:val="20"/>
                <w:color w:val="auto"/>
              </w:rPr>
            </w:pPr>
            <w:r>
              <w:rPr>
                <w:rFonts w:ascii="Arial" w:cs="Arial" w:eastAsia="Arial" w:hAnsi="Arial"/>
                <w:sz w:val="15"/>
                <w:szCs w:val="15"/>
                <w:color w:val="auto"/>
              </w:rPr>
              <w:t>13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0" w:type="dxa"/>
            <w:vAlign w:val="bottom"/>
            <w:tcBorders>
              <w:bottom w:val="single" w:sz="8" w:color="2C6937"/>
            </w:tcBorders>
            <w:gridSpan w:val="5"/>
          </w:tcPr>
          <w:p>
            <w:pPr>
              <w:jc w:val="right"/>
              <w:ind w:right="447"/>
              <w:spacing w:after="0"/>
              <w:rPr>
                <w:sz w:val="20"/>
                <w:szCs w:val="20"/>
                <w:color w:val="auto"/>
              </w:rPr>
            </w:pPr>
            <w:r>
              <w:rPr>
                <w:rFonts w:ascii="Arial" w:cs="Arial" w:eastAsia="Arial" w:hAnsi="Arial"/>
                <w:sz w:val="14"/>
                <w:szCs w:val="14"/>
                <w:b w:val="1"/>
                <w:bCs w:val="1"/>
                <w:color w:val="auto"/>
              </w:rPr>
              <w:t>For the Nine Months Ended September 30,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gridSpan w:val="2"/>
          </w:tcPr>
          <w:p>
            <w:pPr>
              <w:spacing w:after="0"/>
              <w:rPr>
                <w:sz w:val="16"/>
                <w:szCs w:val="16"/>
                <w:color w:val="auto"/>
              </w:rPr>
            </w:pPr>
          </w:p>
        </w:tc>
        <w:tc>
          <w:tcPr>
            <w:tcW w:w="1800" w:type="dxa"/>
            <w:vAlign w:val="bottom"/>
            <w:tcBorders>
              <w:bottom w:val="single" w:sz="8" w:color="2C6937"/>
            </w:tcBorders>
          </w:tcPr>
          <w:p>
            <w:pPr>
              <w:jc w:val="right"/>
              <w:ind w:right="648"/>
              <w:spacing w:after="0"/>
              <w:rPr>
                <w:sz w:val="20"/>
                <w:szCs w:val="20"/>
                <w:color w:val="auto"/>
              </w:rPr>
            </w:pPr>
            <w:r>
              <w:rPr>
                <w:rFonts w:ascii="Arial" w:cs="Arial" w:eastAsia="Arial" w:hAnsi="Arial"/>
                <w:sz w:val="14"/>
                <w:szCs w:val="14"/>
                <w:b w:val="1"/>
                <w:bCs w:val="1"/>
                <w:color w:val="auto"/>
              </w:rPr>
              <w:t>2024</w:t>
            </w:r>
          </w:p>
        </w:tc>
        <w:tc>
          <w:tcPr>
            <w:tcW w:w="60" w:type="dxa"/>
            <w:vAlign w:val="bottom"/>
            <w:tcBorders>
              <w:bottom w:val="single" w:sz="8" w:color="2C6937"/>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60" w:type="dxa"/>
            <w:vAlign w:val="bottom"/>
            <w:tcBorders>
              <w:bottom w:val="single" w:sz="8" w:color="2C6937"/>
            </w:tcBorders>
          </w:tcPr>
          <w:p>
            <w:pPr>
              <w:jc w:val="right"/>
              <w:ind w:right="687"/>
              <w:spacing w:after="0"/>
              <w:rPr>
                <w:sz w:val="20"/>
                <w:szCs w:val="20"/>
                <w:color w:val="auto"/>
              </w:rPr>
            </w:pPr>
            <w:r>
              <w:rPr>
                <w:rFonts w:ascii="Arial" w:cs="Arial" w:eastAsia="Arial" w:hAnsi="Arial"/>
                <w:sz w:val="14"/>
                <w:szCs w:val="14"/>
                <w:b w:val="1"/>
                <w:bCs w:val="1"/>
                <w:color w:val="auto"/>
              </w:rPr>
              <w:t>2023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Arial" w:cs="Arial" w:eastAsia="Arial" w:hAnsi="Arial"/>
                <w:sz w:val="15"/>
                <w:szCs w:val="15"/>
                <w:b w:val="1"/>
                <w:bCs w:val="1"/>
                <w:color w:val="auto"/>
              </w:rPr>
              <w:t>Single-family SDQ loans (number of loans):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3"/>
            <w:vMerge w:val="restart"/>
          </w:tcPr>
          <w:p>
            <w:pPr>
              <w:jc w:val="right"/>
              <w:spacing w:after="0"/>
              <w:rPr>
                <w:sz w:val="20"/>
                <w:szCs w:val="20"/>
                <w:color w:val="auto"/>
              </w:rPr>
            </w:pPr>
            <w:r>
              <w:rPr>
                <w:rFonts w:ascii="Arial" w:cs="Arial" w:eastAsia="Arial" w:hAnsi="Arial"/>
                <w:sz w:val="15"/>
                <w:szCs w:val="15"/>
                <w:b w:val="1"/>
                <w:bCs w:val="1"/>
                <w:color w:val="auto"/>
              </w:rPr>
              <w:t>96,479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Arial" w:cs="Arial" w:eastAsia="Arial" w:hAnsi="Arial"/>
                <w:sz w:val="15"/>
                <w:szCs w:val="15"/>
                <w:color w:val="auto"/>
              </w:rPr>
              <w:t>Beginning balance</w:t>
            </w: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80" w:type="dxa"/>
            <w:vAlign w:val="bottom"/>
            <w:gridSpan w:val="2"/>
          </w:tcPr>
          <w:p>
            <w:pPr>
              <w:jc w:val="right"/>
              <w:spacing w:after="0"/>
              <w:rPr>
                <w:sz w:val="20"/>
                <w:szCs w:val="20"/>
                <w:color w:val="auto"/>
              </w:rPr>
            </w:pPr>
            <w:r>
              <w:rPr>
                <w:rFonts w:ascii="Arial" w:cs="Arial" w:eastAsia="Arial" w:hAnsi="Arial"/>
                <w:sz w:val="15"/>
                <w:szCs w:val="15"/>
                <w:color w:val="auto"/>
              </w:rPr>
              <w:t>114,960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220" w:type="dxa"/>
            <w:vAlign w:val="bottom"/>
          </w:tcPr>
          <w:p>
            <w:pPr>
              <w:ind w:left="320"/>
              <w:spacing w:after="0"/>
              <w:rPr>
                <w:sz w:val="20"/>
                <w:szCs w:val="20"/>
                <w:color w:val="auto"/>
              </w:rPr>
            </w:pPr>
            <w:r>
              <w:rPr>
                <w:rFonts w:ascii="Arial" w:cs="Arial" w:eastAsia="Arial" w:hAnsi="Arial"/>
                <w:sz w:val="15"/>
                <w:szCs w:val="15"/>
                <w:color w:val="auto"/>
              </w:rPr>
              <w:t>Additions</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3"/>
          </w:tcPr>
          <w:p>
            <w:pPr>
              <w:jc w:val="right"/>
              <w:spacing w:after="0"/>
              <w:rPr>
                <w:sz w:val="20"/>
                <w:szCs w:val="20"/>
                <w:color w:val="auto"/>
              </w:rPr>
            </w:pPr>
            <w:r>
              <w:rPr>
                <w:rFonts w:ascii="Arial" w:cs="Arial" w:eastAsia="Arial" w:hAnsi="Arial"/>
                <w:sz w:val="15"/>
                <w:szCs w:val="15"/>
                <w:b w:val="1"/>
                <w:bCs w:val="1"/>
                <w:color w:val="auto"/>
              </w:rPr>
              <w:t>128,936</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80" w:type="dxa"/>
            <w:vAlign w:val="bottom"/>
            <w:gridSpan w:val="2"/>
          </w:tcPr>
          <w:p>
            <w:pPr>
              <w:jc w:val="right"/>
              <w:spacing w:after="0"/>
              <w:rPr>
                <w:sz w:val="20"/>
                <w:szCs w:val="20"/>
                <w:color w:val="auto"/>
              </w:rPr>
            </w:pPr>
            <w:r>
              <w:rPr>
                <w:rFonts w:ascii="Arial" w:cs="Arial" w:eastAsia="Arial" w:hAnsi="Arial"/>
                <w:sz w:val="15"/>
                <w:szCs w:val="15"/>
                <w:color w:val="auto"/>
              </w:rPr>
              <w:t>122,594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220" w:type="dxa"/>
            <w:vAlign w:val="bottom"/>
          </w:tcPr>
          <w:p>
            <w:pPr>
              <w:ind w:left="320"/>
              <w:spacing w:after="0"/>
              <w:rPr>
                <w:sz w:val="20"/>
                <w:szCs w:val="20"/>
                <w:color w:val="auto"/>
              </w:rPr>
            </w:pPr>
            <w:r>
              <w:rPr>
                <w:rFonts w:ascii="Arial" w:cs="Arial" w:eastAsia="Arial" w:hAnsi="Arial"/>
                <w:sz w:val="15"/>
                <w:szCs w:val="15"/>
                <w:color w:val="auto"/>
              </w:rPr>
              <w:t>Removals: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220" w:type="dxa"/>
            <w:vAlign w:val="bottom"/>
          </w:tcPr>
          <w:p>
            <w:pPr>
              <w:ind w:left="480"/>
              <w:spacing w:after="0"/>
              <w:rPr>
                <w:sz w:val="20"/>
                <w:szCs w:val="20"/>
                <w:color w:val="auto"/>
              </w:rPr>
            </w:pPr>
            <w:r>
              <w:rPr>
                <w:rFonts w:ascii="Arial" w:cs="Arial" w:eastAsia="Arial" w:hAnsi="Arial"/>
                <w:sz w:val="15"/>
                <w:szCs w:val="15"/>
                <w:color w:val="auto"/>
              </w:rPr>
              <w:t>Modifications and other loan workouts</w:t>
            </w: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gridSpan w:val="4"/>
          </w:tcPr>
          <w:p>
            <w:pPr>
              <w:jc w:val="right"/>
              <w:ind w:right="20"/>
              <w:spacing w:after="0"/>
              <w:rPr>
                <w:sz w:val="20"/>
                <w:szCs w:val="20"/>
                <w:color w:val="auto"/>
              </w:rPr>
            </w:pPr>
            <w:r>
              <w:rPr>
                <w:rFonts w:ascii="Arial" w:cs="Arial" w:eastAsia="Arial" w:hAnsi="Arial"/>
                <w:sz w:val="15"/>
                <w:szCs w:val="15"/>
                <w:b w:val="1"/>
                <w:bCs w:val="1"/>
                <w:color w:val="auto"/>
              </w:rPr>
              <w:t>(56,872)</w:t>
            </w:r>
          </w:p>
        </w:tc>
        <w:tc>
          <w:tcPr>
            <w:tcW w:w="60" w:type="dxa"/>
            <w:vAlign w:val="bottom"/>
          </w:tcPr>
          <w:p>
            <w:pPr>
              <w:spacing w:after="0"/>
              <w:rPr>
                <w:sz w:val="21"/>
                <w:szCs w:val="21"/>
                <w:color w:val="auto"/>
              </w:rPr>
            </w:pPr>
          </w:p>
        </w:tc>
        <w:tc>
          <w:tcPr>
            <w:tcW w:w="1880" w:type="dxa"/>
            <w:vAlign w:val="bottom"/>
            <w:gridSpan w:val="2"/>
          </w:tcPr>
          <w:p>
            <w:pPr>
              <w:jc w:val="right"/>
              <w:spacing w:after="0"/>
              <w:rPr>
                <w:sz w:val="20"/>
                <w:szCs w:val="20"/>
                <w:color w:val="auto"/>
              </w:rPr>
            </w:pPr>
            <w:r>
              <w:rPr>
                <w:rFonts w:ascii="Arial" w:cs="Arial" w:eastAsia="Arial" w:hAnsi="Arial"/>
                <w:sz w:val="15"/>
                <w:szCs w:val="15"/>
                <w:color w:val="auto"/>
              </w:rPr>
              <w:t>(60,507)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220" w:type="dxa"/>
            <w:vAlign w:val="bottom"/>
          </w:tcPr>
          <w:p>
            <w:pPr>
              <w:ind w:left="480"/>
              <w:spacing w:after="0"/>
              <w:rPr>
                <w:sz w:val="20"/>
                <w:szCs w:val="20"/>
                <w:color w:val="auto"/>
              </w:rPr>
            </w:pPr>
            <w:r>
              <w:rPr>
                <w:rFonts w:ascii="Arial" w:cs="Arial" w:eastAsia="Arial" w:hAnsi="Arial"/>
                <w:sz w:val="15"/>
                <w:szCs w:val="15"/>
                <w:color w:val="auto"/>
              </w:rPr>
              <w:t>Liquidations and sales</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gridSpan w:val="4"/>
          </w:tcPr>
          <w:p>
            <w:pPr>
              <w:jc w:val="right"/>
              <w:ind w:right="20"/>
              <w:spacing w:after="0"/>
              <w:rPr>
                <w:sz w:val="20"/>
                <w:szCs w:val="20"/>
                <w:color w:val="auto"/>
              </w:rPr>
            </w:pPr>
            <w:r>
              <w:rPr>
                <w:rFonts w:ascii="Arial" w:cs="Arial" w:eastAsia="Arial" w:hAnsi="Arial"/>
                <w:sz w:val="15"/>
                <w:szCs w:val="15"/>
                <w:b w:val="1"/>
                <w:bCs w:val="1"/>
                <w:color w:val="auto"/>
              </w:rPr>
              <w:t>(21,699)</w:t>
            </w:r>
          </w:p>
        </w:tc>
        <w:tc>
          <w:tcPr>
            <w:tcW w:w="60" w:type="dxa"/>
            <w:vAlign w:val="bottom"/>
          </w:tcPr>
          <w:p>
            <w:pPr>
              <w:spacing w:after="0"/>
              <w:rPr>
                <w:sz w:val="20"/>
                <w:szCs w:val="20"/>
                <w:color w:val="auto"/>
              </w:rPr>
            </w:pPr>
          </w:p>
        </w:tc>
        <w:tc>
          <w:tcPr>
            <w:tcW w:w="1880" w:type="dxa"/>
            <w:vAlign w:val="bottom"/>
            <w:gridSpan w:val="2"/>
          </w:tcPr>
          <w:p>
            <w:pPr>
              <w:jc w:val="right"/>
              <w:spacing w:after="0"/>
              <w:rPr>
                <w:sz w:val="20"/>
                <w:szCs w:val="20"/>
                <w:color w:val="auto"/>
              </w:rPr>
            </w:pPr>
            <w:r>
              <w:rPr>
                <w:rFonts w:ascii="Arial" w:cs="Arial" w:eastAsia="Arial" w:hAnsi="Arial"/>
                <w:sz w:val="15"/>
                <w:szCs w:val="15"/>
                <w:color w:val="auto"/>
              </w:rPr>
              <w:t>(22,707)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20" w:type="dxa"/>
            <w:vAlign w:val="bottom"/>
            <w:tcBorders>
              <w:bottom w:val="single" w:sz="8" w:color="2C6937"/>
            </w:tcBorders>
          </w:tcPr>
          <w:p>
            <w:pPr>
              <w:ind w:left="480"/>
              <w:spacing w:after="0"/>
              <w:rPr>
                <w:sz w:val="20"/>
                <w:szCs w:val="20"/>
                <w:color w:val="auto"/>
              </w:rPr>
            </w:pPr>
            <w:r>
              <w:rPr>
                <w:rFonts w:ascii="Arial" w:cs="Arial" w:eastAsia="Arial" w:hAnsi="Arial"/>
                <w:sz w:val="15"/>
                <w:szCs w:val="15"/>
                <w:color w:val="auto"/>
              </w:rPr>
              <w:t>Cured or less than 90 days delinquent</w:t>
            </w:r>
          </w:p>
        </w:tc>
        <w:tc>
          <w:tcPr>
            <w:tcW w:w="1920" w:type="dxa"/>
            <w:vAlign w:val="bottom"/>
            <w:tcBorders>
              <w:bottom w:val="single" w:sz="8" w:color="2C6937"/>
            </w:tcBorders>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20" w:type="dxa"/>
            <w:vAlign w:val="bottom"/>
            <w:tcBorders>
              <w:bottom w:val="single" w:sz="8" w:color="2C6937"/>
            </w:tcBorders>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Borders>
              <w:bottom w:val="single" w:sz="8" w:color="2C6937"/>
            </w:tcBorders>
            <w:gridSpan w:val="2"/>
          </w:tcPr>
          <w:p>
            <w:pPr>
              <w:jc w:val="right"/>
              <w:ind w:right="20"/>
              <w:spacing w:after="0"/>
              <w:rPr>
                <w:sz w:val="20"/>
                <w:szCs w:val="20"/>
                <w:color w:val="auto"/>
              </w:rPr>
            </w:pPr>
            <w:r>
              <w:rPr>
                <w:rFonts w:ascii="Arial" w:cs="Arial" w:eastAsia="Arial" w:hAnsi="Arial"/>
                <w:sz w:val="15"/>
                <w:szCs w:val="15"/>
                <w:b w:val="1"/>
                <w:bCs w:val="1"/>
                <w:color w:val="auto"/>
              </w:rPr>
              <w:t>(57,340)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(60,234)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22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Total removals</w:t>
            </w:r>
          </w:p>
        </w:tc>
        <w:tc>
          <w:tcPr>
            <w:tcW w:w="1920" w:type="dxa"/>
            <w:vAlign w:val="bottom"/>
            <w:tcBorders>
              <w:bottom w:val="single" w:sz="8" w:color="2C6937"/>
            </w:tcBorders>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20" w:type="dxa"/>
            <w:vAlign w:val="bottom"/>
            <w:tcBorders>
              <w:bottom w:val="single" w:sz="8" w:color="2C6937"/>
            </w:tcBorders>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Borders>
              <w:bottom w:val="single" w:sz="8" w:color="2C6937"/>
            </w:tcBorders>
            <w:gridSpan w:val="2"/>
          </w:tcPr>
          <w:p>
            <w:pPr>
              <w:jc w:val="right"/>
              <w:ind w:right="20"/>
              <w:spacing w:after="0"/>
              <w:rPr>
                <w:sz w:val="20"/>
                <w:szCs w:val="20"/>
                <w:color w:val="auto"/>
              </w:rPr>
            </w:pPr>
            <w:r>
              <w:rPr>
                <w:rFonts w:ascii="Arial" w:cs="Arial" w:eastAsia="Arial" w:hAnsi="Arial"/>
                <w:sz w:val="15"/>
                <w:szCs w:val="15"/>
                <w:b w:val="1"/>
                <w:bCs w:val="1"/>
                <w:color w:val="auto"/>
              </w:rPr>
              <w:t>(135,911)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(143,448)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220" w:type="dxa"/>
            <w:vAlign w:val="bottom"/>
          </w:tcPr>
          <w:p>
            <w:pPr>
              <w:ind w:left="20"/>
              <w:spacing w:after="0"/>
              <w:rPr>
                <w:sz w:val="20"/>
                <w:szCs w:val="20"/>
                <w:color w:val="auto"/>
              </w:rPr>
            </w:pPr>
            <w:r>
              <w:rPr>
                <w:rFonts w:ascii="Arial" w:cs="Arial" w:eastAsia="Arial" w:hAnsi="Arial"/>
                <w:sz w:val="15"/>
                <w:szCs w:val="15"/>
                <w:color w:val="auto"/>
              </w:rPr>
              <w:t>Ending balance</w:t>
            </w: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5"/>
                <w:szCs w:val="15"/>
                <w:b w:val="1"/>
                <w:bCs w:val="1"/>
                <w:color w:val="auto"/>
              </w:rPr>
              <w:t>89,504</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80" w:type="dxa"/>
            <w:vAlign w:val="bottom"/>
            <w:gridSpan w:val="2"/>
          </w:tcPr>
          <w:p>
            <w:pPr>
              <w:jc w:val="right"/>
              <w:spacing w:after="0"/>
              <w:rPr>
                <w:sz w:val="20"/>
                <w:szCs w:val="20"/>
                <w:color w:val="auto"/>
              </w:rPr>
            </w:pPr>
            <w:r>
              <w:rPr>
                <w:rFonts w:ascii="Arial" w:cs="Arial" w:eastAsia="Arial" w:hAnsi="Arial"/>
                <w:sz w:val="15"/>
                <w:szCs w:val="15"/>
                <w:color w:val="auto"/>
              </w:rPr>
              <w:t>94,106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Borders>
              <w:top w:val="single" w:sz="8" w:color="2C6937"/>
              <w:bottom w:val="single" w:sz="8" w:color="2C6937"/>
            </w:tcBorders>
          </w:tcPr>
          <w:p>
            <w:pPr>
              <w:spacing w:after="0" w:line="20" w:lineRule="exact"/>
              <w:rPr>
                <w:sz w:val="1"/>
                <w:szCs w:val="1"/>
                <w:color w:val="auto"/>
              </w:rPr>
            </w:pPr>
          </w:p>
        </w:tc>
        <w:tc>
          <w:tcPr>
            <w:tcW w:w="19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left="20" w:right="60"/>
        <w:spacing w:after="0" w:line="263" w:lineRule="auto"/>
        <w:rPr>
          <w:sz w:val="20"/>
          <w:szCs w:val="20"/>
          <w:color w:val="auto"/>
        </w:rPr>
      </w:pPr>
      <w:r>
        <w:rPr>
          <w:rFonts w:ascii="Arial" w:cs="Arial" w:eastAsia="Arial" w:hAnsi="Arial"/>
          <w:sz w:val="16"/>
          <w:szCs w:val="16"/>
          <w:color w:val="auto"/>
        </w:rPr>
        <w:t>Our single-family serious delinquency rate as of September 30, 2024 remained near historically low levels. We anticipate that the impact of Hurricanes Helene and Milton will result in an increase in our single-family serious delinquency rate in the short term. In addition, given our expectation of slower economic growth, we expect the credit performance of the loans in our single-family guaranty book of business may decline compared to recent performance, which could lead to higher delinquencies or an increase in our single-family serious delinquency rate. For information about factors that affect our single-family serious delinquency rate, see “MD&amp;A—Single-Family Business—Single-Family Mortgage Credit Risk Management—Single-Family Problem Loan Management” in our 2023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2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2024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32</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60" w:type="dxa"/>
            <w:vAlign w:val="bottom"/>
            <w:tcBorders>
              <w:bottom w:val="single" w:sz="8" w:color="9A9A9A"/>
            </w:tcBorders>
          </w:tcPr>
          <w:p>
            <w:pPr>
              <w:spacing w:after="0"/>
              <w:rPr>
                <w:sz w:val="16"/>
                <w:szCs w:val="16"/>
                <w:color w:val="auto"/>
              </w:rPr>
            </w:pPr>
          </w:p>
        </w:tc>
        <w:tc>
          <w:tcPr>
            <w:tcW w:w="428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-28575</wp:posOffset>
            </wp:positionV>
            <wp:extent cx="3365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-28575</wp:posOffset>
            </wp:positionV>
            <wp:extent cx="3365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00" w:top="248" w:right="339" w:bottom="1440" w:gutter="0" w:footer="0" w:header="0"/>
        </w:sectPr>
      </w:pPr>
    </w:p>
    <w:bookmarkStart w:id="35" w:name="page36"/>
    <w:bookmarkEnd w:id="35"/>
    <w:p>
      <w:pPr>
        <w:ind w:left="608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17145</wp:posOffset>
            </wp:positionV>
            <wp:extent cx="699960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left="20" w:right="20"/>
        <w:spacing w:after="0" w:line="272" w:lineRule="auto"/>
        <w:rPr>
          <w:sz w:val="20"/>
          <w:szCs w:val="20"/>
          <w:color w:val="auto"/>
        </w:rPr>
      </w:pPr>
      <w:r>
        <w:rPr>
          <w:rFonts w:ascii="Arial" w:cs="Arial" w:eastAsia="Arial" w:hAnsi="Arial"/>
          <w:sz w:val="16"/>
          <w:szCs w:val="16"/>
          <w:color w:val="auto"/>
        </w:rPr>
        <w:t>The table below displays the serious delinquency rates for, and the percentage of our seriously delinquent single-family conventional loans represented by, the specified loan categories. Percentage of book amounts represent the unpaid principal balance of loans for each category divided by the unpaid principal balance of our total single-family conventional guaranty book of business. The reported categories are not mutually exclusive.</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b w:val="1"/>
          <w:bCs w:val="1"/>
          <w:color w:val="05314D"/>
        </w:rPr>
        <w:t>Single-Family Conventional Seriously Delinquent Loan Concentration Analysis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1480" w:type="dxa"/>
            <w:vAlign w:val="bottom"/>
            <w:tcBorders>
              <w:top w:val="single" w:sz="8" w:color="2C6937"/>
            </w:tcBorders>
          </w:tcPr>
          <w:p>
            <w:pPr>
              <w:spacing w:after="0"/>
              <w:rPr>
                <w:sz w:val="18"/>
                <w:szCs w:val="18"/>
                <w:color w:val="auto"/>
              </w:rPr>
            </w:pPr>
          </w:p>
        </w:tc>
        <w:tc>
          <w:tcPr>
            <w:tcW w:w="1040" w:type="dxa"/>
            <w:vAlign w:val="bottom"/>
            <w:tcBorders>
              <w:top w:val="single" w:sz="8" w:color="2C6937"/>
              <w:bottom w:val="single" w:sz="8" w:color="2C6937"/>
            </w:tcBorders>
          </w:tcPr>
          <w:p>
            <w:pPr>
              <w:spacing w:after="0"/>
              <w:rPr>
                <w:sz w:val="18"/>
                <w:szCs w:val="18"/>
                <w:color w:val="auto"/>
              </w:rPr>
            </w:pPr>
          </w:p>
        </w:tc>
        <w:tc>
          <w:tcPr>
            <w:tcW w:w="120" w:type="dxa"/>
            <w:vAlign w:val="bottom"/>
            <w:tcBorders>
              <w:top w:val="single" w:sz="8" w:color="2C6937"/>
              <w:bottom w:val="single" w:sz="8" w:color="2C6937"/>
            </w:tcBorders>
          </w:tcPr>
          <w:p>
            <w:pPr>
              <w:spacing w:after="0"/>
              <w:rPr>
                <w:sz w:val="18"/>
                <w:szCs w:val="18"/>
                <w:color w:val="auto"/>
              </w:rPr>
            </w:pPr>
          </w:p>
        </w:tc>
        <w:tc>
          <w:tcPr>
            <w:tcW w:w="940" w:type="dxa"/>
            <w:vAlign w:val="bottom"/>
            <w:tcBorders>
              <w:top w:val="single" w:sz="8" w:color="2C6937"/>
              <w:bottom w:val="single" w:sz="8" w:color="2C6937"/>
            </w:tcBorders>
          </w:tcPr>
          <w:p>
            <w:pPr>
              <w:spacing w:after="0"/>
              <w:rPr>
                <w:sz w:val="18"/>
                <w:szCs w:val="18"/>
                <w:color w:val="auto"/>
              </w:rPr>
            </w:pPr>
          </w:p>
        </w:tc>
        <w:tc>
          <w:tcPr>
            <w:tcW w:w="120" w:type="dxa"/>
            <w:vAlign w:val="bottom"/>
            <w:tcBorders>
              <w:top w:val="single" w:sz="8" w:color="2C6937"/>
              <w:bottom w:val="single" w:sz="8" w:color="2C6937"/>
            </w:tcBorders>
          </w:tcPr>
          <w:p>
            <w:pPr>
              <w:spacing w:after="0"/>
              <w:rPr>
                <w:sz w:val="18"/>
                <w:szCs w:val="18"/>
                <w:color w:val="auto"/>
              </w:rPr>
            </w:pPr>
          </w:p>
        </w:tc>
        <w:tc>
          <w:tcPr>
            <w:tcW w:w="40" w:type="dxa"/>
            <w:vAlign w:val="bottom"/>
            <w:tcBorders>
              <w:top w:val="single" w:sz="8" w:color="2C6937"/>
              <w:bottom w:val="single" w:sz="8" w:color="2C6937"/>
            </w:tcBorders>
          </w:tcPr>
          <w:p>
            <w:pPr>
              <w:spacing w:after="0"/>
              <w:rPr>
                <w:sz w:val="18"/>
                <w:szCs w:val="18"/>
                <w:color w:val="auto"/>
              </w:rPr>
            </w:pPr>
          </w:p>
        </w:tc>
        <w:tc>
          <w:tcPr>
            <w:tcW w:w="920" w:type="dxa"/>
            <w:vAlign w:val="bottom"/>
            <w:tcBorders>
              <w:top w:val="single" w:sz="8" w:color="2C6937"/>
              <w:bottom w:val="single" w:sz="8" w:color="2C6937"/>
            </w:tcBorders>
          </w:tcPr>
          <w:p>
            <w:pPr>
              <w:spacing w:after="0"/>
              <w:rPr>
                <w:sz w:val="18"/>
                <w:szCs w:val="18"/>
                <w:color w:val="auto"/>
              </w:rPr>
            </w:pPr>
          </w:p>
        </w:tc>
        <w:tc>
          <w:tcPr>
            <w:tcW w:w="120" w:type="dxa"/>
            <w:vAlign w:val="bottom"/>
            <w:tcBorders>
              <w:top w:val="single" w:sz="8" w:color="2C6937"/>
              <w:bottom w:val="single" w:sz="8" w:color="2C6937"/>
            </w:tcBorders>
          </w:tcPr>
          <w:p>
            <w:pPr>
              <w:spacing w:after="0"/>
              <w:rPr>
                <w:sz w:val="18"/>
                <w:szCs w:val="18"/>
                <w:color w:val="auto"/>
              </w:rPr>
            </w:pPr>
          </w:p>
        </w:tc>
        <w:tc>
          <w:tcPr>
            <w:tcW w:w="98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1060" w:type="dxa"/>
            <w:vAlign w:val="bottom"/>
            <w:tcBorders>
              <w:top w:val="single" w:sz="8" w:color="2C6937"/>
              <w:bottom w:val="single" w:sz="8" w:color="2C6937"/>
            </w:tcBorders>
            <w:gridSpan w:val="2"/>
          </w:tcPr>
          <w:p>
            <w:pPr>
              <w:jc w:val="center"/>
              <w:ind w:right="120"/>
              <w:spacing w:after="0"/>
              <w:rPr>
                <w:sz w:val="20"/>
                <w:szCs w:val="20"/>
                <w:color w:val="auto"/>
              </w:rPr>
            </w:pPr>
            <w:r>
              <w:rPr>
                <w:rFonts w:ascii="Arial" w:cs="Arial" w:eastAsia="Arial" w:hAnsi="Arial"/>
                <w:sz w:val="14"/>
                <w:szCs w:val="14"/>
                <w:b w:val="1"/>
                <w:bCs w:val="1"/>
                <w:color w:val="auto"/>
                <w:w w:val="97"/>
              </w:rPr>
              <w:t>As of</w:t>
            </w:r>
          </w:p>
        </w:tc>
        <w:tc>
          <w:tcPr>
            <w:tcW w:w="100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100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98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1000" w:type="dxa"/>
            <w:vAlign w:val="bottom"/>
            <w:tcBorders>
              <w:top w:val="single" w:sz="8" w:color="2C6937"/>
              <w:bottom w:val="single" w:sz="8" w:color="2C6937"/>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480" w:type="dxa"/>
            <w:vAlign w:val="bottom"/>
          </w:tcPr>
          <w:p>
            <w:pPr>
              <w:spacing w:after="0"/>
              <w:rPr>
                <w:sz w:val="16"/>
                <w:szCs w:val="16"/>
                <w:color w:val="auto"/>
              </w:rPr>
            </w:pPr>
          </w:p>
        </w:tc>
        <w:tc>
          <w:tcPr>
            <w:tcW w:w="2260" w:type="dxa"/>
            <w:vAlign w:val="bottom"/>
            <w:tcBorders>
              <w:bottom w:val="single" w:sz="8" w:color="2C6937"/>
            </w:tcBorders>
            <w:gridSpan w:val="5"/>
          </w:tcPr>
          <w:p>
            <w:pPr>
              <w:ind w:left="940"/>
              <w:spacing w:after="0"/>
              <w:rPr>
                <w:sz w:val="20"/>
                <w:szCs w:val="20"/>
                <w:color w:val="auto"/>
              </w:rPr>
            </w:pPr>
            <w:r>
              <w:rPr>
                <w:rFonts w:ascii="Arial" w:cs="Arial" w:eastAsia="Arial" w:hAnsi="Arial"/>
                <w:sz w:val="14"/>
                <w:szCs w:val="14"/>
                <w:b w:val="1"/>
                <w:bCs w:val="1"/>
                <w:color w:val="auto"/>
                <w:w w:val="99"/>
              </w:rPr>
              <w:t>September 30, 2024</w:t>
            </w:r>
          </w:p>
        </w:tc>
        <w:tc>
          <w:tcPr>
            <w:tcW w:w="920" w:type="dxa"/>
            <w:vAlign w:val="bottom"/>
            <w:tcBorders>
              <w:bottom w:val="single" w:sz="8" w:color="2C6937"/>
            </w:tcBorders>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tcBorders>
              <w:bottom w:val="single" w:sz="8" w:color="2C6937"/>
            </w:tcBorders>
            <w:gridSpan w:val="4"/>
          </w:tcPr>
          <w:p>
            <w:pPr>
              <w:ind w:left="900"/>
              <w:spacing w:after="0"/>
              <w:rPr>
                <w:sz w:val="20"/>
                <w:szCs w:val="20"/>
                <w:color w:val="auto"/>
              </w:rPr>
            </w:pPr>
            <w:r>
              <w:rPr>
                <w:rFonts w:ascii="Arial" w:cs="Arial" w:eastAsia="Arial" w:hAnsi="Arial"/>
                <w:sz w:val="14"/>
                <w:szCs w:val="14"/>
                <w:b w:val="1"/>
                <w:bCs w:val="1"/>
                <w:color w:val="auto"/>
                <w:w w:val="96"/>
              </w:rPr>
              <w:t>December 31, 2023</w:t>
            </w:r>
          </w:p>
        </w:tc>
        <w:tc>
          <w:tcPr>
            <w:tcW w:w="100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Borders>
              <w:bottom w:val="single" w:sz="8" w:color="2C6937"/>
            </w:tcBorders>
            <w:gridSpan w:val="4"/>
          </w:tcPr>
          <w:p>
            <w:pPr>
              <w:ind w:left="900"/>
              <w:spacing w:after="0"/>
              <w:rPr>
                <w:sz w:val="20"/>
                <w:szCs w:val="20"/>
                <w:color w:val="auto"/>
              </w:rPr>
            </w:pPr>
            <w:r>
              <w:rPr>
                <w:rFonts w:ascii="Arial" w:cs="Arial" w:eastAsia="Arial" w:hAnsi="Arial"/>
                <w:sz w:val="14"/>
                <w:szCs w:val="14"/>
                <w:b w:val="1"/>
                <w:bCs w:val="1"/>
                <w:color w:val="auto"/>
                <w:w w:val="96"/>
              </w:rPr>
              <w:t>September 30, 2023</w:t>
            </w:r>
          </w:p>
        </w:tc>
        <w:tc>
          <w:tcPr>
            <w:tcW w:w="100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4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rPr>
              <w:t>Percentage of</w:t>
            </w: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Percentage of</w:t>
            </w: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rPr>
              <w:t>Percentage of</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4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rPr>
              <w:t>Seriously</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Seriously</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Seriously</w:t>
            </w: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1480" w:type="dxa"/>
            <w:vAlign w:val="bottom"/>
          </w:tcPr>
          <w:p>
            <w:pPr>
              <w:spacing w:after="0"/>
              <w:rPr>
                <w:sz w:val="10"/>
                <w:szCs w:val="10"/>
                <w:color w:val="auto"/>
              </w:rPr>
            </w:pPr>
          </w:p>
        </w:tc>
        <w:tc>
          <w:tcPr>
            <w:tcW w:w="1160" w:type="dxa"/>
            <w:vAlign w:val="bottom"/>
            <w:gridSpan w:val="2"/>
          </w:tcPr>
          <w:p>
            <w:pPr>
              <w:jc w:val="center"/>
              <w:spacing w:after="0"/>
              <w:rPr>
                <w:sz w:val="20"/>
                <w:szCs w:val="20"/>
                <w:color w:val="auto"/>
              </w:rPr>
            </w:pPr>
            <w:r>
              <w:rPr>
                <w:rFonts w:ascii="Arial" w:cs="Arial" w:eastAsia="Arial" w:hAnsi="Arial"/>
                <w:sz w:val="10"/>
                <w:szCs w:val="10"/>
                <w:b w:val="1"/>
                <w:bCs w:val="1"/>
                <w:color w:val="auto"/>
              </w:rPr>
              <w:t>Percentage of</w:t>
            </w:r>
          </w:p>
        </w:tc>
        <w:tc>
          <w:tcPr>
            <w:tcW w:w="110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rPr>
              <w:t>Delinquent</w:t>
            </w:r>
          </w:p>
        </w:tc>
        <w:tc>
          <w:tcPr>
            <w:tcW w:w="1040" w:type="dxa"/>
            <w:vAlign w:val="bottom"/>
            <w:gridSpan w:val="2"/>
          </w:tcPr>
          <w:p>
            <w:pPr>
              <w:ind w:left="260"/>
              <w:spacing w:after="0"/>
              <w:rPr>
                <w:sz w:val="20"/>
                <w:szCs w:val="20"/>
                <w:color w:val="auto"/>
              </w:rPr>
            </w:pPr>
            <w:r>
              <w:rPr>
                <w:rFonts w:ascii="Arial" w:cs="Arial" w:eastAsia="Arial" w:hAnsi="Arial"/>
                <w:sz w:val="10"/>
                <w:szCs w:val="10"/>
                <w:b w:val="1"/>
                <w:bCs w:val="1"/>
                <w:color w:val="auto"/>
              </w:rPr>
              <w:t>Serious</w:t>
            </w:r>
          </w:p>
        </w:tc>
        <w:tc>
          <w:tcPr>
            <w:tcW w:w="10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rPr>
              <w:t>Percentage of</w:t>
            </w:r>
          </w:p>
        </w:tc>
        <w:tc>
          <w:tcPr>
            <w:tcW w:w="10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Delinquent</w:t>
            </w:r>
          </w:p>
        </w:tc>
        <w:tc>
          <w:tcPr>
            <w:tcW w:w="1100" w:type="dxa"/>
            <w:vAlign w:val="bottom"/>
            <w:gridSpan w:val="2"/>
          </w:tcPr>
          <w:p>
            <w:pPr>
              <w:ind w:left="320"/>
              <w:spacing w:after="0"/>
              <w:rPr>
                <w:sz w:val="20"/>
                <w:szCs w:val="20"/>
                <w:color w:val="auto"/>
              </w:rPr>
            </w:pPr>
            <w:r>
              <w:rPr>
                <w:rFonts w:ascii="Arial" w:cs="Arial" w:eastAsia="Arial" w:hAnsi="Arial"/>
                <w:sz w:val="10"/>
                <w:szCs w:val="10"/>
                <w:b w:val="1"/>
                <w:bCs w:val="1"/>
                <w:color w:val="auto"/>
              </w:rPr>
              <w:t>Serious</w:t>
            </w:r>
          </w:p>
        </w:tc>
        <w:tc>
          <w:tcPr>
            <w:tcW w:w="11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Percentage of</w:t>
            </w: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Delinquent</w:t>
            </w:r>
          </w:p>
        </w:tc>
        <w:tc>
          <w:tcPr>
            <w:tcW w:w="1000" w:type="dxa"/>
            <w:vAlign w:val="bottom"/>
          </w:tcPr>
          <w:p>
            <w:pPr>
              <w:ind w:left="300"/>
              <w:spacing w:after="0"/>
              <w:rPr>
                <w:sz w:val="20"/>
                <w:szCs w:val="20"/>
                <w:color w:val="auto"/>
              </w:rPr>
            </w:pPr>
            <w:r>
              <w:rPr>
                <w:rFonts w:ascii="Arial" w:cs="Arial" w:eastAsia="Arial" w:hAnsi="Arial"/>
                <w:sz w:val="10"/>
                <w:szCs w:val="10"/>
                <w:b w:val="1"/>
                <w:bCs w:val="1"/>
                <w:color w:val="auto"/>
              </w:rPr>
              <w:t>Serious</w:t>
            </w:r>
          </w:p>
        </w:tc>
        <w:tc>
          <w:tcPr>
            <w:tcW w:w="0" w:type="dxa"/>
            <w:vAlign w:val="bottom"/>
          </w:tcPr>
          <w:p>
            <w:pPr>
              <w:spacing w:after="0"/>
              <w:rPr>
                <w:sz w:val="1"/>
                <w:szCs w:val="1"/>
                <w:color w:val="auto"/>
              </w:rPr>
            </w:pPr>
          </w:p>
        </w:tc>
      </w:tr>
      <w:tr>
        <w:trPr>
          <w:trHeight w:val="141"/>
        </w:trPr>
        <w:tc>
          <w:tcPr>
            <w:tcW w:w="1480" w:type="dxa"/>
            <w:vAlign w:val="bottom"/>
          </w:tcPr>
          <w:p>
            <w:pPr>
              <w:spacing w:after="0"/>
              <w:rPr>
                <w:sz w:val="12"/>
                <w:szCs w:val="12"/>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0"/>
                <w:szCs w:val="10"/>
                <w:b w:val="1"/>
                <w:bCs w:val="1"/>
                <w:color w:val="auto"/>
              </w:rPr>
              <w:t>Book Outstanding</w:t>
            </w:r>
          </w:p>
        </w:tc>
        <w:tc>
          <w:tcPr>
            <w:tcW w:w="110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rPr>
              <w:t>Loans</w:t>
            </w:r>
            <w:r>
              <w:rPr>
                <w:rFonts w:ascii="Arial" w:cs="Arial" w:eastAsia="Arial" w:hAnsi="Arial"/>
                <w:sz w:val="6"/>
                <w:szCs w:val="6"/>
                <w:b w:val="1"/>
                <w:bCs w:val="1"/>
                <w:color w:val="auto"/>
              </w:rPr>
              <w:t>(1)</w:t>
            </w:r>
          </w:p>
        </w:tc>
        <w:tc>
          <w:tcPr>
            <w:tcW w:w="1040" w:type="dxa"/>
            <w:vAlign w:val="bottom"/>
            <w:gridSpan w:val="2"/>
          </w:tcPr>
          <w:p>
            <w:pPr>
              <w:spacing w:after="0"/>
              <w:rPr>
                <w:sz w:val="20"/>
                <w:szCs w:val="20"/>
                <w:color w:val="auto"/>
              </w:rPr>
            </w:pPr>
            <w:r>
              <w:rPr>
                <w:rFonts w:ascii="Arial" w:cs="Arial" w:eastAsia="Arial" w:hAnsi="Arial"/>
                <w:sz w:val="10"/>
                <w:szCs w:val="10"/>
                <w:b w:val="1"/>
                <w:bCs w:val="1"/>
                <w:color w:val="auto"/>
              </w:rPr>
              <w:t>Delinquency Rate</w:t>
            </w: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Book Outstanding</w:t>
            </w:r>
          </w:p>
        </w:tc>
        <w:tc>
          <w:tcPr>
            <w:tcW w:w="10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Loans</w:t>
            </w:r>
            <w:r>
              <w:rPr>
                <w:rFonts w:ascii="Arial" w:cs="Arial" w:eastAsia="Arial" w:hAnsi="Arial"/>
                <w:sz w:val="6"/>
                <w:szCs w:val="6"/>
                <w:b w:val="1"/>
                <w:bCs w:val="1"/>
                <w:color w:val="auto"/>
              </w:rPr>
              <w:t>(1)</w:t>
            </w:r>
          </w:p>
        </w:tc>
        <w:tc>
          <w:tcPr>
            <w:tcW w:w="1100" w:type="dxa"/>
            <w:vAlign w:val="bottom"/>
            <w:gridSpan w:val="2"/>
          </w:tcPr>
          <w:p>
            <w:pPr>
              <w:ind w:left="60"/>
              <w:spacing w:after="0"/>
              <w:rPr>
                <w:sz w:val="20"/>
                <w:szCs w:val="20"/>
                <w:color w:val="auto"/>
              </w:rPr>
            </w:pPr>
            <w:r>
              <w:rPr>
                <w:rFonts w:ascii="Arial" w:cs="Arial" w:eastAsia="Arial" w:hAnsi="Arial"/>
                <w:sz w:val="10"/>
                <w:szCs w:val="10"/>
                <w:b w:val="1"/>
                <w:bCs w:val="1"/>
                <w:color w:val="auto"/>
              </w:rPr>
              <w:t>Delinquency Rate</w:t>
            </w:r>
          </w:p>
        </w:tc>
        <w:tc>
          <w:tcPr>
            <w:tcW w:w="11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Book Outstanding</w:t>
            </w: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Loans</w:t>
            </w:r>
            <w:r>
              <w:rPr>
                <w:rFonts w:ascii="Arial" w:cs="Arial" w:eastAsia="Arial" w:hAnsi="Arial"/>
                <w:sz w:val="6"/>
                <w:szCs w:val="6"/>
                <w:b w:val="1"/>
                <w:bCs w:val="1"/>
                <w:color w:val="auto"/>
              </w:rPr>
              <w:t>(1)</w:t>
            </w:r>
          </w:p>
        </w:tc>
        <w:tc>
          <w:tcPr>
            <w:tcW w:w="1000" w:type="dxa"/>
            <w:vAlign w:val="bottom"/>
          </w:tcPr>
          <w:p>
            <w:pPr>
              <w:ind w:left="60"/>
              <w:spacing w:after="0"/>
              <w:rPr>
                <w:sz w:val="20"/>
                <w:szCs w:val="20"/>
                <w:color w:val="auto"/>
              </w:rPr>
            </w:pPr>
            <w:r>
              <w:rPr>
                <w:rFonts w:ascii="Arial" w:cs="Arial" w:eastAsia="Arial" w:hAnsi="Arial"/>
                <w:sz w:val="10"/>
                <w:szCs w:val="10"/>
                <w:b w:val="1"/>
                <w:bCs w:val="1"/>
                <w:color w:val="auto"/>
              </w:rPr>
              <w:t>Delinquency Rate</w:t>
            </w:r>
          </w:p>
        </w:tc>
        <w:tc>
          <w:tcPr>
            <w:tcW w:w="0" w:type="dxa"/>
            <w:vAlign w:val="bottom"/>
          </w:tcPr>
          <w:p>
            <w:pPr>
              <w:spacing w:after="0"/>
              <w:rPr>
                <w:sz w:val="1"/>
                <w:szCs w:val="1"/>
                <w:color w:val="auto"/>
              </w:rPr>
            </w:pPr>
          </w:p>
        </w:tc>
      </w:tr>
      <w:tr>
        <w:trPr>
          <w:trHeight w:val="26"/>
        </w:trPr>
        <w:tc>
          <w:tcPr>
            <w:tcW w:w="1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States:</w:t>
            </w:r>
          </w:p>
        </w:tc>
        <w:tc>
          <w:tcPr>
            <w:tcW w:w="104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2C6937"/>
            </w:tcBorders>
          </w:tcPr>
          <w:p>
            <w:pPr>
              <w:spacing w:after="0"/>
              <w:rPr>
                <w:sz w:val="2"/>
                <w:szCs w:val="2"/>
                <w:color w:val="auto"/>
              </w:rPr>
            </w:pPr>
          </w:p>
        </w:tc>
        <w:tc>
          <w:tcPr>
            <w:tcW w:w="92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148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80" w:type="dxa"/>
            <w:vAlign w:val="bottom"/>
            <w:tcBorders>
              <w:bottom w:val="single" w:sz="8" w:color="2C6937"/>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1480" w:type="dxa"/>
            <w:vAlign w:val="bottom"/>
          </w:tcPr>
          <w:p>
            <w:pPr>
              <w:ind w:left="120"/>
              <w:spacing w:after="0"/>
              <w:rPr>
                <w:sz w:val="20"/>
                <w:szCs w:val="20"/>
                <w:color w:val="auto"/>
              </w:rPr>
            </w:pPr>
            <w:r>
              <w:rPr>
                <w:rFonts w:ascii="Arial" w:cs="Arial" w:eastAsia="Arial" w:hAnsi="Arial"/>
                <w:sz w:val="12"/>
                <w:szCs w:val="12"/>
                <w:color w:val="auto"/>
              </w:rPr>
              <w:t>California</w:t>
            </w:r>
          </w:p>
        </w:tc>
        <w:tc>
          <w:tcPr>
            <w:tcW w:w="1040" w:type="dxa"/>
            <w:vAlign w:val="bottom"/>
          </w:tcPr>
          <w:p>
            <w:pPr>
              <w:jc w:val="right"/>
              <w:spacing w:after="0"/>
              <w:rPr>
                <w:sz w:val="20"/>
                <w:szCs w:val="20"/>
                <w:color w:val="auto"/>
              </w:rPr>
            </w:pPr>
            <w:r>
              <w:rPr>
                <w:rFonts w:ascii="Arial" w:cs="Arial" w:eastAsia="Arial" w:hAnsi="Arial"/>
                <w:sz w:val="12"/>
                <w:szCs w:val="12"/>
                <w:b w:val="1"/>
                <w:bCs w:val="1"/>
                <w:color w:val="auto"/>
              </w:rPr>
              <w:t>19 %</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2"/>
                <w:szCs w:val="12"/>
                <w:b w:val="1"/>
                <w:bCs w:val="1"/>
                <w:color w:val="auto"/>
              </w:rPr>
              <w:t>10 %</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ind w:left="540"/>
              <w:spacing w:after="0"/>
              <w:rPr>
                <w:sz w:val="20"/>
                <w:szCs w:val="20"/>
                <w:color w:val="auto"/>
              </w:rPr>
            </w:pPr>
            <w:r>
              <w:rPr>
                <w:rFonts w:ascii="Arial" w:cs="Arial" w:eastAsia="Arial" w:hAnsi="Arial"/>
                <w:sz w:val="12"/>
                <w:szCs w:val="12"/>
                <w:b w:val="1"/>
                <w:bCs w:val="1"/>
                <w:color w:val="auto"/>
                <w:w w:val="96"/>
              </w:rPr>
              <w:t>0.39 %</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19 %</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10 %</w:t>
            </w:r>
          </w:p>
        </w:tc>
        <w:tc>
          <w:tcPr>
            <w:tcW w:w="100" w:type="dxa"/>
            <w:vAlign w:val="bottom"/>
          </w:tcPr>
          <w:p>
            <w:pPr>
              <w:spacing w:after="0"/>
              <w:rPr>
                <w:sz w:val="15"/>
                <w:szCs w:val="15"/>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0.42 %</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19 %</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10 %</w:t>
            </w:r>
          </w:p>
        </w:tc>
        <w:tc>
          <w:tcPr>
            <w:tcW w:w="100" w:type="dxa"/>
            <w:vAlign w:val="bottom"/>
          </w:tcPr>
          <w:p>
            <w:pPr>
              <w:spacing w:after="0"/>
              <w:rPr>
                <w:sz w:val="15"/>
                <w:szCs w:val="15"/>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0.41 %</w:t>
            </w:r>
          </w:p>
        </w:tc>
        <w:tc>
          <w:tcPr>
            <w:tcW w:w="0" w:type="dxa"/>
            <w:vAlign w:val="bottom"/>
          </w:tcPr>
          <w:p>
            <w:pPr>
              <w:spacing w:after="0"/>
              <w:rPr>
                <w:sz w:val="1"/>
                <w:szCs w:val="1"/>
                <w:color w:val="auto"/>
              </w:rPr>
            </w:pPr>
          </w:p>
        </w:tc>
      </w:tr>
      <w:tr>
        <w:trPr>
          <w:trHeight w:val="193"/>
        </w:trPr>
        <w:tc>
          <w:tcPr>
            <w:tcW w:w="1480" w:type="dxa"/>
            <w:vAlign w:val="bottom"/>
          </w:tcPr>
          <w:p>
            <w:pPr>
              <w:ind w:left="120"/>
              <w:spacing w:after="0"/>
              <w:rPr>
                <w:sz w:val="20"/>
                <w:szCs w:val="20"/>
                <w:color w:val="auto"/>
              </w:rPr>
            </w:pPr>
            <w:r>
              <w:rPr>
                <w:rFonts w:ascii="Arial" w:cs="Arial" w:eastAsia="Arial" w:hAnsi="Arial"/>
                <w:sz w:val="12"/>
                <w:szCs w:val="12"/>
                <w:color w:val="auto"/>
              </w:rPr>
              <w:t>Florida</w:t>
            </w:r>
          </w:p>
        </w:tc>
        <w:tc>
          <w:tcPr>
            <w:tcW w:w="1040" w:type="dxa"/>
            <w:vAlign w:val="bottom"/>
          </w:tcPr>
          <w:p>
            <w:pPr>
              <w:jc w:val="right"/>
              <w:ind w:right="100"/>
              <w:spacing w:after="0"/>
              <w:rPr>
                <w:sz w:val="20"/>
                <w:szCs w:val="20"/>
                <w:color w:val="auto"/>
              </w:rPr>
            </w:pPr>
            <w:r>
              <w:rPr>
                <w:rFonts w:ascii="Arial" w:cs="Arial" w:eastAsia="Arial" w:hAnsi="Arial"/>
                <w:sz w:val="12"/>
                <w:szCs w:val="12"/>
                <w:b w:val="1"/>
                <w:bCs w:val="1"/>
                <w:color w:val="auto"/>
              </w:rPr>
              <w:t>6</w:t>
            </w:r>
          </w:p>
        </w:tc>
        <w:tc>
          <w:tcPr>
            <w:tcW w:w="120" w:type="dxa"/>
            <w:vAlign w:val="bottom"/>
          </w:tcPr>
          <w:p>
            <w:pPr>
              <w:spacing w:after="0"/>
              <w:rPr>
                <w:sz w:val="16"/>
                <w:szCs w:val="16"/>
                <w:color w:val="auto"/>
              </w:rPr>
            </w:pPr>
          </w:p>
        </w:tc>
        <w:tc>
          <w:tcPr>
            <w:tcW w:w="940" w:type="dxa"/>
            <w:vAlign w:val="bottom"/>
          </w:tcPr>
          <w:p>
            <w:pPr>
              <w:jc w:val="right"/>
              <w:ind w:right="101"/>
              <w:spacing w:after="0"/>
              <w:rPr>
                <w:sz w:val="20"/>
                <w:szCs w:val="20"/>
                <w:color w:val="auto"/>
              </w:rPr>
            </w:pPr>
            <w:r>
              <w:rPr>
                <w:rFonts w:ascii="Arial" w:cs="Arial" w:eastAsia="Arial" w:hAnsi="Arial"/>
                <w:sz w:val="12"/>
                <w:szCs w:val="12"/>
                <w:b w:val="1"/>
                <w:bCs w:val="1"/>
                <w:color w:val="auto"/>
              </w:rPr>
              <w:t>9</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ind w:left="540"/>
              <w:spacing w:after="0"/>
              <w:rPr>
                <w:sz w:val="20"/>
                <w:szCs w:val="20"/>
                <w:color w:val="auto"/>
              </w:rPr>
            </w:pPr>
            <w:r>
              <w:rPr>
                <w:rFonts w:ascii="Arial" w:cs="Arial" w:eastAsia="Arial" w:hAnsi="Arial"/>
                <w:sz w:val="12"/>
                <w:szCs w:val="12"/>
                <w:b w:val="1"/>
                <w:bCs w:val="1"/>
                <w:color w:val="auto"/>
              </w:rPr>
              <w:t>0.68</w:t>
            </w:r>
          </w:p>
        </w:tc>
        <w:tc>
          <w:tcPr>
            <w:tcW w:w="120" w:type="dxa"/>
            <w:vAlign w:val="bottom"/>
          </w:tcPr>
          <w:p>
            <w:pPr>
              <w:spacing w:after="0"/>
              <w:rPr>
                <w:sz w:val="16"/>
                <w:szCs w:val="16"/>
                <w:color w:val="auto"/>
              </w:rPr>
            </w:pPr>
          </w:p>
        </w:tc>
        <w:tc>
          <w:tcPr>
            <w:tcW w:w="980" w:type="dxa"/>
            <w:vAlign w:val="bottom"/>
          </w:tcPr>
          <w:p>
            <w:pPr>
              <w:jc w:val="right"/>
              <w:ind w:right="100"/>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0.73</w:t>
            </w:r>
          </w:p>
        </w:tc>
        <w:tc>
          <w:tcPr>
            <w:tcW w:w="100" w:type="dxa"/>
            <w:vAlign w:val="bottom"/>
          </w:tcPr>
          <w:p>
            <w:pPr>
              <w:spacing w:after="0"/>
              <w:rPr>
                <w:sz w:val="16"/>
                <w:szCs w:val="16"/>
                <w:color w:val="auto"/>
              </w:rPr>
            </w:pPr>
          </w:p>
        </w:tc>
        <w:tc>
          <w:tcPr>
            <w:tcW w:w="1000" w:type="dxa"/>
            <w:vAlign w:val="bottom"/>
          </w:tcPr>
          <w:p>
            <w:pPr>
              <w:jc w:val="right"/>
              <w:ind w:right="100"/>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6"/>
                <w:szCs w:val="16"/>
                <w:color w:val="auto"/>
              </w:rPr>
            </w:pPr>
          </w:p>
        </w:tc>
        <w:tc>
          <w:tcPr>
            <w:tcW w:w="980" w:type="dxa"/>
            <w:vAlign w:val="bottom"/>
          </w:tcPr>
          <w:p>
            <w:pPr>
              <w:jc w:val="right"/>
              <w:ind w:right="101"/>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0.69</w:t>
            </w:r>
          </w:p>
        </w:tc>
        <w:tc>
          <w:tcPr>
            <w:tcW w:w="0" w:type="dxa"/>
            <w:vAlign w:val="bottom"/>
          </w:tcPr>
          <w:p>
            <w:pPr>
              <w:spacing w:after="0"/>
              <w:rPr>
                <w:sz w:val="1"/>
                <w:szCs w:val="1"/>
                <w:color w:val="auto"/>
              </w:rPr>
            </w:pPr>
          </w:p>
        </w:tc>
      </w:tr>
      <w:tr>
        <w:trPr>
          <w:trHeight w:val="193"/>
        </w:trPr>
        <w:tc>
          <w:tcPr>
            <w:tcW w:w="1480" w:type="dxa"/>
            <w:vAlign w:val="bottom"/>
          </w:tcPr>
          <w:p>
            <w:pPr>
              <w:ind w:left="120"/>
              <w:spacing w:after="0"/>
              <w:rPr>
                <w:sz w:val="20"/>
                <w:szCs w:val="20"/>
                <w:color w:val="auto"/>
              </w:rPr>
            </w:pPr>
            <w:r>
              <w:rPr>
                <w:rFonts w:ascii="Arial" w:cs="Arial" w:eastAsia="Arial" w:hAnsi="Arial"/>
                <w:sz w:val="12"/>
                <w:szCs w:val="12"/>
                <w:color w:val="auto"/>
              </w:rPr>
              <w:t>Illinois</w:t>
            </w:r>
          </w:p>
        </w:tc>
        <w:tc>
          <w:tcPr>
            <w:tcW w:w="1040" w:type="dxa"/>
            <w:vAlign w:val="bottom"/>
          </w:tcPr>
          <w:p>
            <w:pPr>
              <w:jc w:val="right"/>
              <w:ind w:right="10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6"/>
                <w:szCs w:val="16"/>
                <w:color w:val="auto"/>
              </w:rPr>
            </w:pPr>
          </w:p>
        </w:tc>
        <w:tc>
          <w:tcPr>
            <w:tcW w:w="940" w:type="dxa"/>
            <w:vAlign w:val="bottom"/>
          </w:tcPr>
          <w:p>
            <w:pPr>
              <w:jc w:val="right"/>
              <w:ind w:right="101"/>
              <w:spacing w:after="0"/>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ind w:left="540"/>
              <w:spacing w:after="0"/>
              <w:rPr>
                <w:sz w:val="20"/>
                <w:szCs w:val="20"/>
                <w:color w:val="auto"/>
              </w:rPr>
            </w:pPr>
            <w:r>
              <w:rPr>
                <w:rFonts w:ascii="Arial" w:cs="Arial" w:eastAsia="Arial" w:hAnsi="Arial"/>
                <w:sz w:val="12"/>
                <w:szCs w:val="12"/>
                <w:b w:val="1"/>
                <w:bCs w:val="1"/>
                <w:color w:val="auto"/>
              </w:rPr>
              <w:t>0.66</w:t>
            </w:r>
          </w:p>
        </w:tc>
        <w:tc>
          <w:tcPr>
            <w:tcW w:w="120" w:type="dxa"/>
            <w:vAlign w:val="bottom"/>
          </w:tcPr>
          <w:p>
            <w:pPr>
              <w:spacing w:after="0"/>
              <w:rPr>
                <w:sz w:val="16"/>
                <w:szCs w:val="16"/>
                <w:color w:val="auto"/>
              </w:rPr>
            </w:pPr>
          </w:p>
        </w:tc>
        <w:tc>
          <w:tcPr>
            <w:tcW w:w="980" w:type="dxa"/>
            <w:vAlign w:val="bottom"/>
          </w:tcPr>
          <w:p>
            <w:pPr>
              <w:jc w:val="right"/>
              <w:ind w:right="100"/>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0.70</w:t>
            </w:r>
          </w:p>
        </w:tc>
        <w:tc>
          <w:tcPr>
            <w:tcW w:w="100" w:type="dxa"/>
            <w:vAlign w:val="bottom"/>
          </w:tcPr>
          <w:p>
            <w:pPr>
              <w:spacing w:after="0"/>
              <w:rPr>
                <w:sz w:val="16"/>
                <w:szCs w:val="16"/>
                <w:color w:val="auto"/>
              </w:rPr>
            </w:pPr>
          </w:p>
        </w:tc>
        <w:tc>
          <w:tcPr>
            <w:tcW w:w="1000" w:type="dxa"/>
            <w:vAlign w:val="bottom"/>
          </w:tcPr>
          <w:p>
            <w:pPr>
              <w:jc w:val="right"/>
              <w:ind w:right="100"/>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6"/>
                <w:szCs w:val="16"/>
                <w:color w:val="auto"/>
              </w:rPr>
            </w:pPr>
          </w:p>
        </w:tc>
        <w:tc>
          <w:tcPr>
            <w:tcW w:w="980" w:type="dxa"/>
            <w:vAlign w:val="bottom"/>
          </w:tcPr>
          <w:p>
            <w:pPr>
              <w:jc w:val="right"/>
              <w:ind w:right="101"/>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0.69</w:t>
            </w:r>
          </w:p>
        </w:tc>
        <w:tc>
          <w:tcPr>
            <w:tcW w:w="0" w:type="dxa"/>
            <w:vAlign w:val="bottom"/>
          </w:tcPr>
          <w:p>
            <w:pPr>
              <w:spacing w:after="0"/>
              <w:rPr>
                <w:sz w:val="1"/>
                <w:szCs w:val="1"/>
                <w:color w:val="auto"/>
              </w:rPr>
            </w:pPr>
          </w:p>
        </w:tc>
      </w:tr>
      <w:tr>
        <w:trPr>
          <w:trHeight w:val="193"/>
        </w:trPr>
        <w:tc>
          <w:tcPr>
            <w:tcW w:w="1480" w:type="dxa"/>
            <w:vAlign w:val="bottom"/>
          </w:tcPr>
          <w:p>
            <w:pPr>
              <w:ind w:left="120"/>
              <w:spacing w:after="0"/>
              <w:rPr>
                <w:sz w:val="20"/>
                <w:szCs w:val="20"/>
                <w:color w:val="auto"/>
              </w:rPr>
            </w:pPr>
            <w:r>
              <w:rPr>
                <w:rFonts w:ascii="Arial" w:cs="Arial" w:eastAsia="Arial" w:hAnsi="Arial"/>
                <w:sz w:val="12"/>
                <w:szCs w:val="12"/>
                <w:color w:val="auto"/>
              </w:rPr>
              <w:t>New York</w:t>
            </w:r>
          </w:p>
        </w:tc>
        <w:tc>
          <w:tcPr>
            <w:tcW w:w="1040" w:type="dxa"/>
            <w:vAlign w:val="bottom"/>
          </w:tcPr>
          <w:p>
            <w:pPr>
              <w:jc w:val="right"/>
              <w:ind w:right="100"/>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6"/>
                <w:szCs w:val="16"/>
                <w:color w:val="auto"/>
              </w:rPr>
            </w:pPr>
          </w:p>
        </w:tc>
        <w:tc>
          <w:tcPr>
            <w:tcW w:w="940" w:type="dxa"/>
            <w:vAlign w:val="bottom"/>
          </w:tcPr>
          <w:p>
            <w:pPr>
              <w:jc w:val="right"/>
              <w:ind w:right="101"/>
              <w:spacing w:after="0"/>
              <w:rPr>
                <w:sz w:val="20"/>
                <w:szCs w:val="20"/>
                <w:color w:val="auto"/>
              </w:rPr>
            </w:pPr>
            <w:r>
              <w:rPr>
                <w:rFonts w:ascii="Arial" w:cs="Arial" w:eastAsia="Arial" w:hAnsi="Arial"/>
                <w:sz w:val="12"/>
                <w:szCs w:val="12"/>
                <w:b w:val="1"/>
                <w:bCs w:val="1"/>
                <w:color w:val="auto"/>
              </w:rPr>
              <w:t>6</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ind w:left="540"/>
              <w:spacing w:after="0"/>
              <w:rPr>
                <w:sz w:val="20"/>
                <w:szCs w:val="20"/>
                <w:color w:val="auto"/>
              </w:rPr>
            </w:pPr>
            <w:r>
              <w:rPr>
                <w:rFonts w:ascii="Arial" w:cs="Arial" w:eastAsia="Arial" w:hAnsi="Arial"/>
                <w:sz w:val="12"/>
                <w:szCs w:val="12"/>
                <w:b w:val="1"/>
                <w:bCs w:val="1"/>
                <w:color w:val="auto"/>
              </w:rPr>
              <w:t>0.80</w:t>
            </w:r>
          </w:p>
        </w:tc>
        <w:tc>
          <w:tcPr>
            <w:tcW w:w="120" w:type="dxa"/>
            <w:vAlign w:val="bottom"/>
          </w:tcPr>
          <w:p>
            <w:pPr>
              <w:spacing w:after="0"/>
              <w:rPr>
                <w:sz w:val="16"/>
                <w:szCs w:val="16"/>
                <w:color w:val="auto"/>
              </w:rPr>
            </w:pPr>
          </w:p>
        </w:tc>
        <w:tc>
          <w:tcPr>
            <w:tcW w:w="980" w:type="dxa"/>
            <w:vAlign w:val="bottom"/>
          </w:tcPr>
          <w:p>
            <w:pPr>
              <w:jc w:val="right"/>
              <w:ind w:right="100"/>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0.92</w:t>
            </w:r>
          </w:p>
        </w:tc>
        <w:tc>
          <w:tcPr>
            <w:tcW w:w="100" w:type="dxa"/>
            <w:vAlign w:val="bottom"/>
          </w:tcPr>
          <w:p>
            <w:pPr>
              <w:spacing w:after="0"/>
              <w:rPr>
                <w:sz w:val="16"/>
                <w:szCs w:val="16"/>
                <w:color w:val="auto"/>
              </w:rPr>
            </w:pPr>
          </w:p>
        </w:tc>
        <w:tc>
          <w:tcPr>
            <w:tcW w:w="1000" w:type="dxa"/>
            <w:vAlign w:val="bottom"/>
          </w:tcPr>
          <w:p>
            <w:pPr>
              <w:jc w:val="right"/>
              <w:ind w:right="100"/>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6"/>
                <w:szCs w:val="16"/>
                <w:color w:val="auto"/>
              </w:rPr>
            </w:pPr>
          </w:p>
        </w:tc>
        <w:tc>
          <w:tcPr>
            <w:tcW w:w="980" w:type="dxa"/>
            <w:vAlign w:val="bottom"/>
          </w:tcPr>
          <w:p>
            <w:pPr>
              <w:jc w:val="right"/>
              <w:ind w:right="101"/>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0.95</w:t>
            </w:r>
          </w:p>
        </w:tc>
        <w:tc>
          <w:tcPr>
            <w:tcW w:w="0" w:type="dxa"/>
            <w:vAlign w:val="bottom"/>
          </w:tcPr>
          <w:p>
            <w:pPr>
              <w:spacing w:after="0"/>
              <w:rPr>
                <w:sz w:val="1"/>
                <w:szCs w:val="1"/>
                <w:color w:val="auto"/>
              </w:rPr>
            </w:pPr>
          </w:p>
        </w:tc>
      </w:tr>
      <w:tr>
        <w:trPr>
          <w:trHeight w:val="193"/>
        </w:trPr>
        <w:tc>
          <w:tcPr>
            <w:tcW w:w="1480" w:type="dxa"/>
            <w:vAlign w:val="bottom"/>
          </w:tcPr>
          <w:p>
            <w:pPr>
              <w:ind w:left="120"/>
              <w:spacing w:after="0"/>
              <w:rPr>
                <w:sz w:val="20"/>
                <w:szCs w:val="20"/>
                <w:color w:val="auto"/>
              </w:rPr>
            </w:pPr>
            <w:r>
              <w:rPr>
                <w:rFonts w:ascii="Arial" w:cs="Arial" w:eastAsia="Arial" w:hAnsi="Arial"/>
                <w:sz w:val="12"/>
                <w:szCs w:val="12"/>
                <w:color w:val="auto"/>
              </w:rPr>
              <w:t>Texas</w:t>
            </w:r>
          </w:p>
        </w:tc>
        <w:tc>
          <w:tcPr>
            <w:tcW w:w="1040" w:type="dxa"/>
            <w:vAlign w:val="bottom"/>
          </w:tcPr>
          <w:p>
            <w:pPr>
              <w:jc w:val="right"/>
              <w:ind w:right="100"/>
              <w:spacing w:after="0"/>
              <w:rPr>
                <w:sz w:val="20"/>
                <w:szCs w:val="20"/>
                <w:color w:val="auto"/>
              </w:rPr>
            </w:pPr>
            <w:r>
              <w:rPr>
                <w:rFonts w:ascii="Arial" w:cs="Arial" w:eastAsia="Arial" w:hAnsi="Arial"/>
                <w:sz w:val="12"/>
                <w:szCs w:val="12"/>
                <w:b w:val="1"/>
                <w:bCs w:val="1"/>
                <w:color w:val="auto"/>
              </w:rPr>
              <w:t>7</w:t>
            </w:r>
          </w:p>
        </w:tc>
        <w:tc>
          <w:tcPr>
            <w:tcW w:w="120" w:type="dxa"/>
            <w:vAlign w:val="bottom"/>
          </w:tcPr>
          <w:p>
            <w:pPr>
              <w:spacing w:after="0"/>
              <w:rPr>
                <w:sz w:val="16"/>
                <w:szCs w:val="16"/>
                <w:color w:val="auto"/>
              </w:rPr>
            </w:pPr>
          </w:p>
        </w:tc>
        <w:tc>
          <w:tcPr>
            <w:tcW w:w="940" w:type="dxa"/>
            <w:vAlign w:val="bottom"/>
          </w:tcPr>
          <w:p>
            <w:pPr>
              <w:jc w:val="right"/>
              <w:ind w:right="101"/>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ind w:left="540"/>
              <w:spacing w:after="0"/>
              <w:rPr>
                <w:sz w:val="20"/>
                <w:szCs w:val="20"/>
                <w:color w:val="auto"/>
              </w:rPr>
            </w:pPr>
            <w:r>
              <w:rPr>
                <w:rFonts w:ascii="Arial" w:cs="Arial" w:eastAsia="Arial" w:hAnsi="Arial"/>
                <w:sz w:val="12"/>
                <w:szCs w:val="12"/>
                <w:b w:val="1"/>
                <w:bCs w:val="1"/>
                <w:color w:val="auto"/>
              </w:rPr>
              <w:t>0.69</w:t>
            </w:r>
          </w:p>
        </w:tc>
        <w:tc>
          <w:tcPr>
            <w:tcW w:w="120" w:type="dxa"/>
            <w:vAlign w:val="bottom"/>
          </w:tcPr>
          <w:p>
            <w:pPr>
              <w:spacing w:after="0"/>
              <w:rPr>
                <w:sz w:val="16"/>
                <w:szCs w:val="16"/>
                <w:color w:val="auto"/>
              </w:rPr>
            </w:pPr>
          </w:p>
        </w:tc>
        <w:tc>
          <w:tcPr>
            <w:tcW w:w="980" w:type="dxa"/>
            <w:vAlign w:val="bottom"/>
          </w:tcPr>
          <w:p>
            <w:pPr>
              <w:jc w:val="right"/>
              <w:ind w:right="100"/>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0.64</w:t>
            </w:r>
          </w:p>
        </w:tc>
        <w:tc>
          <w:tcPr>
            <w:tcW w:w="100" w:type="dxa"/>
            <w:vAlign w:val="bottom"/>
          </w:tcPr>
          <w:p>
            <w:pPr>
              <w:spacing w:after="0"/>
              <w:rPr>
                <w:sz w:val="16"/>
                <w:szCs w:val="16"/>
                <w:color w:val="auto"/>
              </w:rPr>
            </w:pPr>
          </w:p>
        </w:tc>
        <w:tc>
          <w:tcPr>
            <w:tcW w:w="1000" w:type="dxa"/>
            <w:vAlign w:val="bottom"/>
          </w:tcPr>
          <w:p>
            <w:pPr>
              <w:jc w:val="right"/>
              <w:ind w:right="100"/>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6"/>
                <w:szCs w:val="16"/>
                <w:color w:val="auto"/>
              </w:rPr>
            </w:pPr>
          </w:p>
        </w:tc>
        <w:tc>
          <w:tcPr>
            <w:tcW w:w="980" w:type="dxa"/>
            <w:vAlign w:val="bottom"/>
          </w:tcPr>
          <w:p>
            <w:pPr>
              <w:jc w:val="right"/>
              <w:ind w:right="101"/>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0.60</w:t>
            </w:r>
          </w:p>
        </w:tc>
        <w:tc>
          <w:tcPr>
            <w:tcW w:w="0" w:type="dxa"/>
            <w:vAlign w:val="bottom"/>
          </w:tcPr>
          <w:p>
            <w:pPr>
              <w:spacing w:after="0"/>
              <w:rPr>
                <w:sz w:val="1"/>
                <w:szCs w:val="1"/>
                <w:color w:val="auto"/>
              </w:rPr>
            </w:pPr>
          </w:p>
        </w:tc>
      </w:tr>
      <w:tr>
        <w:trPr>
          <w:trHeight w:val="193"/>
        </w:trPr>
        <w:tc>
          <w:tcPr>
            <w:tcW w:w="1480" w:type="dxa"/>
            <w:vAlign w:val="bottom"/>
          </w:tcPr>
          <w:p>
            <w:pPr>
              <w:ind w:left="120"/>
              <w:spacing w:after="0"/>
              <w:rPr>
                <w:sz w:val="20"/>
                <w:szCs w:val="20"/>
                <w:color w:val="auto"/>
              </w:rPr>
            </w:pPr>
            <w:r>
              <w:rPr>
                <w:rFonts w:ascii="Arial" w:cs="Arial" w:eastAsia="Arial" w:hAnsi="Arial"/>
                <w:sz w:val="12"/>
                <w:szCs w:val="12"/>
                <w:color w:val="auto"/>
              </w:rPr>
              <w:t>All other states</w:t>
            </w:r>
          </w:p>
        </w:tc>
        <w:tc>
          <w:tcPr>
            <w:tcW w:w="1040" w:type="dxa"/>
            <w:vAlign w:val="bottom"/>
          </w:tcPr>
          <w:p>
            <w:pPr>
              <w:jc w:val="right"/>
              <w:ind w:right="100"/>
              <w:spacing w:after="0"/>
              <w:rPr>
                <w:sz w:val="20"/>
                <w:szCs w:val="20"/>
                <w:color w:val="auto"/>
              </w:rPr>
            </w:pPr>
            <w:r>
              <w:rPr>
                <w:rFonts w:ascii="Arial" w:cs="Arial" w:eastAsia="Arial" w:hAnsi="Arial"/>
                <w:sz w:val="12"/>
                <w:szCs w:val="12"/>
                <w:b w:val="1"/>
                <w:bCs w:val="1"/>
                <w:color w:val="auto"/>
              </w:rPr>
              <w:t>61</w:t>
            </w:r>
          </w:p>
        </w:tc>
        <w:tc>
          <w:tcPr>
            <w:tcW w:w="120" w:type="dxa"/>
            <w:vAlign w:val="bottom"/>
          </w:tcPr>
          <w:p>
            <w:pPr>
              <w:spacing w:after="0"/>
              <w:rPr>
                <w:sz w:val="16"/>
                <w:szCs w:val="16"/>
                <w:color w:val="auto"/>
              </w:rPr>
            </w:pPr>
          </w:p>
        </w:tc>
        <w:tc>
          <w:tcPr>
            <w:tcW w:w="940" w:type="dxa"/>
            <w:vAlign w:val="bottom"/>
          </w:tcPr>
          <w:p>
            <w:pPr>
              <w:jc w:val="right"/>
              <w:ind w:right="101"/>
              <w:spacing w:after="0"/>
              <w:rPr>
                <w:sz w:val="20"/>
                <w:szCs w:val="20"/>
                <w:color w:val="auto"/>
              </w:rPr>
            </w:pPr>
            <w:r>
              <w:rPr>
                <w:rFonts w:ascii="Arial" w:cs="Arial" w:eastAsia="Arial" w:hAnsi="Arial"/>
                <w:sz w:val="12"/>
                <w:szCs w:val="12"/>
                <w:b w:val="1"/>
                <w:bCs w:val="1"/>
                <w:color w:val="auto"/>
              </w:rPr>
              <w:t>60</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ind w:left="540"/>
              <w:spacing w:after="0"/>
              <w:rPr>
                <w:sz w:val="20"/>
                <w:szCs w:val="20"/>
                <w:color w:val="auto"/>
              </w:rPr>
            </w:pPr>
            <w:r>
              <w:rPr>
                <w:rFonts w:ascii="Arial" w:cs="Arial" w:eastAsia="Arial" w:hAnsi="Arial"/>
                <w:sz w:val="12"/>
                <w:szCs w:val="12"/>
                <w:b w:val="1"/>
                <w:bCs w:val="1"/>
                <w:color w:val="auto"/>
              </w:rPr>
              <w:t>0.48</w:t>
            </w:r>
          </w:p>
        </w:tc>
        <w:tc>
          <w:tcPr>
            <w:tcW w:w="120" w:type="dxa"/>
            <w:vAlign w:val="bottom"/>
          </w:tcPr>
          <w:p>
            <w:pPr>
              <w:spacing w:after="0"/>
              <w:rPr>
                <w:sz w:val="16"/>
                <w:szCs w:val="16"/>
                <w:color w:val="auto"/>
              </w:rPr>
            </w:pPr>
          </w:p>
        </w:tc>
        <w:tc>
          <w:tcPr>
            <w:tcW w:w="980" w:type="dxa"/>
            <w:vAlign w:val="bottom"/>
          </w:tcPr>
          <w:p>
            <w:pPr>
              <w:jc w:val="right"/>
              <w:ind w:right="100"/>
              <w:spacing w:after="0"/>
              <w:rPr>
                <w:sz w:val="20"/>
                <w:szCs w:val="20"/>
                <w:color w:val="auto"/>
              </w:rPr>
            </w:pPr>
            <w:r>
              <w:rPr>
                <w:rFonts w:ascii="Arial" w:cs="Arial" w:eastAsia="Arial" w:hAnsi="Arial"/>
                <w:sz w:val="12"/>
                <w:szCs w:val="12"/>
                <w:color w:val="auto"/>
              </w:rPr>
              <w:t>60</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61</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0.52</w:t>
            </w:r>
          </w:p>
        </w:tc>
        <w:tc>
          <w:tcPr>
            <w:tcW w:w="100" w:type="dxa"/>
            <w:vAlign w:val="bottom"/>
          </w:tcPr>
          <w:p>
            <w:pPr>
              <w:spacing w:after="0"/>
              <w:rPr>
                <w:sz w:val="16"/>
                <w:szCs w:val="16"/>
                <w:color w:val="auto"/>
              </w:rPr>
            </w:pPr>
          </w:p>
        </w:tc>
        <w:tc>
          <w:tcPr>
            <w:tcW w:w="1000" w:type="dxa"/>
            <w:vAlign w:val="bottom"/>
          </w:tcPr>
          <w:p>
            <w:pPr>
              <w:jc w:val="right"/>
              <w:ind w:right="100"/>
              <w:spacing w:after="0"/>
              <w:rPr>
                <w:sz w:val="20"/>
                <w:szCs w:val="20"/>
                <w:color w:val="auto"/>
              </w:rPr>
            </w:pPr>
            <w:r>
              <w:rPr>
                <w:rFonts w:ascii="Arial" w:cs="Arial" w:eastAsia="Arial" w:hAnsi="Arial"/>
                <w:sz w:val="12"/>
                <w:szCs w:val="12"/>
                <w:color w:val="auto"/>
              </w:rPr>
              <w:t>60</w:t>
            </w:r>
          </w:p>
        </w:tc>
        <w:tc>
          <w:tcPr>
            <w:tcW w:w="100" w:type="dxa"/>
            <w:vAlign w:val="bottom"/>
          </w:tcPr>
          <w:p>
            <w:pPr>
              <w:spacing w:after="0"/>
              <w:rPr>
                <w:sz w:val="16"/>
                <w:szCs w:val="16"/>
                <w:color w:val="auto"/>
              </w:rPr>
            </w:pPr>
          </w:p>
        </w:tc>
        <w:tc>
          <w:tcPr>
            <w:tcW w:w="980" w:type="dxa"/>
            <w:vAlign w:val="bottom"/>
          </w:tcPr>
          <w:p>
            <w:pPr>
              <w:jc w:val="right"/>
              <w:ind w:right="101"/>
              <w:spacing w:after="0"/>
              <w:rPr>
                <w:sz w:val="20"/>
                <w:szCs w:val="20"/>
                <w:color w:val="auto"/>
              </w:rPr>
            </w:pPr>
            <w:r>
              <w:rPr>
                <w:rFonts w:ascii="Arial" w:cs="Arial" w:eastAsia="Arial" w:hAnsi="Arial"/>
                <w:sz w:val="12"/>
                <w:szCs w:val="12"/>
                <w:color w:val="auto"/>
              </w:rPr>
              <w:t>61</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0.51</w:t>
            </w:r>
          </w:p>
        </w:tc>
        <w:tc>
          <w:tcPr>
            <w:tcW w:w="0" w:type="dxa"/>
            <w:vAlign w:val="bottom"/>
          </w:tcPr>
          <w:p>
            <w:pPr>
              <w:spacing w:after="0"/>
              <w:rPr>
                <w:sz w:val="1"/>
                <w:szCs w:val="1"/>
                <w:color w:val="auto"/>
              </w:rPr>
            </w:pPr>
          </w:p>
        </w:tc>
      </w:tr>
      <w:tr>
        <w:trPr>
          <w:trHeight w:val="180"/>
        </w:trPr>
        <w:tc>
          <w:tcPr>
            <w:tcW w:w="1480" w:type="dxa"/>
            <w:vAlign w:val="bottom"/>
          </w:tcPr>
          <w:p>
            <w:pPr>
              <w:ind w:left="20"/>
              <w:spacing w:after="0"/>
              <w:rPr>
                <w:sz w:val="20"/>
                <w:szCs w:val="20"/>
                <w:color w:val="auto"/>
              </w:rPr>
            </w:pPr>
            <w:r>
              <w:rPr>
                <w:rFonts w:ascii="Arial" w:cs="Arial" w:eastAsia="Arial" w:hAnsi="Arial"/>
                <w:sz w:val="12"/>
                <w:szCs w:val="12"/>
                <w:b w:val="1"/>
                <w:bCs w:val="1"/>
                <w:color w:val="auto"/>
              </w:rPr>
              <w:t>Vintages:</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80" w:type="dxa"/>
            <w:vAlign w:val="bottom"/>
            <w:tcBorders>
              <w:bottom w:val="single" w:sz="8" w:color="2C6937"/>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1480" w:type="dxa"/>
            <w:vAlign w:val="bottom"/>
          </w:tcPr>
          <w:p>
            <w:pPr>
              <w:ind w:left="120"/>
              <w:spacing w:after="0"/>
              <w:rPr>
                <w:sz w:val="20"/>
                <w:szCs w:val="20"/>
                <w:color w:val="auto"/>
              </w:rPr>
            </w:pPr>
            <w:r>
              <w:rPr>
                <w:rFonts w:ascii="Arial" w:cs="Arial" w:eastAsia="Arial" w:hAnsi="Arial"/>
                <w:sz w:val="12"/>
                <w:szCs w:val="12"/>
                <w:color w:val="auto"/>
              </w:rPr>
              <w:t>2008 and prior</w:t>
            </w:r>
          </w:p>
        </w:tc>
        <w:tc>
          <w:tcPr>
            <w:tcW w:w="1040" w:type="dxa"/>
            <w:vAlign w:val="bottom"/>
          </w:tcPr>
          <w:p>
            <w:pPr>
              <w:jc w:val="right"/>
              <w:ind w:right="10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Arial" w:cs="Arial" w:eastAsia="Arial" w:hAnsi="Arial"/>
                <w:sz w:val="12"/>
                <w:szCs w:val="12"/>
                <w:b w:val="1"/>
                <w:bCs w:val="1"/>
                <w:color w:val="auto"/>
              </w:rPr>
              <w:t>16</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ind w:left="540"/>
              <w:spacing w:after="0"/>
              <w:rPr>
                <w:sz w:val="20"/>
                <w:szCs w:val="20"/>
                <w:color w:val="auto"/>
              </w:rPr>
            </w:pPr>
            <w:r>
              <w:rPr>
                <w:rFonts w:ascii="Arial" w:cs="Arial" w:eastAsia="Arial" w:hAnsi="Arial"/>
                <w:sz w:val="12"/>
                <w:szCs w:val="12"/>
                <w:b w:val="1"/>
                <w:bCs w:val="1"/>
                <w:color w:val="auto"/>
              </w:rPr>
              <w:t>1.79</w:t>
            </w:r>
          </w:p>
        </w:tc>
        <w:tc>
          <w:tcPr>
            <w:tcW w:w="120" w:type="dxa"/>
            <w:vAlign w:val="bottom"/>
          </w:tcPr>
          <w:p>
            <w:pPr>
              <w:spacing w:after="0"/>
              <w:rPr>
                <w:sz w:val="15"/>
                <w:szCs w:val="15"/>
                <w:color w:val="auto"/>
              </w:rPr>
            </w:pPr>
          </w:p>
        </w:tc>
        <w:tc>
          <w:tcPr>
            <w:tcW w:w="980" w:type="dxa"/>
            <w:vAlign w:val="bottom"/>
          </w:tcPr>
          <w:p>
            <w:pPr>
              <w:jc w:val="right"/>
              <w:ind w:right="100"/>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5"/>
                <w:szCs w:val="15"/>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18</w:t>
            </w:r>
          </w:p>
        </w:tc>
        <w:tc>
          <w:tcPr>
            <w:tcW w:w="100" w:type="dxa"/>
            <w:vAlign w:val="bottom"/>
          </w:tcPr>
          <w:p>
            <w:pPr>
              <w:spacing w:after="0"/>
              <w:rPr>
                <w:sz w:val="15"/>
                <w:szCs w:val="15"/>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2.07</w:t>
            </w:r>
          </w:p>
        </w:tc>
        <w:tc>
          <w:tcPr>
            <w:tcW w:w="100" w:type="dxa"/>
            <w:vAlign w:val="bottom"/>
          </w:tcPr>
          <w:p>
            <w:pPr>
              <w:spacing w:after="0"/>
              <w:rPr>
                <w:sz w:val="15"/>
                <w:szCs w:val="15"/>
                <w:color w:val="auto"/>
              </w:rPr>
            </w:pPr>
          </w:p>
        </w:tc>
        <w:tc>
          <w:tcPr>
            <w:tcW w:w="1000" w:type="dxa"/>
            <w:vAlign w:val="bottom"/>
          </w:tcPr>
          <w:p>
            <w:pPr>
              <w:jc w:val="right"/>
              <w:ind w:right="100"/>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5"/>
                <w:szCs w:val="15"/>
                <w:color w:val="auto"/>
              </w:rPr>
            </w:pPr>
          </w:p>
        </w:tc>
        <w:tc>
          <w:tcPr>
            <w:tcW w:w="980" w:type="dxa"/>
            <w:vAlign w:val="bottom"/>
          </w:tcPr>
          <w:p>
            <w:pPr>
              <w:jc w:val="right"/>
              <w:ind w:right="101"/>
              <w:spacing w:after="0"/>
              <w:rPr>
                <w:sz w:val="20"/>
                <w:szCs w:val="20"/>
                <w:color w:val="auto"/>
              </w:rPr>
            </w:pPr>
            <w:r>
              <w:rPr>
                <w:rFonts w:ascii="Arial" w:cs="Arial" w:eastAsia="Arial" w:hAnsi="Arial"/>
                <w:sz w:val="12"/>
                <w:szCs w:val="12"/>
                <w:color w:val="auto"/>
              </w:rPr>
              <w:t>20</w:t>
            </w:r>
          </w:p>
        </w:tc>
        <w:tc>
          <w:tcPr>
            <w:tcW w:w="100" w:type="dxa"/>
            <w:vAlign w:val="bottom"/>
          </w:tcPr>
          <w:p>
            <w:pPr>
              <w:spacing w:after="0"/>
              <w:rPr>
                <w:sz w:val="15"/>
                <w:szCs w:val="15"/>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2.18</w:t>
            </w:r>
          </w:p>
        </w:tc>
        <w:tc>
          <w:tcPr>
            <w:tcW w:w="0" w:type="dxa"/>
            <w:vAlign w:val="bottom"/>
          </w:tcPr>
          <w:p>
            <w:pPr>
              <w:spacing w:after="0"/>
              <w:rPr>
                <w:sz w:val="1"/>
                <w:szCs w:val="1"/>
                <w:color w:val="auto"/>
              </w:rPr>
            </w:pPr>
          </w:p>
        </w:tc>
      </w:tr>
      <w:tr>
        <w:trPr>
          <w:trHeight w:val="193"/>
        </w:trPr>
        <w:tc>
          <w:tcPr>
            <w:tcW w:w="1480" w:type="dxa"/>
            <w:vAlign w:val="bottom"/>
          </w:tcPr>
          <w:p>
            <w:pPr>
              <w:ind w:left="120"/>
              <w:spacing w:after="0"/>
              <w:rPr>
                <w:sz w:val="20"/>
                <w:szCs w:val="20"/>
                <w:color w:val="auto"/>
              </w:rPr>
            </w:pPr>
            <w:r>
              <w:rPr>
                <w:rFonts w:ascii="Arial" w:cs="Arial" w:eastAsia="Arial" w:hAnsi="Arial"/>
                <w:sz w:val="12"/>
                <w:szCs w:val="12"/>
                <w:color w:val="auto"/>
              </w:rPr>
              <w:t>2009-2024</w:t>
            </w:r>
          </w:p>
        </w:tc>
        <w:tc>
          <w:tcPr>
            <w:tcW w:w="1040" w:type="dxa"/>
            <w:vAlign w:val="bottom"/>
          </w:tcPr>
          <w:p>
            <w:pPr>
              <w:jc w:val="right"/>
              <w:ind w:right="100"/>
              <w:spacing w:after="0"/>
              <w:rPr>
                <w:sz w:val="20"/>
                <w:szCs w:val="20"/>
                <w:color w:val="auto"/>
              </w:rPr>
            </w:pPr>
            <w:r>
              <w:rPr>
                <w:rFonts w:ascii="Arial" w:cs="Arial" w:eastAsia="Arial" w:hAnsi="Arial"/>
                <w:sz w:val="12"/>
                <w:szCs w:val="12"/>
                <w:b w:val="1"/>
                <w:bCs w:val="1"/>
                <w:color w:val="auto"/>
              </w:rPr>
              <w:t>98</w:t>
            </w:r>
          </w:p>
        </w:tc>
        <w:tc>
          <w:tcPr>
            <w:tcW w:w="120" w:type="dxa"/>
            <w:vAlign w:val="bottom"/>
          </w:tcPr>
          <w:p>
            <w:pPr>
              <w:spacing w:after="0"/>
              <w:rPr>
                <w:sz w:val="16"/>
                <w:szCs w:val="16"/>
                <w:color w:val="auto"/>
              </w:rPr>
            </w:pPr>
          </w:p>
        </w:tc>
        <w:tc>
          <w:tcPr>
            <w:tcW w:w="940" w:type="dxa"/>
            <w:vAlign w:val="bottom"/>
          </w:tcPr>
          <w:p>
            <w:pPr>
              <w:jc w:val="right"/>
              <w:ind w:right="101"/>
              <w:spacing w:after="0"/>
              <w:rPr>
                <w:sz w:val="20"/>
                <w:szCs w:val="20"/>
                <w:color w:val="auto"/>
              </w:rPr>
            </w:pPr>
            <w:r>
              <w:rPr>
                <w:rFonts w:ascii="Arial" w:cs="Arial" w:eastAsia="Arial" w:hAnsi="Arial"/>
                <w:sz w:val="12"/>
                <w:szCs w:val="12"/>
                <w:b w:val="1"/>
                <w:bCs w:val="1"/>
                <w:color w:val="auto"/>
              </w:rPr>
              <w:t>84</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ind w:left="540"/>
              <w:spacing w:after="0"/>
              <w:rPr>
                <w:sz w:val="20"/>
                <w:szCs w:val="20"/>
                <w:color w:val="auto"/>
              </w:rPr>
            </w:pPr>
            <w:r>
              <w:rPr>
                <w:rFonts w:ascii="Arial" w:cs="Arial" w:eastAsia="Arial" w:hAnsi="Arial"/>
                <w:sz w:val="12"/>
                <w:szCs w:val="12"/>
                <w:b w:val="1"/>
                <w:bCs w:val="1"/>
                <w:color w:val="auto"/>
              </w:rPr>
              <w:t>0.46</w:t>
            </w:r>
          </w:p>
        </w:tc>
        <w:tc>
          <w:tcPr>
            <w:tcW w:w="120" w:type="dxa"/>
            <w:vAlign w:val="bottom"/>
          </w:tcPr>
          <w:p>
            <w:pPr>
              <w:spacing w:after="0"/>
              <w:rPr>
                <w:sz w:val="16"/>
                <w:szCs w:val="16"/>
                <w:color w:val="auto"/>
              </w:rPr>
            </w:pPr>
          </w:p>
        </w:tc>
        <w:tc>
          <w:tcPr>
            <w:tcW w:w="980" w:type="dxa"/>
            <w:vAlign w:val="bottom"/>
          </w:tcPr>
          <w:p>
            <w:pPr>
              <w:jc w:val="right"/>
              <w:ind w:right="100"/>
              <w:spacing w:after="0"/>
              <w:rPr>
                <w:sz w:val="20"/>
                <w:szCs w:val="20"/>
                <w:color w:val="auto"/>
              </w:rPr>
            </w:pPr>
            <w:r>
              <w:rPr>
                <w:rFonts w:ascii="Arial" w:cs="Arial" w:eastAsia="Arial" w:hAnsi="Arial"/>
                <w:sz w:val="12"/>
                <w:szCs w:val="12"/>
                <w:color w:val="auto"/>
              </w:rPr>
              <w:t>98</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82</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0.47</w:t>
            </w:r>
          </w:p>
        </w:tc>
        <w:tc>
          <w:tcPr>
            <w:tcW w:w="100" w:type="dxa"/>
            <w:vAlign w:val="bottom"/>
          </w:tcPr>
          <w:p>
            <w:pPr>
              <w:spacing w:after="0"/>
              <w:rPr>
                <w:sz w:val="16"/>
                <w:szCs w:val="16"/>
                <w:color w:val="auto"/>
              </w:rPr>
            </w:pPr>
          </w:p>
        </w:tc>
        <w:tc>
          <w:tcPr>
            <w:tcW w:w="1000" w:type="dxa"/>
            <w:vAlign w:val="bottom"/>
          </w:tcPr>
          <w:p>
            <w:pPr>
              <w:jc w:val="right"/>
              <w:ind w:right="100"/>
              <w:spacing w:after="0"/>
              <w:rPr>
                <w:sz w:val="20"/>
                <w:szCs w:val="20"/>
                <w:color w:val="auto"/>
              </w:rPr>
            </w:pPr>
            <w:r>
              <w:rPr>
                <w:rFonts w:ascii="Arial" w:cs="Arial" w:eastAsia="Arial" w:hAnsi="Arial"/>
                <w:sz w:val="12"/>
                <w:szCs w:val="12"/>
                <w:color w:val="auto"/>
              </w:rPr>
              <w:t>98</w:t>
            </w:r>
          </w:p>
        </w:tc>
        <w:tc>
          <w:tcPr>
            <w:tcW w:w="100" w:type="dxa"/>
            <w:vAlign w:val="bottom"/>
          </w:tcPr>
          <w:p>
            <w:pPr>
              <w:spacing w:after="0"/>
              <w:rPr>
                <w:sz w:val="16"/>
                <w:szCs w:val="16"/>
                <w:color w:val="auto"/>
              </w:rPr>
            </w:pPr>
          </w:p>
        </w:tc>
        <w:tc>
          <w:tcPr>
            <w:tcW w:w="980" w:type="dxa"/>
            <w:vAlign w:val="bottom"/>
          </w:tcPr>
          <w:p>
            <w:pPr>
              <w:jc w:val="right"/>
              <w:ind w:right="101"/>
              <w:spacing w:after="0"/>
              <w:rPr>
                <w:sz w:val="20"/>
                <w:szCs w:val="20"/>
                <w:color w:val="auto"/>
              </w:rPr>
            </w:pPr>
            <w:r>
              <w:rPr>
                <w:rFonts w:ascii="Arial" w:cs="Arial" w:eastAsia="Arial" w:hAnsi="Arial"/>
                <w:sz w:val="12"/>
                <w:szCs w:val="12"/>
                <w:color w:val="auto"/>
              </w:rPr>
              <w:t>80</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0.45</w:t>
            </w:r>
          </w:p>
        </w:tc>
        <w:tc>
          <w:tcPr>
            <w:tcW w:w="0" w:type="dxa"/>
            <w:vAlign w:val="bottom"/>
          </w:tcPr>
          <w:p>
            <w:pPr>
              <w:spacing w:after="0"/>
              <w:rPr>
                <w:sz w:val="1"/>
                <w:szCs w:val="1"/>
                <w:color w:val="auto"/>
              </w:rPr>
            </w:pPr>
          </w:p>
        </w:tc>
      </w:tr>
      <w:tr>
        <w:trPr>
          <w:trHeight w:val="157"/>
        </w:trPr>
        <w:tc>
          <w:tcPr>
            <w:tcW w:w="1480" w:type="dxa"/>
            <w:vAlign w:val="bottom"/>
          </w:tcPr>
          <w:p>
            <w:pPr>
              <w:ind w:left="20"/>
              <w:spacing w:after="0"/>
              <w:rPr>
                <w:sz w:val="20"/>
                <w:szCs w:val="20"/>
                <w:color w:val="auto"/>
              </w:rPr>
            </w:pPr>
            <w:r>
              <w:rPr>
                <w:rFonts w:ascii="Arial" w:cs="Arial" w:eastAsia="Arial" w:hAnsi="Arial"/>
                <w:sz w:val="12"/>
                <w:szCs w:val="12"/>
                <w:b w:val="1"/>
                <w:bCs w:val="1"/>
                <w:color w:val="auto"/>
              </w:rPr>
              <w:t>Estimated mark-to-</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480" w:type="dxa"/>
            <w:vAlign w:val="bottom"/>
          </w:tcPr>
          <w:p>
            <w:pPr>
              <w:ind w:left="120"/>
              <w:spacing w:after="0"/>
              <w:rPr>
                <w:sz w:val="20"/>
                <w:szCs w:val="20"/>
                <w:color w:val="auto"/>
              </w:rPr>
            </w:pPr>
            <w:r>
              <w:rPr>
                <w:rFonts w:ascii="Arial" w:cs="Arial" w:eastAsia="Arial" w:hAnsi="Arial"/>
                <w:sz w:val="12"/>
                <w:szCs w:val="12"/>
                <w:b w:val="1"/>
                <w:bCs w:val="1"/>
                <w:color w:val="auto"/>
              </w:rPr>
              <w:t>market LTV ratio:</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80" w:type="dxa"/>
            <w:vAlign w:val="bottom"/>
            <w:tcBorders>
              <w:bottom w:val="single" w:sz="8" w:color="2C6937"/>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1480" w:type="dxa"/>
            <w:vAlign w:val="bottom"/>
          </w:tcPr>
          <w:p>
            <w:pPr>
              <w:ind w:left="120"/>
              <w:spacing w:after="0"/>
              <w:rPr>
                <w:sz w:val="20"/>
                <w:szCs w:val="20"/>
                <w:color w:val="auto"/>
              </w:rPr>
            </w:pPr>
            <w:r>
              <w:rPr>
                <w:rFonts w:ascii="Arial" w:cs="Arial" w:eastAsia="Arial" w:hAnsi="Arial"/>
                <w:sz w:val="12"/>
                <w:szCs w:val="12"/>
                <w:color w:val="auto"/>
              </w:rPr>
              <w:t>&lt;= 60%</w:t>
            </w:r>
          </w:p>
        </w:tc>
        <w:tc>
          <w:tcPr>
            <w:tcW w:w="1040" w:type="dxa"/>
            <w:vAlign w:val="bottom"/>
          </w:tcPr>
          <w:p>
            <w:pPr>
              <w:jc w:val="right"/>
              <w:ind w:right="100"/>
              <w:spacing w:after="0"/>
              <w:rPr>
                <w:sz w:val="20"/>
                <w:szCs w:val="20"/>
                <w:color w:val="auto"/>
              </w:rPr>
            </w:pPr>
            <w:r>
              <w:rPr>
                <w:rFonts w:ascii="Arial" w:cs="Arial" w:eastAsia="Arial" w:hAnsi="Arial"/>
                <w:sz w:val="12"/>
                <w:szCs w:val="12"/>
                <w:b w:val="1"/>
                <w:bCs w:val="1"/>
                <w:color w:val="auto"/>
              </w:rPr>
              <w:t>70</w:t>
            </w:r>
          </w:p>
        </w:tc>
        <w:tc>
          <w:tcPr>
            <w:tcW w:w="12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Arial" w:cs="Arial" w:eastAsia="Arial" w:hAnsi="Arial"/>
                <w:sz w:val="12"/>
                <w:szCs w:val="12"/>
                <w:b w:val="1"/>
                <w:bCs w:val="1"/>
                <w:color w:val="auto"/>
              </w:rPr>
              <w:t>69</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ind w:left="540"/>
              <w:spacing w:after="0"/>
              <w:rPr>
                <w:sz w:val="20"/>
                <w:szCs w:val="20"/>
                <w:color w:val="auto"/>
              </w:rPr>
            </w:pPr>
            <w:r>
              <w:rPr>
                <w:rFonts w:ascii="Arial" w:cs="Arial" w:eastAsia="Arial" w:hAnsi="Arial"/>
                <w:sz w:val="12"/>
                <w:szCs w:val="12"/>
                <w:b w:val="1"/>
                <w:bCs w:val="1"/>
                <w:color w:val="auto"/>
              </w:rPr>
              <w:t>0.45</w:t>
            </w:r>
          </w:p>
        </w:tc>
        <w:tc>
          <w:tcPr>
            <w:tcW w:w="120" w:type="dxa"/>
            <w:vAlign w:val="bottom"/>
          </w:tcPr>
          <w:p>
            <w:pPr>
              <w:spacing w:after="0"/>
              <w:rPr>
                <w:sz w:val="15"/>
                <w:szCs w:val="15"/>
                <w:color w:val="auto"/>
              </w:rPr>
            </w:pPr>
          </w:p>
        </w:tc>
        <w:tc>
          <w:tcPr>
            <w:tcW w:w="980" w:type="dxa"/>
            <w:vAlign w:val="bottom"/>
          </w:tcPr>
          <w:p>
            <w:pPr>
              <w:jc w:val="right"/>
              <w:ind w:right="100"/>
              <w:spacing w:after="0"/>
              <w:rPr>
                <w:sz w:val="20"/>
                <w:szCs w:val="20"/>
                <w:color w:val="auto"/>
              </w:rPr>
            </w:pPr>
            <w:r>
              <w:rPr>
                <w:rFonts w:ascii="Arial" w:cs="Arial" w:eastAsia="Arial" w:hAnsi="Arial"/>
                <w:sz w:val="12"/>
                <w:szCs w:val="12"/>
                <w:color w:val="auto"/>
              </w:rPr>
              <w:t>68</w:t>
            </w:r>
          </w:p>
        </w:tc>
        <w:tc>
          <w:tcPr>
            <w:tcW w:w="100" w:type="dxa"/>
            <w:vAlign w:val="bottom"/>
          </w:tcPr>
          <w:p>
            <w:pPr>
              <w:spacing w:after="0"/>
              <w:rPr>
                <w:sz w:val="15"/>
                <w:szCs w:val="15"/>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69</w:t>
            </w:r>
          </w:p>
        </w:tc>
        <w:tc>
          <w:tcPr>
            <w:tcW w:w="100" w:type="dxa"/>
            <w:vAlign w:val="bottom"/>
          </w:tcPr>
          <w:p>
            <w:pPr>
              <w:spacing w:after="0"/>
              <w:rPr>
                <w:sz w:val="15"/>
                <w:szCs w:val="15"/>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0.49</w:t>
            </w:r>
          </w:p>
        </w:tc>
        <w:tc>
          <w:tcPr>
            <w:tcW w:w="100" w:type="dxa"/>
            <w:vAlign w:val="bottom"/>
          </w:tcPr>
          <w:p>
            <w:pPr>
              <w:spacing w:after="0"/>
              <w:rPr>
                <w:sz w:val="15"/>
                <w:szCs w:val="15"/>
                <w:color w:val="auto"/>
              </w:rPr>
            </w:pPr>
          </w:p>
        </w:tc>
        <w:tc>
          <w:tcPr>
            <w:tcW w:w="1000" w:type="dxa"/>
            <w:vAlign w:val="bottom"/>
          </w:tcPr>
          <w:p>
            <w:pPr>
              <w:jc w:val="right"/>
              <w:ind w:right="100"/>
              <w:spacing w:after="0"/>
              <w:rPr>
                <w:sz w:val="20"/>
                <w:szCs w:val="20"/>
                <w:color w:val="auto"/>
              </w:rPr>
            </w:pPr>
            <w:r>
              <w:rPr>
                <w:rFonts w:ascii="Arial" w:cs="Arial" w:eastAsia="Arial" w:hAnsi="Arial"/>
                <w:sz w:val="12"/>
                <w:szCs w:val="12"/>
                <w:color w:val="auto"/>
              </w:rPr>
              <w:t>68</w:t>
            </w:r>
          </w:p>
        </w:tc>
        <w:tc>
          <w:tcPr>
            <w:tcW w:w="100" w:type="dxa"/>
            <w:vAlign w:val="bottom"/>
          </w:tcPr>
          <w:p>
            <w:pPr>
              <w:spacing w:after="0"/>
              <w:rPr>
                <w:sz w:val="15"/>
                <w:szCs w:val="15"/>
                <w:color w:val="auto"/>
              </w:rPr>
            </w:pPr>
          </w:p>
        </w:tc>
        <w:tc>
          <w:tcPr>
            <w:tcW w:w="980" w:type="dxa"/>
            <w:vAlign w:val="bottom"/>
          </w:tcPr>
          <w:p>
            <w:pPr>
              <w:jc w:val="right"/>
              <w:ind w:right="101"/>
              <w:spacing w:after="0"/>
              <w:rPr>
                <w:sz w:val="20"/>
                <w:szCs w:val="20"/>
                <w:color w:val="auto"/>
              </w:rPr>
            </w:pPr>
            <w:r>
              <w:rPr>
                <w:rFonts w:ascii="Arial" w:cs="Arial" w:eastAsia="Arial" w:hAnsi="Arial"/>
                <w:sz w:val="12"/>
                <w:szCs w:val="12"/>
                <w:color w:val="auto"/>
              </w:rPr>
              <w:t>71</w:t>
            </w:r>
          </w:p>
        </w:tc>
        <w:tc>
          <w:tcPr>
            <w:tcW w:w="100" w:type="dxa"/>
            <w:vAlign w:val="bottom"/>
          </w:tcPr>
          <w:p>
            <w:pPr>
              <w:spacing w:after="0"/>
              <w:rPr>
                <w:sz w:val="15"/>
                <w:szCs w:val="15"/>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0.49</w:t>
            </w:r>
          </w:p>
        </w:tc>
        <w:tc>
          <w:tcPr>
            <w:tcW w:w="0" w:type="dxa"/>
            <w:vAlign w:val="bottom"/>
          </w:tcPr>
          <w:p>
            <w:pPr>
              <w:spacing w:after="0"/>
              <w:rPr>
                <w:sz w:val="1"/>
                <w:szCs w:val="1"/>
                <w:color w:val="auto"/>
              </w:rPr>
            </w:pPr>
          </w:p>
        </w:tc>
      </w:tr>
      <w:tr>
        <w:trPr>
          <w:trHeight w:val="193"/>
        </w:trPr>
        <w:tc>
          <w:tcPr>
            <w:tcW w:w="1480" w:type="dxa"/>
            <w:vAlign w:val="bottom"/>
          </w:tcPr>
          <w:p>
            <w:pPr>
              <w:ind w:left="120"/>
              <w:spacing w:after="0"/>
              <w:rPr>
                <w:sz w:val="20"/>
                <w:szCs w:val="20"/>
                <w:color w:val="auto"/>
              </w:rPr>
            </w:pPr>
            <w:r>
              <w:rPr>
                <w:rFonts w:ascii="Arial" w:cs="Arial" w:eastAsia="Arial" w:hAnsi="Arial"/>
                <w:sz w:val="12"/>
                <w:szCs w:val="12"/>
                <w:color w:val="auto"/>
              </w:rPr>
              <w:t>60.01% to 70%</w:t>
            </w:r>
          </w:p>
        </w:tc>
        <w:tc>
          <w:tcPr>
            <w:tcW w:w="1040" w:type="dxa"/>
            <w:vAlign w:val="bottom"/>
          </w:tcPr>
          <w:p>
            <w:pPr>
              <w:jc w:val="right"/>
              <w:ind w:right="100"/>
              <w:spacing w:after="0"/>
              <w:rPr>
                <w:sz w:val="20"/>
                <w:szCs w:val="20"/>
                <w:color w:val="auto"/>
              </w:rPr>
            </w:pPr>
            <w:r>
              <w:rPr>
                <w:rFonts w:ascii="Arial" w:cs="Arial" w:eastAsia="Arial" w:hAnsi="Arial"/>
                <w:sz w:val="12"/>
                <w:szCs w:val="12"/>
                <w:b w:val="1"/>
                <w:bCs w:val="1"/>
                <w:color w:val="auto"/>
              </w:rPr>
              <w:t>12</w:t>
            </w:r>
          </w:p>
        </w:tc>
        <w:tc>
          <w:tcPr>
            <w:tcW w:w="120" w:type="dxa"/>
            <w:vAlign w:val="bottom"/>
          </w:tcPr>
          <w:p>
            <w:pPr>
              <w:spacing w:after="0"/>
              <w:rPr>
                <w:sz w:val="16"/>
                <w:szCs w:val="16"/>
                <w:color w:val="auto"/>
              </w:rPr>
            </w:pPr>
          </w:p>
        </w:tc>
        <w:tc>
          <w:tcPr>
            <w:tcW w:w="940" w:type="dxa"/>
            <w:vAlign w:val="bottom"/>
          </w:tcPr>
          <w:p>
            <w:pPr>
              <w:jc w:val="right"/>
              <w:ind w:right="101"/>
              <w:spacing w:after="0"/>
              <w:rPr>
                <w:sz w:val="20"/>
                <w:szCs w:val="20"/>
                <w:color w:val="auto"/>
              </w:rPr>
            </w:pPr>
            <w:r>
              <w:rPr>
                <w:rFonts w:ascii="Arial" w:cs="Arial" w:eastAsia="Arial" w:hAnsi="Arial"/>
                <w:sz w:val="12"/>
                <w:szCs w:val="12"/>
                <w:b w:val="1"/>
                <w:bCs w:val="1"/>
                <w:color w:val="auto"/>
              </w:rPr>
              <w:t>14</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ind w:left="540"/>
              <w:spacing w:after="0"/>
              <w:rPr>
                <w:sz w:val="20"/>
                <w:szCs w:val="20"/>
                <w:color w:val="auto"/>
              </w:rPr>
            </w:pPr>
            <w:r>
              <w:rPr>
                <w:rFonts w:ascii="Arial" w:cs="Arial" w:eastAsia="Arial" w:hAnsi="Arial"/>
                <w:sz w:val="12"/>
                <w:szCs w:val="12"/>
                <w:b w:val="1"/>
                <w:bCs w:val="1"/>
                <w:color w:val="auto"/>
              </w:rPr>
              <w:t>0.83</w:t>
            </w:r>
          </w:p>
        </w:tc>
        <w:tc>
          <w:tcPr>
            <w:tcW w:w="120" w:type="dxa"/>
            <w:vAlign w:val="bottom"/>
          </w:tcPr>
          <w:p>
            <w:pPr>
              <w:spacing w:after="0"/>
              <w:rPr>
                <w:sz w:val="16"/>
                <w:szCs w:val="16"/>
                <w:color w:val="auto"/>
              </w:rPr>
            </w:pPr>
          </w:p>
        </w:tc>
        <w:tc>
          <w:tcPr>
            <w:tcW w:w="980" w:type="dxa"/>
            <w:vAlign w:val="bottom"/>
          </w:tcPr>
          <w:p>
            <w:pPr>
              <w:jc w:val="right"/>
              <w:ind w:right="100"/>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15</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0.80</w:t>
            </w:r>
          </w:p>
        </w:tc>
        <w:tc>
          <w:tcPr>
            <w:tcW w:w="100" w:type="dxa"/>
            <w:vAlign w:val="bottom"/>
          </w:tcPr>
          <w:p>
            <w:pPr>
              <w:spacing w:after="0"/>
              <w:rPr>
                <w:sz w:val="16"/>
                <w:szCs w:val="16"/>
                <w:color w:val="auto"/>
              </w:rPr>
            </w:pPr>
          </w:p>
        </w:tc>
        <w:tc>
          <w:tcPr>
            <w:tcW w:w="1000" w:type="dxa"/>
            <w:vAlign w:val="bottom"/>
          </w:tcPr>
          <w:p>
            <w:pPr>
              <w:jc w:val="right"/>
              <w:ind w:right="100"/>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6"/>
                <w:szCs w:val="16"/>
                <w:color w:val="auto"/>
              </w:rPr>
            </w:pPr>
          </w:p>
        </w:tc>
        <w:tc>
          <w:tcPr>
            <w:tcW w:w="980" w:type="dxa"/>
            <w:vAlign w:val="bottom"/>
          </w:tcPr>
          <w:p>
            <w:pPr>
              <w:jc w:val="right"/>
              <w:ind w:right="101"/>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0.73</w:t>
            </w:r>
          </w:p>
        </w:tc>
        <w:tc>
          <w:tcPr>
            <w:tcW w:w="0" w:type="dxa"/>
            <w:vAlign w:val="bottom"/>
          </w:tcPr>
          <w:p>
            <w:pPr>
              <w:spacing w:after="0"/>
              <w:rPr>
                <w:sz w:val="1"/>
                <w:szCs w:val="1"/>
                <w:color w:val="auto"/>
              </w:rPr>
            </w:pPr>
          </w:p>
        </w:tc>
      </w:tr>
      <w:tr>
        <w:trPr>
          <w:trHeight w:val="193"/>
        </w:trPr>
        <w:tc>
          <w:tcPr>
            <w:tcW w:w="1480" w:type="dxa"/>
            <w:vAlign w:val="bottom"/>
          </w:tcPr>
          <w:p>
            <w:pPr>
              <w:ind w:left="120"/>
              <w:spacing w:after="0"/>
              <w:rPr>
                <w:sz w:val="20"/>
                <w:szCs w:val="20"/>
                <w:color w:val="auto"/>
              </w:rPr>
            </w:pPr>
            <w:r>
              <w:rPr>
                <w:rFonts w:ascii="Arial" w:cs="Arial" w:eastAsia="Arial" w:hAnsi="Arial"/>
                <w:sz w:val="12"/>
                <w:szCs w:val="12"/>
                <w:color w:val="auto"/>
              </w:rPr>
              <w:t>70.01% to 80%</w:t>
            </w:r>
          </w:p>
        </w:tc>
        <w:tc>
          <w:tcPr>
            <w:tcW w:w="1040" w:type="dxa"/>
            <w:vAlign w:val="bottom"/>
          </w:tcPr>
          <w:p>
            <w:pPr>
              <w:jc w:val="right"/>
              <w:ind w:right="100"/>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6"/>
                <w:szCs w:val="16"/>
                <w:color w:val="auto"/>
              </w:rPr>
            </w:pPr>
          </w:p>
        </w:tc>
        <w:tc>
          <w:tcPr>
            <w:tcW w:w="940" w:type="dxa"/>
            <w:vAlign w:val="bottom"/>
          </w:tcPr>
          <w:p>
            <w:pPr>
              <w:jc w:val="right"/>
              <w:ind w:right="101"/>
              <w:spacing w:after="0"/>
              <w:rPr>
                <w:sz w:val="20"/>
                <w:szCs w:val="20"/>
                <w:color w:val="auto"/>
              </w:rPr>
            </w:pPr>
            <w:r>
              <w:rPr>
                <w:rFonts w:ascii="Arial" w:cs="Arial" w:eastAsia="Arial" w:hAnsi="Arial"/>
                <w:sz w:val="12"/>
                <w:szCs w:val="12"/>
                <w:b w:val="1"/>
                <w:bCs w:val="1"/>
                <w:color w:val="auto"/>
              </w:rPr>
              <w:t>9</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ind w:left="540"/>
              <w:spacing w:after="0"/>
              <w:rPr>
                <w:sz w:val="20"/>
                <w:szCs w:val="20"/>
                <w:color w:val="auto"/>
              </w:rPr>
            </w:pPr>
            <w:r>
              <w:rPr>
                <w:rFonts w:ascii="Arial" w:cs="Arial" w:eastAsia="Arial" w:hAnsi="Arial"/>
                <w:sz w:val="12"/>
                <w:szCs w:val="12"/>
                <w:b w:val="1"/>
                <w:bCs w:val="1"/>
                <w:color w:val="auto"/>
              </w:rPr>
              <w:t>0.74</w:t>
            </w:r>
          </w:p>
        </w:tc>
        <w:tc>
          <w:tcPr>
            <w:tcW w:w="120" w:type="dxa"/>
            <w:vAlign w:val="bottom"/>
          </w:tcPr>
          <w:p>
            <w:pPr>
              <w:spacing w:after="0"/>
              <w:rPr>
                <w:sz w:val="16"/>
                <w:szCs w:val="16"/>
                <w:color w:val="auto"/>
              </w:rPr>
            </w:pPr>
          </w:p>
        </w:tc>
        <w:tc>
          <w:tcPr>
            <w:tcW w:w="980" w:type="dxa"/>
            <w:vAlign w:val="bottom"/>
          </w:tcPr>
          <w:p>
            <w:pPr>
              <w:jc w:val="right"/>
              <w:ind w:right="100"/>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0.77</w:t>
            </w:r>
          </w:p>
        </w:tc>
        <w:tc>
          <w:tcPr>
            <w:tcW w:w="100" w:type="dxa"/>
            <w:vAlign w:val="bottom"/>
          </w:tcPr>
          <w:p>
            <w:pPr>
              <w:spacing w:after="0"/>
              <w:rPr>
                <w:sz w:val="16"/>
                <w:szCs w:val="16"/>
                <w:color w:val="auto"/>
              </w:rPr>
            </w:pPr>
          </w:p>
        </w:tc>
        <w:tc>
          <w:tcPr>
            <w:tcW w:w="1000" w:type="dxa"/>
            <w:vAlign w:val="bottom"/>
          </w:tcPr>
          <w:p>
            <w:pPr>
              <w:jc w:val="right"/>
              <w:ind w:right="100"/>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6"/>
                <w:szCs w:val="16"/>
                <w:color w:val="auto"/>
              </w:rPr>
            </w:pPr>
          </w:p>
        </w:tc>
        <w:tc>
          <w:tcPr>
            <w:tcW w:w="980" w:type="dxa"/>
            <w:vAlign w:val="bottom"/>
          </w:tcPr>
          <w:p>
            <w:pPr>
              <w:jc w:val="right"/>
              <w:ind w:right="101"/>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0.71</w:t>
            </w:r>
          </w:p>
        </w:tc>
        <w:tc>
          <w:tcPr>
            <w:tcW w:w="0" w:type="dxa"/>
            <w:vAlign w:val="bottom"/>
          </w:tcPr>
          <w:p>
            <w:pPr>
              <w:spacing w:after="0"/>
              <w:rPr>
                <w:sz w:val="1"/>
                <w:szCs w:val="1"/>
                <w:color w:val="auto"/>
              </w:rPr>
            </w:pPr>
          </w:p>
        </w:tc>
      </w:tr>
      <w:tr>
        <w:trPr>
          <w:trHeight w:val="193"/>
        </w:trPr>
        <w:tc>
          <w:tcPr>
            <w:tcW w:w="1480" w:type="dxa"/>
            <w:vAlign w:val="bottom"/>
          </w:tcPr>
          <w:p>
            <w:pPr>
              <w:ind w:left="120"/>
              <w:spacing w:after="0"/>
              <w:rPr>
                <w:sz w:val="20"/>
                <w:szCs w:val="20"/>
                <w:color w:val="auto"/>
              </w:rPr>
            </w:pPr>
            <w:r>
              <w:rPr>
                <w:rFonts w:ascii="Arial" w:cs="Arial" w:eastAsia="Arial" w:hAnsi="Arial"/>
                <w:sz w:val="12"/>
                <w:szCs w:val="12"/>
                <w:color w:val="auto"/>
              </w:rPr>
              <w:t>80.01% to 90%</w:t>
            </w:r>
          </w:p>
        </w:tc>
        <w:tc>
          <w:tcPr>
            <w:tcW w:w="1040" w:type="dxa"/>
            <w:vAlign w:val="bottom"/>
          </w:tcPr>
          <w:p>
            <w:pPr>
              <w:jc w:val="right"/>
              <w:ind w:right="100"/>
              <w:spacing w:after="0"/>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6"/>
                <w:szCs w:val="16"/>
                <w:color w:val="auto"/>
              </w:rPr>
            </w:pPr>
          </w:p>
        </w:tc>
        <w:tc>
          <w:tcPr>
            <w:tcW w:w="940" w:type="dxa"/>
            <w:vAlign w:val="bottom"/>
          </w:tcPr>
          <w:p>
            <w:pPr>
              <w:jc w:val="right"/>
              <w:ind w:right="101"/>
              <w:spacing w:after="0"/>
              <w:rPr>
                <w:sz w:val="20"/>
                <w:szCs w:val="20"/>
                <w:color w:val="auto"/>
              </w:rPr>
            </w:pPr>
            <w:r>
              <w:rPr>
                <w:rFonts w:ascii="Arial" w:cs="Arial" w:eastAsia="Arial" w:hAnsi="Arial"/>
                <w:sz w:val="12"/>
                <w:szCs w:val="12"/>
                <w:b w:val="1"/>
                <w:bCs w:val="1"/>
                <w:color w:val="auto"/>
              </w:rPr>
              <w:t>6</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ind w:left="540"/>
              <w:spacing w:after="0"/>
              <w:rPr>
                <w:sz w:val="20"/>
                <w:szCs w:val="20"/>
                <w:color w:val="auto"/>
              </w:rPr>
            </w:pPr>
            <w:r>
              <w:rPr>
                <w:rFonts w:ascii="Arial" w:cs="Arial" w:eastAsia="Arial" w:hAnsi="Arial"/>
                <w:sz w:val="12"/>
                <w:szCs w:val="12"/>
                <w:b w:val="1"/>
                <w:bCs w:val="1"/>
                <w:color w:val="auto"/>
              </w:rPr>
              <w:t>0.85</w:t>
            </w:r>
          </w:p>
        </w:tc>
        <w:tc>
          <w:tcPr>
            <w:tcW w:w="120" w:type="dxa"/>
            <w:vAlign w:val="bottom"/>
          </w:tcPr>
          <w:p>
            <w:pPr>
              <w:spacing w:after="0"/>
              <w:rPr>
                <w:sz w:val="16"/>
                <w:szCs w:val="16"/>
                <w:color w:val="auto"/>
              </w:rPr>
            </w:pPr>
          </w:p>
        </w:tc>
        <w:tc>
          <w:tcPr>
            <w:tcW w:w="980" w:type="dxa"/>
            <w:vAlign w:val="bottom"/>
          </w:tcPr>
          <w:p>
            <w:pPr>
              <w:jc w:val="right"/>
              <w:ind w:right="100"/>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0.81</w:t>
            </w:r>
          </w:p>
        </w:tc>
        <w:tc>
          <w:tcPr>
            <w:tcW w:w="100" w:type="dxa"/>
            <w:vAlign w:val="bottom"/>
          </w:tcPr>
          <w:p>
            <w:pPr>
              <w:spacing w:after="0"/>
              <w:rPr>
                <w:sz w:val="16"/>
                <w:szCs w:val="16"/>
                <w:color w:val="auto"/>
              </w:rPr>
            </w:pPr>
          </w:p>
        </w:tc>
        <w:tc>
          <w:tcPr>
            <w:tcW w:w="1000" w:type="dxa"/>
            <w:vAlign w:val="bottom"/>
          </w:tcPr>
          <w:p>
            <w:pPr>
              <w:jc w:val="right"/>
              <w:ind w:right="100"/>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6"/>
                <w:szCs w:val="16"/>
                <w:color w:val="auto"/>
              </w:rPr>
            </w:pPr>
          </w:p>
        </w:tc>
        <w:tc>
          <w:tcPr>
            <w:tcW w:w="980" w:type="dxa"/>
            <w:vAlign w:val="bottom"/>
          </w:tcPr>
          <w:p>
            <w:pPr>
              <w:jc w:val="right"/>
              <w:ind w:right="101"/>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0.73</w:t>
            </w:r>
          </w:p>
        </w:tc>
        <w:tc>
          <w:tcPr>
            <w:tcW w:w="0" w:type="dxa"/>
            <w:vAlign w:val="bottom"/>
          </w:tcPr>
          <w:p>
            <w:pPr>
              <w:spacing w:after="0"/>
              <w:rPr>
                <w:sz w:val="1"/>
                <w:szCs w:val="1"/>
                <w:color w:val="auto"/>
              </w:rPr>
            </w:pPr>
          </w:p>
        </w:tc>
      </w:tr>
      <w:tr>
        <w:trPr>
          <w:trHeight w:val="193"/>
        </w:trPr>
        <w:tc>
          <w:tcPr>
            <w:tcW w:w="1480" w:type="dxa"/>
            <w:vAlign w:val="bottom"/>
          </w:tcPr>
          <w:p>
            <w:pPr>
              <w:ind w:left="120"/>
              <w:spacing w:after="0"/>
              <w:rPr>
                <w:sz w:val="20"/>
                <w:szCs w:val="20"/>
                <w:color w:val="auto"/>
              </w:rPr>
            </w:pPr>
            <w:r>
              <w:rPr>
                <w:rFonts w:ascii="Arial" w:cs="Arial" w:eastAsia="Arial" w:hAnsi="Arial"/>
                <w:sz w:val="12"/>
                <w:szCs w:val="12"/>
                <w:color w:val="auto"/>
              </w:rPr>
              <w:t>90.01% to 100%</w:t>
            </w:r>
          </w:p>
        </w:tc>
        <w:tc>
          <w:tcPr>
            <w:tcW w:w="1040" w:type="dxa"/>
            <w:vAlign w:val="bottom"/>
          </w:tcPr>
          <w:p>
            <w:pPr>
              <w:jc w:val="right"/>
              <w:ind w:right="10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6"/>
                <w:szCs w:val="16"/>
                <w:color w:val="auto"/>
              </w:rPr>
            </w:pPr>
          </w:p>
        </w:tc>
        <w:tc>
          <w:tcPr>
            <w:tcW w:w="940" w:type="dxa"/>
            <w:vAlign w:val="bottom"/>
          </w:tcPr>
          <w:p>
            <w:pPr>
              <w:jc w:val="right"/>
              <w:ind w:right="101"/>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ind w:left="540"/>
              <w:spacing w:after="0"/>
              <w:rPr>
                <w:sz w:val="20"/>
                <w:szCs w:val="20"/>
                <w:color w:val="auto"/>
              </w:rPr>
            </w:pPr>
            <w:r>
              <w:rPr>
                <w:rFonts w:ascii="Arial" w:cs="Arial" w:eastAsia="Arial" w:hAnsi="Arial"/>
                <w:sz w:val="12"/>
                <w:szCs w:val="12"/>
                <w:b w:val="1"/>
                <w:bCs w:val="1"/>
                <w:color w:val="auto"/>
              </w:rPr>
              <w:t>0.62</w:t>
            </w:r>
          </w:p>
        </w:tc>
        <w:tc>
          <w:tcPr>
            <w:tcW w:w="120" w:type="dxa"/>
            <w:vAlign w:val="bottom"/>
          </w:tcPr>
          <w:p>
            <w:pPr>
              <w:spacing w:after="0"/>
              <w:rPr>
                <w:sz w:val="16"/>
                <w:szCs w:val="16"/>
                <w:color w:val="auto"/>
              </w:rPr>
            </w:pPr>
          </w:p>
        </w:tc>
        <w:tc>
          <w:tcPr>
            <w:tcW w:w="980" w:type="dxa"/>
            <w:vAlign w:val="bottom"/>
          </w:tcPr>
          <w:p>
            <w:pPr>
              <w:jc w:val="right"/>
              <w:ind w:right="100"/>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0.59</w:t>
            </w:r>
          </w:p>
        </w:tc>
        <w:tc>
          <w:tcPr>
            <w:tcW w:w="100" w:type="dxa"/>
            <w:vAlign w:val="bottom"/>
          </w:tcPr>
          <w:p>
            <w:pPr>
              <w:spacing w:after="0"/>
              <w:rPr>
                <w:sz w:val="16"/>
                <w:szCs w:val="16"/>
                <w:color w:val="auto"/>
              </w:rPr>
            </w:pPr>
          </w:p>
        </w:tc>
        <w:tc>
          <w:tcPr>
            <w:tcW w:w="1000" w:type="dxa"/>
            <w:vAlign w:val="bottom"/>
          </w:tcPr>
          <w:p>
            <w:pPr>
              <w:jc w:val="right"/>
              <w:ind w:right="100"/>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6"/>
                <w:szCs w:val="16"/>
                <w:color w:val="auto"/>
              </w:rPr>
            </w:pPr>
          </w:p>
        </w:tc>
        <w:tc>
          <w:tcPr>
            <w:tcW w:w="980" w:type="dxa"/>
            <w:vAlign w:val="bottom"/>
          </w:tcPr>
          <w:p>
            <w:pPr>
              <w:jc w:val="right"/>
              <w:ind w:right="101"/>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0.52</w:t>
            </w:r>
          </w:p>
        </w:tc>
        <w:tc>
          <w:tcPr>
            <w:tcW w:w="0" w:type="dxa"/>
            <w:vAlign w:val="bottom"/>
          </w:tcPr>
          <w:p>
            <w:pPr>
              <w:spacing w:after="0"/>
              <w:rPr>
                <w:sz w:val="1"/>
                <w:szCs w:val="1"/>
                <w:color w:val="auto"/>
              </w:rPr>
            </w:pPr>
          </w:p>
        </w:tc>
      </w:tr>
      <w:tr>
        <w:trPr>
          <w:trHeight w:val="193"/>
        </w:trPr>
        <w:tc>
          <w:tcPr>
            <w:tcW w:w="1480" w:type="dxa"/>
            <w:vAlign w:val="bottom"/>
          </w:tcPr>
          <w:p>
            <w:pPr>
              <w:ind w:left="120"/>
              <w:spacing w:after="0"/>
              <w:rPr>
                <w:sz w:val="20"/>
                <w:szCs w:val="20"/>
                <w:color w:val="auto"/>
              </w:rPr>
            </w:pPr>
            <w:r>
              <w:rPr>
                <w:rFonts w:ascii="Arial" w:cs="Arial" w:eastAsia="Arial" w:hAnsi="Arial"/>
                <w:sz w:val="12"/>
                <w:szCs w:val="12"/>
                <w:color w:val="auto"/>
              </w:rPr>
              <w:t>Greater than 100%</w:t>
            </w:r>
          </w:p>
        </w:tc>
        <w:tc>
          <w:tcPr>
            <w:tcW w:w="1040" w:type="dxa"/>
            <w:vAlign w:val="bottom"/>
          </w:tcPr>
          <w:p>
            <w:pPr>
              <w:jc w:val="right"/>
              <w:ind w:right="6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6"/>
                <w:szCs w:val="16"/>
                <w:color w:val="auto"/>
              </w:rPr>
            </w:pPr>
          </w:p>
        </w:tc>
        <w:tc>
          <w:tcPr>
            <w:tcW w:w="940" w:type="dxa"/>
            <w:vAlign w:val="bottom"/>
          </w:tcPr>
          <w:p>
            <w:pPr>
              <w:jc w:val="right"/>
              <w:ind w:right="61"/>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ind w:left="540"/>
              <w:spacing w:after="0"/>
              <w:rPr>
                <w:sz w:val="20"/>
                <w:szCs w:val="20"/>
                <w:color w:val="auto"/>
              </w:rPr>
            </w:pPr>
            <w:r>
              <w:rPr>
                <w:rFonts w:ascii="Arial" w:cs="Arial" w:eastAsia="Arial" w:hAnsi="Arial"/>
                <w:sz w:val="12"/>
                <w:szCs w:val="12"/>
                <w:b w:val="1"/>
                <w:bCs w:val="1"/>
                <w:color w:val="auto"/>
              </w:rPr>
              <w:t>3.43</w:t>
            </w:r>
          </w:p>
        </w:tc>
        <w:tc>
          <w:tcPr>
            <w:tcW w:w="120" w:type="dxa"/>
            <w:vAlign w:val="bottom"/>
          </w:tcPr>
          <w:p>
            <w:pPr>
              <w:spacing w:after="0"/>
              <w:rPr>
                <w:sz w:val="16"/>
                <w:szCs w:val="16"/>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6"/>
                <w:szCs w:val="16"/>
                <w:color w:val="auto"/>
              </w:rPr>
            </w:pP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2.05</w:t>
            </w:r>
          </w:p>
        </w:tc>
        <w:tc>
          <w:tcPr>
            <w:tcW w:w="100" w:type="dxa"/>
            <w:vAlign w:val="bottom"/>
          </w:tcPr>
          <w:p>
            <w:pPr>
              <w:spacing w:after="0"/>
              <w:rPr>
                <w:sz w:val="16"/>
                <w:szCs w:val="16"/>
                <w:color w:val="auto"/>
              </w:rPr>
            </w:pPr>
          </w:p>
        </w:tc>
        <w:tc>
          <w:tcPr>
            <w:tcW w:w="100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6"/>
                <w:szCs w:val="16"/>
                <w:color w:val="auto"/>
              </w:rPr>
            </w:pPr>
          </w:p>
        </w:tc>
        <w:tc>
          <w:tcPr>
            <w:tcW w:w="980" w:type="dxa"/>
            <w:vAlign w:val="bottom"/>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3.99</w:t>
            </w:r>
          </w:p>
        </w:tc>
        <w:tc>
          <w:tcPr>
            <w:tcW w:w="0" w:type="dxa"/>
            <w:vAlign w:val="bottom"/>
          </w:tcPr>
          <w:p>
            <w:pPr>
              <w:spacing w:after="0"/>
              <w:rPr>
                <w:sz w:val="1"/>
                <w:szCs w:val="1"/>
                <w:color w:val="auto"/>
              </w:rPr>
            </w:pPr>
          </w:p>
        </w:tc>
      </w:tr>
      <w:tr>
        <w:trPr>
          <w:trHeight w:val="201"/>
        </w:trPr>
        <w:tc>
          <w:tcPr>
            <w:tcW w:w="1480" w:type="dxa"/>
            <w:vAlign w:val="bottom"/>
            <w:tcBorders>
              <w:bottom w:val="single" w:sz="8" w:color="2C6937"/>
            </w:tcBorders>
          </w:tcPr>
          <w:p>
            <w:pPr>
              <w:ind w:left="20"/>
              <w:spacing w:after="0"/>
              <w:rPr>
                <w:sz w:val="20"/>
                <w:szCs w:val="20"/>
                <w:color w:val="auto"/>
              </w:rPr>
            </w:pPr>
            <w:r>
              <w:rPr>
                <w:rFonts w:ascii="Arial" w:cs="Arial" w:eastAsia="Arial" w:hAnsi="Arial"/>
                <w:sz w:val="12"/>
                <w:szCs w:val="12"/>
                <w:b w:val="1"/>
                <w:bCs w:val="1"/>
                <w:color w:val="auto"/>
              </w:rPr>
              <w:t>Credit enhanced:</w:t>
            </w:r>
            <w:r>
              <w:rPr>
                <w:rFonts w:ascii="Arial" w:cs="Arial" w:eastAsia="Arial" w:hAnsi="Arial"/>
                <w:sz w:val="15"/>
                <w:szCs w:val="15"/>
                <w:b w:val="1"/>
                <w:bCs w:val="1"/>
                <w:color w:val="auto"/>
                <w:vertAlign w:val="superscript"/>
              </w:rPr>
              <w:t>(2)</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480" w:type="dxa"/>
            <w:vAlign w:val="bottom"/>
          </w:tcPr>
          <w:p>
            <w:pPr>
              <w:ind w:left="120"/>
              <w:spacing w:after="0"/>
              <w:rPr>
                <w:sz w:val="20"/>
                <w:szCs w:val="20"/>
                <w:color w:val="auto"/>
              </w:rPr>
            </w:pPr>
            <w:r>
              <w:rPr>
                <w:rFonts w:ascii="Arial" w:cs="Arial" w:eastAsia="Arial" w:hAnsi="Arial"/>
                <w:sz w:val="12"/>
                <w:szCs w:val="12"/>
                <w:color w:val="auto"/>
              </w:rPr>
              <w:t>Primary MI &amp; other</w:t>
            </w:r>
            <w:r>
              <w:rPr>
                <w:rFonts w:ascii="Arial" w:cs="Arial" w:eastAsia="Arial" w:hAnsi="Arial"/>
                <w:sz w:val="15"/>
                <w:szCs w:val="15"/>
                <w:color w:val="auto"/>
                <w:vertAlign w:val="superscript"/>
              </w:rPr>
              <w:t>(3)</w:t>
            </w:r>
          </w:p>
        </w:tc>
        <w:tc>
          <w:tcPr>
            <w:tcW w:w="1040" w:type="dxa"/>
            <w:vAlign w:val="bottom"/>
          </w:tcPr>
          <w:p>
            <w:pPr>
              <w:jc w:val="right"/>
              <w:ind w:right="100"/>
              <w:spacing w:after="0"/>
              <w:rPr>
                <w:sz w:val="20"/>
                <w:szCs w:val="20"/>
                <w:color w:val="auto"/>
              </w:rPr>
            </w:pPr>
            <w:r>
              <w:rPr>
                <w:rFonts w:ascii="Arial" w:cs="Arial" w:eastAsia="Arial" w:hAnsi="Arial"/>
                <w:sz w:val="12"/>
                <w:szCs w:val="12"/>
                <w:b w:val="1"/>
                <w:bCs w:val="1"/>
                <w:color w:val="auto"/>
              </w:rPr>
              <w:t>21</w:t>
            </w:r>
          </w:p>
        </w:tc>
        <w:tc>
          <w:tcPr>
            <w:tcW w:w="120" w:type="dxa"/>
            <w:vAlign w:val="bottom"/>
          </w:tcPr>
          <w:p>
            <w:pPr>
              <w:spacing w:after="0"/>
              <w:rPr>
                <w:sz w:val="16"/>
                <w:szCs w:val="16"/>
                <w:color w:val="auto"/>
              </w:rPr>
            </w:pPr>
          </w:p>
        </w:tc>
        <w:tc>
          <w:tcPr>
            <w:tcW w:w="940" w:type="dxa"/>
            <w:vAlign w:val="bottom"/>
          </w:tcPr>
          <w:p>
            <w:pPr>
              <w:jc w:val="right"/>
              <w:ind w:right="101"/>
              <w:spacing w:after="0"/>
              <w:rPr>
                <w:sz w:val="20"/>
                <w:szCs w:val="20"/>
                <w:color w:val="auto"/>
              </w:rPr>
            </w:pPr>
            <w:r>
              <w:rPr>
                <w:rFonts w:ascii="Arial" w:cs="Arial" w:eastAsia="Arial" w:hAnsi="Arial"/>
                <w:sz w:val="12"/>
                <w:szCs w:val="12"/>
                <w:b w:val="1"/>
                <w:bCs w:val="1"/>
                <w:color w:val="auto"/>
              </w:rPr>
              <w:t>33</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ind w:left="540"/>
              <w:spacing w:after="0"/>
              <w:rPr>
                <w:sz w:val="20"/>
                <w:szCs w:val="20"/>
                <w:color w:val="auto"/>
              </w:rPr>
            </w:pPr>
            <w:r>
              <w:rPr>
                <w:rFonts w:ascii="Arial" w:cs="Arial" w:eastAsia="Arial" w:hAnsi="Arial"/>
                <w:sz w:val="12"/>
                <w:szCs w:val="12"/>
                <w:b w:val="1"/>
                <w:bCs w:val="1"/>
                <w:color w:val="auto"/>
              </w:rPr>
              <w:t>1.05</w:t>
            </w:r>
          </w:p>
        </w:tc>
        <w:tc>
          <w:tcPr>
            <w:tcW w:w="120" w:type="dxa"/>
            <w:vAlign w:val="bottom"/>
          </w:tcPr>
          <w:p>
            <w:pPr>
              <w:spacing w:after="0"/>
              <w:rPr>
                <w:sz w:val="16"/>
                <w:szCs w:val="16"/>
                <w:color w:val="auto"/>
              </w:rPr>
            </w:pPr>
          </w:p>
        </w:tc>
        <w:tc>
          <w:tcPr>
            <w:tcW w:w="980" w:type="dxa"/>
            <w:vAlign w:val="bottom"/>
          </w:tcPr>
          <w:p>
            <w:pPr>
              <w:jc w:val="right"/>
              <w:ind w:right="100"/>
              <w:spacing w:after="0"/>
              <w:rPr>
                <w:sz w:val="20"/>
                <w:szCs w:val="20"/>
                <w:color w:val="auto"/>
              </w:rPr>
            </w:pPr>
            <w:r>
              <w:rPr>
                <w:rFonts w:ascii="Arial" w:cs="Arial" w:eastAsia="Arial" w:hAnsi="Arial"/>
                <w:sz w:val="12"/>
                <w:szCs w:val="12"/>
                <w:color w:val="auto"/>
              </w:rPr>
              <w:t>21</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33</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1.08</w:t>
            </w:r>
          </w:p>
        </w:tc>
        <w:tc>
          <w:tcPr>
            <w:tcW w:w="100" w:type="dxa"/>
            <w:vAlign w:val="bottom"/>
          </w:tcPr>
          <w:p>
            <w:pPr>
              <w:spacing w:after="0"/>
              <w:rPr>
                <w:sz w:val="16"/>
                <w:szCs w:val="16"/>
                <w:color w:val="auto"/>
              </w:rPr>
            </w:pPr>
          </w:p>
        </w:tc>
        <w:tc>
          <w:tcPr>
            <w:tcW w:w="1000" w:type="dxa"/>
            <w:vAlign w:val="bottom"/>
          </w:tcPr>
          <w:p>
            <w:pPr>
              <w:jc w:val="right"/>
              <w:ind w:right="100"/>
              <w:spacing w:after="0"/>
              <w:rPr>
                <w:sz w:val="20"/>
                <w:szCs w:val="20"/>
                <w:color w:val="auto"/>
              </w:rPr>
            </w:pPr>
            <w:r>
              <w:rPr>
                <w:rFonts w:ascii="Arial" w:cs="Arial" w:eastAsia="Arial" w:hAnsi="Arial"/>
                <w:sz w:val="12"/>
                <w:szCs w:val="12"/>
                <w:color w:val="auto"/>
              </w:rPr>
              <w:t>21</w:t>
            </w:r>
          </w:p>
        </w:tc>
        <w:tc>
          <w:tcPr>
            <w:tcW w:w="100" w:type="dxa"/>
            <w:vAlign w:val="bottom"/>
          </w:tcPr>
          <w:p>
            <w:pPr>
              <w:spacing w:after="0"/>
              <w:rPr>
                <w:sz w:val="16"/>
                <w:szCs w:val="16"/>
                <w:color w:val="auto"/>
              </w:rPr>
            </w:pPr>
          </w:p>
        </w:tc>
        <w:tc>
          <w:tcPr>
            <w:tcW w:w="980" w:type="dxa"/>
            <w:vAlign w:val="bottom"/>
          </w:tcPr>
          <w:p>
            <w:pPr>
              <w:jc w:val="right"/>
              <w:ind w:right="101"/>
              <w:spacing w:after="0"/>
              <w:rPr>
                <w:sz w:val="20"/>
                <w:szCs w:val="20"/>
                <w:color w:val="auto"/>
              </w:rPr>
            </w:pPr>
            <w:r>
              <w:rPr>
                <w:rFonts w:ascii="Arial" w:cs="Arial" w:eastAsia="Arial" w:hAnsi="Arial"/>
                <w:sz w:val="12"/>
                <w:szCs w:val="12"/>
                <w:color w:val="auto"/>
              </w:rPr>
              <w:t>32</w:t>
            </w:r>
          </w:p>
        </w:tc>
        <w:tc>
          <w:tcPr>
            <w:tcW w:w="100" w:type="dxa"/>
            <w:vAlign w:val="bottom"/>
          </w:tcPr>
          <w:p>
            <w:pPr>
              <w:spacing w:after="0"/>
              <w:rPr>
                <w:sz w:val="16"/>
                <w:szCs w:val="16"/>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1.03</w:t>
            </w:r>
          </w:p>
        </w:tc>
        <w:tc>
          <w:tcPr>
            <w:tcW w:w="0" w:type="dxa"/>
            <w:vAlign w:val="bottom"/>
          </w:tcPr>
          <w:p>
            <w:pPr>
              <w:spacing w:after="0"/>
              <w:rPr>
                <w:sz w:val="1"/>
                <w:szCs w:val="1"/>
                <w:color w:val="auto"/>
              </w:rPr>
            </w:pPr>
          </w:p>
        </w:tc>
      </w:tr>
      <w:tr>
        <w:trPr>
          <w:trHeight w:val="201"/>
        </w:trPr>
        <w:tc>
          <w:tcPr>
            <w:tcW w:w="1480" w:type="dxa"/>
            <w:vAlign w:val="bottom"/>
          </w:tcPr>
          <w:p>
            <w:pPr>
              <w:ind w:left="120"/>
              <w:spacing w:after="0"/>
              <w:rPr>
                <w:sz w:val="20"/>
                <w:szCs w:val="20"/>
                <w:color w:val="auto"/>
              </w:rPr>
            </w:pPr>
            <w:r>
              <w:rPr>
                <w:rFonts w:ascii="Arial" w:cs="Arial" w:eastAsia="Arial" w:hAnsi="Arial"/>
                <w:sz w:val="12"/>
                <w:szCs w:val="12"/>
                <w:color w:val="auto"/>
              </w:rPr>
              <w:t>Credit risk transfer</w:t>
            </w:r>
            <w:r>
              <w:rPr>
                <w:rFonts w:ascii="Arial" w:cs="Arial" w:eastAsia="Arial" w:hAnsi="Arial"/>
                <w:sz w:val="15"/>
                <w:szCs w:val="15"/>
                <w:color w:val="auto"/>
                <w:vertAlign w:val="superscript"/>
              </w:rPr>
              <w:t>(4)</w:t>
            </w:r>
          </w:p>
        </w:tc>
        <w:tc>
          <w:tcPr>
            <w:tcW w:w="1040" w:type="dxa"/>
            <w:vAlign w:val="bottom"/>
          </w:tcPr>
          <w:p>
            <w:pPr>
              <w:jc w:val="right"/>
              <w:ind w:right="100"/>
              <w:spacing w:after="0"/>
              <w:rPr>
                <w:sz w:val="20"/>
                <w:szCs w:val="20"/>
                <w:color w:val="auto"/>
              </w:rPr>
            </w:pPr>
            <w:r>
              <w:rPr>
                <w:rFonts w:ascii="Arial" w:cs="Arial" w:eastAsia="Arial" w:hAnsi="Arial"/>
                <w:sz w:val="12"/>
                <w:szCs w:val="12"/>
                <w:b w:val="1"/>
                <w:bCs w:val="1"/>
                <w:color w:val="auto"/>
              </w:rPr>
              <w:t>37</w:t>
            </w:r>
          </w:p>
        </w:tc>
        <w:tc>
          <w:tcPr>
            <w:tcW w:w="120" w:type="dxa"/>
            <w:vAlign w:val="bottom"/>
          </w:tcPr>
          <w:p>
            <w:pPr>
              <w:spacing w:after="0"/>
              <w:rPr>
                <w:sz w:val="17"/>
                <w:szCs w:val="17"/>
                <w:color w:val="auto"/>
              </w:rPr>
            </w:pPr>
          </w:p>
        </w:tc>
        <w:tc>
          <w:tcPr>
            <w:tcW w:w="940" w:type="dxa"/>
            <w:vAlign w:val="bottom"/>
          </w:tcPr>
          <w:p>
            <w:pPr>
              <w:jc w:val="right"/>
              <w:ind w:right="101"/>
              <w:spacing w:after="0"/>
              <w:rPr>
                <w:sz w:val="20"/>
                <w:szCs w:val="20"/>
                <w:color w:val="auto"/>
              </w:rPr>
            </w:pPr>
            <w:r>
              <w:rPr>
                <w:rFonts w:ascii="Arial" w:cs="Arial" w:eastAsia="Arial" w:hAnsi="Arial"/>
                <w:sz w:val="12"/>
                <w:szCs w:val="12"/>
                <w:b w:val="1"/>
                <w:bCs w:val="1"/>
                <w:color w:val="auto"/>
              </w:rPr>
              <w:t>31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ind w:left="540"/>
              <w:spacing w:after="0"/>
              <w:rPr>
                <w:sz w:val="20"/>
                <w:szCs w:val="20"/>
                <w:color w:val="auto"/>
              </w:rPr>
            </w:pPr>
            <w:r>
              <w:rPr>
                <w:rFonts w:ascii="Arial" w:cs="Arial" w:eastAsia="Arial" w:hAnsi="Arial"/>
                <w:sz w:val="12"/>
                <w:szCs w:val="12"/>
                <w:b w:val="1"/>
                <w:bCs w:val="1"/>
                <w:color w:val="auto"/>
              </w:rPr>
              <w:t>0.52</w:t>
            </w:r>
          </w:p>
        </w:tc>
        <w:tc>
          <w:tcPr>
            <w:tcW w:w="120" w:type="dxa"/>
            <w:vAlign w:val="bottom"/>
          </w:tcPr>
          <w:p>
            <w:pPr>
              <w:spacing w:after="0"/>
              <w:rPr>
                <w:sz w:val="17"/>
                <w:szCs w:val="17"/>
                <w:color w:val="auto"/>
              </w:rPr>
            </w:pPr>
          </w:p>
        </w:tc>
        <w:tc>
          <w:tcPr>
            <w:tcW w:w="980" w:type="dxa"/>
            <w:vAlign w:val="bottom"/>
          </w:tcPr>
          <w:p>
            <w:pPr>
              <w:jc w:val="right"/>
              <w:ind w:right="100"/>
              <w:spacing w:after="0"/>
              <w:rPr>
                <w:sz w:val="20"/>
                <w:szCs w:val="20"/>
                <w:color w:val="auto"/>
              </w:rPr>
            </w:pPr>
            <w:r>
              <w:rPr>
                <w:rFonts w:ascii="Arial" w:cs="Arial" w:eastAsia="Arial" w:hAnsi="Arial"/>
                <w:sz w:val="12"/>
                <w:szCs w:val="12"/>
                <w:color w:val="auto"/>
              </w:rPr>
              <w:t>36</w:t>
            </w:r>
          </w:p>
        </w:tc>
        <w:tc>
          <w:tcPr>
            <w:tcW w:w="100" w:type="dxa"/>
            <w:vAlign w:val="bottom"/>
          </w:tcPr>
          <w:p>
            <w:pPr>
              <w:spacing w:after="0"/>
              <w:rPr>
                <w:sz w:val="17"/>
                <w:szCs w:val="17"/>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30</w:t>
            </w:r>
          </w:p>
        </w:tc>
        <w:tc>
          <w:tcPr>
            <w:tcW w:w="100" w:type="dxa"/>
            <w:vAlign w:val="bottom"/>
          </w:tcPr>
          <w:p>
            <w:pPr>
              <w:spacing w:after="0"/>
              <w:rPr>
                <w:sz w:val="17"/>
                <w:szCs w:val="17"/>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0.54</w:t>
            </w:r>
          </w:p>
        </w:tc>
        <w:tc>
          <w:tcPr>
            <w:tcW w:w="100" w:type="dxa"/>
            <w:vAlign w:val="bottom"/>
          </w:tcPr>
          <w:p>
            <w:pPr>
              <w:spacing w:after="0"/>
              <w:rPr>
                <w:sz w:val="17"/>
                <w:szCs w:val="17"/>
                <w:color w:val="auto"/>
              </w:rPr>
            </w:pPr>
          </w:p>
        </w:tc>
        <w:tc>
          <w:tcPr>
            <w:tcW w:w="1000" w:type="dxa"/>
            <w:vAlign w:val="bottom"/>
          </w:tcPr>
          <w:p>
            <w:pPr>
              <w:jc w:val="right"/>
              <w:ind w:right="100"/>
              <w:spacing w:after="0"/>
              <w:rPr>
                <w:sz w:val="20"/>
                <w:szCs w:val="20"/>
                <w:color w:val="auto"/>
              </w:rPr>
            </w:pPr>
            <w:r>
              <w:rPr>
                <w:rFonts w:ascii="Arial" w:cs="Arial" w:eastAsia="Arial" w:hAnsi="Arial"/>
                <w:sz w:val="12"/>
                <w:szCs w:val="12"/>
                <w:color w:val="auto"/>
              </w:rPr>
              <w:t>35</w:t>
            </w:r>
          </w:p>
        </w:tc>
        <w:tc>
          <w:tcPr>
            <w:tcW w:w="100" w:type="dxa"/>
            <w:vAlign w:val="bottom"/>
          </w:tcPr>
          <w:p>
            <w:pPr>
              <w:spacing w:after="0"/>
              <w:rPr>
                <w:sz w:val="17"/>
                <w:szCs w:val="17"/>
                <w:color w:val="auto"/>
              </w:rPr>
            </w:pPr>
          </w:p>
        </w:tc>
        <w:tc>
          <w:tcPr>
            <w:tcW w:w="980" w:type="dxa"/>
            <w:vAlign w:val="bottom"/>
          </w:tcPr>
          <w:p>
            <w:pPr>
              <w:jc w:val="right"/>
              <w:ind w:right="101"/>
              <w:spacing w:after="0"/>
              <w:rPr>
                <w:sz w:val="20"/>
                <w:szCs w:val="20"/>
                <w:color w:val="auto"/>
              </w:rPr>
            </w:pPr>
            <w:r>
              <w:rPr>
                <w:rFonts w:ascii="Arial" w:cs="Arial" w:eastAsia="Arial" w:hAnsi="Arial"/>
                <w:sz w:val="12"/>
                <w:szCs w:val="12"/>
                <w:color w:val="auto"/>
              </w:rPr>
              <w:t>29</w:t>
            </w:r>
          </w:p>
        </w:tc>
        <w:tc>
          <w:tcPr>
            <w:tcW w:w="100" w:type="dxa"/>
            <w:vAlign w:val="bottom"/>
          </w:tcPr>
          <w:p>
            <w:pPr>
              <w:spacing w:after="0"/>
              <w:rPr>
                <w:sz w:val="17"/>
                <w:szCs w:val="17"/>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0.51</w:t>
            </w:r>
          </w:p>
        </w:tc>
        <w:tc>
          <w:tcPr>
            <w:tcW w:w="0" w:type="dxa"/>
            <w:vAlign w:val="bottom"/>
          </w:tcPr>
          <w:p>
            <w:pPr>
              <w:spacing w:after="0"/>
              <w:rPr>
                <w:sz w:val="1"/>
                <w:szCs w:val="1"/>
                <w:color w:val="auto"/>
              </w:rPr>
            </w:pPr>
          </w:p>
        </w:tc>
      </w:tr>
      <w:tr>
        <w:trPr>
          <w:trHeight w:val="178"/>
        </w:trPr>
        <w:tc>
          <w:tcPr>
            <w:tcW w:w="1480" w:type="dxa"/>
            <w:vAlign w:val="bottom"/>
          </w:tcPr>
          <w:p>
            <w:pPr>
              <w:ind w:left="120"/>
              <w:spacing w:after="0"/>
              <w:rPr>
                <w:sz w:val="20"/>
                <w:szCs w:val="20"/>
                <w:color w:val="auto"/>
              </w:rPr>
            </w:pPr>
            <w:r>
              <w:rPr>
                <w:rFonts w:ascii="Arial" w:cs="Arial" w:eastAsia="Arial" w:hAnsi="Arial"/>
                <w:sz w:val="12"/>
                <w:szCs w:val="12"/>
                <w:color w:val="auto"/>
              </w:rPr>
              <w:t>Non-credit enhanced</w:t>
            </w:r>
          </w:p>
        </w:tc>
        <w:tc>
          <w:tcPr>
            <w:tcW w:w="1040" w:type="dxa"/>
            <w:vAlign w:val="bottom"/>
          </w:tcPr>
          <w:p>
            <w:pPr>
              <w:jc w:val="right"/>
              <w:ind w:right="100"/>
              <w:spacing w:after="0"/>
              <w:rPr>
                <w:sz w:val="20"/>
                <w:szCs w:val="20"/>
                <w:color w:val="auto"/>
              </w:rPr>
            </w:pPr>
            <w:r>
              <w:rPr>
                <w:rFonts w:ascii="Arial" w:cs="Arial" w:eastAsia="Arial" w:hAnsi="Arial"/>
                <w:sz w:val="12"/>
                <w:szCs w:val="12"/>
                <w:b w:val="1"/>
                <w:bCs w:val="1"/>
                <w:color w:val="auto"/>
              </w:rPr>
              <w:t>54</w:t>
            </w:r>
          </w:p>
        </w:tc>
        <w:tc>
          <w:tcPr>
            <w:tcW w:w="12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Arial" w:cs="Arial" w:eastAsia="Arial" w:hAnsi="Arial"/>
                <w:sz w:val="12"/>
                <w:szCs w:val="12"/>
                <w:b w:val="1"/>
                <w:bCs w:val="1"/>
                <w:color w:val="auto"/>
              </w:rPr>
              <w:t>50</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ind w:left="540"/>
              <w:spacing w:after="0"/>
              <w:rPr>
                <w:sz w:val="20"/>
                <w:szCs w:val="20"/>
                <w:color w:val="auto"/>
              </w:rPr>
            </w:pPr>
            <w:r>
              <w:rPr>
                <w:rFonts w:ascii="Arial" w:cs="Arial" w:eastAsia="Arial" w:hAnsi="Arial"/>
                <w:sz w:val="12"/>
                <w:szCs w:val="12"/>
                <w:b w:val="1"/>
                <w:bCs w:val="1"/>
                <w:color w:val="auto"/>
              </w:rPr>
              <w:t>0.42</w:t>
            </w:r>
          </w:p>
        </w:tc>
        <w:tc>
          <w:tcPr>
            <w:tcW w:w="120" w:type="dxa"/>
            <w:vAlign w:val="bottom"/>
          </w:tcPr>
          <w:p>
            <w:pPr>
              <w:spacing w:after="0"/>
              <w:rPr>
                <w:sz w:val="15"/>
                <w:szCs w:val="15"/>
                <w:color w:val="auto"/>
              </w:rPr>
            </w:pPr>
          </w:p>
        </w:tc>
        <w:tc>
          <w:tcPr>
            <w:tcW w:w="980" w:type="dxa"/>
            <w:vAlign w:val="bottom"/>
          </w:tcPr>
          <w:p>
            <w:pPr>
              <w:jc w:val="right"/>
              <w:ind w:right="100"/>
              <w:spacing w:after="0"/>
              <w:rPr>
                <w:sz w:val="20"/>
                <w:szCs w:val="20"/>
                <w:color w:val="auto"/>
              </w:rPr>
            </w:pPr>
            <w:r>
              <w:rPr>
                <w:rFonts w:ascii="Arial" w:cs="Arial" w:eastAsia="Arial" w:hAnsi="Arial"/>
                <w:sz w:val="12"/>
                <w:szCs w:val="12"/>
                <w:color w:val="auto"/>
              </w:rPr>
              <w:t>55</w:t>
            </w:r>
          </w:p>
        </w:tc>
        <w:tc>
          <w:tcPr>
            <w:tcW w:w="100" w:type="dxa"/>
            <w:vAlign w:val="bottom"/>
          </w:tcPr>
          <w:p>
            <w:pPr>
              <w:spacing w:after="0"/>
              <w:rPr>
                <w:sz w:val="15"/>
                <w:szCs w:val="15"/>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52</w:t>
            </w:r>
          </w:p>
        </w:tc>
        <w:tc>
          <w:tcPr>
            <w:tcW w:w="100" w:type="dxa"/>
            <w:vAlign w:val="bottom"/>
          </w:tcPr>
          <w:p>
            <w:pPr>
              <w:spacing w:after="0"/>
              <w:rPr>
                <w:sz w:val="15"/>
                <w:szCs w:val="15"/>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0.46</w:t>
            </w:r>
          </w:p>
        </w:tc>
        <w:tc>
          <w:tcPr>
            <w:tcW w:w="100" w:type="dxa"/>
            <w:vAlign w:val="bottom"/>
          </w:tcPr>
          <w:p>
            <w:pPr>
              <w:spacing w:after="0"/>
              <w:rPr>
                <w:sz w:val="15"/>
                <w:szCs w:val="15"/>
                <w:color w:val="auto"/>
              </w:rPr>
            </w:pPr>
          </w:p>
        </w:tc>
        <w:tc>
          <w:tcPr>
            <w:tcW w:w="1000" w:type="dxa"/>
            <w:vAlign w:val="bottom"/>
          </w:tcPr>
          <w:p>
            <w:pPr>
              <w:jc w:val="right"/>
              <w:ind w:right="100"/>
              <w:spacing w:after="0"/>
              <w:rPr>
                <w:sz w:val="20"/>
                <w:szCs w:val="20"/>
                <w:color w:val="auto"/>
              </w:rPr>
            </w:pPr>
            <w:r>
              <w:rPr>
                <w:rFonts w:ascii="Arial" w:cs="Arial" w:eastAsia="Arial" w:hAnsi="Arial"/>
                <w:sz w:val="12"/>
                <w:szCs w:val="12"/>
                <w:color w:val="auto"/>
              </w:rPr>
              <w:t>55</w:t>
            </w:r>
          </w:p>
        </w:tc>
        <w:tc>
          <w:tcPr>
            <w:tcW w:w="100" w:type="dxa"/>
            <w:vAlign w:val="bottom"/>
          </w:tcPr>
          <w:p>
            <w:pPr>
              <w:spacing w:after="0"/>
              <w:rPr>
                <w:sz w:val="15"/>
                <w:szCs w:val="15"/>
                <w:color w:val="auto"/>
              </w:rPr>
            </w:pPr>
          </w:p>
        </w:tc>
        <w:tc>
          <w:tcPr>
            <w:tcW w:w="980" w:type="dxa"/>
            <w:vAlign w:val="bottom"/>
          </w:tcPr>
          <w:p>
            <w:pPr>
              <w:jc w:val="right"/>
              <w:ind w:right="101"/>
              <w:spacing w:after="0"/>
              <w:rPr>
                <w:sz w:val="20"/>
                <w:szCs w:val="20"/>
                <w:color w:val="auto"/>
              </w:rPr>
            </w:pPr>
            <w:r>
              <w:rPr>
                <w:rFonts w:ascii="Arial" w:cs="Arial" w:eastAsia="Arial" w:hAnsi="Arial"/>
                <w:sz w:val="12"/>
                <w:szCs w:val="12"/>
                <w:color w:val="auto"/>
              </w:rPr>
              <w:t>53</w:t>
            </w:r>
          </w:p>
        </w:tc>
        <w:tc>
          <w:tcPr>
            <w:tcW w:w="100" w:type="dxa"/>
            <w:vAlign w:val="bottom"/>
          </w:tcPr>
          <w:p>
            <w:pPr>
              <w:spacing w:after="0"/>
              <w:rPr>
                <w:sz w:val="15"/>
                <w:szCs w:val="15"/>
                <w:color w:val="auto"/>
              </w:rPr>
            </w:pPr>
          </w:p>
        </w:tc>
        <w:tc>
          <w:tcPr>
            <w:tcW w:w="1000" w:type="dxa"/>
            <w:vAlign w:val="bottom"/>
          </w:tcPr>
          <w:p>
            <w:pPr>
              <w:ind w:left="600"/>
              <w:spacing w:after="0"/>
              <w:rPr>
                <w:sz w:val="20"/>
                <w:szCs w:val="20"/>
                <w:color w:val="auto"/>
              </w:rPr>
            </w:pPr>
            <w:r>
              <w:rPr>
                <w:rFonts w:ascii="Arial" w:cs="Arial" w:eastAsia="Arial" w:hAnsi="Arial"/>
                <w:sz w:val="12"/>
                <w:szCs w:val="12"/>
                <w:color w:val="auto"/>
              </w:rPr>
              <w:t>0.46</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240" w:hanging="217"/>
        <w:spacing w:after="0"/>
        <w:tabs>
          <w:tab w:leader="none" w:pos="2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less than 0.5% of single-family conventional guaranty book of business.</w:t>
      </w:r>
    </w:p>
    <w:p>
      <w:pPr>
        <w:spacing w:after="0" w:line="45" w:lineRule="exact"/>
        <w:rPr>
          <w:sz w:val="20"/>
          <w:szCs w:val="20"/>
          <w:color w:val="auto"/>
        </w:rPr>
      </w:pPr>
    </w:p>
    <w:p>
      <w:pPr>
        <w:ind w:left="260" w:right="320" w:hanging="237"/>
        <w:spacing w:after="0" w:line="226" w:lineRule="auto"/>
        <w:tabs>
          <w:tab w:leader="none" w:pos="253"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number of single-family loans that were seriously delinquent for each category divided by the total number of single-family conventional loans that were seriously delinquent.</w:t>
      </w:r>
    </w:p>
    <w:p>
      <w:pPr>
        <w:spacing w:after="0" w:line="27" w:lineRule="exact"/>
        <w:rPr>
          <w:rFonts w:ascii="Arial" w:cs="Arial" w:eastAsia="Arial" w:hAnsi="Arial"/>
          <w:sz w:val="18"/>
          <w:szCs w:val="18"/>
          <w:color w:val="auto"/>
          <w:vertAlign w:val="superscript"/>
        </w:rPr>
      </w:pPr>
    </w:p>
    <w:p>
      <w:pPr>
        <w:ind w:left="260" w:right="180" w:hanging="237"/>
        <w:spacing w:after="0" w:line="228" w:lineRule="auto"/>
        <w:tabs>
          <w:tab w:leader="none" w:pos="253"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The credit-enhanced categories are not mutually exclusive. A loan with primary mortgage insurance that is also covered by a credit risk transfer transaction will be included in both the “Primary MI &amp; other” category and the “Credit risk transfer” category. As a result, the “Credit enhanced” and “Non-credit enhanced” categories do not sum to 100%. The total percentage of our single-family conventional guaranty book of business with some form of credit enhancement as of September 30, 2024 was 46%.</w:t>
      </w:r>
    </w:p>
    <w:p>
      <w:pPr>
        <w:spacing w:after="0" w:line="26" w:lineRule="exact"/>
        <w:rPr>
          <w:rFonts w:ascii="Arial" w:cs="Arial" w:eastAsia="Arial" w:hAnsi="Arial"/>
          <w:sz w:val="18"/>
          <w:szCs w:val="18"/>
          <w:color w:val="auto"/>
          <w:vertAlign w:val="superscript"/>
        </w:rPr>
      </w:pPr>
    </w:p>
    <w:p>
      <w:pPr>
        <w:ind w:left="260" w:right="140" w:hanging="237"/>
        <w:spacing w:after="0" w:line="233" w:lineRule="auto"/>
        <w:tabs>
          <w:tab w:leader="none" w:pos="253"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Refers to loans included in an agreement used to reduce credit risk by requiring primary mortgage insurance, collateral, letters of credit, corporate guarantees, or other agreements to provide an entity with some assurance that it will be compensated to some degree in the event of a financial loss. Excludes loans covered by credit risk transfer transactions unless such loans are also covered by primary mortgage insurance.</w:t>
      </w:r>
    </w:p>
    <w:p>
      <w:pPr>
        <w:spacing w:after="0" w:line="27" w:lineRule="exact"/>
        <w:rPr>
          <w:rFonts w:ascii="Arial" w:cs="Arial" w:eastAsia="Arial" w:hAnsi="Arial"/>
          <w:sz w:val="18"/>
          <w:szCs w:val="18"/>
          <w:color w:val="auto"/>
          <w:vertAlign w:val="superscript"/>
        </w:rPr>
      </w:pPr>
    </w:p>
    <w:p>
      <w:pPr>
        <w:ind w:left="260" w:right="160" w:hanging="237"/>
        <w:spacing w:after="0" w:line="228" w:lineRule="auto"/>
        <w:tabs>
          <w:tab w:leader="none" w:pos="253"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Refers to loans included in reference pools for credit risk transfer transactions, including loans in these transactions that are also covered by primary mortgage insurance. For CAS and some lender risk-sharing transactions, this represents the outstanding unpaid principal balance of the underlying loans on the single-family mortgage credit book, not the outstanding reference pool, as of the specified date. Loans included in our credit risk transfer transactions have all been acquired since 2009.</w:t>
      </w:r>
    </w:p>
    <w:p>
      <w:pPr>
        <w:spacing w:after="0" w:line="90" w:lineRule="exact"/>
        <w:rPr>
          <w:sz w:val="20"/>
          <w:szCs w:val="20"/>
          <w:color w:val="auto"/>
        </w:rPr>
      </w:pPr>
    </w:p>
    <w:p>
      <w:pPr>
        <w:ind w:left="20"/>
        <w:spacing w:after="0"/>
        <w:rPr>
          <w:sz w:val="20"/>
          <w:szCs w:val="20"/>
          <w:color w:val="auto"/>
        </w:rPr>
      </w:pPr>
      <w:r>
        <w:rPr>
          <w:rFonts w:ascii="Georgia" w:cs="Georgia" w:eastAsia="Georgia" w:hAnsi="Georgia"/>
          <w:sz w:val="19"/>
          <w:szCs w:val="19"/>
          <w:i w:val="1"/>
          <w:iCs w:val="1"/>
          <w:color w:val="05314D"/>
        </w:rPr>
        <w:t>Forbearance Plans and Loan Workouts</w:t>
      </w:r>
    </w:p>
    <w:p>
      <w:pPr>
        <w:spacing w:after="0" w:line="106" w:lineRule="exact"/>
        <w:rPr>
          <w:sz w:val="20"/>
          <w:szCs w:val="20"/>
          <w:color w:val="auto"/>
        </w:rPr>
      </w:pPr>
    </w:p>
    <w:p>
      <w:pPr>
        <w:ind w:left="20" w:right="100"/>
        <w:spacing w:after="0" w:line="266" w:lineRule="auto"/>
        <w:rPr>
          <w:sz w:val="20"/>
          <w:szCs w:val="20"/>
          <w:color w:val="auto"/>
        </w:rPr>
      </w:pPr>
      <w:r>
        <w:rPr>
          <w:rFonts w:ascii="Arial" w:cs="Arial" w:eastAsia="Arial" w:hAnsi="Arial"/>
          <w:sz w:val="16"/>
          <w:szCs w:val="16"/>
          <w:color w:val="auto"/>
        </w:rPr>
        <w:t>As a part of our credit risk management efforts, we offer several types of loss mitigation options to help homeowners stay in their home or to otherwise avoid foreclosure. Loss mitigation options can consist of a forbearance plan or a loan workout. Our loan workouts reflect additional types of home retention solutions that help reinstate loans to current status, including repayment plans, payment deferrals, and loan modifications. Our loan workouts also include foreclosure alternatives, such as short sales and deeds-in-lieu of foreclosure.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2024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33</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60" w:type="dxa"/>
            <w:vAlign w:val="bottom"/>
            <w:tcBorders>
              <w:bottom w:val="single" w:sz="8" w:color="9A9A9A"/>
            </w:tcBorders>
          </w:tcPr>
          <w:p>
            <w:pPr>
              <w:spacing w:after="0"/>
              <w:rPr>
                <w:sz w:val="16"/>
                <w:szCs w:val="16"/>
                <w:color w:val="auto"/>
              </w:rPr>
            </w:pPr>
          </w:p>
        </w:tc>
        <w:tc>
          <w:tcPr>
            <w:tcW w:w="428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-28575</wp:posOffset>
            </wp:positionV>
            <wp:extent cx="3365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-28575</wp:posOffset>
            </wp:positionV>
            <wp:extent cx="33655"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00" w:top="248" w:right="339" w:bottom="1440" w:gutter="0" w:footer="0" w:header="0"/>
        </w:sectPr>
      </w:pPr>
    </w:p>
    <w:bookmarkStart w:id="36" w:name="page37"/>
    <w:bookmarkEnd w:id="36"/>
    <w:p>
      <w:pPr>
        <w:ind w:left="606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120"/>
        <w:spacing w:after="0" w:line="272" w:lineRule="auto"/>
        <w:rPr>
          <w:sz w:val="20"/>
          <w:szCs w:val="20"/>
          <w:color w:val="auto"/>
        </w:rPr>
      </w:pPr>
      <w:r>
        <w:rPr>
          <w:rFonts w:ascii="Arial" w:cs="Arial" w:eastAsia="Arial" w:hAnsi="Arial"/>
          <w:sz w:val="16"/>
          <w:szCs w:val="16"/>
          <w:color w:val="auto"/>
        </w:rPr>
        <w:t>As of September 30, 2024, the unpaid principal balance of single-family loans in forbearance was $6.3 billion, or 0.2% of our single-family conventional guaranty book of business, compared with $6.9 billion, or 0.2% of our single-family conventional guaranty book of business, as of December 31, 2023. We expect the balance of single-family loans in forbearance may increase as a result of the impact of recent hurricanes on borrowers.</w:t>
      </w:r>
    </w:p>
    <w:p>
      <w:pPr>
        <w:spacing w:after="0" w:line="45"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The chart below displays the unpaid principal balance of our completed single-family loan workouts by type, as well as the number of loan workouts, for the first nine months of 2023 compared with the first nine months of 2024. This table does not include loans in an active forbearance arrangement, trial modifications, and repayment plans that have been initiated but not completed.</w:t>
      </w:r>
    </w:p>
    <w:p>
      <w:pPr>
        <w:spacing w:after="0" w:line="71"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Completed Loan Workout Activity</w:t>
      </w:r>
    </w:p>
    <w:p>
      <w:pPr>
        <w:spacing w:after="0" w:line="16"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(Dollars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640715</wp:posOffset>
            </wp:positionH>
            <wp:positionV relativeFrom="paragraph">
              <wp:posOffset>7620</wp:posOffset>
            </wp:positionV>
            <wp:extent cx="5721985" cy="29800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721985" cy="2980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20" w:hanging="217"/>
        <w:spacing w:after="0"/>
        <w:tabs>
          <w:tab w:leader="none" w:pos="220" w:val="left"/>
        </w:tabs>
        <w:numPr>
          <w:ilvl w:val="0"/>
          <w:numId w:val="38"/>
        </w:numPr>
        <w:rPr>
          <w:rFonts w:ascii="Arial" w:cs="Arial" w:eastAsia="Arial" w:hAnsi="Arial"/>
          <w:sz w:val="18"/>
          <w:szCs w:val="18"/>
          <w:color w:val="auto"/>
          <w:vertAlign w:val="superscript"/>
        </w:rPr>
      </w:pPr>
      <w:r>
        <w:rPr>
          <w:rFonts w:ascii="Arial" w:cs="Arial" w:eastAsia="Arial" w:hAnsi="Arial"/>
          <w:sz w:val="14"/>
          <w:szCs w:val="14"/>
          <w:color w:val="auto"/>
        </w:rPr>
        <w:t>There were approximately 17,500 loans and 15,700 loans in a trial modification period that was not yet complete as of September 30, 2024 and 2023, respectively.</w:t>
      </w:r>
    </w:p>
    <w:p>
      <w:pPr>
        <w:spacing w:after="0" w:line="37" w:lineRule="exact"/>
        <w:rPr>
          <w:rFonts w:ascii="Arial" w:cs="Arial" w:eastAsia="Arial" w:hAnsi="Arial"/>
          <w:sz w:val="18"/>
          <w:szCs w:val="18"/>
          <w:color w:val="auto"/>
          <w:vertAlign w:val="superscript"/>
        </w:rPr>
      </w:pPr>
    </w:p>
    <w:p>
      <w:pPr>
        <w:ind w:left="240" w:right="780" w:hanging="237"/>
        <w:spacing w:after="0" w:line="219" w:lineRule="auto"/>
        <w:tabs>
          <w:tab w:leader="none" w:pos="233" w:val="left"/>
        </w:tabs>
        <w:numPr>
          <w:ilvl w:val="0"/>
          <w:numId w:val="38"/>
        </w:numPr>
        <w:rPr>
          <w:rFonts w:ascii="Arial" w:cs="Arial" w:eastAsia="Arial" w:hAnsi="Arial"/>
          <w:sz w:val="18"/>
          <w:szCs w:val="18"/>
          <w:color w:val="auto"/>
          <w:vertAlign w:val="superscript"/>
        </w:rPr>
      </w:pPr>
      <w:r>
        <w:rPr>
          <w:rFonts w:ascii="Arial" w:cs="Arial" w:eastAsia="Arial" w:hAnsi="Arial"/>
          <w:sz w:val="14"/>
          <w:szCs w:val="14"/>
          <w:color w:val="auto"/>
        </w:rPr>
        <w:t>Other was $578 million and $373 million for the first nine months of 2024 and the first nine months of 2023, respectively. Other includes repayment plans and foreclosure alternatives. Repayment plans reflect only those plans associated with loans that were 60 days or more delinquent.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2024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34</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60" w:type="dxa"/>
            <w:vAlign w:val="bottom"/>
            <w:tcBorders>
              <w:bottom w:val="single" w:sz="8" w:color="9A9A9A"/>
            </w:tcBorders>
          </w:tcPr>
          <w:p>
            <w:pPr>
              <w:spacing w:after="0"/>
              <w:rPr>
                <w:sz w:val="16"/>
                <w:szCs w:val="16"/>
                <w:color w:val="auto"/>
              </w:rPr>
            </w:pPr>
          </w:p>
        </w:tc>
        <w:tc>
          <w:tcPr>
            <w:tcW w:w="428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37" w:name="page38"/>
    <w:bookmarkEnd w:id="37"/>
    <w:p>
      <w:pPr>
        <w:ind w:left="606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Single-Family REO Management</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If a loan defaults, we may acquire the property through foreclosure or a deed-in-lieu of foreclosure. The table below displays our REO activity by region.</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Regional REO acquisition trends generally follow a pattern that is similar to, but lags, that of regional delinquency trends.</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Single-Family REO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22225</wp:posOffset>
            </wp:positionV>
            <wp:extent cx="7138670" cy="165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Borders>
              <w:bottom w:val="single" w:sz="8" w:color="2C6937"/>
            </w:tcBorders>
          </w:tcPr>
          <w:p>
            <w:pPr>
              <w:spacing w:after="0"/>
              <w:rPr>
                <w:sz w:val="16"/>
                <w:szCs w:val="16"/>
                <w:color w:val="auto"/>
              </w:rPr>
            </w:pPr>
          </w:p>
        </w:tc>
        <w:tc>
          <w:tcPr>
            <w:tcW w:w="3240" w:type="dxa"/>
            <w:vAlign w:val="bottom"/>
            <w:tcBorders>
              <w:bottom w:val="single" w:sz="8" w:color="2C6937"/>
            </w:tcBorders>
            <w:gridSpan w:val="5"/>
          </w:tcPr>
          <w:p>
            <w:pPr>
              <w:jc w:val="right"/>
              <w:ind w:right="183"/>
              <w:spacing w:after="0"/>
              <w:rPr>
                <w:sz w:val="20"/>
                <w:szCs w:val="20"/>
                <w:color w:val="auto"/>
              </w:rPr>
            </w:pPr>
            <w:r>
              <w:rPr>
                <w:rFonts w:ascii="Arial" w:cs="Arial" w:eastAsia="Arial" w:hAnsi="Arial"/>
                <w:sz w:val="14"/>
                <w:szCs w:val="14"/>
                <w:b w:val="1"/>
                <w:bCs w:val="1"/>
                <w:color w:val="auto"/>
              </w:rPr>
              <w:t>For the Nine Months Ended September 30,</w:t>
            </w:r>
          </w:p>
        </w:tc>
        <w:tc>
          <w:tcPr>
            <w:tcW w:w="260" w:type="dxa"/>
            <w:vAlign w:val="bottom"/>
            <w:tcBorders>
              <w:bottom w:val="single" w:sz="8" w:color="2C6937"/>
            </w:tcBorders>
          </w:tcPr>
          <w:p>
            <w:pPr>
              <w:spacing w:after="0"/>
              <w:rPr>
                <w:sz w:val="16"/>
                <w:szCs w:val="16"/>
                <w:color w:val="auto"/>
              </w:rPr>
            </w:pPr>
          </w:p>
        </w:tc>
      </w:tr>
      <w:tr>
        <w:trPr>
          <w:trHeight w:val="185"/>
        </w:trPr>
        <w:tc>
          <w:tcPr>
            <w:tcW w:w="7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Borders>
              <w:bottom w:val="single" w:sz="8" w:color="2C6937"/>
            </w:tcBorders>
          </w:tcPr>
          <w:p>
            <w:pPr>
              <w:spacing w:after="0"/>
              <w:rPr>
                <w:sz w:val="16"/>
                <w:szCs w:val="16"/>
                <w:color w:val="auto"/>
              </w:rPr>
            </w:pPr>
          </w:p>
        </w:tc>
        <w:tc>
          <w:tcPr>
            <w:tcW w:w="1280" w:type="dxa"/>
            <w:vAlign w:val="bottom"/>
            <w:tcBorders>
              <w:bottom w:val="single" w:sz="8" w:color="2C6937"/>
            </w:tcBorders>
          </w:tcPr>
          <w:p>
            <w:pPr>
              <w:jc w:val="right"/>
              <w:ind w:right="444"/>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2C6937"/>
            </w:tcBorders>
          </w:tcPr>
          <w:p>
            <w:pPr>
              <w:spacing w:after="0"/>
              <w:rPr>
                <w:sz w:val="16"/>
                <w:szCs w:val="16"/>
                <w:color w:val="auto"/>
              </w:rPr>
            </w:pPr>
          </w:p>
        </w:tc>
        <w:tc>
          <w:tcPr>
            <w:tcW w:w="1160" w:type="dxa"/>
            <w:vAlign w:val="bottom"/>
            <w:tcBorders>
              <w:bottom w:val="single" w:sz="8" w:color="2C6937"/>
            </w:tcBorders>
          </w:tcPr>
          <w:p>
            <w:pPr>
              <w:jc w:val="right"/>
              <w:ind w:right="443"/>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2C6937"/>
            </w:tcBorders>
          </w:tcPr>
          <w:p>
            <w:pPr>
              <w:spacing w:after="0"/>
              <w:rPr>
                <w:sz w:val="16"/>
                <w:szCs w:val="16"/>
                <w:color w:val="auto"/>
              </w:rPr>
            </w:pPr>
          </w:p>
        </w:tc>
      </w:tr>
      <w:tr>
        <w:trPr>
          <w:trHeight w:val="207"/>
        </w:trPr>
        <w:tc>
          <w:tcPr>
            <w:tcW w:w="7420" w:type="dxa"/>
            <w:vAlign w:val="bottom"/>
            <w:gridSpan w:val="2"/>
          </w:tcPr>
          <w:p>
            <w:pPr>
              <w:ind w:left="20"/>
              <w:spacing w:after="0"/>
              <w:rPr>
                <w:sz w:val="20"/>
                <w:szCs w:val="20"/>
                <w:color w:val="auto"/>
              </w:rPr>
            </w:pPr>
            <w:r>
              <w:rPr>
                <w:rFonts w:ascii="Arial" w:cs="Arial" w:eastAsia="Arial" w:hAnsi="Arial"/>
                <w:sz w:val="15"/>
                <w:szCs w:val="15"/>
                <w:b w:val="1"/>
                <w:bCs w:val="1"/>
                <w:color w:val="auto"/>
              </w:rPr>
              <w:t>Single-family REO properties (number of properties):</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50"/>
        </w:trPr>
        <w:tc>
          <w:tcPr>
            <w:tcW w:w="7420" w:type="dxa"/>
            <w:vAlign w:val="bottom"/>
            <w:gridSpan w:val="2"/>
          </w:tcPr>
          <w:p>
            <w:pPr>
              <w:ind w:left="180"/>
              <w:spacing w:after="0"/>
              <w:rPr>
                <w:sz w:val="20"/>
                <w:szCs w:val="20"/>
                <w:color w:val="auto"/>
              </w:rPr>
            </w:pPr>
            <w:r>
              <w:rPr>
                <w:rFonts w:ascii="Arial" w:cs="Arial" w:eastAsia="Arial" w:hAnsi="Arial"/>
                <w:sz w:val="15"/>
                <w:szCs w:val="15"/>
                <w:color w:val="auto"/>
              </w:rPr>
              <w:t>Beginning of period inventory of single-family REO properties</w:t>
            </w:r>
            <w:r>
              <w:rPr>
                <w:rFonts w:ascii="Arial" w:cs="Arial" w:eastAsia="Arial" w:hAnsi="Arial"/>
                <w:sz w:val="20"/>
                <w:szCs w:val="20"/>
                <w:color w:val="auto"/>
                <w:vertAlign w:val="superscript"/>
              </w:rPr>
              <w:t>(1)</w:t>
            </w:r>
          </w:p>
        </w:tc>
        <w:tc>
          <w:tcPr>
            <w:tcW w:w="320" w:type="dxa"/>
            <w:vAlign w:val="bottom"/>
          </w:tcPr>
          <w:p>
            <w:pPr>
              <w:spacing w:after="0"/>
              <w:rPr>
                <w:sz w:val="21"/>
                <w:szCs w:val="21"/>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b w:val="1"/>
                <w:bCs w:val="1"/>
                <w:color w:val="auto"/>
              </w:rPr>
              <w:t>8,403</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8,779</w:t>
            </w:r>
          </w:p>
        </w:tc>
        <w:tc>
          <w:tcPr>
            <w:tcW w:w="260" w:type="dxa"/>
            <w:vAlign w:val="bottom"/>
          </w:tcPr>
          <w:p>
            <w:pPr>
              <w:spacing w:after="0"/>
              <w:rPr>
                <w:sz w:val="21"/>
                <w:szCs w:val="21"/>
                <w:color w:val="auto"/>
              </w:rPr>
            </w:pPr>
          </w:p>
        </w:tc>
      </w:tr>
      <w:tr>
        <w:trPr>
          <w:trHeight w:val="234"/>
        </w:trPr>
        <w:tc>
          <w:tcPr>
            <w:tcW w:w="7420" w:type="dxa"/>
            <w:vAlign w:val="bottom"/>
            <w:gridSpan w:val="2"/>
          </w:tcPr>
          <w:p>
            <w:pPr>
              <w:ind w:left="320"/>
              <w:spacing w:after="0"/>
              <w:rPr>
                <w:sz w:val="20"/>
                <w:szCs w:val="20"/>
                <w:color w:val="auto"/>
              </w:rPr>
            </w:pPr>
            <w:r>
              <w:rPr>
                <w:rFonts w:ascii="Arial" w:cs="Arial" w:eastAsia="Arial" w:hAnsi="Arial"/>
                <w:sz w:val="15"/>
                <w:szCs w:val="15"/>
                <w:b w:val="1"/>
                <w:bCs w:val="1"/>
                <w:color w:val="auto"/>
              </w:rPr>
              <w:t>Acquisitions by geographic area:</w:t>
            </w:r>
            <w:r>
              <w:rPr>
                <w:rFonts w:ascii="Arial" w:cs="Arial" w:eastAsia="Arial" w:hAnsi="Arial"/>
                <w:sz w:val="20"/>
                <w:szCs w:val="20"/>
                <w:b w:val="1"/>
                <w:bCs w:val="1"/>
                <w:color w:val="auto"/>
                <w:vertAlign w:val="superscript"/>
              </w:rPr>
              <w:t>(2)</w:t>
            </w: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25"/>
        </w:trPr>
        <w:tc>
          <w:tcPr>
            <w:tcW w:w="7420" w:type="dxa"/>
            <w:vAlign w:val="bottom"/>
            <w:gridSpan w:val="2"/>
          </w:tcPr>
          <w:p>
            <w:pPr>
              <w:ind w:left="480"/>
              <w:spacing w:after="0"/>
              <w:rPr>
                <w:sz w:val="20"/>
                <w:szCs w:val="20"/>
                <w:color w:val="auto"/>
              </w:rPr>
            </w:pPr>
            <w:r>
              <w:rPr>
                <w:rFonts w:ascii="Arial" w:cs="Arial" w:eastAsia="Arial" w:hAnsi="Arial"/>
                <w:sz w:val="15"/>
                <w:szCs w:val="15"/>
                <w:color w:val="auto"/>
              </w:rPr>
              <w:t>Midwest</w:t>
            </w:r>
          </w:p>
        </w:tc>
        <w:tc>
          <w:tcPr>
            <w:tcW w:w="320" w:type="dxa"/>
            <w:vAlign w:val="bottom"/>
          </w:tcPr>
          <w:p>
            <w:pPr>
              <w:spacing w:after="0"/>
              <w:rPr>
                <w:sz w:val="19"/>
                <w:szCs w:val="19"/>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b w:val="1"/>
                <w:bCs w:val="1"/>
                <w:color w:val="auto"/>
              </w:rPr>
              <w:t>702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959</w:t>
            </w:r>
          </w:p>
        </w:tc>
        <w:tc>
          <w:tcPr>
            <w:tcW w:w="260" w:type="dxa"/>
            <w:vAlign w:val="bottom"/>
          </w:tcPr>
          <w:p>
            <w:pPr>
              <w:spacing w:after="0"/>
              <w:rPr>
                <w:sz w:val="19"/>
                <w:szCs w:val="19"/>
                <w:color w:val="auto"/>
              </w:rPr>
            </w:pPr>
          </w:p>
        </w:tc>
      </w:tr>
      <w:tr>
        <w:trPr>
          <w:trHeight w:val="232"/>
        </w:trPr>
        <w:tc>
          <w:tcPr>
            <w:tcW w:w="7420" w:type="dxa"/>
            <w:vAlign w:val="bottom"/>
            <w:gridSpan w:val="2"/>
          </w:tcPr>
          <w:p>
            <w:pPr>
              <w:ind w:left="480"/>
              <w:spacing w:after="0"/>
              <w:rPr>
                <w:sz w:val="20"/>
                <w:szCs w:val="20"/>
                <w:color w:val="auto"/>
              </w:rPr>
            </w:pPr>
            <w:r>
              <w:rPr>
                <w:rFonts w:ascii="Arial" w:cs="Arial" w:eastAsia="Arial" w:hAnsi="Arial"/>
                <w:sz w:val="15"/>
                <w:szCs w:val="15"/>
                <w:color w:val="auto"/>
              </w:rPr>
              <w:t>Northeast</w:t>
            </w:r>
          </w:p>
        </w:tc>
        <w:tc>
          <w:tcPr>
            <w:tcW w:w="320" w:type="dxa"/>
            <w:vAlign w:val="bottom"/>
          </w:tcPr>
          <w:p>
            <w:pPr>
              <w:spacing w:after="0"/>
              <w:rPr>
                <w:sz w:val="20"/>
                <w:szCs w:val="20"/>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b w:val="1"/>
                <w:bCs w:val="1"/>
                <w:color w:val="auto"/>
              </w:rPr>
              <w:t>389</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673</w:t>
            </w:r>
          </w:p>
        </w:tc>
        <w:tc>
          <w:tcPr>
            <w:tcW w:w="260" w:type="dxa"/>
            <w:vAlign w:val="bottom"/>
          </w:tcPr>
          <w:p>
            <w:pPr>
              <w:spacing w:after="0"/>
              <w:rPr>
                <w:sz w:val="20"/>
                <w:szCs w:val="20"/>
                <w:color w:val="auto"/>
              </w:rPr>
            </w:pPr>
          </w:p>
        </w:tc>
      </w:tr>
      <w:tr>
        <w:trPr>
          <w:trHeight w:val="232"/>
        </w:trPr>
        <w:tc>
          <w:tcPr>
            <w:tcW w:w="7420" w:type="dxa"/>
            <w:vAlign w:val="bottom"/>
            <w:gridSpan w:val="2"/>
          </w:tcPr>
          <w:p>
            <w:pPr>
              <w:ind w:left="480"/>
              <w:spacing w:after="0"/>
              <w:rPr>
                <w:sz w:val="20"/>
                <w:szCs w:val="20"/>
                <w:color w:val="auto"/>
              </w:rPr>
            </w:pPr>
            <w:r>
              <w:rPr>
                <w:rFonts w:ascii="Arial" w:cs="Arial" w:eastAsia="Arial" w:hAnsi="Arial"/>
                <w:sz w:val="15"/>
                <w:szCs w:val="15"/>
                <w:color w:val="auto"/>
              </w:rPr>
              <w:t>Southeast</w:t>
            </w:r>
          </w:p>
        </w:tc>
        <w:tc>
          <w:tcPr>
            <w:tcW w:w="320" w:type="dxa"/>
            <w:vAlign w:val="bottom"/>
          </w:tcPr>
          <w:p>
            <w:pPr>
              <w:spacing w:after="0"/>
              <w:rPr>
                <w:sz w:val="20"/>
                <w:szCs w:val="20"/>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b w:val="1"/>
                <w:bCs w:val="1"/>
                <w:color w:val="auto"/>
              </w:rPr>
              <w:t>491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771</w:t>
            </w:r>
          </w:p>
        </w:tc>
        <w:tc>
          <w:tcPr>
            <w:tcW w:w="260" w:type="dxa"/>
            <w:vAlign w:val="bottom"/>
          </w:tcPr>
          <w:p>
            <w:pPr>
              <w:spacing w:after="0"/>
              <w:rPr>
                <w:sz w:val="20"/>
                <w:szCs w:val="20"/>
                <w:color w:val="auto"/>
              </w:rPr>
            </w:pPr>
          </w:p>
        </w:tc>
      </w:tr>
      <w:tr>
        <w:trPr>
          <w:trHeight w:val="232"/>
        </w:trPr>
        <w:tc>
          <w:tcPr>
            <w:tcW w:w="7420" w:type="dxa"/>
            <w:vAlign w:val="bottom"/>
            <w:gridSpan w:val="2"/>
          </w:tcPr>
          <w:p>
            <w:pPr>
              <w:ind w:left="480"/>
              <w:spacing w:after="0"/>
              <w:rPr>
                <w:sz w:val="20"/>
                <w:szCs w:val="20"/>
                <w:color w:val="auto"/>
              </w:rPr>
            </w:pPr>
            <w:r>
              <w:rPr>
                <w:rFonts w:ascii="Arial" w:cs="Arial" w:eastAsia="Arial" w:hAnsi="Arial"/>
                <w:sz w:val="15"/>
                <w:szCs w:val="15"/>
                <w:color w:val="auto"/>
              </w:rPr>
              <w:t>Southwest</w:t>
            </w:r>
          </w:p>
        </w:tc>
        <w:tc>
          <w:tcPr>
            <w:tcW w:w="320" w:type="dxa"/>
            <w:vAlign w:val="bottom"/>
          </w:tcPr>
          <w:p>
            <w:pPr>
              <w:spacing w:after="0"/>
              <w:rPr>
                <w:sz w:val="20"/>
                <w:szCs w:val="20"/>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b w:val="1"/>
                <w:bCs w:val="1"/>
                <w:color w:val="auto"/>
              </w:rPr>
              <w:t>461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581</w:t>
            </w:r>
          </w:p>
        </w:tc>
        <w:tc>
          <w:tcPr>
            <w:tcW w:w="260" w:type="dxa"/>
            <w:vAlign w:val="bottom"/>
          </w:tcPr>
          <w:p>
            <w:pPr>
              <w:spacing w:after="0"/>
              <w:rPr>
                <w:sz w:val="20"/>
                <w:szCs w:val="20"/>
                <w:color w:val="auto"/>
              </w:rPr>
            </w:pPr>
          </w:p>
        </w:tc>
      </w:tr>
      <w:tr>
        <w:trPr>
          <w:trHeight w:val="226"/>
        </w:trPr>
        <w:tc>
          <w:tcPr>
            <w:tcW w:w="7280" w:type="dxa"/>
            <w:vAlign w:val="bottom"/>
            <w:tcBorders>
              <w:bottom w:val="single" w:sz="8" w:color="2C6937"/>
            </w:tcBorders>
          </w:tcPr>
          <w:p>
            <w:pPr>
              <w:ind w:left="480"/>
              <w:spacing w:after="0"/>
              <w:rPr>
                <w:sz w:val="20"/>
                <w:szCs w:val="20"/>
                <w:color w:val="auto"/>
              </w:rPr>
            </w:pPr>
            <w:r>
              <w:rPr>
                <w:rFonts w:ascii="Arial" w:cs="Arial" w:eastAsia="Arial" w:hAnsi="Arial"/>
                <w:sz w:val="15"/>
                <w:szCs w:val="15"/>
                <w:color w:val="auto"/>
              </w:rPr>
              <w:t>West</w:t>
            </w:r>
          </w:p>
        </w:tc>
        <w:tc>
          <w:tcPr>
            <w:tcW w:w="140" w:type="dxa"/>
            <w:vAlign w:val="bottom"/>
          </w:tcPr>
          <w:p>
            <w:pPr>
              <w:spacing w:after="0"/>
              <w:rPr>
                <w:sz w:val="19"/>
                <w:szCs w:val="19"/>
                <w:color w:val="auto"/>
              </w:rPr>
            </w:pPr>
          </w:p>
        </w:tc>
        <w:tc>
          <w:tcPr>
            <w:tcW w:w="320" w:type="dxa"/>
            <w:vAlign w:val="bottom"/>
            <w:tcBorders>
              <w:bottom w:val="single" w:sz="8" w:color="2C6937"/>
            </w:tcBorders>
          </w:tcPr>
          <w:p>
            <w:pPr>
              <w:spacing w:after="0"/>
              <w:rPr>
                <w:sz w:val="19"/>
                <w:szCs w:val="19"/>
                <w:color w:val="auto"/>
              </w:rPr>
            </w:pPr>
          </w:p>
        </w:tc>
        <w:tc>
          <w:tcPr>
            <w:tcW w:w="128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b w:val="1"/>
                <w:bCs w:val="1"/>
                <w:color w:val="auto"/>
              </w:rPr>
              <w:t>271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2C6937"/>
            </w:tcBorders>
          </w:tcPr>
          <w:p>
            <w:pPr>
              <w:spacing w:after="0"/>
              <w:rPr>
                <w:sz w:val="19"/>
                <w:szCs w:val="19"/>
                <w:color w:val="auto"/>
              </w:rPr>
            </w:pPr>
          </w:p>
        </w:tc>
        <w:tc>
          <w:tcPr>
            <w:tcW w:w="11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256</w:t>
            </w:r>
          </w:p>
        </w:tc>
        <w:tc>
          <w:tcPr>
            <w:tcW w:w="260" w:type="dxa"/>
            <w:vAlign w:val="bottom"/>
          </w:tcPr>
          <w:p>
            <w:pPr>
              <w:spacing w:after="0"/>
              <w:rPr>
                <w:sz w:val="19"/>
                <w:szCs w:val="19"/>
                <w:color w:val="auto"/>
              </w:rPr>
            </w:pPr>
          </w:p>
        </w:tc>
      </w:tr>
      <w:tr>
        <w:trPr>
          <w:trHeight w:val="239"/>
        </w:trPr>
        <w:tc>
          <w:tcPr>
            <w:tcW w:w="7420" w:type="dxa"/>
            <w:vAlign w:val="bottom"/>
            <w:gridSpan w:val="2"/>
          </w:tcPr>
          <w:p>
            <w:pPr>
              <w:ind w:left="320"/>
              <w:spacing w:after="0"/>
              <w:rPr>
                <w:sz w:val="20"/>
                <w:szCs w:val="20"/>
                <w:color w:val="auto"/>
              </w:rPr>
            </w:pPr>
            <w:r>
              <w:rPr>
                <w:rFonts w:ascii="Arial" w:cs="Arial" w:eastAsia="Arial" w:hAnsi="Arial"/>
                <w:sz w:val="15"/>
                <w:szCs w:val="15"/>
                <w:color w:val="auto"/>
              </w:rPr>
              <w:t>Total REO acquisitions</w:t>
            </w:r>
            <w:r>
              <w:rPr>
                <w:rFonts w:ascii="Arial" w:cs="Arial" w:eastAsia="Arial" w:hAnsi="Arial"/>
                <w:sz w:val="20"/>
                <w:szCs w:val="20"/>
                <w:color w:val="auto"/>
                <w:vertAlign w:val="superscript"/>
              </w:rPr>
              <w:t>(1)</w:t>
            </w:r>
          </w:p>
        </w:tc>
        <w:tc>
          <w:tcPr>
            <w:tcW w:w="320" w:type="dxa"/>
            <w:vAlign w:val="bottom"/>
          </w:tcPr>
          <w:p>
            <w:pPr>
              <w:spacing w:after="0"/>
              <w:rPr>
                <w:sz w:val="20"/>
                <w:szCs w:val="20"/>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b w:val="1"/>
                <w:bCs w:val="1"/>
                <w:color w:val="auto"/>
              </w:rPr>
              <w:t>2,314</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3,240</w:t>
            </w:r>
          </w:p>
        </w:tc>
        <w:tc>
          <w:tcPr>
            <w:tcW w:w="260" w:type="dxa"/>
            <w:vAlign w:val="bottom"/>
          </w:tcPr>
          <w:p>
            <w:pPr>
              <w:spacing w:after="0"/>
              <w:rPr>
                <w:sz w:val="20"/>
                <w:szCs w:val="20"/>
                <w:color w:val="auto"/>
              </w:rPr>
            </w:pPr>
          </w:p>
        </w:tc>
      </w:tr>
      <w:tr>
        <w:trPr>
          <w:trHeight w:val="218"/>
        </w:trPr>
        <w:tc>
          <w:tcPr>
            <w:tcW w:w="728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Dispositions of REO</w:t>
            </w:r>
          </w:p>
        </w:tc>
        <w:tc>
          <w:tcPr>
            <w:tcW w:w="140" w:type="dxa"/>
            <w:vAlign w:val="bottom"/>
          </w:tcPr>
          <w:p>
            <w:pPr>
              <w:spacing w:after="0"/>
              <w:rPr>
                <w:sz w:val="18"/>
                <w:szCs w:val="18"/>
                <w:color w:val="auto"/>
              </w:rPr>
            </w:pPr>
          </w:p>
        </w:tc>
        <w:tc>
          <w:tcPr>
            <w:tcW w:w="320" w:type="dxa"/>
            <w:vAlign w:val="bottom"/>
            <w:tcBorders>
              <w:bottom w:val="single" w:sz="8" w:color="2C6937"/>
            </w:tcBorders>
          </w:tcPr>
          <w:p>
            <w:pPr>
              <w:spacing w:after="0"/>
              <w:rPr>
                <w:sz w:val="18"/>
                <w:szCs w:val="18"/>
                <w:color w:val="auto"/>
              </w:rPr>
            </w:pPr>
          </w:p>
        </w:tc>
        <w:tc>
          <w:tcPr>
            <w:tcW w:w="12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(4,236)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2C6937"/>
            </w:tcBorders>
          </w:tcPr>
          <w:p>
            <w:pPr>
              <w:spacing w:after="0"/>
              <w:rPr>
                <w:sz w:val="18"/>
                <w:szCs w:val="18"/>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(3,438)</w:t>
            </w:r>
          </w:p>
        </w:tc>
        <w:tc>
          <w:tcPr>
            <w:tcW w:w="260" w:type="dxa"/>
            <w:vAlign w:val="bottom"/>
          </w:tcPr>
          <w:p>
            <w:pPr>
              <w:spacing w:after="0"/>
              <w:rPr>
                <w:sz w:val="18"/>
                <w:szCs w:val="18"/>
                <w:color w:val="auto"/>
              </w:rPr>
            </w:pPr>
          </w:p>
        </w:tc>
      </w:tr>
      <w:tr>
        <w:trPr>
          <w:trHeight w:val="225"/>
        </w:trPr>
        <w:tc>
          <w:tcPr>
            <w:tcW w:w="7280" w:type="dxa"/>
            <w:vAlign w:val="bottom"/>
            <w:tcBorders>
              <w:bottom w:val="single" w:sz="8" w:color="2C6937"/>
            </w:tcBorders>
          </w:tcPr>
          <w:p>
            <w:pPr>
              <w:ind w:left="180"/>
              <w:spacing w:after="0" w:line="225" w:lineRule="exact"/>
              <w:rPr>
                <w:sz w:val="20"/>
                <w:szCs w:val="20"/>
                <w:color w:val="auto"/>
              </w:rPr>
            </w:pPr>
            <w:r>
              <w:rPr>
                <w:rFonts w:ascii="Arial" w:cs="Arial" w:eastAsia="Arial" w:hAnsi="Arial"/>
                <w:sz w:val="15"/>
                <w:szCs w:val="15"/>
                <w:color w:val="auto"/>
              </w:rPr>
              <w:t>End of period inventory of single-family REO properties</w:t>
            </w:r>
            <w:r>
              <w:rPr>
                <w:rFonts w:ascii="Arial" w:cs="Arial" w:eastAsia="Arial" w:hAnsi="Arial"/>
                <w:sz w:val="20"/>
                <w:szCs w:val="20"/>
                <w:color w:val="auto"/>
                <w:vertAlign w:val="superscript"/>
              </w:rPr>
              <w:t>(1)</w:t>
            </w:r>
          </w:p>
        </w:tc>
        <w:tc>
          <w:tcPr>
            <w:tcW w:w="140" w:type="dxa"/>
            <w:vAlign w:val="bottom"/>
          </w:tcPr>
          <w:p>
            <w:pPr>
              <w:spacing w:after="0"/>
              <w:rPr>
                <w:sz w:val="19"/>
                <w:szCs w:val="19"/>
                <w:color w:val="auto"/>
              </w:rPr>
            </w:pPr>
          </w:p>
        </w:tc>
        <w:tc>
          <w:tcPr>
            <w:tcW w:w="320" w:type="dxa"/>
            <w:vAlign w:val="bottom"/>
            <w:tcBorders>
              <w:bottom w:val="single" w:sz="8" w:color="2C6937"/>
            </w:tcBorders>
          </w:tcPr>
          <w:p>
            <w:pPr>
              <w:spacing w:after="0"/>
              <w:rPr>
                <w:sz w:val="19"/>
                <w:szCs w:val="19"/>
                <w:color w:val="auto"/>
              </w:rPr>
            </w:pPr>
          </w:p>
        </w:tc>
        <w:tc>
          <w:tcPr>
            <w:tcW w:w="128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b w:val="1"/>
                <w:bCs w:val="1"/>
                <w:color w:val="auto"/>
              </w:rPr>
              <w:t>6,481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2C6937"/>
            </w:tcBorders>
          </w:tcPr>
          <w:p>
            <w:pPr>
              <w:spacing w:after="0"/>
              <w:rPr>
                <w:sz w:val="19"/>
                <w:szCs w:val="19"/>
                <w:color w:val="auto"/>
              </w:rPr>
            </w:pPr>
          </w:p>
        </w:tc>
        <w:tc>
          <w:tcPr>
            <w:tcW w:w="11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8,581</w:t>
            </w:r>
          </w:p>
        </w:tc>
        <w:tc>
          <w:tcPr>
            <w:tcW w:w="260" w:type="dxa"/>
            <w:vAlign w:val="bottom"/>
          </w:tcPr>
          <w:p>
            <w:pPr>
              <w:spacing w:after="0"/>
              <w:rPr>
                <w:sz w:val="19"/>
                <w:szCs w:val="19"/>
                <w:color w:val="auto"/>
              </w:rPr>
            </w:pPr>
          </w:p>
        </w:tc>
      </w:tr>
      <w:tr>
        <w:trPr>
          <w:trHeight w:val="20"/>
        </w:trPr>
        <w:tc>
          <w:tcPr>
            <w:tcW w:w="7280" w:type="dxa"/>
            <w:vAlign w:val="bottom"/>
            <w:tcBorders>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128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2C6937"/>
            </w:tcBorders>
          </w:tcPr>
          <w:p>
            <w:pPr>
              <w:spacing w:after="0" w:line="20" w:lineRule="exact"/>
              <w:rPr>
                <w:sz w:val="1"/>
                <w:szCs w:val="1"/>
                <w:color w:val="auto"/>
              </w:rPr>
            </w:pPr>
          </w:p>
        </w:tc>
        <w:tc>
          <w:tcPr>
            <w:tcW w:w="116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30"/>
        </w:trPr>
        <w:tc>
          <w:tcPr>
            <w:tcW w:w="7420" w:type="dxa"/>
            <w:vAlign w:val="bottom"/>
            <w:gridSpan w:val="2"/>
          </w:tcPr>
          <w:p>
            <w:pPr>
              <w:ind w:left="20"/>
              <w:spacing w:after="0"/>
              <w:rPr>
                <w:sz w:val="20"/>
                <w:szCs w:val="20"/>
                <w:color w:val="auto"/>
              </w:rPr>
            </w:pPr>
            <w:r>
              <w:rPr>
                <w:rFonts w:ascii="Arial" w:cs="Arial" w:eastAsia="Arial" w:hAnsi="Arial"/>
                <w:sz w:val="15"/>
                <w:szCs w:val="15"/>
                <w:color w:val="auto"/>
              </w:rPr>
              <w:t>Carrying value of single-family REO properties (dollars in millions)</w:t>
            </w:r>
          </w:p>
        </w:tc>
        <w:tc>
          <w:tcPr>
            <w:tcW w:w="320" w:type="dxa"/>
            <w:vAlign w:val="bottom"/>
          </w:tcPr>
          <w:p>
            <w:pPr>
              <w:jc w:val="right"/>
              <w:ind w:right="123"/>
              <w:spacing w:after="0"/>
              <w:rPr>
                <w:sz w:val="20"/>
                <w:szCs w:val="20"/>
                <w:color w:val="auto"/>
              </w:rPr>
            </w:pPr>
            <w:r>
              <w:rPr>
                <w:rFonts w:ascii="Arial" w:cs="Arial" w:eastAsia="Arial" w:hAnsi="Arial"/>
                <w:sz w:val="15"/>
                <w:szCs w:val="15"/>
                <w:b w:val="1"/>
                <w:bCs w:val="1"/>
                <w:color w:val="auto"/>
              </w:rPr>
              <w:t>$</w:t>
            </w:r>
          </w:p>
        </w:tc>
        <w:tc>
          <w:tcPr>
            <w:tcW w:w="1280" w:type="dxa"/>
            <w:vAlign w:val="bottom"/>
          </w:tcPr>
          <w:p>
            <w:pPr>
              <w:jc w:val="right"/>
              <w:ind w:right="4"/>
              <w:spacing w:after="0"/>
              <w:rPr>
                <w:sz w:val="20"/>
                <w:szCs w:val="20"/>
                <w:color w:val="auto"/>
              </w:rPr>
            </w:pPr>
            <w:r>
              <w:rPr>
                <w:rFonts w:ascii="Arial" w:cs="Arial" w:eastAsia="Arial" w:hAnsi="Arial"/>
                <w:sz w:val="15"/>
                <w:szCs w:val="15"/>
                <w:b w:val="1"/>
                <w:bCs w:val="1"/>
                <w:color w:val="auto"/>
              </w:rPr>
              <w:t>1,157</w:t>
            </w:r>
          </w:p>
        </w:tc>
        <w:tc>
          <w:tcPr>
            <w:tcW w:w="800" w:type="dxa"/>
            <w:vAlign w:val="bottom"/>
            <w:gridSpan w:val="3"/>
          </w:tcPr>
          <w:p>
            <w:pPr>
              <w:jc w:val="right"/>
              <w:ind w:right="320"/>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1,378</w:t>
            </w:r>
          </w:p>
        </w:tc>
        <w:tc>
          <w:tcPr>
            <w:tcW w:w="260" w:type="dxa"/>
            <w:vAlign w:val="bottom"/>
          </w:tcPr>
          <w:p>
            <w:pPr>
              <w:spacing w:after="0"/>
              <w:rPr>
                <w:sz w:val="20"/>
                <w:szCs w:val="20"/>
                <w:color w:val="auto"/>
              </w:rPr>
            </w:pPr>
          </w:p>
        </w:tc>
      </w:tr>
      <w:tr>
        <w:trPr>
          <w:trHeight w:val="239"/>
        </w:trPr>
        <w:tc>
          <w:tcPr>
            <w:tcW w:w="7420" w:type="dxa"/>
            <w:vAlign w:val="bottom"/>
            <w:gridSpan w:val="2"/>
          </w:tcPr>
          <w:p>
            <w:pPr>
              <w:ind w:left="20"/>
              <w:spacing w:after="0"/>
              <w:rPr>
                <w:sz w:val="20"/>
                <w:szCs w:val="20"/>
                <w:color w:val="auto"/>
              </w:rPr>
            </w:pPr>
            <w:r>
              <w:rPr>
                <w:rFonts w:ascii="Arial" w:cs="Arial" w:eastAsia="Arial" w:hAnsi="Arial"/>
                <w:sz w:val="15"/>
                <w:szCs w:val="15"/>
                <w:color w:val="auto"/>
              </w:rPr>
              <w:t>Single-family foreclosure rate</w:t>
            </w:r>
            <w:r>
              <w:rPr>
                <w:rFonts w:ascii="Arial" w:cs="Arial" w:eastAsia="Arial" w:hAnsi="Arial"/>
                <w:sz w:val="20"/>
                <w:szCs w:val="20"/>
                <w:color w:val="auto"/>
                <w:vertAlign w:val="superscript"/>
              </w:rPr>
              <w:t>(3)</w:t>
            </w:r>
          </w:p>
        </w:tc>
        <w:tc>
          <w:tcPr>
            <w:tcW w:w="320" w:type="dxa"/>
            <w:vAlign w:val="bottom"/>
          </w:tcPr>
          <w:p>
            <w:pPr>
              <w:spacing w:after="0"/>
              <w:rPr>
                <w:sz w:val="20"/>
                <w:szCs w:val="20"/>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b w:val="1"/>
                <w:bCs w:val="1"/>
                <w:color w:val="auto"/>
              </w:rPr>
              <w:t>0.02</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0.02</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32"/>
        </w:trPr>
        <w:tc>
          <w:tcPr>
            <w:tcW w:w="7420" w:type="dxa"/>
            <w:vAlign w:val="bottom"/>
            <w:gridSpan w:val="2"/>
          </w:tcPr>
          <w:p>
            <w:pPr>
              <w:ind w:left="20"/>
              <w:spacing w:after="0"/>
              <w:rPr>
                <w:sz w:val="20"/>
                <w:szCs w:val="20"/>
                <w:color w:val="auto"/>
              </w:rPr>
            </w:pPr>
            <w:r>
              <w:rPr>
                <w:rFonts w:ascii="Arial" w:cs="Arial" w:eastAsia="Arial" w:hAnsi="Arial"/>
                <w:sz w:val="15"/>
                <w:szCs w:val="15"/>
                <w:color w:val="auto"/>
              </w:rPr>
              <w:t>REO net sales price to unpaid principal balance</w:t>
            </w:r>
            <w:r>
              <w:rPr>
                <w:rFonts w:ascii="Arial" w:cs="Arial" w:eastAsia="Arial" w:hAnsi="Arial"/>
                <w:sz w:val="20"/>
                <w:szCs w:val="20"/>
                <w:color w:val="auto"/>
                <w:vertAlign w:val="superscript"/>
              </w:rPr>
              <w:t>(4)</w:t>
            </w:r>
          </w:p>
        </w:tc>
        <w:tc>
          <w:tcPr>
            <w:tcW w:w="320" w:type="dxa"/>
            <w:vAlign w:val="bottom"/>
          </w:tcPr>
          <w:p>
            <w:pPr>
              <w:spacing w:after="0"/>
              <w:rPr>
                <w:sz w:val="20"/>
                <w:szCs w:val="20"/>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b w:val="1"/>
                <w:bCs w:val="1"/>
                <w:color w:val="auto"/>
              </w:rPr>
              <w:t>142</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127</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32"/>
        </w:trPr>
        <w:tc>
          <w:tcPr>
            <w:tcW w:w="7420" w:type="dxa"/>
            <w:vAlign w:val="bottom"/>
            <w:gridSpan w:val="2"/>
          </w:tcPr>
          <w:p>
            <w:pPr>
              <w:ind w:left="20"/>
              <w:spacing w:after="0"/>
              <w:rPr>
                <w:sz w:val="20"/>
                <w:szCs w:val="20"/>
                <w:color w:val="auto"/>
              </w:rPr>
            </w:pPr>
            <w:r>
              <w:rPr>
                <w:rFonts w:ascii="Arial" w:cs="Arial" w:eastAsia="Arial" w:hAnsi="Arial"/>
                <w:sz w:val="15"/>
                <w:szCs w:val="15"/>
                <w:color w:val="auto"/>
              </w:rPr>
              <w:t>REO net sales price to unpaid principal balance and costs to repair</w:t>
            </w:r>
            <w:r>
              <w:rPr>
                <w:rFonts w:ascii="Arial" w:cs="Arial" w:eastAsia="Arial" w:hAnsi="Arial"/>
                <w:sz w:val="20"/>
                <w:szCs w:val="20"/>
                <w:color w:val="auto"/>
                <w:vertAlign w:val="superscript"/>
              </w:rPr>
              <w:t>(5)</w:t>
            </w:r>
          </w:p>
        </w:tc>
        <w:tc>
          <w:tcPr>
            <w:tcW w:w="320" w:type="dxa"/>
            <w:vAlign w:val="bottom"/>
          </w:tcPr>
          <w:p>
            <w:pPr>
              <w:spacing w:after="0"/>
              <w:rPr>
                <w:sz w:val="20"/>
                <w:szCs w:val="20"/>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b w:val="1"/>
                <w:bCs w:val="1"/>
                <w:color w:val="auto"/>
              </w:rPr>
              <w:t>91</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97</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71"/>
        </w:trPr>
        <w:tc>
          <w:tcPr>
            <w:tcW w:w="7420" w:type="dxa"/>
            <w:vAlign w:val="bottom"/>
            <w:gridSpan w:val="2"/>
          </w:tcPr>
          <w:p>
            <w:pPr>
              <w:ind w:left="20"/>
              <w:spacing w:after="0"/>
              <w:rPr>
                <w:sz w:val="20"/>
                <w:szCs w:val="20"/>
                <w:color w:val="auto"/>
              </w:rPr>
            </w:pPr>
            <w:r>
              <w:rPr>
                <w:rFonts w:ascii="Arial" w:cs="Arial" w:eastAsia="Arial" w:hAnsi="Arial"/>
                <w:sz w:val="15"/>
                <w:szCs w:val="15"/>
                <w:color w:val="auto"/>
              </w:rPr>
              <w:t>Short sales net sales price to unpaid principal balance</w:t>
            </w:r>
            <w:r>
              <w:rPr>
                <w:rFonts w:ascii="Arial" w:cs="Arial" w:eastAsia="Arial" w:hAnsi="Arial"/>
                <w:sz w:val="20"/>
                <w:szCs w:val="20"/>
                <w:color w:val="auto"/>
                <w:vertAlign w:val="superscript"/>
              </w:rPr>
              <w:t>(6)</w:t>
            </w:r>
          </w:p>
        </w:tc>
        <w:tc>
          <w:tcPr>
            <w:tcW w:w="320" w:type="dxa"/>
            <w:vAlign w:val="bottom"/>
          </w:tcPr>
          <w:p>
            <w:pPr>
              <w:spacing w:after="0"/>
              <w:rPr>
                <w:sz w:val="23"/>
                <w:szCs w:val="23"/>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b w:val="1"/>
                <w:bCs w:val="1"/>
                <w:color w:val="auto"/>
              </w:rPr>
              <w:t>90</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92</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r>
    </w:tbl>
    <w:p>
      <w:pPr>
        <w:spacing w:after="0" w:line="42" w:lineRule="exact"/>
        <w:rPr>
          <w:sz w:val="20"/>
          <w:szCs w:val="20"/>
          <w:color w:val="auto"/>
        </w:rPr>
      </w:pPr>
    </w:p>
    <w:p>
      <w:pPr>
        <w:ind w:left="220" w:hanging="217"/>
        <w:spacing w:after="0"/>
        <w:tabs>
          <w:tab w:leader="none" w:pos="220"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Comprised of held-for sale and held-for-use properties, which are reported in our condensed consolidated balance sheets as a component of “Other assets.”</w:t>
      </w:r>
    </w:p>
    <w:p>
      <w:pPr>
        <w:spacing w:after="0" w:line="37" w:lineRule="exact"/>
        <w:rPr>
          <w:rFonts w:ascii="Arial" w:cs="Arial" w:eastAsia="Arial" w:hAnsi="Arial"/>
          <w:sz w:val="18"/>
          <w:szCs w:val="18"/>
          <w:color w:val="auto"/>
          <w:vertAlign w:val="superscript"/>
        </w:rPr>
      </w:pPr>
    </w:p>
    <w:p>
      <w:pPr>
        <w:ind w:left="220" w:hanging="217"/>
        <w:spacing w:after="0" w:line="206" w:lineRule="auto"/>
        <w:tabs>
          <w:tab w:leader="none" w:pos="220" w:val="left"/>
        </w:tabs>
        <w:numPr>
          <w:ilvl w:val="0"/>
          <w:numId w:val="39"/>
        </w:numPr>
        <w:rPr>
          <w:rFonts w:ascii="Arial" w:cs="Arial" w:eastAsia="Arial" w:hAnsi="Arial"/>
          <w:sz w:val="17"/>
          <w:szCs w:val="17"/>
          <w:color w:val="auto"/>
          <w:vertAlign w:val="superscript"/>
        </w:rPr>
      </w:pPr>
      <w:r>
        <w:rPr>
          <w:rFonts w:ascii="Arial" w:cs="Arial" w:eastAsia="Arial" w:hAnsi="Arial"/>
          <w:sz w:val="13"/>
          <w:szCs w:val="13"/>
          <w:color w:val="auto"/>
        </w:rPr>
        <w:t>See footnote 9 to the “Key Risk Characteristics of Single-Family Conventional Business Volume and Guaranty Book of Business” table for states included in each geographic region.</w:t>
      </w:r>
    </w:p>
    <w:p>
      <w:pPr>
        <w:spacing w:after="0" w:line="25" w:lineRule="exact"/>
        <w:rPr>
          <w:rFonts w:ascii="Arial" w:cs="Arial" w:eastAsia="Arial" w:hAnsi="Arial"/>
          <w:sz w:val="17"/>
          <w:szCs w:val="17"/>
          <w:color w:val="auto"/>
          <w:vertAlign w:val="superscript"/>
        </w:rPr>
      </w:pPr>
    </w:p>
    <w:p>
      <w:pPr>
        <w:ind w:left="240" w:right="60" w:hanging="237"/>
        <w:spacing w:after="0" w:line="260" w:lineRule="auto"/>
        <w:tabs>
          <w:tab w:leader="none" w:pos="233" w:val="left"/>
        </w:tabs>
        <w:numPr>
          <w:ilvl w:val="0"/>
          <w:numId w:val="39"/>
        </w:numPr>
        <w:rPr>
          <w:rFonts w:ascii="Arial" w:cs="Arial" w:eastAsia="Arial" w:hAnsi="Arial"/>
          <w:sz w:val="9"/>
          <w:szCs w:val="9"/>
          <w:color w:val="auto"/>
        </w:rPr>
      </w:pPr>
      <w:r>
        <w:rPr>
          <w:rFonts w:ascii="Arial" w:cs="Arial" w:eastAsia="Arial" w:hAnsi="Arial"/>
          <w:sz w:val="14"/>
          <w:szCs w:val="14"/>
          <w:color w:val="auto"/>
        </w:rPr>
        <w:t>Estimated based on the annualized total number of properties acquired through foreclosure or deeds-in-lieu of foreclosure as a percentage of the total number of loans in our single-family conventional guaranty book of business as of the end of each period.</w:t>
      </w:r>
    </w:p>
    <w:p>
      <w:pPr>
        <w:spacing w:after="0" w:line="13" w:lineRule="exact"/>
        <w:rPr>
          <w:rFonts w:ascii="Arial" w:cs="Arial" w:eastAsia="Arial" w:hAnsi="Arial"/>
          <w:sz w:val="9"/>
          <w:szCs w:val="9"/>
          <w:color w:val="auto"/>
        </w:rPr>
      </w:pPr>
    </w:p>
    <w:p>
      <w:pPr>
        <w:ind w:left="240" w:right="160" w:hanging="237"/>
        <w:spacing w:after="0" w:line="233" w:lineRule="auto"/>
        <w:tabs>
          <w:tab w:leader="none" w:pos="233"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Calculated as the amount of sale proceeds received on disposition of REO properties during the respective periods, excluding those subject to repurchase requests made to our sellers or servicers, divided by the aggregate unpaid principal balance of the related loans at the time of foreclosure. Net sales price represents the contract sales price less selling costs for the property and other charges paid by the seller at closing, and excludes the costs associated with any property repairs.</w:t>
      </w:r>
    </w:p>
    <w:p>
      <w:pPr>
        <w:spacing w:after="0" w:line="15" w:lineRule="exact"/>
        <w:rPr>
          <w:rFonts w:ascii="Arial" w:cs="Arial" w:eastAsia="Arial" w:hAnsi="Arial"/>
          <w:sz w:val="18"/>
          <w:szCs w:val="18"/>
          <w:color w:val="auto"/>
          <w:vertAlign w:val="superscript"/>
        </w:rPr>
      </w:pPr>
    </w:p>
    <w:p>
      <w:pPr>
        <w:ind w:left="240" w:right="180" w:hanging="237"/>
        <w:spacing w:after="0" w:line="264" w:lineRule="auto"/>
        <w:tabs>
          <w:tab w:leader="none" w:pos="233" w:val="left"/>
        </w:tabs>
        <w:numPr>
          <w:ilvl w:val="0"/>
          <w:numId w:val="39"/>
        </w:numPr>
        <w:rPr>
          <w:rFonts w:ascii="Arial" w:cs="Arial" w:eastAsia="Arial" w:hAnsi="Arial"/>
          <w:sz w:val="9"/>
          <w:szCs w:val="9"/>
          <w:color w:val="auto"/>
        </w:rPr>
      </w:pPr>
      <w:r>
        <w:rPr>
          <w:rFonts w:ascii="Arial" w:cs="Arial" w:eastAsia="Arial" w:hAnsi="Arial"/>
          <w:sz w:val="14"/>
          <w:szCs w:val="14"/>
          <w:color w:val="auto"/>
        </w:rPr>
        <w:t>Calculated as the amount of sale proceeds received on disposition of REO properties during the respective periods, excluding those subject to repurchase requests made to our sellers or servicers, divided by the aggregate unpaid principal balance of the related loans at the time of foreclosure and costs to repair the property. Net sales price represents the contract sales price less selling costs for the property and other charges paid by the seller at closing.</w:t>
      </w:r>
    </w:p>
    <w:p>
      <w:pPr>
        <w:spacing w:after="0" w:line="10" w:lineRule="exact"/>
        <w:rPr>
          <w:rFonts w:ascii="Arial" w:cs="Arial" w:eastAsia="Arial" w:hAnsi="Arial"/>
          <w:sz w:val="9"/>
          <w:szCs w:val="9"/>
          <w:color w:val="auto"/>
        </w:rPr>
      </w:pPr>
    </w:p>
    <w:p>
      <w:pPr>
        <w:ind w:left="240" w:right="140" w:hanging="237"/>
        <w:spacing w:after="0" w:line="226" w:lineRule="auto"/>
        <w:tabs>
          <w:tab w:leader="none" w:pos="233"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Calculated as the amount of sale proceeds received on properties sold in short sale transactions during the respective periods divided by the aggregate unpaid principal balance of the related loans. Net sales price includes borrower relocation incentive payments and subordinate lien(s) negotiated payoffs.</w:t>
      </w:r>
    </w:p>
    <w:p>
      <w:pPr>
        <w:spacing w:after="0" w:line="64" w:lineRule="exact"/>
        <w:rPr>
          <w:sz w:val="20"/>
          <w:szCs w:val="20"/>
          <w:color w:val="auto"/>
        </w:rPr>
      </w:pPr>
    </w:p>
    <w:p>
      <w:pPr>
        <w:ind w:right="260"/>
        <w:spacing w:after="0" w:line="310" w:lineRule="auto"/>
        <w:rPr>
          <w:sz w:val="20"/>
          <w:szCs w:val="20"/>
          <w:color w:val="auto"/>
        </w:rPr>
      </w:pPr>
      <w:r>
        <w:rPr>
          <w:rFonts w:ascii="Arial" w:cs="Arial" w:eastAsia="Arial" w:hAnsi="Arial"/>
          <w:sz w:val="16"/>
          <w:szCs w:val="16"/>
          <w:color w:val="auto"/>
        </w:rPr>
        <w:t>Our REO net sales price to unpaid principal balance and costs to repair decreased to 91% for the first nine months of 2024 compared to 97% for the first nine months of 2023, primarily driven by increased costs we have incurred to repair the condition of properties.</w:t>
      </w:r>
    </w:p>
    <w:p>
      <w:pPr>
        <w:spacing w:after="0" w:line="93"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Single-Family Credit Loss Performance Metrics and Loan Sale Performance</w:t>
      </w:r>
    </w:p>
    <w:p>
      <w:pPr>
        <w:spacing w:after="0" w:line="67"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The single-family credit loss performance metrics and loan sale performance measures below present information about losses or gains we realized on our single-family loans during the periods presented. For the purposes of our single-family credit loss performance metrics, credit losses or gains represent write-offs net of recoveries and foreclosed property income or expense. The amount of these losses or gains in a given period is driven by foreclosures, pre-foreclosure sales, post-foreclosure REO activity, mortgage loan redesignations, and other events that trigger write-offs and recoveries. The single-family credit loss metrics we present are not defined terms and may not be calculated in the same manner as similarly titled measures reported by other companies. Management uses these measures to evaluate the effectiveness of our single-family credit risk management strategies in conjunction with leading indicators such as</w:t>
      </w: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2024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35</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60" w:type="dxa"/>
            <w:vAlign w:val="bottom"/>
            <w:tcBorders>
              <w:bottom w:val="single" w:sz="8" w:color="9A9A9A"/>
            </w:tcBorders>
          </w:tcPr>
          <w:p>
            <w:pPr>
              <w:spacing w:after="0"/>
              <w:rPr>
                <w:sz w:val="17"/>
                <w:szCs w:val="17"/>
                <w:color w:val="auto"/>
              </w:rPr>
            </w:pPr>
          </w:p>
        </w:tc>
        <w:tc>
          <w:tcPr>
            <w:tcW w:w="42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38" w:name="page39"/>
    <w:bookmarkEnd w:id="38"/>
    <w:p>
      <w:pPr>
        <w:ind w:left="606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serious delinquency and forbearance rates, which are potential indicators of future realized single-family credit losses. We believe these measures provide useful information about our single-family credit performance and the factors that impact it.</w:t>
      </w:r>
    </w:p>
    <w:p>
      <w:pPr>
        <w:spacing w:after="0" w:line="15"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The table below displays the components of our single-family credit loss performance metrics. Because sales of nonperforming and reperforming loans are a part of our credit loss mitigation strategy, we also provide information in the table below on our loan sale performance through the “Gains (losses) on sales and other valuation adjustments” line item.</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Single-Family Credit Loss Performance Metrics and Loan Sale Performance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120" w:type="dxa"/>
            <w:vAlign w:val="bottom"/>
            <w:tcBorders>
              <w:top w:val="single" w:sz="8" w:color="2C6937"/>
            </w:tcBorders>
          </w:tcPr>
          <w:p>
            <w:pPr>
              <w:spacing w:after="0"/>
              <w:rPr>
                <w:sz w:val="15"/>
                <w:szCs w:val="15"/>
                <w:color w:val="auto"/>
              </w:rPr>
            </w:pPr>
          </w:p>
        </w:tc>
        <w:tc>
          <w:tcPr>
            <w:tcW w:w="100" w:type="dxa"/>
            <w:vAlign w:val="bottom"/>
            <w:tcBorders>
              <w:top w:val="single" w:sz="8" w:color="2C6937"/>
            </w:tcBorders>
          </w:tcPr>
          <w:p>
            <w:pPr>
              <w:spacing w:after="0"/>
              <w:rPr>
                <w:sz w:val="15"/>
                <w:szCs w:val="15"/>
                <w:color w:val="auto"/>
              </w:rPr>
            </w:pPr>
          </w:p>
        </w:tc>
        <w:tc>
          <w:tcPr>
            <w:tcW w:w="2520" w:type="dxa"/>
            <w:vAlign w:val="bottom"/>
            <w:tcBorders>
              <w:top w:val="single" w:sz="8" w:color="2C6937"/>
            </w:tcBorders>
            <w:gridSpan w:val="6"/>
          </w:tcPr>
          <w:p>
            <w:pPr>
              <w:jc w:val="center"/>
              <w:ind w:right="100"/>
              <w:spacing w:after="0"/>
              <w:rPr>
                <w:sz w:val="20"/>
                <w:szCs w:val="20"/>
                <w:color w:val="auto"/>
              </w:rPr>
            </w:pPr>
            <w:r>
              <w:rPr>
                <w:rFonts w:ascii="Arial" w:cs="Arial" w:eastAsia="Arial" w:hAnsi="Arial"/>
                <w:sz w:val="15"/>
                <w:szCs w:val="15"/>
                <w:b w:val="1"/>
                <w:bCs w:val="1"/>
                <w:color w:val="auto"/>
              </w:rPr>
              <w:t>For the Three Months Ended</w:t>
            </w:r>
          </w:p>
        </w:tc>
        <w:tc>
          <w:tcPr>
            <w:tcW w:w="180" w:type="dxa"/>
            <w:vAlign w:val="bottom"/>
            <w:tcBorders>
              <w:top w:val="single" w:sz="8" w:color="2C6937"/>
            </w:tcBorders>
          </w:tcPr>
          <w:p>
            <w:pPr>
              <w:spacing w:after="0"/>
              <w:rPr>
                <w:sz w:val="15"/>
                <w:szCs w:val="15"/>
                <w:color w:val="auto"/>
              </w:rPr>
            </w:pPr>
          </w:p>
        </w:tc>
        <w:tc>
          <w:tcPr>
            <w:tcW w:w="2320" w:type="dxa"/>
            <w:vAlign w:val="bottom"/>
            <w:tcBorders>
              <w:top w:val="single" w:sz="8" w:color="2C6937"/>
            </w:tcBorders>
            <w:gridSpan w:val="4"/>
          </w:tcPr>
          <w:p>
            <w:pPr>
              <w:jc w:val="right"/>
              <w:ind w:right="163"/>
              <w:spacing w:after="0"/>
              <w:rPr>
                <w:sz w:val="20"/>
                <w:szCs w:val="20"/>
                <w:color w:val="auto"/>
              </w:rPr>
            </w:pPr>
            <w:r>
              <w:rPr>
                <w:rFonts w:ascii="Arial" w:cs="Arial" w:eastAsia="Arial" w:hAnsi="Arial"/>
                <w:sz w:val="15"/>
                <w:szCs w:val="15"/>
                <w:b w:val="1"/>
                <w:bCs w:val="1"/>
                <w:color w:val="auto"/>
              </w:rPr>
              <w:t>For the Nine Months Ended</w:t>
            </w:r>
          </w:p>
        </w:tc>
      </w:tr>
      <w:tr>
        <w:trPr>
          <w:trHeight w:val="206"/>
        </w:trPr>
        <w:tc>
          <w:tcPr>
            <w:tcW w:w="6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gridSpan w:val="6"/>
          </w:tcPr>
          <w:p>
            <w:pPr>
              <w:jc w:val="center"/>
              <w:ind w:right="100"/>
              <w:spacing w:after="0"/>
              <w:rPr>
                <w:sz w:val="20"/>
                <w:szCs w:val="20"/>
                <w:color w:val="auto"/>
              </w:rPr>
            </w:pPr>
            <w:r>
              <w:rPr>
                <w:rFonts w:ascii="Arial" w:cs="Arial" w:eastAsia="Arial" w:hAnsi="Arial"/>
                <w:sz w:val="15"/>
                <w:szCs w:val="15"/>
                <w:b w:val="1"/>
                <w:bCs w:val="1"/>
                <w:color w:val="auto"/>
              </w:rPr>
              <w:t>September 30,</w:t>
            </w:r>
          </w:p>
        </w:tc>
        <w:tc>
          <w:tcPr>
            <w:tcW w:w="180" w:type="dxa"/>
            <w:vAlign w:val="bottom"/>
          </w:tcPr>
          <w:p>
            <w:pPr>
              <w:spacing w:after="0"/>
              <w:rPr>
                <w:sz w:val="17"/>
                <w:szCs w:val="17"/>
                <w:color w:val="auto"/>
              </w:rPr>
            </w:pPr>
          </w:p>
        </w:tc>
        <w:tc>
          <w:tcPr>
            <w:tcW w:w="2320" w:type="dxa"/>
            <w:vAlign w:val="bottom"/>
            <w:gridSpan w:val="4"/>
          </w:tcPr>
          <w:p>
            <w:pPr>
              <w:jc w:val="right"/>
              <w:ind w:right="643"/>
              <w:spacing w:after="0"/>
              <w:rPr>
                <w:sz w:val="20"/>
                <w:szCs w:val="20"/>
                <w:color w:val="auto"/>
              </w:rPr>
            </w:pPr>
            <w:r>
              <w:rPr>
                <w:rFonts w:ascii="Arial" w:cs="Arial" w:eastAsia="Arial" w:hAnsi="Arial"/>
                <w:sz w:val="15"/>
                <w:szCs w:val="15"/>
                <w:b w:val="1"/>
                <w:bCs w:val="1"/>
                <w:color w:val="auto"/>
              </w:rPr>
              <w:t>September 30,</w:t>
            </w:r>
          </w:p>
        </w:tc>
      </w:tr>
      <w:tr>
        <w:trPr>
          <w:trHeight w:val="199"/>
        </w:trPr>
        <w:tc>
          <w:tcPr>
            <w:tcW w:w="6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2024</w:t>
            </w:r>
          </w:p>
        </w:tc>
        <w:tc>
          <w:tcPr>
            <w:tcW w:w="420" w:type="dxa"/>
            <w:vAlign w:val="bottom"/>
            <w:tcBorders>
              <w:top w:val="single" w:sz="8" w:color="2C6937"/>
              <w:bottom w:val="single" w:sz="8" w:color="2C6937"/>
            </w:tcBorders>
          </w:tcPr>
          <w:p>
            <w:pPr>
              <w:spacing w:after="0"/>
              <w:rPr>
                <w:sz w:val="17"/>
                <w:szCs w:val="17"/>
                <w:color w:val="auto"/>
              </w:rPr>
            </w:pPr>
          </w:p>
        </w:tc>
        <w:tc>
          <w:tcPr>
            <w:tcW w:w="80" w:type="dxa"/>
            <w:vAlign w:val="bottom"/>
            <w:tcBorders>
              <w:top w:val="single" w:sz="8" w:color="2C6937"/>
              <w:bottom w:val="single" w:sz="8" w:color="2C6937"/>
            </w:tcBorders>
          </w:tcPr>
          <w:p>
            <w:pPr>
              <w:spacing w:after="0"/>
              <w:rPr>
                <w:sz w:val="17"/>
                <w:szCs w:val="17"/>
                <w:color w:val="auto"/>
              </w:rPr>
            </w:pPr>
          </w:p>
        </w:tc>
        <w:tc>
          <w:tcPr>
            <w:tcW w:w="260" w:type="dxa"/>
            <w:vAlign w:val="bottom"/>
            <w:tcBorders>
              <w:top w:val="single" w:sz="8" w:color="2C6937"/>
              <w:bottom w:val="single" w:sz="8" w:color="2C6937"/>
            </w:tcBorders>
          </w:tcPr>
          <w:p>
            <w:pPr>
              <w:spacing w:after="0"/>
              <w:rPr>
                <w:sz w:val="17"/>
                <w:szCs w:val="17"/>
                <w:color w:val="auto"/>
              </w:rPr>
            </w:pPr>
          </w:p>
        </w:tc>
        <w:tc>
          <w:tcPr>
            <w:tcW w:w="900" w:type="dxa"/>
            <w:vAlign w:val="bottom"/>
            <w:tcBorders>
              <w:top w:val="single" w:sz="8" w:color="2C6937"/>
              <w:bottom w:val="single" w:sz="8" w:color="2C6937"/>
            </w:tcBorders>
          </w:tcPr>
          <w:p>
            <w:pPr>
              <w:jc w:val="right"/>
              <w:ind w:right="323"/>
              <w:spacing w:after="0"/>
              <w:rPr>
                <w:sz w:val="20"/>
                <w:szCs w:val="20"/>
                <w:color w:val="auto"/>
              </w:rPr>
            </w:pPr>
            <w:r>
              <w:rPr>
                <w:rFonts w:ascii="Arial" w:cs="Arial" w:eastAsia="Arial" w:hAnsi="Arial"/>
                <w:sz w:val="15"/>
                <w:szCs w:val="15"/>
                <w:b w:val="1"/>
                <w:bCs w:val="1"/>
                <w:color w:val="auto"/>
              </w:rPr>
              <w:t>2023</w:t>
            </w:r>
          </w:p>
        </w:tc>
        <w:tc>
          <w:tcPr>
            <w:tcW w:w="80" w:type="dxa"/>
            <w:vAlign w:val="bottom"/>
            <w:tcBorders>
              <w:bottom w:val="single" w:sz="8" w:color="2C6937"/>
            </w:tcBorders>
          </w:tcPr>
          <w:p>
            <w:pPr>
              <w:spacing w:after="0"/>
              <w:rPr>
                <w:sz w:val="17"/>
                <w:szCs w:val="17"/>
                <w:color w:val="auto"/>
              </w:rPr>
            </w:pPr>
          </w:p>
        </w:tc>
        <w:tc>
          <w:tcPr>
            <w:tcW w:w="180" w:type="dxa"/>
            <w:vAlign w:val="bottom"/>
            <w:tcBorders>
              <w:top w:val="single" w:sz="8" w:color="2C6937"/>
              <w:bottom w:val="single" w:sz="8" w:color="2C6937"/>
            </w:tcBorders>
          </w:tcPr>
          <w:p>
            <w:pPr>
              <w:spacing w:after="0"/>
              <w:rPr>
                <w:sz w:val="17"/>
                <w:szCs w:val="17"/>
                <w:color w:val="auto"/>
              </w:rPr>
            </w:pPr>
          </w:p>
        </w:tc>
        <w:tc>
          <w:tcPr>
            <w:tcW w:w="1020" w:type="dxa"/>
            <w:vAlign w:val="bottom"/>
            <w:tcBorders>
              <w:top w:val="single" w:sz="8" w:color="2C6937"/>
              <w:bottom w:val="single" w:sz="8" w:color="2C6937"/>
            </w:tcBorders>
          </w:tcPr>
          <w:p>
            <w:pPr>
              <w:jc w:val="right"/>
              <w:ind w:right="343"/>
              <w:spacing w:after="0"/>
              <w:rPr>
                <w:sz w:val="20"/>
                <w:szCs w:val="20"/>
                <w:color w:val="auto"/>
              </w:rPr>
            </w:pPr>
            <w:r>
              <w:rPr>
                <w:rFonts w:ascii="Arial" w:cs="Arial" w:eastAsia="Arial" w:hAnsi="Arial"/>
                <w:sz w:val="15"/>
                <w:szCs w:val="15"/>
                <w:b w:val="1"/>
                <w:bCs w:val="1"/>
                <w:color w:val="auto"/>
              </w:rPr>
              <w:t>2024</w:t>
            </w:r>
          </w:p>
        </w:tc>
        <w:tc>
          <w:tcPr>
            <w:tcW w:w="100" w:type="dxa"/>
            <w:vAlign w:val="bottom"/>
            <w:tcBorders>
              <w:top w:val="single" w:sz="8" w:color="2C6937"/>
              <w:bottom w:val="single" w:sz="8" w:color="2C6937"/>
            </w:tcBorders>
          </w:tcPr>
          <w:p>
            <w:pPr>
              <w:spacing w:after="0"/>
              <w:rPr>
                <w:sz w:val="17"/>
                <w:szCs w:val="17"/>
                <w:color w:val="auto"/>
              </w:rPr>
            </w:pPr>
          </w:p>
        </w:tc>
        <w:tc>
          <w:tcPr>
            <w:tcW w:w="260" w:type="dxa"/>
            <w:vAlign w:val="bottom"/>
            <w:tcBorders>
              <w:top w:val="single" w:sz="8" w:color="2C6937"/>
              <w:bottom w:val="single" w:sz="8" w:color="2C6937"/>
            </w:tcBorders>
          </w:tcPr>
          <w:p>
            <w:pPr>
              <w:spacing w:after="0"/>
              <w:rPr>
                <w:sz w:val="17"/>
                <w:szCs w:val="17"/>
                <w:color w:val="auto"/>
              </w:rPr>
            </w:pPr>
          </w:p>
        </w:tc>
        <w:tc>
          <w:tcPr>
            <w:tcW w:w="940" w:type="dxa"/>
            <w:vAlign w:val="bottom"/>
            <w:tcBorders>
              <w:top w:val="single" w:sz="8" w:color="2C6937"/>
              <w:bottom w:val="single" w:sz="8" w:color="2C6937"/>
            </w:tcBorders>
          </w:tcPr>
          <w:p>
            <w:pPr>
              <w:jc w:val="right"/>
              <w:ind w:right="343"/>
              <w:spacing w:after="0"/>
              <w:rPr>
                <w:sz w:val="20"/>
                <w:szCs w:val="20"/>
                <w:color w:val="auto"/>
              </w:rPr>
            </w:pPr>
            <w:r>
              <w:rPr>
                <w:rFonts w:ascii="Arial" w:cs="Arial" w:eastAsia="Arial" w:hAnsi="Arial"/>
                <w:sz w:val="15"/>
                <w:szCs w:val="15"/>
                <w:b w:val="1"/>
                <w:bCs w:val="1"/>
                <w:color w:val="auto"/>
              </w:rPr>
              <w:t>2023</w:t>
            </w:r>
          </w:p>
        </w:tc>
      </w:tr>
      <w:tr>
        <w:trPr>
          <w:trHeight w:val="296"/>
        </w:trPr>
        <w:tc>
          <w:tcPr>
            <w:tcW w:w="6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80" w:type="dxa"/>
            <w:vAlign w:val="bottom"/>
            <w:gridSpan w:val="5"/>
          </w:tcPr>
          <w:p>
            <w:pPr>
              <w:ind w:left="260"/>
              <w:spacing w:after="0"/>
              <w:rPr>
                <w:sz w:val="20"/>
                <w:szCs w:val="20"/>
                <w:color w:val="auto"/>
              </w:rPr>
            </w:pPr>
            <w:r>
              <w:rPr>
                <w:rFonts w:ascii="Arial" w:cs="Arial" w:eastAsia="Arial" w:hAnsi="Arial"/>
                <w:sz w:val="15"/>
                <w:szCs w:val="15"/>
                <w:b w:val="1"/>
                <w:bCs w:val="1"/>
                <w:color w:val="auto"/>
              </w:rPr>
              <w:t>(Dollars in millions)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22"/>
        </w:trPr>
        <w:tc>
          <w:tcPr>
            <w:tcW w:w="6220" w:type="dxa"/>
            <w:vAlign w:val="bottom"/>
            <w:gridSpan w:val="2"/>
          </w:tcPr>
          <w:p>
            <w:pPr>
              <w:ind w:left="20"/>
              <w:spacing w:after="0"/>
              <w:rPr>
                <w:sz w:val="20"/>
                <w:szCs w:val="20"/>
                <w:color w:val="auto"/>
              </w:rPr>
            </w:pPr>
            <w:r>
              <w:rPr>
                <w:rFonts w:ascii="Arial" w:cs="Arial" w:eastAsia="Arial" w:hAnsi="Arial"/>
                <w:sz w:val="15"/>
                <w:szCs w:val="15"/>
                <w:color w:val="auto"/>
              </w:rPr>
              <w:t>Write-offs</w:t>
            </w:r>
          </w:p>
        </w:tc>
        <w:tc>
          <w:tcPr>
            <w:tcW w:w="780" w:type="dxa"/>
            <w:vAlign w:val="bottom"/>
          </w:tcPr>
          <w:p>
            <w:pPr>
              <w:jc w:val="right"/>
              <w:ind w:right="603"/>
              <w:spacing w:after="0"/>
              <w:rPr>
                <w:sz w:val="20"/>
                <w:szCs w:val="20"/>
                <w:color w:val="auto"/>
              </w:rPr>
            </w:pPr>
            <w:r>
              <w:rPr>
                <w:rFonts w:ascii="Arial" w:cs="Arial" w:eastAsia="Arial" w:hAnsi="Arial"/>
                <w:sz w:val="15"/>
                <w:szCs w:val="15"/>
                <w:b w:val="1"/>
                <w:bCs w:val="1"/>
                <w:color w:val="auto"/>
                <w:w w:val="95"/>
              </w:rPr>
              <w:t>$</w:t>
            </w:r>
          </w:p>
        </w:tc>
        <w:tc>
          <w:tcPr>
            <w:tcW w:w="420" w:type="dxa"/>
            <w:vAlign w:val="bottom"/>
          </w:tcPr>
          <w:p>
            <w:pPr>
              <w:jc w:val="right"/>
              <w:spacing w:after="0"/>
              <w:rPr>
                <w:sz w:val="20"/>
                <w:szCs w:val="20"/>
                <w:color w:val="auto"/>
              </w:rPr>
            </w:pPr>
            <w:r>
              <w:rPr>
                <w:rFonts w:ascii="Arial" w:cs="Arial" w:eastAsia="Arial" w:hAnsi="Arial"/>
                <w:sz w:val="15"/>
                <w:szCs w:val="15"/>
                <w:b w:val="1"/>
                <w:bCs w:val="1"/>
                <w:color w:val="auto"/>
              </w:rPr>
              <w:t>(135)</w:t>
            </w:r>
          </w:p>
        </w:tc>
        <w:tc>
          <w:tcPr>
            <w:tcW w:w="80" w:type="dxa"/>
            <w:vAlign w:val="bottom"/>
          </w:tcPr>
          <w:p>
            <w:pPr>
              <w:spacing w:after="0"/>
              <w:rPr>
                <w:sz w:val="24"/>
                <w:szCs w:val="24"/>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(63)</w:t>
            </w:r>
          </w:p>
        </w:tc>
        <w:tc>
          <w:tcPr>
            <w:tcW w:w="80" w:type="dxa"/>
            <w:vAlign w:val="bottom"/>
          </w:tcPr>
          <w:p>
            <w:pPr>
              <w:spacing w:after="0"/>
              <w:rPr>
                <w:sz w:val="24"/>
                <w:szCs w:val="24"/>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(357)</w:t>
            </w:r>
          </w:p>
        </w:tc>
        <w:tc>
          <w:tcPr>
            <w:tcW w:w="100" w:type="dxa"/>
            <w:vAlign w:val="bottom"/>
          </w:tcPr>
          <w:p>
            <w:pPr>
              <w:spacing w:after="0"/>
              <w:rPr>
                <w:sz w:val="24"/>
                <w:szCs w:val="24"/>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(162)</w:t>
            </w:r>
          </w:p>
        </w:tc>
      </w:tr>
      <w:tr>
        <w:trPr>
          <w:trHeight w:val="302"/>
        </w:trPr>
        <w:tc>
          <w:tcPr>
            <w:tcW w:w="6220" w:type="dxa"/>
            <w:vAlign w:val="bottom"/>
            <w:gridSpan w:val="2"/>
          </w:tcPr>
          <w:p>
            <w:pPr>
              <w:ind w:left="20"/>
              <w:spacing w:after="0"/>
              <w:rPr>
                <w:sz w:val="20"/>
                <w:szCs w:val="20"/>
                <w:color w:val="auto"/>
              </w:rPr>
            </w:pPr>
            <w:r>
              <w:rPr>
                <w:rFonts w:ascii="Arial" w:cs="Arial" w:eastAsia="Arial" w:hAnsi="Arial"/>
                <w:sz w:val="15"/>
                <w:szCs w:val="15"/>
                <w:color w:val="auto"/>
              </w:rPr>
              <w:t>Recoveries</w:t>
            </w:r>
          </w:p>
        </w:tc>
        <w:tc>
          <w:tcPr>
            <w:tcW w:w="780" w:type="dxa"/>
            <w:vAlign w:val="bottom"/>
          </w:tcPr>
          <w:p>
            <w:pPr>
              <w:spacing w:after="0"/>
              <w:rPr>
                <w:sz w:val="24"/>
                <w:szCs w:val="24"/>
                <w:color w:val="auto"/>
              </w:rPr>
            </w:pPr>
          </w:p>
        </w:tc>
        <w:tc>
          <w:tcPr>
            <w:tcW w:w="420" w:type="dxa"/>
            <w:vAlign w:val="bottom"/>
          </w:tcPr>
          <w:p>
            <w:pPr>
              <w:jc w:val="right"/>
              <w:ind w:right="3"/>
              <w:spacing w:after="0"/>
              <w:rPr>
                <w:sz w:val="20"/>
                <w:szCs w:val="20"/>
                <w:color w:val="auto"/>
              </w:rPr>
            </w:pPr>
            <w:r>
              <w:rPr>
                <w:rFonts w:ascii="Arial" w:cs="Arial" w:eastAsia="Arial" w:hAnsi="Arial"/>
                <w:sz w:val="15"/>
                <w:szCs w:val="15"/>
                <w:b w:val="1"/>
                <w:bCs w:val="1"/>
                <w:color w:val="auto"/>
              </w:rPr>
              <w:t>25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3"/>
              <w:spacing w:after="0"/>
              <w:rPr>
                <w:sz w:val="20"/>
                <w:szCs w:val="20"/>
                <w:color w:val="auto"/>
              </w:rPr>
            </w:pPr>
            <w:r>
              <w:rPr>
                <w:rFonts w:ascii="Arial" w:cs="Arial" w:eastAsia="Arial" w:hAnsi="Arial"/>
                <w:sz w:val="15"/>
                <w:szCs w:val="15"/>
                <w:color w:val="auto"/>
              </w:rPr>
              <w:t>50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184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157</w:t>
            </w:r>
          </w:p>
        </w:tc>
      </w:tr>
      <w:tr>
        <w:trPr>
          <w:trHeight w:val="208"/>
        </w:trPr>
        <w:tc>
          <w:tcPr>
            <w:tcW w:w="61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Foreclosed property income (expense)</w:t>
            </w:r>
          </w:p>
        </w:tc>
        <w:tc>
          <w:tcPr>
            <w:tcW w:w="100" w:type="dxa"/>
            <w:vAlign w:val="bottom"/>
          </w:tcPr>
          <w:p>
            <w:pPr>
              <w:spacing w:after="0"/>
              <w:rPr>
                <w:sz w:val="18"/>
                <w:szCs w:val="18"/>
                <w:color w:val="auto"/>
              </w:rPr>
            </w:pPr>
          </w:p>
        </w:tc>
        <w:tc>
          <w:tcPr>
            <w:tcW w:w="780" w:type="dxa"/>
            <w:vAlign w:val="bottom"/>
            <w:tcBorders>
              <w:bottom w:val="single" w:sz="8" w:color="2C6937"/>
            </w:tcBorders>
          </w:tcPr>
          <w:p>
            <w:pPr>
              <w:spacing w:after="0"/>
              <w:rPr>
                <w:sz w:val="18"/>
                <w:szCs w:val="18"/>
                <w:color w:val="auto"/>
              </w:rPr>
            </w:pPr>
          </w:p>
        </w:tc>
        <w:tc>
          <w:tcPr>
            <w:tcW w:w="4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(102)</w:t>
            </w:r>
          </w:p>
        </w:tc>
        <w:tc>
          <w:tcPr>
            <w:tcW w:w="8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9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120</w:t>
            </w:r>
          </w:p>
        </w:tc>
        <w:tc>
          <w:tcPr>
            <w:tcW w:w="8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(294)</w:t>
            </w:r>
          </w:p>
        </w:tc>
        <w:tc>
          <w:tcPr>
            <w:tcW w:w="10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87</w:t>
            </w:r>
          </w:p>
        </w:tc>
      </w:tr>
      <w:tr>
        <w:trPr>
          <w:trHeight w:val="309"/>
        </w:trPr>
        <w:tc>
          <w:tcPr>
            <w:tcW w:w="6220" w:type="dxa"/>
            <w:vAlign w:val="bottom"/>
            <w:gridSpan w:val="2"/>
          </w:tcPr>
          <w:p>
            <w:pPr>
              <w:ind w:left="180"/>
              <w:spacing w:after="0"/>
              <w:rPr>
                <w:sz w:val="20"/>
                <w:szCs w:val="20"/>
                <w:color w:val="auto"/>
              </w:rPr>
            </w:pPr>
            <w:r>
              <w:rPr>
                <w:rFonts w:ascii="Arial" w:cs="Arial" w:eastAsia="Arial" w:hAnsi="Arial"/>
                <w:sz w:val="15"/>
                <w:szCs w:val="15"/>
                <w:color w:val="auto"/>
              </w:rPr>
              <w:t>Credit gains (losses)</w:t>
            </w:r>
          </w:p>
        </w:tc>
        <w:tc>
          <w:tcPr>
            <w:tcW w:w="7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5"/>
                <w:szCs w:val="15"/>
                <w:b w:val="1"/>
                <w:bCs w:val="1"/>
                <w:color w:val="auto"/>
              </w:rPr>
              <w:t>(212)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3"/>
              <w:spacing w:after="0"/>
              <w:rPr>
                <w:sz w:val="20"/>
                <w:szCs w:val="20"/>
                <w:color w:val="auto"/>
              </w:rPr>
            </w:pPr>
            <w:r>
              <w:rPr>
                <w:rFonts w:ascii="Arial" w:cs="Arial" w:eastAsia="Arial" w:hAnsi="Arial"/>
                <w:sz w:val="15"/>
                <w:szCs w:val="15"/>
                <w:color w:val="auto"/>
              </w:rPr>
              <w:t>107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(467)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82</w:t>
            </w:r>
          </w:p>
        </w:tc>
      </w:tr>
      <w:tr>
        <w:trPr>
          <w:trHeight w:val="303"/>
        </w:trPr>
        <w:tc>
          <w:tcPr>
            <w:tcW w:w="61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Write-offs on the redesignation of mortgage loans from HFI to HFS</w:t>
            </w:r>
            <w:r>
              <w:rPr>
                <w:rFonts w:ascii="Arial" w:cs="Arial" w:eastAsia="Arial" w:hAnsi="Arial"/>
                <w:sz w:val="20"/>
                <w:szCs w:val="20"/>
                <w:color w:val="auto"/>
                <w:vertAlign w:val="superscript"/>
              </w:rPr>
              <w:t>(1)</w:t>
            </w:r>
          </w:p>
        </w:tc>
        <w:tc>
          <w:tcPr>
            <w:tcW w:w="100" w:type="dxa"/>
            <w:vAlign w:val="bottom"/>
          </w:tcPr>
          <w:p>
            <w:pPr>
              <w:spacing w:after="0"/>
              <w:rPr>
                <w:sz w:val="24"/>
                <w:szCs w:val="24"/>
                <w:color w:val="auto"/>
              </w:rPr>
            </w:pPr>
          </w:p>
        </w:tc>
        <w:tc>
          <w:tcPr>
            <w:tcW w:w="780" w:type="dxa"/>
            <w:vAlign w:val="bottom"/>
            <w:tcBorders>
              <w:bottom w:val="single" w:sz="8" w:color="2C6937"/>
            </w:tcBorders>
          </w:tcPr>
          <w:p>
            <w:pPr>
              <w:spacing w:after="0"/>
              <w:rPr>
                <w:sz w:val="24"/>
                <w:szCs w:val="24"/>
                <w:color w:val="auto"/>
              </w:rPr>
            </w:pPr>
          </w:p>
        </w:tc>
        <w:tc>
          <w:tcPr>
            <w:tcW w:w="4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(101)</w:t>
            </w:r>
          </w:p>
        </w:tc>
        <w:tc>
          <w:tcPr>
            <w:tcW w:w="80" w:type="dxa"/>
            <w:vAlign w:val="bottom"/>
          </w:tcPr>
          <w:p>
            <w:pPr>
              <w:spacing w:after="0"/>
              <w:rPr>
                <w:sz w:val="24"/>
                <w:szCs w:val="24"/>
                <w:color w:val="auto"/>
              </w:rPr>
            </w:pPr>
          </w:p>
        </w:tc>
        <w:tc>
          <w:tcPr>
            <w:tcW w:w="260" w:type="dxa"/>
            <w:vAlign w:val="bottom"/>
            <w:tcBorders>
              <w:bottom w:val="single" w:sz="8" w:color="2C6937"/>
            </w:tcBorders>
          </w:tcPr>
          <w:p>
            <w:pPr>
              <w:spacing w:after="0"/>
              <w:rPr>
                <w:sz w:val="24"/>
                <w:szCs w:val="24"/>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(638)</w:t>
            </w:r>
          </w:p>
        </w:tc>
        <w:tc>
          <w:tcPr>
            <w:tcW w:w="8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(139)</w:t>
            </w:r>
          </w:p>
        </w:tc>
        <w:tc>
          <w:tcPr>
            <w:tcW w:w="100" w:type="dxa"/>
            <w:vAlign w:val="bottom"/>
          </w:tcPr>
          <w:p>
            <w:pPr>
              <w:spacing w:after="0"/>
              <w:rPr>
                <w:sz w:val="24"/>
                <w:szCs w:val="24"/>
                <w:color w:val="auto"/>
              </w:rPr>
            </w:pPr>
          </w:p>
        </w:tc>
        <w:tc>
          <w:tcPr>
            <w:tcW w:w="260" w:type="dxa"/>
            <w:vAlign w:val="bottom"/>
            <w:tcBorders>
              <w:bottom w:val="single" w:sz="8" w:color="2C6937"/>
            </w:tcBorders>
          </w:tcPr>
          <w:p>
            <w:pPr>
              <w:spacing w:after="0"/>
              <w:rPr>
                <w:sz w:val="24"/>
                <w:szCs w:val="24"/>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(638)</w:t>
            </w:r>
          </w:p>
        </w:tc>
      </w:tr>
      <w:tr>
        <w:trPr>
          <w:trHeight w:val="231"/>
        </w:trPr>
        <w:tc>
          <w:tcPr>
            <w:tcW w:w="6220" w:type="dxa"/>
            <w:vAlign w:val="bottom"/>
            <w:gridSpan w:val="2"/>
          </w:tcPr>
          <w:p>
            <w:pPr>
              <w:ind w:left="180"/>
              <w:spacing w:after="0"/>
              <w:rPr>
                <w:sz w:val="20"/>
                <w:szCs w:val="20"/>
                <w:color w:val="auto"/>
              </w:rPr>
            </w:pPr>
            <w:r>
              <w:rPr>
                <w:rFonts w:ascii="Arial" w:cs="Arial" w:eastAsia="Arial" w:hAnsi="Arial"/>
                <w:sz w:val="15"/>
                <w:szCs w:val="15"/>
                <w:color w:val="auto"/>
              </w:rPr>
              <w:t>Net credit gains (losses) and write-offs on redesignations</w:t>
            </w:r>
          </w:p>
        </w:tc>
        <w:tc>
          <w:tcPr>
            <w:tcW w:w="7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5"/>
                <w:szCs w:val="15"/>
                <w:b w:val="1"/>
                <w:bCs w:val="1"/>
                <w:color w:val="auto"/>
              </w:rPr>
              <w:t>(313)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(531)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(606)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(556)</w:t>
            </w:r>
          </w:p>
        </w:tc>
      </w:tr>
      <w:tr>
        <w:trPr>
          <w:trHeight w:val="303"/>
        </w:trPr>
        <w:tc>
          <w:tcPr>
            <w:tcW w:w="61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Gains (losses) on sales and other valuation adjustments</w:t>
            </w:r>
            <w:r>
              <w:rPr>
                <w:rFonts w:ascii="Arial" w:cs="Arial" w:eastAsia="Arial" w:hAnsi="Arial"/>
                <w:sz w:val="20"/>
                <w:szCs w:val="20"/>
                <w:color w:val="auto"/>
                <w:vertAlign w:val="superscript"/>
              </w:rPr>
              <w:t>(2)</w:t>
            </w:r>
          </w:p>
        </w:tc>
        <w:tc>
          <w:tcPr>
            <w:tcW w:w="100" w:type="dxa"/>
            <w:vAlign w:val="bottom"/>
          </w:tcPr>
          <w:p>
            <w:pPr>
              <w:spacing w:after="0"/>
              <w:rPr>
                <w:sz w:val="24"/>
                <w:szCs w:val="24"/>
                <w:color w:val="auto"/>
              </w:rPr>
            </w:pPr>
          </w:p>
        </w:tc>
        <w:tc>
          <w:tcPr>
            <w:tcW w:w="780" w:type="dxa"/>
            <w:vAlign w:val="bottom"/>
            <w:tcBorders>
              <w:bottom w:val="single" w:sz="8" w:color="2C6937"/>
            </w:tcBorders>
          </w:tcPr>
          <w:p>
            <w:pPr>
              <w:spacing w:after="0"/>
              <w:rPr>
                <w:sz w:val="24"/>
                <w:szCs w:val="24"/>
                <w:color w:val="auto"/>
              </w:rPr>
            </w:pPr>
          </w:p>
        </w:tc>
        <w:tc>
          <w:tcPr>
            <w:tcW w:w="4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3</w:t>
            </w:r>
          </w:p>
        </w:tc>
        <w:tc>
          <w:tcPr>
            <w:tcW w:w="80" w:type="dxa"/>
            <w:vAlign w:val="bottom"/>
          </w:tcPr>
          <w:p>
            <w:pPr>
              <w:spacing w:after="0"/>
              <w:rPr>
                <w:sz w:val="24"/>
                <w:szCs w:val="24"/>
                <w:color w:val="auto"/>
              </w:rPr>
            </w:pPr>
          </w:p>
        </w:tc>
        <w:tc>
          <w:tcPr>
            <w:tcW w:w="260" w:type="dxa"/>
            <w:vAlign w:val="bottom"/>
            <w:tcBorders>
              <w:bottom w:val="single" w:sz="8" w:color="2C6937"/>
            </w:tcBorders>
          </w:tcPr>
          <w:p>
            <w:pPr>
              <w:spacing w:after="0"/>
              <w:rPr>
                <w:sz w:val="24"/>
                <w:szCs w:val="24"/>
                <w:color w:val="auto"/>
              </w:rPr>
            </w:pPr>
          </w:p>
        </w:tc>
        <w:tc>
          <w:tcPr>
            <w:tcW w:w="9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8</w:t>
            </w:r>
          </w:p>
        </w:tc>
        <w:tc>
          <w:tcPr>
            <w:tcW w:w="8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(13)</w:t>
            </w:r>
          </w:p>
        </w:tc>
        <w:tc>
          <w:tcPr>
            <w:tcW w:w="100" w:type="dxa"/>
            <w:vAlign w:val="bottom"/>
          </w:tcPr>
          <w:p>
            <w:pPr>
              <w:spacing w:after="0"/>
              <w:rPr>
                <w:sz w:val="24"/>
                <w:szCs w:val="24"/>
                <w:color w:val="auto"/>
              </w:rPr>
            </w:pPr>
          </w:p>
        </w:tc>
        <w:tc>
          <w:tcPr>
            <w:tcW w:w="260" w:type="dxa"/>
            <w:vAlign w:val="bottom"/>
            <w:tcBorders>
              <w:bottom w:val="single" w:sz="8" w:color="2C6937"/>
            </w:tcBorders>
          </w:tcPr>
          <w:p>
            <w:pPr>
              <w:spacing w:after="0"/>
              <w:rPr>
                <w:sz w:val="24"/>
                <w:szCs w:val="24"/>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(41)</w:t>
            </w:r>
          </w:p>
        </w:tc>
      </w:tr>
      <w:tr>
        <w:trPr>
          <w:trHeight w:val="187"/>
        </w:trPr>
        <w:tc>
          <w:tcPr>
            <w:tcW w:w="6220" w:type="dxa"/>
            <w:vAlign w:val="bottom"/>
            <w:gridSpan w:val="2"/>
          </w:tcPr>
          <w:p>
            <w:pPr>
              <w:ind w:left="20"/>
              <w:spacing w:after="0"/>
              <w:rPr>
                <w:sz w:val="20"/>
                <w:szCs w:val="20"/>
                <w:color w:val="auto"/>
              </w:rPr>
            </w:pPr>
            <w:r>
              <w:rPr>
                <w:rFonts w:ascii="Arial" w:cs="Arial" w:eastAsia="Arial" w:hAnsi="Arial"/>
                <w:sz w:val="15"/>
                <w:szCs w:val="15"/>
                <w:color w:val="auto"/>
              </w:rPr>
              <w:t>Net credit gains (losses), write-offs on redesignations and gains (losses) on sales and</w:t>
            </w: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1"/>
        </w:trPr>
        <w:tc>
          <w:tcPr>
            <w:tcW w:w="6220" w:type="dxa"/>
            <w:vAlign w:val="bottom"/>
            <w:gridSpan w:val="2"/>
          </w:tcPr>
          <w:p>
            <w:pPr>
              <w:ind w:left="180"/>
              <w:spacing w:after="0"/>
              <w:rPr>
                <w:sz w:val="20"/>
                <w:szCs w:val="20"/>
                <w:color w:val="auto"/>
              </w:rPr>
            </w:pPr>
            <w:r>
              <w:rPr>
                <w:rFonts w:ascii="Arial" w:cs="Arial" w:eastAsia="Arial" w:hAnsi="Arial"/>
                <w:sz w:val="15"/>
                <w:szCs w:val="15"/>
                <w:color w:val="auto"/>
              </w:rPr>
              <w:t>other valuation adjustments</w:t>
            </w:r>
          </w:p>
        </w:tc>
        <w:tc>
          <w:tcPr>
            <w:tcW w:w="780" w:type="dxa"/>
            <w:vAlign w:val="bottom"/>
          </w:tcPr>
          <w:p>
            <w:pPr>
              <w:jc w:val="right"/>
              <w:ind w:right="603"/>
              <w:spacing w:after="0"/>
              <w:rPr>
                <w:sz w:val="20"/>
                <w:szCs w:val="20"/>
                <w:color w:val="auto"/>
              </w:rPr>
            </w:pPr>
            <w:r>
              <w:rPr>
                <w:rFonts w:ascii="Arial" w:cs="Arial" w:eastAsia="Arial" w:hAnsi="Arial"/>
                <w:sz w:val="15"/>
                <w:szCs w:val="15"/>
                <w:b w:val="1"/>
                <w:bCs w:val="1"/>
                <w:color w:val="auto"/>
                <w:w w:val="95"/>
              </w:rPr>
              <w:t>$</w:t>
            </w:r>
          </w:p>
        </w:tc>
        <w:tc>
          <w:tcPr>
            <w:tcW w:w="420" w:type="dxa"/>
            <w:vAlign w:val="bottom"/>
          </w:tcPr>
          <w:p>
            <w:pPr>
              <w:jc w:val="right"/>
              <w:spacing w:after="0"/>
              <w:rPr>
                <w:sz w:val="20"/>
                <w:szCs w:val="20"/>
                <w:color w:val="auto"/>
              </w:rPr>
            </w:pPr>
            <w:r>
              <w:rPr>
                <w:rFonts w:ascii="Arial" w:cs="Arial" w:eastAsia="Arial" w:hAnsi="Arial"/>
                <w:sz w:val="15"/>
                <w:szCs w:val="15"/>
                <w:b w:val="1"/>
                <w:bCs w:val="1"/>
                <w:color w:val="auto"/>
              </w:rPr>
              <w:t>(310)</w:t>
            </w:r>
          </w:p>
        </w:tc>
        <w:tc>
          <w:tcPr>
            <w:tcW w:w="80" w:type="dxa"/>
            <w:vAlign w:val="bottom"/>
          </w:tcPr>
          <w:p>
            <w:pPr>
              <w:spacing w:after="0"/>
              <w:rPr>
                <w:sz w:val="20"/>
                <w:szCs w:val="20"/>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(523)</w:t>
            </w:r>
          </w:p>
        </w:tc>
        <w:tc>
          <w:tcPr>
            <w:tcW w:w="80" w:type="dxa"/>
            <w:vAlign w:val="bottom"/>
          </w:tcPr>
          <w:p>
            <w:pPr>
              <w:spacing w:after="0"/>
              <w:rPr>
                <w:sz w:val="20"/>
                <w:szCs w:val="20"/>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(619)</w:t>
            </w:r>
          </w:p>
        </w:tc>
        <w:tc>
          <w:tcPr>
            <w:tcW w:w="100" w:type="dxa"/>
            <w:vAlign w:val="bottom"/>
          </w:tcPr>
          <w:p>
            <w:pPr>
              <w:spacing w:after="0"/>
              <w:rPr>
                <w:sz w:val="20"/>
                <w:szCs w:val="20"/>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(597)</w:t>
            </w:r>
          </w:p>
        </w:tc>
      </w:tr>
      <w:tr>
        <w:trPr>
          <w:trHeight w:val="20"/>
        </w:trPr>
        <w:tc>
          <w:tcPr>
            <w:tcW w:w="61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2C6937"/>
              <w:bottom w:val="single" w:sz="8" w:color="2C6937"/>
            </w:tcBorders>
          </w:tcPr>
          <w:p>
            <w:pPr>
              <w:spacing w:after="0" w:line="20" w:lineRule="exact"/>
              <w:rPr>
                <w:sz w:val="1"/>
                <w:szCs w:val="1"/>
                <w:color w:val="auto"/>
              </w:rPr>
            </w:pPr>
          </w:p>
        </w:tc>
        <w:tc>
          <w:tcPr>
            <w:tcW w:w="4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90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10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r>
      <w:tr>
        <w:trPr>
          <w:trHeight w:val="469"/>
        </w:trPr>
        <w:tc>
          <w:tcPr>
            <w:tcW w:w="6220" w:type="dxa"/>
            <w:vAlign w:val="bottom"/>
            <w:gridSpan w:val="2"/>
          </w:tcPr>
          <w:p>
            <w:pPr>
              <w:ind w:left="20"/>
              <w:spacing w:after="0"/>
              <w:rPr>
                <w:sz w:val="20"/>
                <w:szCs w:val="20"/>
                <w:color w:val="auto"/>
              </w:rPr>
            </w:pPr>
            <w:r>
              <w:rPr>
                <w:rFonts w:ascii="Arial" w:cs="Arial" w:eastAsia="Arial" w:hAnsi="Arial"/>
                <w:sz w:val="15"/>
                <w:szCs w:val="15"/>
                <w:color w:val="auto"/>
              </w:rPr>
              <w:t>Credit gain (loss) ratio (in bps)</w:t>
            </w:r>
            <w:r>
              <w:rPr>
                <w:rFonts w:ascii="Arial" w:cs="Arial" w:eastAsia="Arial" w:hAnsi="Arial"/>
                <w:sz w:val="20"/>
                <w:szCs w:val="20"/>
                <w:color w:val="auto"/>
                <w:vertAlign w:val="superscript"/>
              </w:rPr>
              <w:t>(3)</w:t>
            </w:r>
          </w:p>
        </w:tc>
        <w:tc>
          <w:tcPr>
            <w:tcW w:w="7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5"/>
                <w:szCs w:val="15"/>
                <w:b w:val="1"/>
                <w:bCs w:val="1"/>
                <w:color w:val="auto"/>
              </w:rPr>
              <w:t>(2.3)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3"/>
              <w:spacing w:after="0"/>
              <w:rPr>
                <w:sz w:val="20"/>
                <w:szCs w:val="20"/>
                <w:color w:val="auto"/>
              </w:rPr>
            </w:pPr>
            <w:r>
              <w:rPr>
                <w:rFonts w:ascii="Arial" w:cs="Arial" w:eastAsia="Arial" w:hAnsi="Arial"/>
                <w:sz w:val="15"/>
                <w:szCs w:val="15"/>
                <w:color w:val="auto"/>
              </w:rPr>
              <w:t>1.2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(1.7)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0.3</w:t>
            </w:r>
          </w:p>
        </w:tc>
      </w:tr>
      <w:tr>
        <w:trPr>
          <w:trHeight w:val="180"/>
        </w:trPr>
        <w:tc>
          <w:tcPr>
            <w:tcW w:w="6220" w:type="dxa"/>
            <w:vAlign w:val="bottom"/>
            <w:gridSpan w:val="2"/>
          </w:tcPr>
          <w:p>
            <w:pPr>
              <w:ind w:left="20"/>
              <w:spacing w:after="0"/>
              <w:rPr>
                <w:sz w:val="20"/>
                <w:szCs w:val="20"/>
                <w:color w:val="auto"/>
              </w:rPr>
            </w:pPr>
            <w:r>
              <w:rPr>
                <w:rFonts w:ascii="Arial" w:cs="Arial" w:eastAsia="Arial" w:hAnsi="Arial"/>
                <w:sz w:val="15"/>
                <w:szCs w:val="15"/>
                <w:color w:val="auto"/>
              </w:rPr>
              <w:t>Net credit gains (losses), write-offs on redesignations and gains (losses) on sales and</w:t>
            </w: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71"/>
        </w:trPr>
        <w:tc>
          <w:tcPr>
            <w:tcW w:w="6220" w:type="dxa"/>
            <w:vAlign w:val="bottom"/>
            <w:gridSpan w:val="2"/>
          </w:tcPr>
          <w:p>
            <w:pPr>
              <w:ind w:left="180"/>
              <w:spacing w:after="0"/>
              <w:rPr>
                <w:sz w:val="20"/>
                <w:szCs w:val="20"/>
                <w:color w:val="auto"/>
              </w:rPr>
            </w:pPr>
            <w:r>
              <w:rPr>
                <w:rFonts w:ascii="Arial" w:cs="Arial" w:eastAsia="Arial" w:hAnsi="Arial"/>
                <w:sz w:val="15"/>
                <w:szCs w:val="15"/>
                <w:color w:val="auto"/>
              </w:rPr>
              <w:t>other valuation adjustments ratio (in bps)</w:t>
            </w:r>
            <w:r>
              <w:rPr>
                <w:rFonts w:ascii="Arial" w:cs="Arial" w:eastAsia="Arial" w:hAnsi="Arial"/>
                <w:sz w:val="20"/>
                <w:szCs w:val="20"/>
                <w:color w:val="auto"/>
                <w:vertAlign w:val="superscript"/>
              </w:rPr>
              <w:t>(4)</w:t>
            </w:r>
          </w:p>
        </w:tc>
        <w:tc>
          <w:tcPr>
            <w:tcW w:w="78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5"/>
                <w:szCs w:val="15"/>
                <w:b w:val="1"/>
                <w:bCs w:val="1"/>
                <w:color w:val="auto"/>
              </w:rPr>
              <w:t>(3.4)</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(5.8)</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(2.3)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(2.2)</w:t>
            </w:r>
          </w:p>
        </w:tc>
      </w:tr>
    </w:tbl>
    <w:p>
      <w:pPr>
        <w:spacing w:after="0" w:line="55" w:lineRule="exact"/>
        <w:rPr>
          <w:sz w:val="20"/>
          <w:szCs w:val="20"/>
          <w:color w:val="auto"/>
        </w:rPr>
      </w:pPr>
    </w:p>
    <w:p>
      <w:pPr>
        <w:ind w:left="220" w:hanging="217"/>
        <w:spacing w:after="0"/>
        <w:tabs>
          <w:tab w:leader="none" w:pos="220" w:val="left"/>
        </w:tabs>
        <w:numPr>
          <w:ilvl w:val="0"/>
          <w:numId w:val="40"/>
        </w:numPr>
        <w:rPr>
          <w:rFonts w:ascii="Arial" w:cs="Arial" w:eastAsia="Arial" w:hAnsi="Arial"/>
          <w:sz w:val="18"/>
          <w:szCs w:val="18"/>
          <w:color w:val="auto"/>
          <w:vertAlign w:val="superscript"/>
        </w:rPr>
      </w:pPr>
      <w:r>
        <w:rPr>
          <w:rFonts w:ascii="Arial" w:cs="Arial" w:eastAsia="Arial" w:hAnsi="Arial"/>
          <w:sz w:val="14"/>
          <w:szCs w:val="14"/>
          <w:color w:val="auto"/>
        </w:rPr>
        <w:t>Consists of the lower of cost or fair value adjustment at time of redesignation.</w:t>
      </w:r>
    </w:p>
    <w:p>
      <w:pPr>
        <w:spacing w:after="0" w:line="25" w:lineRule="exact"/>
        <w:rPr>
          <w:rFonts w:ascii="Arial" w:cs="Arial" w:eastAsia="Arial" w:hAnsi="Arial"/>
          <w:sz w:val="18"/>
          <w:szCs w:val="18"/>
          <w:color w:val="auto"/>
          <w:vertAlign w:val="superscript"/>
        </w:rPr>
      </w:pPr>
    </w:p>
    <w:p>
      <w:pPr>
        <w:ind w:left="240" w:right="200" w:hanging="237"/>
        <w:spacing w:after="0" w:line="260" w:lineRule="auto"/>
        <w:tabs>
          <w:tab w:leader="none" w:pos="233" w:val="left"/>
        </w:tabs>
        <w:numPr>
          <w:ilvl w:val="0"/>
          <w:numId w:val="40"/>
        </w:numPr>
        <w:rPr>
          <w:rFonts w:ascii="Arial" w:cs="Arial" w:eastAsia="Arial" w:hAnsi="Arial"/>
          <w:sz w:val="9"/>
          <w:szCs w:val="9"/>
          <w:color w:val="auto"/>
        </w:rPr>
      </w:pPr>
      <w:r>
        <w:rPr>
          <w:rFonts w:ascii="Arial" w:cs="Arial" w:eastAsia="Arial" w:hAnsi="Arial"/>
          <w:sz w:val="14"/>
          <w:szCs w:val="14"/>
          <w:color w:val="auto"/>
        </w:rPr>
        <w:t>Consists of gains or losses realized on the sales of nonperforming and reperforming mortgage loans during the period and temporary lower-of-cost-or-market adjustments on HFS loans, which are recognized in “Investment gains (losses), net” in our condensed consolidated statements of operations and comprehensive income.</w:t>
      </w:r>
    </w:p>
    <w:p>
      <w:pPr>
        <w:ind w:left="220" w:hanging="217"/>
        <w:spacing w:after="0"/>
        <w:tabs>
          <w:tab w:leader="none" w:pos="220" w:val="left"/>
        </w:tabs>
        <w:numPr>
          <w:ilvl w:val="0"/>
          <w:numId w:val="40"/>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annualized amount of “Credit gains (losses)” divided by the average single-family conventional guaranty book of business during the period.</w:t>
      </w:r>
    </w:p>
    <w:p>
      <w:pPr>
        <w:spacing w:after="0" w:line="37" w:lineRule="exact"/>
        <w:rPr>
          <w:rFonts w:ascii="Arial" w:cs="Arial" w:eastAsia="Arial" w:hAnsi="Arial"/>
          <w:sz w:val="18"/>
          <w:szCs w:val="18"/>
          <w:color w:val="auto"/>
          <w:vertAlign w:val="superscript"/>
        </w:rPr>
      </w:pPr>
    </w:p>
    <w:p>
      <w:pPr>
        <w:ind w:left="240" w:right="240" w:hanging="237"/>
        <w:spacing w:after="0" w:line="219" w:lineRule="auto"/>
        <w:tabs>
          <w:tab w:leader="none" w:pos="233" w:val="left"/>
        </w:tabs>
        <w:numPr>
          <w:ilvl w:val="0"/>
          <w:numId w:val="40"/>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annualized amount of “Net credit gains (losses), write-offs on redesignations and gains (losses) on sales and other valuation adjustments” divided by the average single-family conventional guaranty book of business during the period.</w:t>
      </w:r>
    </w:p>
    <w:p>
      <w:pPr>
        <w:spacing w:after="0" w:line="50" w:lineRule="exact"/>
        <w:rPr>
          <w:sz w:val="20"/>
          <w:szCs w:val="20"/>
          <w:color w:val="auto"/>
        </w:rPr>
      </w:pPr>
    </w:p>
    <w:p>
      <w:pPr>
        <w:jc w:val="both"/>
        <w:ind w:right="40"/>
        <w:spacing w:after="0" w:line="272" w:lineRule="auto"/>
        <w:rPr>
          <w:sz w:val="20"/>
          <w:szCs w:val="20"/>
          <w:color w:val="auto"/>
        </w:rPr>
      </w:pPr>
      <w:r>
        <w:rPr>
          <w:rFonts w:ascii="Arial" w:cs="Arial" w:eastAsia="Arial" w:hAnsi="Arial"/>
          <w:sz w:val="16"/>
          <w:szCs w:val="16"/>
          <w:color w:val="auto"/>
        </w:rPr>
        <w:t>The primary drivers of our net credit gains (losses), write-offs on redesignations and gains (losses) on sales and other valuation adjustments in the first nine months of 2024 were write-offs on loans for which collectability was no longer reasonably assured as well as foreclosed property expense due to increased repairs on the REO properties we acquired.</w:t>
      </w:r>
    </w:p>
    <w:p>
      <w:pPr>
        <w:spacing w:after="0" w:line="32"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The primary driver of our net credit gains (losses), write-offs on redesignations and gains (losses) on sales and other valuation adjustments in the first nine months of 2023 was the resumption of our nonperforming and reperforming loan sales program, which resulted in an increase in write-offs on the redesignation of mortgage loans from HFI to HFS during the periods. Interest rates on loans redesignated in the third quarter of 2023 were below current market interest rates resulting in write-offs upon the redesignation.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2024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36</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60" w:type="dxa"/>
            <w:vAlign w:val="bottom"/>
            <w:tcBorders>
              <w:bottom w:val="single" w:sz="8" w:color="9A9A9A"/>
            </w:tcBorders>
          </w:tcPr>
          <w:p>
            <w:pPr>
              <w:spacing w:after="0"/>
              <w:rPr>
                <w:sz w:val="17"/>
                <w:szCs w:val="17"/>
                <w:color w:val="auto"/>
              </w:rPr>
            </w:pPr>
          </w:p>
        </w:tc>
        <w:tc>
          <w:tcPr>
            <w:tcW w:w="42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39" w:name="page40"/>
    <w:bookmarkEnd w:id="39"/>
    <w:p>
      <w:pPr>
        <w:ind w:left="9360"/>
        <w:spacing w:after="0"/>
        <w:rPr>
          <w:sz w:val="20"/>
          <w:szCs w:val="20"/>
          <w:color w:val="auto"/>
        </w:rPr>
      </w:pPr>
      <w:r>
        <w:rPr>
          <w:rFonts w:ascii="Arial" w:cs="Arial" w:eastAsia="Arial" w:hAnsi="Arial"/>
          <w:sz w:val="14"/>
          <w:szCs w:val="14"/>
          <w:color w:val="05314D"/>
        </w:rPr>
        <w:t>MD&amp;A | Multifamily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Multifamily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This section supplements and updates information regarding our Multifamily business segment in our 2023 Form 10-K. See “MD&amp;A—Multifamily Business” in our 2023 Form 10-K for additional information regarding the primary business activities, lenders, investors and competition of our Multifamily business.</w:t>
      </w:r>
    </w:p>
    <w:p>
      <w:pPr>
        <w:spacing w:after="0" w:line="6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Multifamily Mortgage Market</w:t>
      </w:r>
    </w:p>
    <w:p>
      <w:pPr>
        <w:spacing w:after="0" w:line="76"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Multifamily market fundamentals, which include factors such as vacancy rates and rent growth, remained stable during the third quarter of 2024, due to ongoing demand and despite elevated levels of new supply entering various markets across the country. Although the national vacancy rate is estimated to have remained steady, rents increased.</w:t>
      </w:r>
    </w:p>
    <w:p>
      <w:pPr>
        <w:spacing w:after="0" w:line="58" w:lineRule="exact"/>
        <w:rPr>
          <w:sz w:val="20"/>
          <w:szCs w:val="20"/>
          <w:color w:val="auto"/>
        </w:rPr>
      </w:pPr>
    </w:p>
    <w:p>
      <w:pPr>
        <w:ind w:left="620" w:right="260" w:hanging="307"/>
        <w:spacing w:after="0" w:line="243" w:lineRule="auto"/>
        <w:tabs>
          <w:tab w:leader="none" w:pos="615" w:val="left"/>
        </w:tabs>
        <w:numPr>
          <w:ilvl w:val="0"/>
          <w:numId w:val="41"/>
        </w:numPr>
        <w:rPr>
          <w:rFonts w:ascii="Arial" w:cs="Arial" w:eastAsia="Arial" w:hAnsi="Arial"/>
          <w:sz w:val="21"/>
          <w:szCs w:val="21"/>
          <w:color w:val="auto"/>
        </w:rPr>
      </w:pPr>
      <w:r>
        <w:rPr>
          <w:rFonts w:ascii="Arial" w:cs="Arial" w:eastAsia="Arial" w:hAnsi="Arial"/>
          <w:sz w:val="16"/>
          <w:szCs w:val="16"/>
          <w:i w:val="1"/>
          <w:iCs w:val="1"/>
          <w:color w:val="auto"/>
        </w:rPr>
        <w:t>Vacancy rates</w:t>
      </w:r>
      <w:r>
        <w:rPr>
          <w:rFonts w:ascii="Arial" w:cs="Arial" w:eastAsia="Arial" w:hAnsi="Arial"/>
          <w:sz w:val="16"/>
          <w:szCs w:val="16"/>
          <w:color w:val="auto"/>
        </w:rPr>
        <w:t>. Based on preliminary third-party data, we estimate that the national multifamily vacancy rate for institutional investment-type</w:t>
      </w:r>
      <w:r>
        <w:rPr>
          <w:rFonts w:ascii="Arial" w:cs="Arial" w:eastAsia="Arial" w:hAnsi="Arial"/>
          <w:sz w:val="16"/>
          <w:szCs w:val="16"/>
          <w:i w:val="1"/>
          <w:iCs w:val="1"/>
          <w:color w:val="auto"/>
        </w:rPr>
        <w:t xml:space="preserve"> </w:t>
      </w:r>
      <w:r>
        <w:rPr>
          <w:rFonts w:ascii="Arial" w:cs="Arial" w:eastAsia="Arial" w:hAnsi="Arial"/>
          <w:sz w:val="16"/>
          <w:szCs w:val="16"/>
          <w:color w:val="auto"/>
        </w:rPr>
        <w:t>apartment properties remained steady at 6.0% as of September 30, 2024, the same as of June 30, 2024, but up from 5.8% as of September 30, 2023. The estimated average national multifamily vacancy rate over the last 15 years is approximately 5.8%.</w:t>
      </w:r>
    </w:p>
    <w:p>
      <w:pPr>
        <w:spacing w:after="0" w:line="104" w:lineRule="exact"/>
        <w:rPr>
          <w:rFonts w:ascii="Arial" w:cs="Arial" w:eastAsia="Arial" w:hAnsi="Arial"/>
          <w:sz w:val="21"/>
          <w:szCs w:val="21"/>
          <w:color w:val="auto"/>
        </w:rPr>
      </w:pPr>
    </w:p>
    <w:p>
      <w:pPr>
        <w:ind w:left="620" w:right="540" w:hanging="307"/>
        <w:spacing w:after="0" w:line="230" w:lineRule="auto"/>
        <w:tabs>
          <w:tab w:leader="none" w:pos="615" w:val="left"/>
        </w:tabs>
        <w:numPr>
          <w:ilvl w:val="0"/>
          <w:numId w:val="41"/>
        </w:numPr>
        <w:rPr>
          <w:rFonts w:ascii="Arial" w:cs="Arial" w:eastAsia="Arial" w:hAnsi="Arial"/>
          <w:sz w:val="21"/>
          <w:szCs w:val="21"/>
          <w:color w:val="auto"/>
        </w:rPr>
      </w:pPr>
      <w:r>
        <w:rPr>
          <w:rFonts w:ascii="Arial" w:cs="Arial" w:eastAsia="Arial" w:hAnsi="Arial"/>
          <w:sz w:val="16"/>
          <w:szCs w:val="16"/>
          <w:i w:val="1"/>
          <w:iCs w:val="1"/>
          <w:color w:val="auto"/>
        </w:rPr>
        <w:t>Rents</w:t>
      </w:r>
      <w:r>
        <w:rPr>
          <w:rFonts w:ascii="Arial" w:cs="Arial" w:eastAsia="Arial" w:hAnsi="Arial"/>
          <w:sz w:val="16"/>
          <w:szCs w:val="16"/>
          <w:color w:val="auto"/>
        </w:rPr>
        <w:t>. Based on preliminary third-party data, we estimate that effective rents increased approximately 0.2% during the third quarter of 2024,</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an increase of 1.0% during the second quarter of 2024, and an increase of 0.5% during the third quarter of 2023.</w:t>
      </w:r>
    </w:p>
    <w:p>
      <w:pPr>
        <w:spacing w:after="0" w:line="82"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Vacancy rates and rents are important to loan performance because multifamily loans are generally repaid from the cash flows generated by the underlying property. Several years of low vacancy rates and rising rents helped to increase property values in most metropolitan areas, but that trend reversed starting in early 2023. Based on preliminary multifamily property sales data, transaction volumes for the first nine months of 2024 remained well below average levels. Available data suggests that multifamily property capitalization rates, the indicated rate of return on investment of a commercial property, are estimated to have declined slightly to 5.6% in the third quarter of 2024 compared with 5.7% in the second quarter of 2024, and increased compared with 5.3% in the third quarter of 2023.</w:t>
      </w:r>
    </w:p>
    <w:p>
      <w:pPr>
        <w:spacing w:after="0" w:line="63" w:lineRule="exact"/>
        <w:rPr>
          <w:sz w:val="20"/>
          <w:szCs w:val="20"/>
          <w:color w:val="auto"/>
        </w:rPr>
      </w:pPr>
    </w:p>
    <w:p>
      <w:pPr>
        <w:ind w:right="420"/>
        <w:spacing w:after="0" w:line="293" w:lineRule="auto"/>
        <w:rPr>
          <w:sz w:val="20"/>
          <w:szCs w:val="20"/>
          <w:color w:val="auto"/>
        </w:rPr>
      </w:pPr>
      <w:r>
        <w:rPr>
          <w:rFonts w:ascii="Arial" w:cs="Arial" w:eastAsia="Arial" w:hAnsi="Arial"/>
          <w:sz w:val="16"/>
          <w:szCs w:val="16"/>
          <w:color w:val="auto"/>
        </w:rPr>
        <w:t>Multifamily construction remains elevated. There were more than 1 million rental units underway as of September 30, 2024. Based on recent historical trends, we expect between 550,000 and 575,000 units will be completed in 2024.</w:t>
      </w:r>
    </w:p>
    <w:p>
      <w:pPr>
        <w:spacing w:after="0" w:line="54" w:lineRule="exact"/>
        <w:rPr>
          <w:sz w:val="20"/>
          <w:szCs w:val="20"/>
          <w:color w:val="auto"/>
        </w:rPr>
      </w:pPr>
    </w:p>
    <w:p>
      <w:pPr>
        <w:ind w:right="460"/>
        <w:spacing w:after="0" w:line="272" w:lineRule="auto"/>
        <w:rPr>
          <w:sz w:val="20"/>
          <w:szCs w:val="20"/>
          <w:color w:val="auto"/>
        </w:rPr>
      </w:pPr>
      <w:r>
        <w:rPr>
          <w:rFonts w:ascii="Arial" w:cs="Arial" w:eastAsia="Arial" w:hAnsi="Arial"/>
          <w:sz w:val="16"/>
          <w:szCs w:val="16"/>
          <w:color w:val="auto"/>
        </w:rPr>
        <w:t>We believe vacancy levels could rise to 6.25% later this year or in early 2025, due to elevated new construction completions. We believe that this new supply will also keep rent growth subdued in the fourth quarter of 2024, and 2024 rent growth at below-average levels, in the 1.0% to 1.5% range, especially as many renters are also dealing with higher levels of consumer debt.</w:t>
      </w:r>
    </w:p>
    <w:p>
      <w:pPr>
        <w:spacing w:after="0" w:line="58"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During the last several quarters, higher interest rates and investor yield requirements have reduced multifamily property sales transactions and placed downward pressure on multifamily property valuations. According to data from the MSCI Real Assets Commercial Property Price Index, multifamily property values declined 19.5% from the peak in the second quarter of 2022 to the third quarter of 2024. We believe that, despite recent interest rate cuts, multifamily sales activity may be subdued in the near term due to elevated new supply completions, sluggish rent growth, and higher-than-average vacancy rates. Over the longer term, however, we expect sales and valuations will improve due to expected improvements in multifamily housing market fundamentals stemming from positive demographic trends and ongoing job growth.</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2024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37</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60" w:type="dxa"/>
            <w:vAlign w:val="bottom"/>
            <w:tcBorders>
              <w:bottom w:val="single" w:sz="8" w:color="9A9A9A"/>
            </w:tcBorders>
          </w:tcPr>
          <w:p>
            <w:pPr>
              <w:spacing w:after="0"/>
              <w:rPr>
                <w:sz w:val="16"/>
                <w:szCs w:val="16"/>
                <w:color w:val="auto"/>
              </w:rPr>
            </w:pPr>
          </w:p>
        </w:tc>
        <w:tc>
          <w:tcPr>
            <w:tcW w:w="428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40" w:name="page41"/>
    <w:bookmarkEnd w:id="40"/>
    <w:p>
      <w:pPr>
        <w:ind w:left="7520"/>
        <w:spacing w:after="0"/>
        <w:rPr>
          <w:sz w:val="20"/>
          <w:szCs w:val="20"/>
          <w:color w:val="auto"/>
        </w:rPr>
      </w:pPr>
      <w:r>
        <w:rPr>
          <w:rFonts w:ascii="Arial" w:cs="Arial" w:eastAsia="Arial" w:hAnsi="Arial"/>
          <w:sz w:val="14"/>
          <w:szCs w:val="14"/>
          <w:color w:val="05314D"/>
        </w:rPr>
        <w:t>MD&amp;A | Multifamily Business | Multifamily Business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Multifamily Business Metrics</w:t>
      </w:r>
    </w:p>
    <w:p>
      <w:pPr>
        <w:spacing w:after="0" w:line="10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Multifamily New Business Volume</w:t>
      </w:r>
    </w:p>
    <w:p>
      <w:pPr>
        <w:spacing w:after="0" w:line="80"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Through the secondary mortgage market, we support rental housing for the workforce population, for senior citizens and students, and for households with the greatest economic need. Over 95% of the multifamily units we financed in the third quarter of 2024 that were potentially eligible for housing goals credit were affordable to those earning at or below 120% of the median income in their area, providing support for both workforce housing and affordable housing. See “MD&amp;A—Multifamily Business—Multifamily Primary Business Activities—Multifamily Activities Supporting Affordable Rental Housing” in our 2023 Form 10-K for additional information about how we support the U.S. multifamily housing market, including a description of our equity investments in low income housing tax credit (“LIHTC”) projects.</w:t>
      </w:r>
    </w:p>
    <w:p>
      <w:pPr>
        <w:spacing w:after="0" w:line="132"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01543"/>
        </w:rPr>
        <w:t>Multifamily New Business Volume</w:t>
      </w:r>
    </w:p>
    <w:p>
      <w:pPr>
        <w:spacing w:after="0" w:line="16"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01543"/>
        </w:rPr>
        <w:t>(Dollars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203835</wp:posOffset>
            </wp:positionV>
            <wp:extent cx="5460365" cy="16370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460365" cy="163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40" w:right="80" w:hanging="237"/>
        <w:spacing w:after="0" w:line="226" w:lineRule="auto"/>
        <w:tabs>
          <w:tab w:leader="none" w:pos="233" w:val="left"/>
        </w:tabs>
        <w:numPr>
          <w:ilvl w:val="0"/>
          <w:numId w:val="42"/>
        </w:numPr>
        <w:rPr>
          <w:rFonts w:ascii="Arial" w:cs="Arial" w:eastAsia="Arial" w:hAnsi="Arial"/>
          <w:sz w:val="18"/>
          <w:szCs w:val="18"/>
          <w:color w:val="auto"/>
          <w:vertAlign w:val="superscript"/>
        </w:rPr>
      </w:pPr>
      <w:r>
        <w:rPr>
          <w:rFonts w:ascii="Arial" w:cs="Arial" w:eastAsia="Arial" w:hAnsi="Arial"/>
          <w:sz w:val="14"/>
          <w:szCs w:val="14"/>
          <w:color w:val="auto"/>
        </w:rPr>
        <w:t>Reflects unpaid principal balance of multifamily Fannie Mae MBS issued, multifamily loans purchased, and credit enhancements provided on multifamily mortgage assets during the period.</w:t>
      </w:r>
    </w:p>
    <w:p>
      <w:pPr>
        <w:spacing w:after="0" w:line="14" w:lineRule="exact"/>
        <w:rPr>
          <w:rFonts w:ascii="Arial" w:cs="Arial" w:eastAsia="Arial" w:hAnsi="Arial"/>
          <w:sz w:val="18"/>
          <w:szCs w:val="18"/>
          <w:color w:val="auto"/>
          <w:vertAlign w:val="superscript"/>
        </w:rPr>
      </w:pPr>
    </w:p>
    <w:p>
      <w:pPr>
        <w:ind w:left="240" w:right="620" w:hanging="237"/>
        <w:spacing w:after="0" w:line="278" w:lineRule="auto"/>
        <w:tabs>
          <w:tab w:leader="none" w:pos="233" w:val="left"/>
        </w:tabs>
        <w:numPr>
          <w:ilvl w:val="0"/>
          <w:numId w:val="42"/>
        </w:numPr>
        <w:rPr>
          <w:rFonts w:ascii="Arial" w:cs="Arial" w:eastAsia="Arial" w:hAnsi="Arial"/>
          <w:sz w:val="9"/>
          <w:szCs w:val="9"/>
          <w:color w:val="auto"/>
        </w:rPr>
      </w:pPr>
      <w:r>
        <w:rPr>
          <w:rFonts w:ascii="Arial" w:cs="Arial" w:eastAsia="Arial" w:hAnsi="Arial"/>
          <w:sz w:val="14"/>
          <w:szCs w:val="14"/>
          <w:color w:val="auto"/>
        </w:rPr>
        <w:t>Reflects new units financed by first liens; excludes second liens on units for which we had financed the first lien, as well as manufactured housing rentals. Second liens and manufactured housing rentals are included in unpaid principal balance.</w:t>
      </w:r>
    </w:p>
    <w:p>
      <w:pPr>
        <w:spacing w:after="0" w:line="51" w:lineRule="exact"/>
        <w:rPr>
          <w:sz w:val="20"/>
          <w:szCs w:val="20"/>
          <w:color w:val="auto"/>
        </w:rPr>
      </w:pPr>
    </w:p>
    <w:p>
      <w:pPr>
        <w:jc w:val="both"/>
        <w:ind w:right="60"/>
        <w:spacing w:after="0" w:line="271" w:lineRule="auto"/>
        <w:rPr>
          <w:sz w:val="20"/>
          <w:szCs w:val="20"/>
          <w:color w:val="auto"/>
        </w:rPr>
      </w:pPr>
      <w:r>
        <w:rPr>
          <w:rFonts w:ascii="Arial" w:cs="Arial" w:eastAsia="Arial" w:hAnsi="Arial"/>
          <w:sz w:val="16"/>
          <w:szCs w:val="16"/>
          <w:color w:val="auto"/>
        </w:rPr>
        <w:t>Multifamily business volumes declined in the first nine months of 2024 compared with the first nine months of 2023, reflecting increased competition. For 2024, FHFA has capped our multifamily loan purchases at $70 billion. FHFA requires that a minimum of 50% of our 2024 multifamily loan purchases must be mission-driven, focused on specified affordable and underserved market segments. For 2024, FHFA has exempted from the volume cap loans financing workforce housing properties meeting specified criteria that preserve long-term affordability for the properties.</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2024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38</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60" w:type="dxa"/>
            <w:vAlign w:val="bottom"/>
            <w:tcBorders>
              <w:bottom w:val="single" w:sz="8" w:color="9A9A9A"/>
            </w:tcBorders>
          </w:tcPr>
          <w:p>
            <w:pPr>
              <w:spacing w:after="0"/>
              <w:rPr>
                <w:sz w:val="17"/>
                <w:szCs w:val="17"/>
                <w:color w:val="auto"/>
              </w:rPr>
            </w:pPr>
          </w:p>
        </w:tc>
        <w:tc>
          <w:tcPr>
            <w:tcW w:w="42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41" w:name="page42"/>
    <w:bookmarkEnd w:id="41"/>
    <w:p>
      <w:pPr>
        <w:ind w:left="7520"/>
        <w:spacing w:after="0"/>
        <w:rPr>
          <w:sz w:val="20"/>
          <w:szCs w:val="20"/>
          <w:color w:val="auto"/>
        </w:rPr>
      </w:pPr>
      <w:r>
        <w:rPr>
          <w:rFonts w:ascii="Arial" w:cs="Arial" w:eastAsia="Arial" w:hAnsi="Arial"/>
          <w:sz w:val="14"/>
          <w:szCs w:val="14"/>
          <w:color w:val="05314D"/>
        </w:rPr>
        <w:t>MD&amp;A | Multifamily Business | Multifamily Business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Multifamily Guaranty Book of Business and Average Charged Guaranty Fee</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The chart below displays the unpaid principal balance and average charged guaranty fee related to our multifamily guaranty book of business.</w:t>
      </w:r>
    </w:p>
    <w:p>
      <w:pPr>
        <w:spacing w:after="0" w:line="75"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01543"/>
        </w:rPr>
        <w:t xml:space="preserve">Multifamily Guaranty Book of Business </w:t>
      </w:r>
      <w:r>
        <w:rPr>
          <w:rFonts w:ascii="Georgia" w:cs="Georgia" w:eastAsia="Georgia" w:hAnsi="Georgia"/>
          <w:sz w:val="19"/>
          <w:szCs w:val="19"/>
          <w:b w:val="1"/>
          <w:bCs w:val="1"/>
          <w:color w:val="05314D"/>
        </w:rPr>
        <w:t>and Charged Fee</w:t>
      </w:r>
      <w:r>
        <w:rPr>
          <w:rFonts w:ascii="Georgia" w:cs="Georgia" w:eastAsia="Georgia" w:hAnsi="Georgia"/>
          <w:sz w:val="24"/>
          <w:szCs w:val="24"/>
          <w:b w:val="1"/>
          <w:bCs w:val="1"/>
          <w:color w:val="05314D"/>
          <w:vertAlign w:val="superscript"/>
        </w:rPr>
        <w:t>(1</w:t>
      </w:r>
      <w:r>
        <w:rPr>
          <w:rFonts w:ascii="Georgia" w:cs="Georgia" w:eastAsia="Georgia" w:hAnsi="Georgia"/>
          <w:sz w:val="24"/>
          <w:szCs w:val="24"/>
          <w:b w:val="1"/>
          <w:bCs w:val="1"/>
          <w:color w:val="001543"/>
          <w:vertAlign w:val="superscript"/>
        </w:rPr>
        <w:t>)</w:t>
      </w:r>
    </w:p>
    <w:p>
      <w:pPr>
        <w:jc w:val="center"/>
        <w:spacing w:after="0" w:line="237" w:lineRule="auto"/>
        <w:rPr>
          <w:sz w:val="20"/>
          <w:szCs w:val="20"/>
          <w:color w:val="auto"/>
        </w:rPr>
      </w:pPr>
      <w:r>
        <w:rPr>
          <w:rFonts w:ascii="Georgia" w:cs="Georgia" w:eastAsia="Georgia" w:hAnsi="Georgia"/>
          <w:sz w:val="19"/>
          <w:szCs w:val="19"/>
          <w:b w:val="1"/>
          <w:bCs w:val="1"/>
          <w:color w:val="001543"/>
        </w:rPr>
        <w:t>(Dollars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746760</wp:posOffset>
            </wp:positionH>
            <wp:positionV relativeFrom="paragraph">
              <wp:posOffset>64770</wp:posOffset>
            </wp:positionV>
            <wp:extent cx="5501005" cy="19646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501005" cy="196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40" w:hanging="237"/>
        <w:spacing w:after="0" w:line="233" w:lineRule="auto"/>
        <w:tabs>
          <w:tab w:leader="none" w:pos="233" w:val="left"/>
        </w:tabs>
        <w:numPr>
          <w:ilvl w:val="0"/>
          <w:numId w:val="43"/>
        </w:numPr>
        <w:rPr>
          <w:rFonts w:ascii="Arial" w:cs="Arial" w:eastAsia="Arial" w:hAnsi="Arial"/>
          <w:sz w:val="18"/>
          <w:szCs w:val="18"/>
          <w:color w:val="auto"/>
          <w:vertAlign w:val="superscript"/>
        </w:rPr>
      </w:pPr>
      <w:r>
        <w:rPr>
          <w:rFonts w:ascii="Arial" w:cs="Arial" w:eastAsia="Arial" w:hAnsi="Arial"/>
          <w:sz w:val="14"/>
          <w:szCs w:val="14"/>
          <w:color w:val="auto"/>
        </w:rPr>
        <w:t>For information reported in this “Multifamily Business” section, our multifamily guaranty book of business is measured using the unpaid principal balance of mortgage loans underlying Fannie Mae MBS. By contrast, the multifamily guaranty book of business presented in the “Composition of Fannie Mae Guaranty Book of Business” table in the “Guaranty Book of Business” section is based on the unpaid principal balance of Fannie Mae MBS outstanding. These amounts differ primarily as a result of payments we receive on underlying loans that have not yet been paid to the MBS holders.</w:t>
      </w:r>
    </w:p>
    <w:p>
      <w:pPr>
        <w:spacing w:after="0" w:line="26" w:lineRule="exact"/>
        <w:rPr>
          <w:rFonts w:ascii="Arial" w:cs="Arial" w:eastAsia="Arial" w:hAnsi="Arial"/>
          <w:sz w:val="18"/>
          <w:szCs w:val="18"/>
          <w:color w:val="auto"/>
          <w:vertAlign w:val="superscript"/>
        </w:rPr>
      </w:pPr>
    </w:p>
    <w:p>
      <w:pPr>
        <w:jc w:val="both"/>
        <w:ind w:left="240" w:right="100" w:hanging="237"/>
        <w:spacing w:after="0" w:line="233" w:lineRule="auto"/>
        <w:tabs>
          <w:tab w:leader="none" w:pos="233" w:val="left"/>
        </w:tabs>
        <w:numPr>
          <w:ilvl w:val="0"/>
          <w:numId w:val="43"/>
        </w:numPr>
        <w:rPr>
          <w:rFonts w:ascii="Arial" w:cs="Arial" w:eastAsia="Arial" w:hAnsi="Arial"/>
          <w:sz w:val="18"/>
          <w:szCs w:val="18"/>
          <w:color w:val="auto"/>
          <w:vertAlign w:val="superscript"/>
        </w:rPr>
      </w:pPr>
      <w:r>
        <w:rPr>
          <w:rFonts w:ascii="Arial" w:cs="Arial" w:eastAsia="Arial" w:hAnsi="Arial"/>
          <w:sz w:val="14"/>
          <w:szCs w:val="14"/>
          <w:color w:val="auto"/>
        </w:rPr>
        <w:t>Our multifamily guaranty book of business primarily consists of multifamily mortgage loans underlying Fannie Mae MBS outstanding, multifamily mortgage loans of Fannie Mae held in our retained mortgage portfolio, and other credit enhancements that we provide on multifamily mortgage assets. It does not include non-Fannie Mae multifamily mortgage-related securities held in our retained mortgage portfolio for which we do not provide a guaranty.</w:t>
      </w:r>
    </w:p>
    <w:p>
      <w:pPr>
        <w:spacing w:after="0" w:line="65" w:lineRule="exact"/>
        <w:rPr>
          <w:sz w:val="20"/>
          <w:szCs w:val="20"/>
          <w:color w:val="auto"/>
        </w:rPr>
      </w:pPr>
    </w:p>
    <w:p>
      <w:pPr>
        <w:ind w:right="500"/>
        <w:spacing w:after="0" w:line="293" w:lineRule="auto"/>
        <w:rPr>
          <w:sz w:val="20"/>
          <w:szCs w:val="20"/>
          <w:color w:val="auto"/>
        </w:rPr>
      </w:pPr>
      <w:r>
        <w:rPr>
          <w:rFonts w:ascii="Arial" w:cs="Arial" w:eastAsia="Arial" w:hAnsi="Arial"/>
          <w:sz w:val="16"/>
          <w:szCs w:val="16"/>
          <w:color w:val="auto"/>
        </w:rPr>
        <w:t>Our multifamily guaranty book of business grew to $485.6 billion as of September 30, 2024, a 4.5% increase from September 30, 2023, driven by our acquisitions combined with low prepayment volumes due to the high interest rate environment.</w:t>
      </w:r>
    </w:p>
    <w:p>
      <w:pPr>
        <w:spacing w:after="0" w:line="2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Our average charged guaranty fee represents the return we earn as compensation for the credit risk we assume on our multifamily guaranty book of business. The average charged guaranty fee on our multifamily guaranty book of business decreased as of September 30, 2024 compared with September 30, 2023 due to lower average charged fees on our acquisitions for the fourth quarter of 2023 and the first nine months of 2024 as compared with the existing loans in our multifamily guaranty book of business. Our guaranty fee is impacted by the rate at which loans in our book of business turn over as well as the guaranty fees we charge on new business volumes, which are set at the time we acquire the loans. Our multifamily guaranty fee pricing is based on the individual credit risk characteristics of the loans we acquire and the overall composition of our multifamily guaranty book of business. Our multifamily guaranty fee pricing is also influenced by external forces, such as the availability and cost of other sources of liquidity, our mission-related goals, the FHFA volume cap, interest rates, and MBS spreads.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2024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39</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60" w:type="dxa"/>
            <w:vAlign w:val="bottom"/>
            <w:tcBorders>
              <w:bottom w:val="single" w:sz="8" w:color="9A9A9A"/>
            </w:tcBorders>
          </w:tcPr>
          <w:p>
            <w:pPr>
              <w:spacing w:after="0"/>
              <w:rPr>
                <w:sz w:val="16"/>
                <w:szCs w:val="16"/>
                <w:color w:val="auto"/>
              </w:rPr>
            </w:pPr>
          </w:p>
        </w:tc>
        <w:tc>
          <w:tcPr>
            <w:tcW w:w="428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42" w:name="page43"/>
    <w:bookmarkEnd w:id="42"/>
    <w:p>
      <w:pPr>
        <w:ind w:left="6920"/>
        <w:spacing w:after="0"/>
        <w:rPr>
          <w:sz w:val="20"/>
          <w:szCs w:val="20"/>
          <w:color w:val="auto"/>
        </w:rPr>
      </w:pPr>
      <w:r>
        <w:rPr>
          <w:rFonts w:ascii="Arial" w:cs="Arial" w:eastAsia="Arial" w:hAnsi="Arial"/>
          <w:sz w:val="14"/>
          <w:szCs w:val="14"/>
          <w:color w:val="05314D"/>
        </w:rPr>
        <w:t>MD&amp;A | Multifamily Business | Multifamily Business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Multifamily Business Financial Results</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This section provides a discussion of the primary components of net income for our Multifamily Business.</w:t>
      </w:r>
    </w:p>
    <w:p>
      <w:pPr>
        <w:spacing w:after="0" w:line="21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Multifamily Business Financial Results</w:t>
      </w:r>
      <w:r>
        <w:rPr>
          <w:rFonts w:ascii="Arial" w:cs="Arial" w:eastAsia="Arial" w:hAnsi="Arial"/>
          <w:sz w:val="24"/>
          <w:szCs w:val="24"/>
          <w:b w:val="1"/>
          <w:bCs w:val="1"/>
          <w:color w:val="05314D"/>
          <w:vertAlign w:val="superscript"/>
        </w:rPr>
        <w:t>(1)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780" w:type="dxa"/>
            <w:vAlign w:val="bottom"/>
            <w:tcBorders>
              <w:top w:val="single" w:sz="8" w:color="2C6937"/>
            </w:tcBorders>
          </w:tcPr>
          <w:p>
            <w:pPr>
              <w:spacing w:after="0"/>
              <w:rPr>
                <w:sz w:val="13"/>
                <w:szCs w:val="13"/>
                <w:color w:val="auto"/>
              </w:rPr>
            </w:pPr>
          </w:p>
        </w:tc>
        <w:tc>
          <w:tcPr>
            <w:tcW w:w="100" w:type="dxa"/>
            <w:vAlign w:val="bottom"/>
            <w:tcBorders>
              <w:top w:val="single" w:sz="8" w:color="2C6937"/>
            </w:tcBorders>
          </w:tcPr>
          <w:p>
            <w:pPr>
              <w:spacing w:after="0"/>
              <w:rPr>
                <w:sz w:val="13"/>
                <w:szCs w:val="13"/>
                <w:color w:val="auto"/>
              </w:rPr>
            </w:pPr>
          </w:p>
        </w:tc>
        <w:tc>
          <w:tcPr>
            <w:tcW w:w="2160" w:type="dxa"/>
            <w:vAlign w:val="bottom"/>
            <w:tcBorders>
              <w:top w:val="single" w:sz="8" w:color="2C6937"/>
            </w:tcBorders>
            <w:gridSpan w:val="6"/>
          </w:tcPr>
          <w:p>
            <w:pPr>
              <w:jc w:val="center"/>
              <w:ind w:right="140"/>
              <w:spacing w:after="0" w:line="151" w:lineRule="exact"/>
              <w:rPr>
                <w:sz w:val="20"/>
                <w:szCs w:val="20"/>
                <w:color w:val="auto"/>
              </w:rPr>
            </w:pPr>
            <w:r>
              <w:rPr>
                <w:rFonts w:ascii="Arial" w:cs="Arial" w:eastAsia="Arial" w:hAnsi="Arial"/>
                <w:sz w:val="14"/>
                <w:szCs w:val="14"/>
                <w:b w:val="1"/>
                <w:bCs w:val="1"/>
                <w:color w:val="auto"/>
                <w:w w:val="97"/>
              </w:rPr>
              <w:t>For the Three Months Ended</w:t>
            </w:r>
          </w:p>
        </w:tc>
        <w:tc>
          <w:tcPr>
            <w:tcW w:w="140" w:type="dxa"/>
            <w:vAlign w:val="bottom"/>
            <w:tcBorders>
              <w:top w:val="single" w:sz="8" w:color="2C6937"/>
            </w:tcBorders>
          </w:tcPr>
          <w:p>
            <w:pPr>
              <w:spacing w:after="0"/>
              <w:rPr>
                <w:sz w:val="13"/>
                <w:szCs w:val="13"/>
                <w:color w:val="auto"/>
              </w:rPr>
            </w:pPr>
          </w:p>
        </w:tc>
        <w:tc>
          <w:tcPr>
            <w:tcW w:w="800" w:type="dxa"/>
            <w:vAlign w:val="bottom"/>
            <w:tcBorders>
              <w:top w:val="single" w:sz="8" w:color="2C6937"/>
            </w:tcBorders>
          </w:tcPr>
          <w:p>
            <w:pPr>
              <w:spacing w:after="0"/>
              <w:rPr>
                <w:sz w:val="13"/>
                <w:szCs w:val="13"/>
                <w:color w:val="auto"/>
              </w:rPr>
            </w:pPr>
          </w:p>
        </w:tc>
        <w:tc>
          <w:tcPr>
            <w:tcW w:w="140" w:type="dxa"/>
            <w:vAlign w:val="bottom"/>
            <w:tcBorders>
              <w:top w:val="single" w:sz="8" w:color="2C6937"/>
            </w:tcBorders>
          </w:tcPr>
          <w:p>
            <w:pPr>
              <w:spacing w:after="0"/>
              <w:rPr>
                <w:sz w:val="13"/>
                <w:szCs w:val="13"/>
                <w:color w:val="auto"/>
              </w:rPr>
            </w:pPr>
          </w:p>
        </w:tc>
        <w:tc>
          <w:tcPr>
            <w:tcW w:w="120" w:type="dxa"/>
            <w:vAlign w:val="bottom"/>
            <w:tcBorders>
              <w:top w:val="single" w:sz="8" w:color="2C6937"/>
            </w:tcBorders>
          </w:tcPr>
          <w:p>
            <w:pPr>
              <w:spacing w:after="0"/>
              <w:rPr>
                <w:sz w:val="13"/>
                <w:szCs w:val="13"/>
                <w:color w:val="auto"/>
              </w:rPr>
            </w:pPr>
          </w:p>
        </w:tc>
        <w:tc>
          <w:tcPr>
            <w:tcW w:w="2060" w:type="dxa"/>
            <w:vAlign w:val="bottom"/>
            <w:tcBorders>
              <w:top w:val="single" w:sz="8" w:color="2C6937"/>
            </w:tcBorders>
            <w:gridSpan w:val="5"/>
          </w:tcPr>
          <w:p>
            <w:pPr>
              <w:jc w:val="center"/>
              <w:ind w:right="260"/>
              <w:spacing w:after="0" w:line="151" w:lineRule="exact"/>
              <w:rPr>
                <w:sz w:val="20"/>
                <w:szCs w:val="20"/>
                <w:color w:val="auto"/>
              </w:rPr>
            </w:pPr>
            <w:r>
              <w:rPr>
                <w:rFonts w:ascii="Arial" w:cs="Arial" w:eastAsia="Arial" w:hAnsi="Arial"/>
                <w:sz w:val="14"/>
                <w:szCs w:val="14"/>
                <w:b w:val="1"/>
                <w:bCs w:val="1"/>
                <w:color w:val="auto"/>
                <w:w w:val="98"/>
              </w:rPr>
              <w:t>For the Nine Months Ended</w:t>
            </w:r>
          </w:p>
        </w:tc>
        <w:tc>
          <w:tcPr>
            <w:tcW w:w="140" w:type="dxa"/>
            <w:vAlign w:val="bottom"/>
            <w:tcBorders>
              <w:top w:val="single" w:sz="8" w:color="2C6937"/>
            </w:tcBorders>
          </w:tcPr>
          <w:p>
            <w:pPr>
              <w:spacing w:after="0"/>
              <w:rPr>
                <w:sz w:val="13"/>
                <w:szCs w:val="13"/>
                <w:color w:val="auto"/>
              </w:rPr>
            </w:pPr>
          </w:p>
        </w:tc>
        <w:tc>
          <w:tcPr>
            <w:tcW w:w="800" w:type="dxa"/>
            <w:vAlign w:val="bottom"/>
            <w:tcBorders>
              <w:top w:val="single" w:sz="8" w:color="2C6937"/>
            </w:tcBorders>
          </w:tcPr>
          <w:p>
            <w:pPr>
              <w:spacing w:after="0"/>
              <w:rPr>
                <w:sz w:val="13"/>
                <w:szCs w:val="13"/>
                <w:color w:val="auto"/>
              </w:rPr>
            </w:pPr>
          </w:p>
        </w:tc>
      </w:tr>
      <w:tr>
        <w:trPr>
          <w:trHeight w:val="177"/>
        </w:trPr>
        <w:tc>
          <w:tcPr>
            <w:tcW w:w="4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8"/>
              </w:rPr>
              <w:t>September 30,</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8"/>
              </w:rPr>
              <w:t>September 30,</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5"/>
        </w:trPr>
        <w:tc>
          <w:tcPr>
            <w:tcW w:w="4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2C6937"/>
              <w:bottom w:val="single" w:sz="8" w:color="2C6937"/>
            </w:tcBorders>
          </w:tcPr>
          <w:p>
            <w:pPr>
              <w:spacing w:after="0"/>
              <w:rPr>
                <w:sz w:val="16"/>
                <w:szCs w:val="16"/>
                <w:color w:val="auto"/>
              </w:rPr>
            </w:pPr>
          </w:p>
        </w:tc>
        <w:tc>
          <w:tcPr>
            <w:tcW w:w="740" w:type="dxa"/>
            <w:vAlign w:val="bottom"/>
            <w:tcBorders>
              <w:top w:val="single" w:sz="8" w:color="2C6937"/>
              <w:bottom w:val="single" w:sz="8" w:color="2C6937"/>
            </w:tcBorders>
          </w:tcPr>
          <w:p>
            <w:pPr>
              <w:jc w:val="right"/>
              <w:ind w:right="244"/>
              <w:spacing w:after="0"/>
              <w:rPr>
                <w:sz w:val="20"/>
                <w:szCs w:val="20"/>
                <w:color w:val="auto"/>
              </w:rPr>
            </w:pPr>
            <w:r>
              <w:rPr>
                <w:rFonts w:ascii="Arial" w:cs="Arial" w:eastAsia="Arial" w:hAnsi="Arial"/>
                <w:sz w:val="14"/>
                <w:szCs w:val="14"/>
                <w:b w:val="1"/>
                <w:bCs w:val="1"/>
                <w:color w:val="auto"/>
              </w:rPr>
              <w:t>2024</w:t>
            </w:r>
          </w:p>
        </w:tc>
        <w:tc>
          <w:tcPr>
            <w:tcW w:w="140" w:type="dxa"/>
            <w:vAlign w:val="bottom"/>
            <w:tcBorders>
              <w:top w:val="single" w:sz="8" w:color="2C6937"/>
              <w:bottom w:val="single" w:sz="8" w:color="2C6937"/>
            </w:tcBorders>
          </w:tcPr>
          <w:p>
            <w:pPr>
              <w:spacing w:after="0"/>
              <w:rPr>
                <w:sz w:val="16"/>
                <w:szCs w:val="16"/>
                <w:color w:val="auto"/>
              </w:rPr>
            </w:pPr>
          </w:p>
        </w:tc>
        <w:tc>
          <w:tcPr>
            <w:tcW w:w="200" w:type="dxa"/>
            <w:vAlign w:val="bottom"/>
            <w:tcBorders>
              <w:top w:val="single" w:sz="8" w:color="2C6937"/>
              <w:bottom w:val="single" w:sz="8" w:color="2C6937"/>
            </w:tcBorders>
          </w:tcPr>
          <w:p>
            <w:pPr>
              <w:spacing w:after="0"/>
              <w:rPr>
                <w:sz w:val="16"/>
                <w:szCs w:val="16"/>
                <w:color w:val="auto"/>
              </w:rPr>
            </w:pPr>
          </w:p>
        </w:tc>
        <w:tc>
          <w:tcPr>
            <w:tcW w:w="740" w:type="dxa"/>
            <w:vAlign w:val="bottom"/>
            <w:tcBorders>
              <w:top w:val="single" w:sz="8" w:color="2C6937"/>
              <w:bottom w:val="single" w:sz="8" w:color="2C6937"/>
            </w:tcBorders>
          </w:tcPr>
          <w:p>
            <w:pPr>
              <w:jc w:val="right"/>
              <w:ind w:right="243"/>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gridSpan w:val="2"/>
          </w:tcPr>
          <w:p>
            <w:pPr>
              <w:ind w:left="60"/>
              <w:spacing w:after="0"/>
              <w:rPr>
                <w:sz w:val="20"/>
                <w:szCs w:val="20"/>
                <w:color w:val="auto"/>
              </w:rPr>
            </w:pPr>
            <w:r>
              <w:rPr>
                <w:rFonts w:ascii="Arial" w:cs="Arial" w:eastAsia="Arial" w:hAnsi="Arial"/>
                <w:sz w:val="14"/>
                <w:szCs w:val="14"/>
                <w:b w:val="1"/>
                <w:bCs w:val="1"/>
                <w:color w:val="auto"/>
              </w:rPr>
              <w:t>Variance</w:t>
            </w:r>
          </w:p>
        </w:tc>
        <w:tc>
          <w:tcPr>
            <w:tcW w:w="120" w:type="dxa"/>
            <w:vAlign w:val="bottom"/>
            <w:tcBorders>
              <w:top w:val="single" w:sz="8" w:color="2C6937"/>
              <w:bottom w:val="single" w:sz="8" w:color="2C6937"/>
            </w:tcBorders>
          </w:tcPr>
          <w:p>
            <w:pPr>
              <w:spacing w:after="0"/>
              <w:rPr>
                <w:sz w:val="16"/>
                <w:szCs w:val="16"/>
                <w:color w:val="auto"/>
              </w:rPr>
            </w:pPr>
          </w:p>
        </w:tc>
        <w:tc>
          <w:tcPr>
            <w:tcW w:w="820" w:type="dxa"/>
            <w:vAlign w:val="bottom"/>
            <w:tcBorders>
              <w:top w:val="single" w:sz="8" w:color="2C6937"/>
              <w:bottom w:val="single" w:sz="8" w:color="2C6937"/>
            </w:tcBorders>
          </w:tcPr>
          <w:p>
            <w:pPr>
              <w:jc w:val="right"/>
              <w:ind w:right="244"/>
              <w:spacing w:after="0"/>
              <w:rPr>
                <w:sz w:val="20"/>
                <w:szCs w:val="20"/>
                <w:color w:val="auto"/>
              </w:rPr>
            </w:pPr>
            <w:r>
              <w:rPr>
                <w:rFonts w:ascii="Arial" w:cs="Arial" w:eastAsia="Arial" w:hAnsi="Arial"/>
                <w:sz w:val="14"/>
                <w:szCs w:val="14"/>
                <w:b w:val="1"/>
                <w:bCs w:val="1"/>
                <w:color w:val="auto"/>
              </w:rPr>
              <w:t>2024</w:t>
            </w:r>
          </w:p>
        </w:tc>
        <w:tc>
          <w:tcPr>
            <w:tcW w:w="140" w:type="dxa"/>
            <w:vAlign w:val="bottom"/>
            <w:tcBorders>
              <w:top w:val="single" w:sz="8" w:color="2C6937"/>
              <w:bottom w:val="single" w:sz="8" w:color="2C6937"/>
            </w:tcBorders>
          </w:tcPr>
          <w:p>
            <w:pPr>
              <w:spacing w:after="0"/>
              <w:rPr>
                <w:sz w:val="16"/>
                <w:szCs w:val="16"/>
                <w:color w:val="auto"/>
              </w:rPr>
            </w:pPr>
          </w:p>
        </w:tc>
        <w:tc>
          <w:tcPr>
            <w:tcW w:w="220" w:type="dxa"/>
            <w:vAlign w:val="bottom"/>
            <w:tcBorders>
              <w:top w:val="single" w:sz="8" w:color="2C6937"/>
              <w:bottom w:val="single" w:sz="8" w:color="2C6937"/>
            </w:tcBorders>
          </w:tcPr>
          <w:p>
            <w:pPr>
              <w:spacing w:after="0"/>
              <w:rPr>
                <w:sz w:val="16"/>
                <w:szCs w:val="16"/>
                <w:color w:val="auto"/>
              </w:rPr>
            </w:pPr>
          </w:p>
        </w:tc>
        <w:tc>
          <w:tcPr>
            <w:tcW w:w="720" w:type="dxa"/>
            <w:vAlign w:val="bottom"/>
            <w:tcBorders>
              <w:top w:val="single" w:sz="8" w:color="2C6937"/>
              <w:bottom w:val="single" w:sz="8" w:color="2C6937"/>
            </w:tcBorders>
          </w:tcPr>
          <w:p>
            <w:pPr>
              <w:jc w:val="right"/>
              <w:ind w:right="223"/>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ind w:right="103"/>
              <w:spacing w:after="0"/>
              <w:rPr>
                <w:sz w:val="20"/>
                <w:szCs w:val="20"/>
                <w:color w:val="auto"/>
              </w:rPr>
            </w:pPr>
            <w:r>
              <w:rPr>
                <w:rFonts w:ascii="Arial" w:cs="Arial" w:eastAsia="Arial" w:hAnsi="Arial"/>
                <w:sz w:val="14"/>
                <w:szCs w:val="14"/>
                <w:b w:val="1"/>
                <w:bCs w:val="1"/>
                <w:color w:val="auto"/>
              </w:rPr>
              <w:t>Variance</w:t>
            </w:r>
          </w:p>
        </w:tc>
      </w:tr>
      <w:tr>
        <w:trPr>
          <w:trHeight w:val="185"/>
        </w:trPr>
        <w:tc>
          <w:tcPr>
            <w:tcW w:w="4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gridSpan w:val="5"/>
          </w:tcPr>
          <w:p>
            <w:pPr>
              <w:ind w:left="24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7"/>
        </w:trPr>
        <w:tc>
          <w:tcPr>
            <w:tcW w:w="4880" w:type="dxa"/>
            <w:vAlign w:val="bottom"/>
            <w:gridSpan w:val="2"/>
          </w:tcPr>
          <w:p>
            <w:pPr>
              <w:ind w:left="20"/>
              <w:spacing w:after="0"/>
              <w:rPr>
                <w:sz w:val="20"/>
                <w:szCs w:val="20"/>
                <w:color w:val="auto"/>
              </w:rPr>
            </w:pPr>
            <w:r>
              <w:rPr>
                <w:rFonts w:ascii="Arial" w:cs="Arial" w:eastAsia="Arial" w:hAnsi="Arial"/>
                <w:sz w:val="15"/>
                <w:szCs w:val="15"/>
                <w:color w:val="auto"/>
              </w:rPr>
              <w:t>Net interest income</w:t>
            </w:r>
          </w:p>
        </w:tc>
        <w:tc>
          <w:tcPr>
            <w:tcW w:w="200" w:type="dxa"/>
            <w:vAlign w:val="bottom"/>
          </w:tcPr>
          <w:p>
            <w:pPr>
              <w:jc w:val="right"/>
              <w:ind w:right="26"/>
              <w:spacing w:after="0"/>
              <w:rPr>
                <w:sz w:val="20"/>
                <w:szCs w:val="20"/>
                <w:color w:val="auto"/>
              </w:rPr>
            </w:pPr>
            <w:r>
              <w:rPr>
                <w:rFonts w:ascii="Arial" w:cs="Arial" w:eastAsia="Arial" w:hAnsi="Arial"/>
                <w:sz w:val="15"/>
                <w:szCs w:val="15"/>
                <w:b w:val="1"/>
                <w:bCs w:val="1"/>
                <w:color w:val="auto"/>
                <w:w w:val="95"/>
              </w:rPr>
              <w:t>$</w:t>
            </w:r>
          </w:p>
        </w:tc>
        <w:tc>
          <w:tcPr>
            <w:tcW w:w="740" w:type="dxa"/>
            <w:vAlign w:val="bottom"/>
          </w:tcPr>
          <w:p>
            <w:pPr>
              <w:jc w:val="right"/>
              <w:ind w:right="4"/>
              <w:spacing w:after="0"/>
              <w:rPr>
                <w:sz w:val="20"/>
                <w:szCs w:val="20"/>
                <w:color w:val="auto"/>
              </w:rPr>
            </w:pPr>
            <w:r>
              <w:rPr>
                <w:rFonts w:ascii="Arial" w:cs="Arial" w:eastAsia="Arial" w:hAnsi="Arial"/>
                <w:sz w:val="15"/>
                <w:szCs w:val="15"/>
                <w:b w:val="1"/>
                <w:bCs w:val="1"/>
                <w:color w:val="auto"/>
              </w:rPr>
              <w:t>1,144</w:t>
            </w:r>
          </w:p>
        </w:tc>
        <w:tc>
          <w:tcPr>
            <w:tcW w:w="14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1,146</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(2)</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3,465</w:t>
            </w:r>
          </w:p>
        </w:tc>
        <w:tc>
          <w:tcPr>
            <w:tcW w:w="140" w:type="dxa"/>
            <w:vAlign w:val="bottom"/>
          </w:tcPr>
          <w:p>
            <w:pPr>
              <w:spacing w:after="0"/>
              <w:rPr>
                <w:sz w:val="17"/>
                <w:szCs w:val="17"/>
                <w:color w:val="auto"/>
              </w:rPr>
            </w:pPr>
          </w:p>
        </w:tc>
        <w:tc>
          <w:tcPr>
            <w:tcW w:w="2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3,378</w:t>
            </w:r>
          </w:p>
        </w:tc>
        <w:tc>
          <w:tcPr>
            <w:tcW w:w="1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87</w:t>
            </w:r>
          </w:p>
        </w:tc>
      </w:tr>
      <w:tr>
        <w:trPr>
          <w:trHeight w:val="208"/>
        </w:trPr>
        <w:tc>
          <w:tcPr>
            <w:tcW w:w="47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Fee and other income</w:t>
            </w: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4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b w:val="1"/>
                <w:bCs w:val="1"/>
                <w:color w:val="auto"/>
              </w:rPr>
              <w:t>18</w:t>
            </w:r>
          </w:p>
        </w:tc>
        <w:tc>
          <w:tcPr>
            <w:tcW w:w="14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20</w:t>
            </w:r>
          </w:p>
        </w:tc>
        <w:tc>
          <w:tcPr>
            <w:tcW w:w="14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w:t>
            </w:r>
          </w:p>
        </w:tc>
        <w:tc>
          <w:tcPr>
            <w:tcW w:w="14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52</w:t>
            </w:r>
          </w:p>
        </w:tc>
        <w:tc>
          <w:tcPr>
            <w:tcW w:w="14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53</w:t>
            </w:r>
          </w:p>
        </w:tc>
        <w:tc>
          <w:tcPr>
            <w:tcW w:w="16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w:t>
            </w:r>
          </w:p>
        </w:tc>
      </w:tr>
      <w:tr>
        <w:trPr>
          <w:trHeight w:val="198"/>
        </w:trPr>
        <w:tc>
          <w:tcPr>
            <w:tcW w:w="4880" w:type="dxa"/>
            <w:vAlign w:val="bottom"/>
            <w:gridSpan w:val="2"/>
          </w:tcPr>
          <w:p>
            <w:pPr>
              <w:ind w:left="180"/>
              <w:spacing w:after="0"/>
              <w:rPr>
                <w:sz w:val="20"/>
                <w:szCs w:val="20"/>
                <w:color w:val="auto"/>
              </w:rPr>
            </w:pPr>
            <w:r>
              <w:rPr>
                <w:rFonts w:ascii="Arial" w:cs="Arial" w:eastAsia="Arial" w:hAnsi="Arial"/>
                <w:sz w:val="15"/>
                <w:szCs w:val="15"/>
                <w:color w:val="auto"/>
              </w:rPr>
              <w:t>Net revenues</w:t>
            </w:r>
          </w:p>
        </w:tc>
        <w:tc>
          <w:tcPr>
            <w:tcW w:w="20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Arial" w:cs="Arial" w:eastAsia="Arial" w:hAnsi="Arial"/>
                <w:sz w:val="15"/>
                <w:szCs w:val="15"/>
                <w:b w:val="1"/>
                <w:bCs w:val="1"/>
                <w:color w:val="auto"/>
              </w:rPr>
              <w:t>1,162</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1,166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3,517</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3,431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86</w:t>
            </w:r>
          </w:p>
        </w:tc>
      </w:tr>
      <w:tr>
        <w:trPr>
          <w:trHeight w:val="206"/>
        </w:trPr>
        <w:tc>
          <w:tcPr>
            <w:tcW w:w="4880" w:type="dxa"/>
            <w:vAlign w:val="bottom"/>
            <w:gridSpan w:val="2"/>
          </w:tcPr>
          <w:p>
            <w:pPr>
              <w:ind w:left="20"/>
              <w:spacing w:after="0"/>
              <w:rPr>
                <w:sz w:val="20"/>
                <w:szCs w:val="20"/>
                <w:color w:val="auto"/>
              </w:rPr>
            </w:pPr>
            <w:r>
              <w:rPr>
                <w:rFonts w:ascii="Arial" w:cs="Arial" w:eastAsia="Arial" w:hAnsi="Arial"/>
                <w:sz w:val="15"/>
                <w:szCs w:val="15"/>
                <w:color w:val="auto"/>
              </w:rPr>
              <w:t>Fair value gains (losses), net</w:t>
            </w:r>
          </w:p>
        </w:tc>
        <w:tc>
          <w:tcPr>
            <w:tcW w:w="20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Arial" w:cs="Arial" w:eastAsia="Arial" w:hAnsi="Arial"/>
                <w:sz w:val="15"/>
                <w:szCs w:val="15"/>
                <w:b w:val="1"/>
                <w:bCs w:val="1"/>
                <w:color w:val="auto"/>
              </w:rPr>
              <w:t>60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49</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14</w:t>
            </w:r>
          </w:p>
        </w:tc>
      </w:tr>
      <w:tr>
        <w:trPr>
          <w:trHeight w:val="206"/>
        </w:trPr>
        <w:tc>
          <w:tcPr>
            <w:tcW w:w="4880" w:type="dxa"/>
            <w:vAlign w:val="bottom"/>
            <w:gridSpan w:val="2"/>
          </w:tcPr>
          <w:p>
            <w:pPr>
              <w:ind w:left="20"/>
              <w:spacing w:after="0"/>
              <w:rPr>
                <w:sz w:val="20"/>
                <w:szCs w:val="20"/>
                <w:color w:val="auto"/>
              </w:rPr>
            </w:pPr>
            <w:r>
              <w:rPr>
                <w:rFonts w:ascii="Arial" w:cs="Arial" w:eastAsia="Arial" w:hAnsi="Arial"/>
                <w:sz w:val="15"/>
                <w:szCs w:val="15"/>
                <w:color w:val="auto"/>
              </w:rPr>
              <w:t>Administrative expenses</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(159)</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(152)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(466)</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(446)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(20)</w:t>
            </w:r>
          </w:p>
        </w:tc>
      </w:tr>
      <w:tr>
        <w:trPr>
          <w:trHeight w:val="206"/>
        </w:trPr>
        <w:tc>
          <w:tcPr>
            <w:tcW w:w="4880" w:type="dxa"/>
            <w:vAlign w:val="bottom"/>
            <w:gridSpan w:val="2"/>
          </w:tcPr>
          <w:p>
            <w:pPr>
              <w:ind w:left="20"/>
              <w:spacing w:after="0"/>
              <w:rPr>
                <w:sz w:val="20"/>
                <w:szCs w:val="20"/>
                <w:color w:val="auto"/>
              </w:rPr>
            </w:pPr>
            <w:r>
              <w:rPr>
                <w:rFonts w:ascii="Arial" w:cs="Arial" w:eastAsia="Arial" w:hAnsi="Arial"/>
                <w:sz w:val="15"/>
                <w:szCs w:val="15"/>
                <w:color w:val="auto"/>
              </w:rPr>
              <w:t>Benefit (provision) for credit losses</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(424)</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(84)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(340)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(827)</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(415)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(412)</w:t>
            </w:r>
          </w:p>
        </w:tc>
      </w:tr>
      <w:tr>
        <w:trPr>
          <w:trHeight w:val="221"/>
        </w:trPr>
        <w:tc>
          <w:tcPr>
            <w:tcW w:w="4880" w:type="dxa"/>
            <w:vAlign w:val="bottom"/>
            <w:gridSpan w:val="2"/>
          </w:tcPr>
          <w:p>
            <w:pPr>
              <w:ind w:left="20"/>
              <w:spacing w:after="0" w:line="221" w:lineRule="exact"/>
              <w:rPr>
                <w:sz w:val="20"/>
                <w:szCs w:val="20"/>
                <w:color w:val="auto"/>
              </w:rPr>
            </w:pPr>
            <w:r>
              <w:rPr>
                <w:rFonts w:ascii="Arial" w:cs="Arial" w:eastAsia="Arial" w:hAnsi="Arial"/>
                <w:sz w:val="15"/>
                <w:szCs w:val="15"/>
                <w:color w:val="auto"/>
              </w:rPr>
              <w:t>Credit enhancement expense</w:t>
            </w:r>
            <w:r>
              <w:rPr>
                <w:rFonts w:ascii="Arial" w:cs="Arial" w:eastAsia="Arial" w:hAnsi="Arial"/>
                <w:sz w:val="20"/>
                <w:szCs w:val="20"/>
                <w:color w:val="auto"/>
                <w:vertAlign w:val="superscript"/>
              </w:rPr>
              <w:t>(2)</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(75)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(213)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(166)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(47)</w:t>
            </w:r>
          </w:p>
        </w:tc>
      </w:tr>
      <w:tr>
        <w:trPr>
          <w:trHeight w:val="217"/>
        </w:trPr>
        <w:tc>
          <w:tcPr>
            <w:tcW w:w="4880" w:type="dxa"/>
            <w:vAlign w:val="bottom"/>
            <w:gridSpan w:val="2"/>
          </w:tcPr>
          <w:p>
            <w:pPr>
              <w:ind w:left="20"/>
              <w:spacing w:after="0" w:line="217" w:lineRule="exact"/>
              <w:rPr>
                <w:sz w:val="20"/>
                <w:szCs w:val="20"/>
                <w:color w:val="auto"/>
              </w:rPr>
            </w:pPr>
            <w:r>
              <w:rPr>
                <w:rFonts w:ascii="Arial" w:cs="Arial" w:eastAsia="Arial" w:hAnsi="Arial"/>
                <w:sz w:val="15"/>
                <w:szCs w:val="15"/>
                <w:color w:val="auto"/>
              </w:rPr>
              <w:t>Change in expected credit enhancement recoveries</w:t>
            </w:r>
            <w:r>
              <w:rPr>
                <w:rFonts w:ascii="Arial" w:cs="Arial" w:eastAsia="Arial" w:hAnsi="Arial"/>
                <w:sz w:val="20"/>
                <w:szCs w:val="20"/>
                <w:color w:val="auto"/>
                <w:vertAlign w:val="superscript"/>
              </w:rPr>
              <w:t>(3)</w:t>
            </w:r>
          </w:p>
        </w:tc>
        <w:tc>
          <w:tcPr>
            <w:tcW w:w="200" w:type="dxa"/>
            <w:vAlign w:val="bottom"/>
          </w:tcPr>
          <w:p>
            <w:pPr>
              <w:spacing w:after="0"/>
              <w:rPr>
                <w:sz w:val="18"/>
                <w:szCs w:val="18"/>
                <w:color w:val="auto"/>
              </w:rPr>
            </w:pPr>
          </w:p>
        </w:tc>
        <w:tc>
          <w:tcPr>
            <w:tcW w:w="740" w:type="dxa"/>
            <w:vAlign w:val="bottom"/>
          </w:tcPr>
          <w:p>
            <w:pPr>
              <w:jc w:val="right"/>
              <w:ind w:right="4"/>
              <w:spacing w:after="0"/>
              <w:rPr>
                <w:sz w:val="20"/>
                <w:szCs w:val="20"/>
                <w:color w:val="auto"/>
              </w:rPr>
            </w:pPr>
            <w:r>
              <w:rPr>
                <w:rFonts w:ascii="Arial" w:cs="Arial" w:eastAsia="Arial" w:hAnsi="Arial"/>
                <w:sz w:val="15"/>
                <w:szCs w:val="15"/>
                <w:b w:val="1"/>
                <w:bCs w:val="1"/>
                <w:color w:val="auto"/>
              </w:rPr>
              <w:t>134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92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323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130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193</w:t>
            </w:r>
          </w:p>
        </w:tc>
      </w:tr>
      <w:tr>
        <w:trPr>
          <w:trHeight w:val="208"/>
        </w:trPr>
        <w:tc>
          <w:tcPr>
            <w:tcW w:w="4780" w:type="dxa"/>
            <w:vAlign w:val="bottom"/>
            <w:tcBorders>
              <w:bottom w:val="single" w:sz="8" w:color="2C6937"/>
            </w:tcBorders>
          </w:tcPr>
          <w:p>
            <w:pPr>
              <w:ind w:left="20"/>
              <w:spacing w:after="0" w:line="207" w:lineRule="exact"/>
              <w:rPr>
                <w:sz w:val="20"/>
                <w:szCs w:val="20"/>
                <w:color w:val="auto"/>
              </w:rPr>
            </w:pPr>
            <w:r>
              <w:rPr>
                <w:rFonts w:ascii="Arial" w:cs="Arial" w:eastAsia="Arial" w:hAnsi="Arial"/>
                <w:sz w:val="15"/>
                <w:szCs w:val="15"/>
                <w:color w:val="auto"/>
              </w:rPr>
              <w:t>Other expenses, net</w:t>
            </w:r>
            <w:r>
              <w:rPr>
                <w:rFonts w:ascii="Arial" w:cs="Arial" w:eastAsia="Arial" w:hAnsi="Arial"/>
                <w:sz w:val="20"/>
                <w:szCs w:val="20"/>
                <w:color w:val="auto"/>
                <w:vertAlign w:val="superscript"/>
              </w:rPr>
              <w:t>(4)</w:t>
            </w: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(49)</w:t>
            </w:r>
          </w:p>
        </w:tc>
        <w:tc>
          <w:tcPr>
            <w:tcW w:w="14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(125)</w:t>
            </w:r>
          </w:p>
        </w:tc>
        <w:tc>
          <w:tcPr>
            <w:tcW w:w="14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76</w:t>
            </w:r>
          </w:p>
        </w:tc>
        <w:tc>
          <w:tcPr>
            <w:tcW w:w="14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(88)</w:t>
            </w:r>
          </w:p>
        </w:tc>
        <w:tc>
          <w:tcPr>
            <w:tcW w:w="14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(191)</w:t>
            </w:r>
          </w:p>
        </w:tc>
        <w:tc>
          <w:tcPr>
            <w:tcW w:w="16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103</w:t>
            </w:r>
          </w:p>
        </w:tc>
      </w:tr>
      <w:tr>
        <w:trPr>
          <w:trHeight w:val="198"/>
        </w:trPr>
        <w:tc>
          <w:tcPr>
            <w:tcW w:w="4880" w:type="dxa"/>
            <w:vAlign w:val="bottom"/>
            <w:gridSpan w:val="2"/>
          </w:tcPr>
          <w:p>
            <w:pPr>
              <w:ind w:left="20"/>
              <w:spacing w:after="0"/>
              <w:rPr>
                <w:sz w:val="20"/>
                <w:szCs w:val="20"/>
                <w:color w:val="auto"/>
              </w:rPr>
            </w:pPr>
            <w:r>
              <w:rPr>
                <w:rFonts w:ascii="Arial" w:cs="Arial" w:eastAsia="Arial" w:hAnsi="Arial"/>
                <w:sz w:val="15"/>
                <w:szCs w:val="15"/>
                <w:color w:val="auto"/>
              </w:rPr>
              <w:t>Income before federal income taxes</w:t>
            </w:r>
          </w:p>
        </w:tc>
        <w:tc>
          <w:tcPr>
            <w:tcW w:w="20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Arial" w:cs="Arial" w:eastAsia="Arial" w:hAnsi="Arial"/>
                <w:sz w:val="15"/>
                <w:szCs w:val="15"/>
                <w:b w:val="1"/>
                <w:bCs w:val="1"/>
                <w:color w:val="auto"/>
              </w:rPr>
              <w:t>649</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845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(196)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2,295</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2,378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(83)</w:t>
            </w:r>
          </w:p>
        </w:tc>
      </w:tr>
      <w:tr>
        <w:trPr>
          <w:trHeight w:val="208"/>
        </w:trPr>
        <w:tc>
          <w:tcPr>
            <w:tcW w:w="47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Provision for federal income taxes</w:t>
            </w: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(119)</w:t>
            </w:r>
          </w:p>
        </w:tc>
        <w:tc>
          <w:tcPr>
            <w:tcW w:w="14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(171)</w:t>
            </w:r>
          </w:p>
        </w:tc>
        <w:tc>
          <w:tcPr>
            <w:tcW w:w="14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52</w:t>
            </w:r>
          </w:p>
        </w:tc>
        <w:tc>
          <w:tcPr>
            <w:tcW w:w="14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(423)</w:t>
            </w:r>
          </w:p>
        </w:tc>
        <w:tc>
          <w:tcPr>
            <w:tcW w:w="14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(464)</w:t>
            </w:r>
          </w:p>
        </w:tc>
        <w:tc>
          <w:tcPr>
            <w:tcW w:w="16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41</w:t>
            </w:r>
          </w:p>
        </w:tc>
      </w:tr>
      <w:tr>
        <w:trPr>
          <w:trHeight w:val="199"/>
        </w:trPr>
        <w:tc>
          <w:tcPr>
            <w:tcW w:w="4880" w:type="dxa"/>
            <w:vAlign w:val="bottom"/>
            <w:gridSpan w:val="2"/>
          </w:tcPr>
          <w:p>
            <w:pPr>
              <w:ind w:left="180"/>
              <w:spacing w:after="0"/>
              <w:rPr>
                <w:sz w:val="20"/>
                <w:szCs w:val="20"/>
                <w:color w:val="auto"/>
              </w:rPr>
            </w:pPr>
            <w:r>
              <w:rPr>
                <w:rFonts w:ascii="Arial" w:cs="Arial" w:eastAsia="Arial" w:hAnsi="Arial"/>
                <w:sz w:val="15"/>
                <w:szCs w:val="15"/>
                <w:color w:val="auto"/>
              </w:rPr>
              <w:t>Net income</w:t>
            </w:r>
          </w:p>
        </w:tc>
        <w:tc>
          <w:tcPr>
            <w:tcW w:w="200" w:type="dxa"/>
            <w:vAlign w:val="bottom"/>
          </w:tcPr>
          <w:p>
            <w:pPr>
              <w:jc w:val="right"/>
              <w:ind w:right="26"/>
              <w:spacing w:after="0"/>
              <w:rPr>
                <w:sz w:val="20"/>
                <w:szCs w:val="20"/>
                <w:color w:val="auto"/>
              </w:rPr>
            </w:pPr>
            <w:r>
              <w:rPr>
                <w:rFonts w:ascii="Arial" w:cs="Arial" w:eastAsia="Arial" w:hAnsi="Arial"/>
                <w:sz w:val="15"/>
                <w:szCs w:val="15"/>
                <w:b w:val="1"/>
                <w:bCs w:val="1"/>
                <w:color w:val="auto"/>
                <w:w w:val="95"/>
              </w:rPr>
              <w:t>$</w:t>
            </w:r>
          </w:p>
        </w:tc>
        <w:tc>
          <w:tcPr>
            <w:tcW w:w="740" w:type="dxa"/>
            <w:vAlign w:val="bottom"/>
          </w:tcPr>
          <w:p>
            <w:pPr>
              <w:jc w:val="right"/>
              <w:ind w:right="4"/>
              <w:spacing w:after="0"/>
              <w:rPr>
                <w:sz w:val="20"/>
                <w:szCs w:val="20"/>
                <w:color w:val="auto"/>
              </w:rPr>
            </w:pPr>
            <w:r>
              <w:rPr>
                <w:rFonts w:ascii="Arial" w:cs="Arial" w:eastAsia="Arial" w:hAnsi="Arial"/>
                <w:sz w:val="15"/>
                <w:szCs w:val="15"/>
                <w:b w:val="1"/>
                <w:bCs w:val="1"/>
                <w:color w:val="auto"/>
              </w:rPr>
              <w:t>530</w:t>
            </w:r>
          </w:p>
        </w:tc>
        <w:tc>
          <w:tcPr>
            <w:tcW w:w="14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674</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(144)</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1,872</w:t>
            </w:r>
          </w:p>
        </w:tc>
        <w:tc>
          <w:tcPr>
            <w:tcW w:w="140" w:type="dxa"/>
            <w:vAlign w:val="bottom"/>
          </w:tcPr>
          <w:p>
            <w:pPr>
              <w:spacing w:after="0"/>
              <w:rPr>
                <w:sz w:val="17"/>
                <w:szCs w:val="17"/>
                <w:color w:val="auto"/>
              </w:rPr>
            </w:pPr>
          </w:p>
        </w:tc>
        <w:tc>
          <w:tcPr>
            <w:tcW w:w="2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1,914</w:t>
            </w:r>
          </w:p>
        </w:tc>
        <w:tc>
          <w:tcPr>
            <w:tcW w:w="1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(42)</w:t>
            </w:r>
          </w:p>
        </w:tc>
      </w:tr>
      <w:tr>
        <w:trPr>
          <w:trHeight w:val="20"/>
        </w:trPr>
        <w:tc>
          <w:tcPr>
            <w:tcW w:w="47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r>
    </w:tbl>
    <w:p>
      <w:pPr>
        <w:spacing w:after="0" w:line="95" w:lineRule="exact"/>
        <w:rPr>
          <w:sz w:val="20"/>
          <w:szCs w:val="20"/>
          <w:color w:val="auto"/>
        </w:rPr>
      </w:pPr>
    </w:p>
    <w:p>
      <w:pPr>
        <w:ind w:left="220" w:hanging="217"/>
        <w:spacing w:after="0"/>
        <w:tabs>
          <w:tab w:leader="none" w:pos="220" w:val="left"/>
        </w:tabs>
        <w:numPr>
          <w:ilvl w:val="0"/>
          <w:numId w:val="44"/>
        </w:numPr>
        <w:rPr>
          <w:rFonts w:ascii="Arial" w:cs="Arial" w:eastAsia="Arial" w:hAnsi="Arial"/>
          <w:sz w:val="18"/>
          <w:szCs w:val="18"/>
          <w:color w:val="auto"/>
          <w:vertAlign w:val="superscript"/>
        </w:rPr>
      </w:pPr>
      <w:r>
        <w:rPr>
          <w:rFonts w:ascii="Arial" w:cs="Arial" w:eastAsia="Arial" w:hAnsi="Arial"/>
          <w:sz w:val="14"/>
          <w:szCs w:val="14"/>
          <w:color w:val="auto"/>
        </w:rPr>
        <w:t>See “Note 10, Segment Reporting” for information about our segment allocation methodology.</w:t>
      </w:r>
    </w:p>
    <w:p>
      <w:pPr>
        <w:spacing w:after="0" w:line="37" w:lineRule="exact"/>
        <w:rPr>
          <w:rFonts w:ascii="Arial" w:cs="Arial" w:eastAsia="Arial" w:hAnsi="Arial"/>
          <w:sz w:val="18"/>
          <w:szCs w:val="18"/>
          <w:color w:val="auto"/>
          <w:vertAlign w:val="superscript"/>
        </w:rPr>
      </w:pPr>
    </w:p>
    <w:p>
      <w:pPr>
        <w:ind w:left="240" w:right="540" w:hanging="237"/>
        <w:spacing w:after="0" w:line="219" w:lineRule="auto"/>
        <w:tabs>
          <w:tab w:leader="none" w:pos="233" w:val="left"/>
        </w:tabs>
        <w:numPr>
          <w:ilvl w:val="0"/>
          <w:numId w:val="44"/>
        </w:numPr>
        <w:rPr>
          <w:rFonts w:ascii="Arial" w:cs="Arial" w:eastAsia="Arial" w:hAnsi="Arial"/>
          <w:sz w:val="18"/>
          <w:szCs w:val="18"/>
          <w:color w:val="auto"/>
          <w:vertAlign w:val="superscript"/>
        </w:rPr>
      </w:pPr>
      <w:r>
        <w:rPr>
          <w:rFonts w:ascii="Arial" w:cs="Arial" w:eastAsia="Arial" w:hAnsi="Arial"/>
          <w:sz w:val="14"/>
          <w:szCs w:val="14"/>
          <w:color w:val="auto"/>
        </w:rPr>
        <w:t>Primarily consists of costs associated with our Multifamily CIRT</w:t>
      </w:r>
      <w:r>
        <w:rPr>
          <w:rFonts w:ascii="Arial" w:cs="Arial" w:eastAsia="Arial" w:hAnsi="Arial"/>
          <w:sz w:val="17"/>
          <w:szCs w:val="17"/>
          <w:color w:val="auto"/>
          <w:vertAlign w:val="superscript"/>
        </w:rPr>
        <w:t>TM</w:t>
      </w:r>
      <w:r>
        <w:rPr>
          <w:rFonts w:ascii="Arial" w:cs="Arial" w:eastAsia="Arial" w:hAnsi="Arial"/>
          <w:sz w:val="14"/>
          <w:szCs w:val="14"/>
          <w:color w:val="auto"/>
        </w:rPr>
        <w:t xml:space="preserve"> (“MCIRT</w:t>
      </w:r>
      <w:r>
        <w:rPr>
          <w:rFonts w:ascii="Arial" w:cs="Arial" w:eastAsia="Arial" w:hAnsi="Arial"/>
          <w:sz w:val="17"/>
          <w:szCs w:val="17"/>
          <w:color w:val="auto"/>
          <w:vertAlign w:val="superscript"/>
        </w:rPr>
        <w:t>TM</w:t>
      </w:r>
      <w:r>
        <w:rPr>
          <w:rFonts w:ascii="Arial" w:cs="Arial" w:eastAsia="Arial" w:hAnsi="Arial"/>
          <w:sz w:val="14"/>
          <w:szCs w:val="14"/>
          <w:color w:val="auto"/>
        </w:rPr>
        <w:t>”) and Multifamily Connecticut Avenue Securities</w:t>
      </w:r>
      <w:r>
        <w:rPr>
          <w:rFonts w:ascii="Arial" w:cs="Arial" w:eastAsia="Arial" w:hAnsi="Arial"/>
          <w:sz w:val="17"/>
          <w:szCs w:val="17"/>
          <w:color w:val="auto"/>
          <w:vertAlign w:val="superscript"/>
        </w:rPr>
        <w:t>®</w:t>
      </w:r>
      <w:r>
        <w:rPr>
          <w:rFonts w:ascii="Arial" w:cs="Arial" w:eastAsia="Arial" w:hAnsi="Arial"/>
          <w:sz w:val="14"/>
          <w:szCs w:val="14"/>
          <w:color w:val="auto"/>
        </w:rPr>
        <w:t xml:space="preserve"> (“MCAS</w:t>
      </w:r>
      <w:r>
        <w:rPr>
          <w:rFonts w:ascii="Arial" w:cs="Arial" w:eastAsia="Arial" w:hAnsi="Arial"/>
          <w:sz w:val="17"/>
          <w:szCs w:val="17"/>
          <w:color w:val="auto"/>
          <w:vertAlign w:val="superscript"/>
        </w:rPr>
        <w:t>TM</w:t>
      </w:r>
      <w:r>
        <w:rPr>
          <w:rFonts w:ascii="Arial" w:cs="Arial" w:eastAsia="Arial" w:hAnsi="Arial"/>
          <w:sz w:val="14"/>
          <w:szCs w:val="14"/>
          <w:color w:val="auto"/>
        </w:rPr>
        <w:t>”) programs as well as amortization expense for certain lender risk-sharing programs.</w:t>
      </w:r>
    </w:p>
    <w:p>
      <w:pPr>
        <w:spacing w:after="0" w:line="22"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44"/>
        </w:numPr>
        <w:rPr>
          <w:rFonts w:ascii="Arial" w:cs="Arial" w:eastAsia="Arial" w:hAnsi="Arial"/>
          <w:sz w:val="17"/>
          <w:szCs w:val="17"/>
          <w:color w:val="auto"/>
          <w:vertAlign w:val="superscript"/>
        </w:rPr>
      </w:pPr>
      <w:r>
        <w:rPr>
          <w:rFonts w:ascii="Arial" w:cs="Arial" w:eastAsia="Arial" w:hAnsi="Arial"/>
          <w:sz w:val="13"/>
          <w:szCs w:val="13"/>
          <w:color w:val="auto"/>
        </w:rPr>
        <w:t>Consists of change in benefits recognized from our freestanding credit enhancements that primarily relate to our Delegated Underwriting and Servicing (“DUS</w:t>
      </w:r>
      <w:r>
        <w:rPr>
          <w:rFonts w:ascii="Arial" w:cs="Arial" w:eastAsia="Arial" w:hAnsi="Arial"/>
          <w:sz w:val="16"/>
          <w:szCs w:val="16"/>
          <w:color w:val="auto"/>
          <w:vertAlign w:val="superscript"/>
        </w:rPr>
        <w:t>®</w:t>
      </w:r>
      <w:r>
        <w:rPr>
          <w:rFonts w:ascii="Arial" w:cs="Arial" w:eastAsia="Arial" w:hAnsi="Arial"/>
          <w:sz w:val="13"/>
          <w:szCs w:val="13"/>
          <w:color w:val="auto"/>
        </w:rPr>
        <w:t>”) lender risk-sharing.</w:t>
      </w:r>
    </w:p>
    <w:p>
      <w:pPr>
        <w:spacing w:after="0" w:line="13" w:lineRule="exact"/>
        <w:rPr>
          <w:rFonts w:ascii="Arial" w:cs="Arial" w:eastAsia="Arial" w:hAnsi="Arial"/>
          <w:sz w:val="17"/>
          <w:szCs w:val="17"/>
          <w:color w:val="auto"/>
          <w:vertAlign w:val="superscript"/>
        </w:rPr>
      </w:pPr>
    </w:p>
    <w:p>
      <w:pPr>
        <w:ind w:left="240" w:right="920" w:hanging="237"/>
        <w:spacing w:after="0" w:line="260" w:lineRule="auto"/>
        <w:tabs>
          <w:tab w:leader="none" w:pos="233" w:val="left"/>
        </w:tabs>
        <w:numPr>
          <w:ilvl w:val="0"/>
          <w:numId w:val="44"/>
        </w:numPr>
        <w:rPr>
          <w:rFonts w:ascii="Arial" w:cs="Arial" w:eastAsia="Arial" w:hAnsi="Arial"/>
          <w:sz w:val="9"/>
          <w:szCs w:val="9"/>
          <w:color w:val="auto"/>
        </w:rPr>
      </w:pPr>
      <w:r>
        <w:rPr>
          <w:rFonts w:ascii="Arial" w:cs="Arial" w:eastAsia="Arial" w:hAnsi="Arial"/>
          <w:sz w:val="14"/>
          <w:szCs w:val="14"/>
          <w:color w:val="auto"/>
        </w:rPr>
        <w:t>Includes investment gains or losses, expenses associated with legal claims, foreclosed property income (expense), gains or losses from partnership investments, debt extinguishment gains or losses, and other income or expenses.</w:t>
      </w:r>
    </w:p>
    <w:p>
      <w:pPr>
        <w:spacing w:after="0" w:line="77"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Net Interest Income</w:t>
      </w:r>
    </w:p>
    <w:p>
      <w:pPr>
        <w:spacing w:after="0" w:line="80"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Net interest income was relatively flat in the third quarter and first nine months of 2024 compared with the third quarter and first nine months of 2023. Higher guaranty fee income as a result of an increase in the size of our multifamily guaranty book of business was offset by lower average charged guaranty fees and lower yield maintenance income from fewer prepayments.</w:t>
      </w:r>
    </w:p>
    <w:p>
      <w:pPr>
        <w:spacing w:after="0" w:line="71"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Benefit (Provision) for Credit Losses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See “Consolidated Results of Operations—Benefit (Provision) for Credit Losses” for a discussion of our multifamily provision for credit losses.</w:t>
      </w:r>
    </w:p>
    <w:p>
      <w:pPr>
        <w:spacing w:after="0" w:line="126"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Change in Expected Credit Enhancement Recoveries</w:t>
      </w:r>
    </w:p>
    <w:p>
      <w:pPr>
        <w:spacing w:after="0" w:line="80" w:lineRule="exact"/>
        <w:rPr>
          <w:sz w:val="20"/>
          <w:szCs w:val="20"/>
          <w:color w:val="auto"/>
        </w:rPr>
      </w:pPr>
    </w:p>
    <w:p>
      <w:pPr>
        <w:ind w:right="220"/>
        <w:spacing w:after="0" w:line="272" w:lineRule="auto"/>
        <w:rPr>
          <w:sz w:val="20"/>
          <w:szCs w:val="20"/>
          <w:color w:val="auto"/>
        </w:rPr>
      </w:pPr>
      <w:r>
        <w:rPr>
          <w:rFonts w:ascii="Arial" w:cs="Arial" w:eastAsia="Arial" w:hAnsi="Arial"/>
          <w:sz w:val="16"/>
          <w:szCs w:val="16"/>
          <w:color w:val="auto"/>
        </w:rPr>
        <w:t>Change in expected credit enhancement recoveries in the third quarter and first nine months of 2024 was primarily driven by a provision for credit losses. As a result of our risk-sharing arrangements, the increase in our multifamily provision for credit losses increased our multifamily credit enhancement receivable.</w:t>
      </w:r>
    </w:p>
    <w:p>
      <w:pPr>
        <w:spacing w:after="0" w:line="71"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Other Expenses, Net</w:t>
      </w:r>
    </w:p>
    <w:p>
      <w:pPr>
        <w:spacing w:after="0" w:line="80" w:lineRule="exact"/>
        <w:rPr>
          <w:sz w:val="20"/>
          <w:szCs w:val="20"/>
          <w:color w:val="auto"/>
        </w:rPr>
      </w:pPr>
    </w:p>
    <w:p>
      <w:pPr>
        <w:ind w:right="140"/>
        <w:spacing w:after="0" w:line="272" w:lineRule="auto"/>
        <w:rPr>
          <w:sz w:val="20"/>
          <w:szCs w:val="20"/>
          <w:color w:val="auto"/>
        </w:rPr>
      </w:pPr>
      <w:r>
        <w:rPr>
          <w:rFonts w:ascii="Arial" w:cs="Arial" w:eastAsia="Arial" w:hAnsi="Arial"/>
          <w:sz w:val="16"/>
          <w:szCs w:val="16"/>
          <w:color w:val="auto"/>
        </w:rPr>
        <w:t>Other expenses, net decreased in the third quarter and first nine months of 2024 compared with the third quarter and first nine months of 2023. During the third quarter of 2023, we recognized litigation expense attributable to a jury verdict and an award of prejudgment interest for Fannie Mae preferred shareholders, of which $54 million was allocated to the Multifamily business segment.</w:t>
      </w:r>
    </w:p>
    <w:p>
      <w:pPr>
        <w:spacing w:after="0" w:line="78"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Multifamily Mortgage Credit Risk Management</w:t>
      </w:r>
    </w:p>
    <w:p>
      <w:pPr>
        <w:spacing w:after="0" w:line="63"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This section supplements and updates our discussion of multifamily mortgage credit risk management in our 2023 Form 10-K in “MD&amp;A—Multifamily Business—Multifamily Mortgage Credit Risk Management.” For additional information on the primary components of our strategy for managing multifamily credit risk, the factors that influence the credit risk profile of our multifamily guaranty book of business, our multifamily acquisition policy and underwriting standards, our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2024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40</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60" w:type="dxa"/>
            <w:vAlign w:val="bottom"/>
            <w:tcBorders>
              <w:bottom w:val="single" w:sz="8" w:color="9A9A9A"/>
            </w:tcBorders>
          </w:tcPr>
          <w:p>
            <w:pPr>
              <w:spacing w:after="0"/>
              <w:rPr>
                <w:sz w:val="16"/>
                <w:szCs w:val="16"/>
                <w:color w:val="auto"/>
              </w:rPr>
            </w:pPr>
          </w:p>
        </w:tc>
        <w:tc>
          <w:tcPr>
            <w:tcW w:w="428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43" w:name="page44"/>
    <w:bookmarkEnd w:id="43"/>
    <w:p>
      <w:pPr>
        <w:ind w:left="6440"/>
        <w:spacing w:after="0"/>
        <w:rPr>
          <w:sz w:val="20"/>
          <w:szCs w:val="20"/>
          <w:color w:val="auto"/>
        </w:rPr>
      </w:pPr>
      <w:r>
        <w:rPr>
          <w:rFonts w:ascii="Arial" w:cs="Arial" w:eastAsia="Arial" w:hAnsi="Arial"/>
          <w:sz w:val="14"/>
          <w:szCs w:val="14"/>
          <w:color w:val="05314D"/>
        </w:rPr>
        <w:t>MD&amp;A | Multifamily Business | Multifamily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multifamily guaranty book diversification and monitoring, and our front-end credit risk sharing, see “MD&amp;A—Multifamily Business—Multifamily Mortgage Credit Risk Management” in our 2023 Form 10-K.</w:t>
      </w:r>
    </w:p>
    <w:p>
      <w:pPr>
        <w:spacing w:after="0" w:line="15" w:lineRule="exact"/>
        <w:rPr>
          <w:sz w:val="20"/>
          <w:szCs w:val="20"/>
          <w:color w:val="auto"/>
        </w:rPr>
      </w:pPr>
    </w:p>
    <w:p>
      <w:pPr>
        <w:ind w:right="200"/>
        <w:spacing w:after="0" w:line="271" w:lineRule="auto"/>
        <w:rPr>
          <w:sz w:val="20"/>
          <w:szCs w:val="20"/>
          <w:color w:val="auto"/>
        </w:rPr>
      </w:pPr>
      <w:r>
        <w:rPr>
          <w:rFonts w:ascii="Arial" w:cs="Arial" w:eastAsia="Arial" w:hAnsi="Arial"/>
          <w:sz w:val="16"/>
          <w:szCs w:val="16"/>
          <w:color w:val="auto"/>
        </w:rPr>
        <w:t>We typically obtain our multifamily credit information from the lenders or servicers of the mortgage loans in our guaranty book of business and receive representations and warranties from them as to the accuracy of the information. While we perform various quality assurance checks by sampling loans to assess compliance with our underwriting and eligibility criteria, we do not independently verify most reported information, and we rely on lender representations and warranties regarding the accuracy of the characteristics of loans in our guaranty book of business.</w:t>
      </w:r>
    </w:p>
    <w:p>
      <w:pPr>
        <w:spacing w:after="0" w:line="7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Multifamily Guaranty Book Diversification and Monitoring</w:t>
      </w:r>
    </w:p>
    <w:p>
      <w:pPr>
        <w:spacing w:after="0" w:line="80" w:lineRule="exact"/>
        <w:rPr>
          <w:sz w:val="20"/>
          <w:szCs w:val="20"/>
          <w:color w:val="auto"/>
        </w:rPr>
      </w:pPr>
    </w:p>
    <w:p>
      <w:pPr>
        <w:jc w:val="both"/>
        <w:ind w:right="220"/>
        <w:spacing w:after="0" w:line="266" w:lineRule="auto"/>
        <w:rPr>
          <w:sz w:val="20"/>
          <w:szCs w:val="20"/>
          <w:color w:val="auto"/>
        </w:rPr>
      </w:pPr>
      <w:r>
        <w:rPr>
          <w:rFonts w:ascii="Arial" w:cs="Arial" w:eastAsia="Arial" w:hAnsi="Arial"/>
          <w:sz w:val="16"/>
          <w:szCs w:val="16"/>
          <w:color w:val="auto"/>
        </w:rPr>
        <w:t>As part of our ongoing credit risk management process, we and our lenders monitor the performance and risk characteristics of our multifamily loans and the underlying properties on an ongoing basis throughout the loan term at the asset and portfolio level. We generally require lenders to provide quarterly and/or annual financial updates for multifamily loans. We closely monitor loans that are higher risk, including loans with an estimated current debt service coverage ratio (“DSCR”) below 1.0, as that is an indicator of heightened default risk.</w:t>
      </w:r>
    </w:p>
    <w:p>
      <w:pPr>
        <w:spacing w:after="0" w:line="35" w:lineRule="exact"/>
        <w:rPr>
          <w:sz w:val="20"/>
          <w:szCs w:val="20"/>
          <w:color w:val="auto"/>
        </w:rPr>
      </w:pPr>
    </w:p>
    <w:p>
      <w:pPr>
        <w:ind w:right="80"/>
        <w:spacing w:after="0" w:line="263" w:lineRule="auto"/>
        <w:rPr>
          <w:sz w:val="20"/>
          <w:szCs w:val="20"/>
          <w:color w:val="auto"/>
        </w:rPr>
      </w:pPr>
      <w:r>
        <w:rPr>
          <w:rFonts w:ascii="Arial" w:cs="Arial" w:eastAsia="Arial" w:hAnsi="Arial"/>
          <w:sz w:val="16"/>
          <w:szCs w:val="16"/>
          <w:color w:val="auto"/>
        </w:rPr>
        <w:t>The physical condition of the properties that serve as collateral for our multifamily loans is an important credit risk characteristic. Accordingly, we also monitor property condition, through physical site inspections at loan origination, ongoing review of servicer-submitted property inspection reports through the life of the loan, and additional third-party inspection requirements for some higher risk transactions. Some borrowers may not invest in needed property repairs and maintenance, or in capital replacements, particularly in times of economic stress when they may not have sufficient resources. When concerns about property condition of underlying collateral arise, we have a dedicated team that actively engages with our lenders and borrowers to seek remediation of the identified issues. Failure to perform repairs may result in a default under the loan documents.</w:t>
      </w:r>
    </w:p>
    <w:p>
      <w:pPr>
        <w:spacing w:after="0" w:line="54"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We have discovered instances of multifamily lending transactions in which one or more of the parties involved engaged in mortgage fraud or possible mortgage fraud, and we continue to investigate additional multifamily lending transactions in which we suspect fraud may have occurred. As described in “Risk Factors” in this report, certain gaps have been identified in our processes for managing multifamily loan origination fraud risk and for overseeing our multifamily seller/servicer counterparties. As a result, we have implemented changes to reinforce and clarify our requirements for multifamily sellers and servicers. We also continue to work to improve our processes to further reduce the risk we face from fraudulent practices, including implementing updates to our DUS Guide and expanding resources dedicated to overseeing multifamily sellers and servicers. In addition, we continue to pursue contractual remedies against multifamily lenders where we find breaches of the selling representations that lenders are required to provide on loans they sell to us, as well as against multifamily borrowers and sponsors.</w:t>
      </w:r>
    </w:p>
    <w:p>
      <w:pPr>
        <w:spacing w:after="0" w:line="43" w:lineRule="exact"/>
        <w:rPr>
          <w:sz w:val="20"/>
          <w:szCs w:val="20"/>
          <w:color w:val="auto"/>
        </w:rPr>
      </w:pPr>
    </w:p>
    <w:p>
      <w:pPr>
        <w:ind w:right="100"/>
        <w:spacing w:after="0" w:line="263" w:lineRule="auto"/>
        <w:rPr>
          <w:sz w:val="20"/>
          <w:szCs w:val="20"/>
          <w:color w:val="auto"/>
        </w:rPr>
      </w:pPr>
      <w:r>
        <w:rPr>
          <w:rFonts w:ascii="Arial" w:cs="Arial" w:eastAsia="Arial" w:hAnsi="Arial"/>
          <w:sz w:val="16"/>
          <w:szCs w:val="16"/>
          <w:color w:val="auto"/>
        </w:rPr>
        <w:t>We manage our exposure to interest-rate risk and monitor changes in interest rates, which can impact multiple aspects of our multifamily loans. Although interest rates have declined in the third quarter of 2024, interest rates in the first nine months of 2024 remained higher than the average for the prior ten-year period, during which period we acquired more than 80% of our multifamily guaranty book of business. High interest rates may reduce the ability of multifamily borrowers to refinance their loans, which often have balloon balances at maturity. We provide information on the maturity schedule of our multifamily loans in “MD&amp;A—Multifamily Business—Multifamily Mortgage Credit Risk Management—Multifamily Maturity Information” in our 2023 Form 10-K and in quarterly financial supplements, which we furnish to the SEC with current reports on Form 8-K and make available on our website.</w:t>
      </w:r>
    </w:p>
    <w:p>
      <w:pPr>
        <w:spacing w:after="0" w:line="41"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Additionally, in a high interest-rate environment, multifamily borrowers with adjustable-rate mortgages will have higher monthly payments, which may lower their DSCRs. We generally require multifamily borrowers with adjustable-rate mortgages to purchase and maintain interest rate caps for the life of the loan to protect against large movements in rates as well as maintain escrows at our servicers to reserve for the cost of replacing these caps. Purchasing or replacing required interest rate caps, especially those with longer terms and/or lower capped interest rates, becomes more expensive as interest rates rise. These costs, which have been elevated since mid-2022, combined with the higher monthly payments, have added pressure to borrowers’ ability to make payments and contributed to our elevated multifamily serious delinquency rate and criticized loan population. In the recent high interest rate environment, most multifamily borrowers with adjustable-rate mortgages have been receiving payments from their interest rate cap providers, which helps to defray the higher cost of debt service and escrow payments. We actively monitor these interest-rate related risks as part of our risk management process. For more information on our criticized loan population, see “Multifamily Problem Loan Management—Credit Performance Statistics on Multifamily Problem Loans” in this report.</w:t>
      </w:r>
    </w:p>
    <w:p>
      <w:pPr>
        <w:spacing w:after="0" w:line="243" w:lineRule="exact"/>
        <w:rPr>
          <w:sz w:val="20"/>
          <w:szCs w:val="20"/>
          <w:color w:val="auto"/>
        </w:rPr>
      </w:pPr>
    </w:p>
    <w:p>
      <w:pPr>
        <w:jc w:val="both"/>
        <w:ind w:right="380"/>
        <w:spacing w:after="0" w:line="272" w:lineRule="auto"/>
        <w:rPr>
          <w:sz w:val="20"/>
          <w:szCs w:val="20"/>
          <w:color w:val="auto"/>
        </w:rPr>
      </w:pPr>
      <w:r>
        <w:rPr>
          <w:rFonts w:ascii="Arial" w:cs="Arial" w:eastAsia="Arial" w:hAnsi="Arial"/>
          <w:sz w:val="16"/>
          <w:szCs w:val="16"/>
          <w:color w:val="auto"/>
        </w:rPr>
        <w:t>We also monitor for risks manifesting within specific property types. A property type we continue to monitor closely is seniors housing, which in Fannie Mae’s book of business is primarily comprised of independent living and assisted living facilities, some of which may have a limited capacity devoted to memory care. Although seniors housing loans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2024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41</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60" w:type="dxa"/>
            <w:vAlign w:val="bottom"/>
            <w:tcBorders>
              <w:bottom w:val="single" w:sz="8" w:color="9A9A9A"/>
            </w:tcBorders>
          </w:tcPr>
          <w:p>
            <w:pPr>
              <w:spacing w:after="0"/>
              <w:rPr>
                <w:sz w:val="17"/>
                <w:szCs w:val="17"/>
                <w:color w:val="auto"/>
              </w:rPr>
            </w:pPr>
          </w:p>
        </w:tc>
        <w:tc>
          <w:tcPr>
            <w:tcW w:w="42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44" w:name="page45"/>
    <w:bookmarkEnd w:id="44"/>
    <w:p>
      <w:pPr>
        <w:ind w:left="6440"/>
        <w:spacing w:after="0"/>
        <w:rPr>
          <w:sz w:val="20"/>
          <w:szCs w:val="20"/>
          <w:color w:val="auto"/>
        </w:rPr>
      </w:pPr>
      <w:r>
        <w:rPr>
          <w:rFonts w:ascii="Arial" w:cs="Arial" w:eastAsia="Arial" w:hAnsi="Arial"/>
          <w:sz w:val="14"/>
          <w:szCs w:val="14"/>
          <w:color w:val="05314D"/>
        </w:rPr>
        <w:t>MD&amp;A | Multifamily Business | Multifamily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constituted only 3% of our multifamily guaranty book of business as of September 30, 2024, based on unpaid principal balance, they constituted approximately one-third of our seriously delinquent multifamily loan population, as described below in “Multifamily Problem Loan Management.” Approximately 29% of our seniors housing loans were adjustable-rate mortgages as of September 30, 2024. We continue to monitor seniors housing loans in our multifamily guaranty book of business closely and actively manage loans that may be at risk of further deterioration or default.</w:t>
      </w:r>
    </w:p>
    <w:p>
      <w:pPr>
        <w:spacing w:after="0" w:line="33"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The following table displays our multifamily business volumes and our multifamily guaranty book of business, based on certain key risk characteristics that we use to evaluate the risk profile and credit quality of our multifamily loans. For information on our multifamily acquisition policy and underwriting standards, see “MD&amp;A—Multifamily Business—Multifamily Mortgage Credit Risk Management—Multifamily Acquisition Policy and Underwriting Standards” in our 2023 Form 10-K.</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2024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42</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60" w:type="dxa"/>
            <w:vAlign w:val="bottom"/>
            <w:tcBorders>
              <w:bottom w:val="single" w:sz="8" w:color="9A9A9A"/>
            </w:tcBorders>
          </w:tcPr>
          <w:p>
            <w:pPr>
              <w:spacing w:after="0"/>
              <w:rPr>
                <w:sz w:val="17"/>
                <w:szCs w:val="17"/>
                <w:color w:val="auto"/>
              </w:rPr>
            </w:pPr>
          </w:p>
        </w:tc>
        <w:tc>
          <w:tcPr>
            <w:tcW w:w="42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45" w:name="page46"/>
    <w:bookmarkEnd w:id="45"/>
    <w:p>
      <w:pPr>
        <w:ind w:left="6440"/>
        <w:spacing w:after="0"/>
        <w:rPr>
          <w:sz w:val="20"/>
          <w:szCs w:val="20"/>
          <w:color w:val="auto"/>
        </w:rPr>
      </w:pPr>
      <w:r>
        <w:rPr>
          <w:rFonts w:ascii="Arial" w:cs="Arial" w:eastAsia="Arial" w:hAnsi="Arial"/>
          <w:sz w:val="14"/>
          <w:szCs w:val="14"/>
          <w:color w:val="05314D"/>
        </w:rPr>
        <w:t>MD&amp;A | Multifamily Business | Multifamily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right="60"/>
        <w:spacing w:after="0" w:line="272" w:lineRule="auto"/>
        <w:rPr>
          <w:sz w:val="20"/>
          <w:szCs w:val="20"/>
          <w:color w:val="auto"/>
        </w:rPr>
      </w:pPr>
      <w:r>
        <w:rPr>
          <w:rFonts w:ascii="Arial" w:cs="Arial" w:eastAsia="Arial" w:hAnsi="Arial"/>
          <w:sz w:val="16"/>
          <w:szCs w:val="16"/>
          <w:color w:val="auto"/>
        </w:rPr>
        <w:t>We provide additional information on the credit characteristics of our multifamily loans in quarterly financial supplements, which we furnish to the SEC with current reports on Form 8-K and make available on our website. Information in our quarterly financial supplements is not incorporated by reference into this report.</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Key Risk Characteristics of Multifamily Business Volume and Guaranty Book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165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80" w:type="dxa"/>
            <w:vAlign w:val="bottom"/>
            <w:gridSpan w:val="9"/>
          </w:tcPr>
          <w:p>
            <w:pPr>
              <w:jc w:val="center"/>
              <w:ind w:left="331"/>
              <w:spacing w:after="0"/>
              <w:rPr>
                <w:sz w:val="20"/>
                <w:szCs w:val="20"/>
                <w:color w:val="auto"/>
              </w:rPr>
            </w:pPr>
            <w:r>
              <w:rPr>
                <w:rFonts w:ascii="Arial" w:cs="Arial" w:eastAsia="Arial" w:hAnsi="Arial"/>
                <w:sz w:val="14"/>
                <w:szCs w:val="14"/>
                <w:b w:val="1"/>
                <w:bCs w:val="1"/>
                <w:color w:val="auto"/>
                <w:w w:val="96"/>
              </w:rPr>
              <w:t>Multifamily Business Volume at Acquisition</w:t>
            </w:r>
            <w:r>
              <w:rPr>
                <w:rFonts w:ascii="Arial" w:cs="Arial" w:eastAsia="Arial" w:hAnsi="Arial"/>
                <w:sz w:val="17"/>
                <w:szCs w:val="17"/>
                <w:b w:val="1"/>
                <w:bCs w:val="1"/>
                <w:color w:val="auto"/>
                <w:w w:val="96"/>
                <w:vertAlign w:val="superscript"/>
              </w:rPr>
              <w:t>(1)</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2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2C6937"/>
            </w:tcBorders>
          </w:tcPr>
          <w:p>
            <w:pPr>
              <w:spacing w:after="0"/>
              <w:rPr>
                <w:sz w:val="3"/>
                <w:szCs w:val="3"/>
                <w:color w:val="auto"/>
              </w:rPr>
            </w:pPr>
          </w:p>
        </w:tc>
        <w:tc>
          <w:tcPr>
            <w:tcW w:w="680" w:type="dxa"/>
            <w:vAlign w:val="bottom"/>
            <w:tcBorders>
              <w:bottom w:val="single" w:sz="8" w:color="2C6937"/>
            </w:tcBorders>
          </w:tcPr>
          <w:p>
            <w:pPr>
              <w:spacing w:after="0"/>
              <w:rPr>
                <w:sz w:val="3"/>
                <w:szCs w:val="3"/>
                <w:color w:val="auto"/>
              </w:rPr>
            </w:pPr>
          </w:p>
        </w:tc>
        <w:tc>
          <w:tcPr>
            <w:tcW w:w="240" w:type="dxa"/>
            <w:vAlign w:val="bottom"/>
            <w:tcBorders>
              <w:bottom w:val="single" w:sz="8" w:color="2C6937"/>
            </w:tcBorders>
          </w:tcPr>
          <w:p>
            <w:pPr>
              <w:spacing w:after="0"/>
              <w:rPr>
                <w:sz w:val="3"/>
                <w:szCs w:val="3"/>
                <w:color w:val="auto"/>
              </w:rPr>
            </w:pPr>
          </w:p>
        </w:tc>
        <w:tc>
          <w:tcPr>
            <w:tcW w:w="180" w:type="dxa"/>
            <w:vAlign w:val="bottom"/>
            <w:tcBorders>
              <w:bottom w:val="single" w:sz="8" w:color="2C6937"/>
            </w:tcBorders>
          </w:tcPr>
          <w:p>
            <w:pPr>
              <w:spacing w:after="0"/>
              <w:rPr>
                <w:sz w:val="3"/>
                <w:szCs w:val="3"/>
                <w:color w:val="auto"/>
              </w:rPr>
            </w:pPr>
          </w:p>
        </w:tc>
        <w:tc>
          <w:tcPr>
            <w:tcW w:w="680" w:type="dxa"/>
            <w:vAlign w:val="bottom"/>
            <w:tcBorders>
              <w:bottom w:val="single" w:sz="8" w:color="2C6937"/>
            </w:tcBorders>
          </w:tcPr>
          <w:p>
            <w:pPr>
              <w:spacing w:after="0"/>
              <w:rPr>
                <w:sz w:val="3"/>
                <w:szCs w:val="3"/>
                <w:color w:val="auto"/>
              </w:rPr>
            </w:pPr>
          </w:p>
        </w:tc>
        <w:tc>
          <w:tcPr>
            <w:tcW w:w="240" w:type="dxa"/>
            <w:vAlign w:val="bottom"/>
            <w:tcBorders>
              <w:bottom w:val="single" w:sz="8" w:color="2C6937"/>
            </w:tcBorders>
          </w:tcPr>
          <w:p>
            <w:pPr>
              <w:spacing w:after="0"/>
              <w:rPr>
                <w:sz w:val="3"/>
                <w:szCs w:val="3"/>
                <w:color w:val="auto"/>
              </w:rPr>
            </w:pPr>
          </w:p>
        </w:tc>
        <w:tc>
          <w:tcPr>
            <w:tcW w:w="180" w:type="dxa"/>
            <w:vAlign w:val="bottom"/>
            <w:tcBorders>
              <w:bottom w:val="single" w:sz="8" w:color="2C6937"/>
            </w:tcBorders>
          </w:tcPr>
          <w:p>
            <w:pPr>
              <w:spacing w:after="0"/>
              <w:rPr>
                <w:sz w:val="3"/>
                <w:szCs w:val="3"/>
                <w:color w:val="auto"/>
              </w:rPr>
            </w:pPr>
          </w:p>
        </w:tc>
        <w:tc>
          <w:tcPr>
            <w:tcW w:w="660" w:type="dxa"/>
            <w:vAlign w:val="bottom"/>
            <w:tcBorders>
              <w:bottom w:val="single" w:sz="8" w:color="2C6937"/>
            </w:tcBorders>
          </w:tcPr>
          <w:p>
            <w:pPr>
              <w:spacing w:after="0"/>
              <w:rPr>
                <w:sz w:val="3"/>
                <w:szCs w:val="3"/>
                <w:color w:val="auto"/>
              </w:rPr>
            </w:pPr>
          </w:p>
        </w:tc>
        <w:tc>
          <w:tcPr>
            <w:tcW w:w="260" w:type="dxa"/>
            <w:vAlign w:val="bottom"/>
            <w:tcBorders>
              <w:bottom w:val="single" w:sz="8" w:color="2C6937"/>
            </w:tcBorders>
          </w:tcPr>
          <w:p>
            <w:pPr>
              <w:spacing w:after="0"/>
              <w:rPr>
                <w:sz w:val="3"/>
                <w:szCs w:val="3"/>
                <w:color w:val="auto"/>
              </w:rPr>
            </w:pPr>
          </w:p>
        </w:tc>
        <w:tc>
          <w:tcPr>
            <w:tcW w:w="260" w:type="dxa"/>
            <w:vAlign w:val="bottom"/>
            <w:tcBorders>
              <w:bottom w:val="single" w:sz="8" w:color="2C6937"/>
            </w:tcBorders>
          </w:tcPr>
          <w:p>
            <w:pPr>
              <w:spacing w:after="0"/>
              <w:rPr>
                <w:sz w:val="3"/>
                <w:szCs w:val="3"/>
                <w:color w:val="auto"/>
              </w:rPr>
            </w:pPr>
          </w:p>
        </w:tc>
        <w:tc>
          <w:tcPr>
            <w:tcW w:w="580" w:type="dxa"/>
            <w:vAlign w:val="bottom"/>
            <w:tcBorders>
              <w:bottom w:val="single" w:sz="8" w:color="2C6937"/>
            </w:tcBorders>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60" w:type="dxa"/>
            <w:vAlign w:val="bottom"/>
            <w:gridSpan w:val="3"/>
            <w:vMerge w:val="restart"/>
          </w:tcPr>
          <w:p>
            <w:pPr>
              <w:jc w:val="center"/>
              <w:ind w:left="1231"/>
              <w:spacing w:after="0" w:line="155" w:lineRule="exact"/>
              <w:rPr>
                <w:sz w:val="20"/>
                <w:szCs w:val="20"/>
                <w:color w:val="auto"/>
              </w:rPr>
            </w:pPr>
            <w:r>
              <w:rPr>
                <w:rFonts w:ascii="Arial" w:cs="Arial" w:eastAsia="Arial" w:hAnsi="Arial"/>
                <w:sz w:val="14"/>
                <w:szCs w:val="14"/>
                <w:b w:val="1"/>
                <w:bCs w:val="1"/>
                <w:color w:val="auto"/>
                <w:w w:val="98"/>
              </w:rPr>
              <w:t>Multifamily</w:t>
            </w:r>
          </w:p>
        </w:tc>
        <w:tc>
          <w:tcPr>
            <w:tcW w:w="1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2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6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7"/>
              </w:rPr>
              <w:t>For the Three Months Ended</w:t>
            </w:r>
          </w:p>
        </w:tc>
        <w:tc>
          <w:tcPr>
            <w:tcW w:w="240" w:type="dxa"/>
            <w:vAlign w:val="bottom"/>
          </w:tcPr>
          <w:p>
            <w:pPr>
              <w:spacing w:after="0"/>
              <w:rPr>
                <w:sz w:val="8"/>
                <w:szCs w:val="8"/>
                <w:color w:val="auto"/>
              </w:rPr>
            </w:pPr>
          </w:p>
        </w:tc>
        <w:tc>
          <w:tcPr>
            <w:tcW w:w="194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7"/>
              </w:rPr>
              <w:t>For the Nine Months Ended</w:t>
            </w: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5"/>
            <w:vMerge w:val="continue"/>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5"/>
            <w:vMerge w:val="continue"/>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540" w:type="dxa"/>
            <w:vAlign w:val="bottom"/>
            <w:gridSpan w:val="4"/>
          </w:tcPr>
          <w:p>
            <w:pPr>
              <w:jc w:val="center"/>
              <w:ind w:right="111"/>
              <w:spacing w:after="0" w:line="139" w:lineRule="exact"/>
              <w:rPr>
                <w:sz w:val="20"/>
                <w:szCs w:val="20"/>
                <w:color w:val="auto"/>
              </w:rPr>
            </w:pPr>
            <w:r>
              <w:rPr>
                <w:rFonts w:ascii="Arial" w:cs="Arial" w:eastAsia="Arial" w:hAnsi="Arial"/>
                <w:sz w:val="14"/>
                <w:szCs w:val="14"/>
                <w:b w:val="1"/>
                <w:bCs w:val="1"/>
                <w:color w:val="auto"/>
                <w:w w:val="99"/>
              </w:rPr>
              <w:t>Guaranty Book of Business</w:t>
            </w:r>
            <w:r>
              <w:rPr>
                <w:rFonts w:ascii="Arial" w:cs="Arial" w:eastAsia="Arial" w:hAnsi="Arial"/>
                <w:sz w:val="8"/>
                <w:szCs w:val="8"/>
                <w:b w:val="1"/>
                <w:bCs w:val="1"/>
                <w:color w:val="auto"/>
                <w:w w:val="99"/>
              </w:rPr>
              <w:t>(2)</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4"/>
          </w:tcPr>
          <w:p>
            <w:pPr>
              <w:jc w:val="center"/>
              <w:ind w:right="131"/>
              <w:spacing w:after="0"/>
              <w:rPr>
                <w:sz w:val="20"/>
                <w:szCs w:val="20"/>
                <w:color w:val="auto"/>
              </w:rPr>
            </w:pPr>
            <w:r>
              <w:rPr>
                <w:rFonts w:ascii="Arial" w:cs="Arial" w:eastAsia="Arial" w:hAnsi="Arial"/>
                <w:sz w:val="14"/>
                <w:szCs w:val="14"/>
                <w:b w:val="1"/>
                <w:bCs w:val="1"/>
                <w:color w:val="auto"/>
                <w:w w:val="98"/>
              </w:rPr>
              <w:t>September 30,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4"/>
          </w:tcPr>
          <w:p>
            <w:pPr>
              <w:jc w:val="center"/>
              <w:ind w:right="111"/>
              <w:spacing w:after="0"/>
              <w:rPr>
                <w:sz w:val="20"/>
                <w:szCs w:val="20"/>
                <w:color w:val="auto"/>
              </w:rPr>
            </w:pPr>
            <w:r>
              <w:rPr>
                <w:rFonts w:ascii="Arial" w:cs="Arial" w:eastAsia="Arial" w:hAnsi="Arial"/>
                <w:sz w:val="14"/>
                <w:szCs w:val="14"/>
                <w:b w:val="1"/>
                <w:bCs w:val="1"/>
                <w:color w:val="auto"/>
                <w:w w:val="98"/>
              </w:rPr>
              <w:t>September 30,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3"/>
            <w:vMerge w:val="restart"/>
          </w:tcPr>
          <w:p>
            <w:pPr>
              <w:jc w:val="center"/>
              <w:ind w:left="1251"/>
              <w:spacing w:after="0"/>
              <w:rPr>
                <w:sz w:val="20"/>
                <w:szCs w:val="20"/>
                <w:color w:val="auto"/>
              </w:rPr>
            </w:pPr>
            <w:r>
              <w:rPr>
                <w:rFonts w:ascii="Arial" w:cs="Arial" w:eastAsia="Arial" w:hAnsi="Arial"/>
                <w:sz w:val="14"/>
                <w:szCs w:val="14"/>
                <w:b w:val="1"/>
                <w:bCs w:val="1"/>
                <w:color w:val="auto"/>
                <w:w w:val="97"/>
              </w:rPr>
              <w:t>As of</w:t>
            </w: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2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2C6937"/>
            </w:tcBorders>
          </w:tcPr>
          <w:p>
            <w:pPr>
              <w:spacing w:after="0"/>
              <w:rPr>
                <w:sz w:val="4"/>
                <w:szCs w:val="4"/>
                <w:color w:val="auto"/>
              </w:rPr>
            </w:pPr>
          </w:p>
        </w:tc>
        <w:tc>
          <w:tcPr>
            <w:tcW w:w="680" w:type="dxa"/>
            <w:vAlign w:val="bottom"/>
            <w:tcBorders>
              <w:bottom w:val="single" w:sz="8" w:color="2C6937"/>
            </w:tcBorders>
          </w:tcPr>
          <w:p>
            <w:pPr>
              <w:spacing w:after="0"/>
              <w:rPr>
                <w:sz w:val="4"/>
                <w:szCs w:val="4"/>
                <w:color w:val="auto"/>
              </w:rPr>
            </w:pPr>
          </w:p>
        </w:tc>
        <w:tc>
          <w:tcPr>
            <w:tcW w:w="240" w:type="dxa"/>
            <w:vAlign w:val="bottom"/>
            <w:tcBorders>
              <w:bottom w:val="single" w:sz="8" w:color="2C6937"/>
            </w:tcBorders>
          </w:tcPr>
          <w:p>
            <w:pPr>
              <w:spacing w:after="0"/>
              <w:rPr>
                <w:sz w:val="4"/>
                <w:szCs w:val="4"/>
                <w:color w:val="auto"/>
              </w:rPr>
            </w:pPr>
          </w:p>
        </w:tc>
        <w:tc>
          <w:tcPr>
            <w:tcW w:w="180" w:type="dxa"/>
            <w:vAlign w:val="bottom"/>
            <w:tcBorders>
              <w:bottom w:val="single" w:sz="8" w:color="2C6937"/>
            </w:tcBorders>
          </w:tcPr>
          <w:p>
            <w:pPr>
              <w:spacing w:after="0"/>
              <w:rPr>
                <w:sz w:val="4"/>
                <w:szCs w:val="4"/>
                <w:color w:val="auto"/>
              </w:rPr>
            </w:pPr>
          </w:p>
        </w:tc>
        <w:tc>
          <w:tcPr>
            <w:tcW w:w="680" w:type="dxa"/>
            <w:vAlign w:val="bottom"/>
            <w:tcBorders>
              <w:bottom w:val="single" w:sz="8" w:color="2C6937"/>
            </w:tcBorders>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Borders>
              <w:bottom w:val="single" w:sz="8" w:color="2C6937"/>
            </w:tcBorders>
          </w:tcPr>
          <w:p>
            <w:pPr>
              <w:spacing w:after="0"/>
              <w:rPr>
                <w:sz w:val="4"/>
                <w:szCs w:val="4"/>
                <w:color w:val="auto"/>
              </w:rPr>
            </w:pPr>
          </w:p>
        </w:tc>
        <w:tc>
          <w:tcPr>
            <w:tcW w:w="660" w:type="dxa"/>
            <w:vAlign w:val="bottom"/>
            <w:tcBorders>
              <w:bottom w:val="single" w:sz="8" w:color="2C6937"/>
            </w:tcBorders>
          </w:tcPr>
          <w:p>
            <w:pPr>
              <w:spacing w:after="0"/>
              <w:rPr>
                <w:sz w:val="4"/>
                <w:szCs w:val="4"/>
                <w:color w:val="auto"/>
              </w:rPr>
            </w:pPr>
          </w:p>
        </w:tc>
        <w:tc>
          <w:tcPr>
            <w:tcW w:w="260" w:type="dxa"/>
            <w:vAlign w:val="bottom"/>
            <w:tcBorders>
              <w:bottom w:val="single" w:sz="8" w:color="2C6937"/>
            </w:tcBorders>
          </w:tcPr>
          <w:p>
            <w:pPr>
              <w:spacing w:after="0"/>
              <w:rPr>
                <w:sz w:val="4"/>
                <w:szCs w:val="4"/>
                <w:color w:val="auto"/>
              </w:rPr>
            </w:pPr>
          </w:p>
        </w:tc>
        <w:tc>
          <w:tcPr>
            <w:tcW w:w="260" w:type="dxa"/>
            <w:vAlign w:val="bottom"/>
            <w:tcBorders>
              <w:bottom w:val="single" w:sz="8" w:color="2C6937"/>
            </w:tcBorders>
          </w:tcPr>
          <w:p>
            <w:pPr>
              <w:spacing w:after="0"/>
              <w:rPr>
                <w:sz w:val="4"/>
                <w:szCs w:val="4"/>
                <w:color w:val="auto"/>
              </w:rPr>
            </w:pPr>
          </w:p>
        </w:tc>
        <w:tc>
          <w:tcPr>
            <w:tcW w:w="580" w:type="dxa"/>
            <w:vAlign w:val="bottom"/>
            <w:tcBorders>
              <w:bottom w:val="single" w:sz="8" w:color="2C6937"/>
            </w:tcBorders>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Borders>
              <w:bottom w:val="single" w:sz="8" w:color="2C6937"/>
            </w:tcBorders>
          </w:tcPr>
          <w:p>
            <w:pPr>
              <w:spacing w:after="0"/>
              <w:rPr>
                <w:sz w:val="4"/>
                <w:szCs w:val="4"/>
                <w:color w:val="auto"/>
              </w:rPr>
            </w:pPr>
          </w:p>
        </w:tc>
        <w:tc>
          <w:tcPr>
            <w:tcW w:w="2060" w:type="dxa"/>
            <w:vAlign w:val="bottom"/>
            <w:tcBorders>
              <w:bottom w:val="single" w:sz="8" w:color="2C6937"/>
            </w:tcBorders>
            <w:gridSpan w:val="3"/>
            <w:vMerge w:val="continue"/>
          </w:tcPr>
          <w:p>
            <w:pPr>
              <w:spacing w:after="0"/>
              <w:rPr>
                <w:sz w:val="4"/>
                <w:szCs w:val="4"/>
                <w:color w:val="auto"/>
              </w:rPr>
            </w:pPr>
          </w:p>
        </w:tc>
        <w:tc>
          <w:tcPr>
            <w:tcW w:w="1480" w:type="dxa"/>
            <w:vAlign w:val="bottom"/>
            <w:tcBorders>
              <w:bottom w:val="single" w:sz="8" w:color="2C6937"/>
            </w:tcBorders>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ind w:right="211"/>
              <w:spacing w:after="0"/>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ind w:right="211"/>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jc w:val="right"/>
              <w:ind w:right="191"/>
              <w:spacing w:after="0"/>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580" w:type="dxa"/>
            <w:vAlign w:val="bottom"/>
            <w:tcBorders>
              <w:bottom w:val="single" w:sz="8" w:color="2C6937"/>
            </w:tcBorders>
          </w:tcPr>
          <w:p>
            <w:pPr>
              <w:jc w:val="right"/>
              <w:ind w:right="211"/>
              <w:spacing w:after="0"/>
              <w:rPr>
                <w:sz w:val="20"/>
                <w:szCs w:val="20"/>
                <w:color w:val="auto"/>
              </w:rPr>
            </w:pPr>
            <w:r>
              <w:rPr>
                <w:rFonts w:ascii="Arial" w:cs="Arial" w:eastAsia="Arial" w:hAnsi="Arial"/>
                <w:sz w:val="14"/>
                <w:szCs w:val="14"/>
                <w:b w:val="1"/>
                <w:bCs w:val="1"/>
                <w:color w:val="auto"/>
                <w:w w:val="89"/>
              </w:rPr>
              <w:t>2023</w:t>
            </w:r>
          </w:p>
        </w:tc>
        <w:tc>
          <w:tcPr>
            <w:tcW w:w="24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1600" w:type="dxa"/>
            <w:vAlign w:val="bottom"/>
            <w:tcBorders>
              <w:bottom w:val="single" w:sz="8" w:color="2C6937"/>
            </w:tcBorders>
          </w:tcPr>
          <w:p>
            <w:pPr>
              <w:jc w:val="right"/>
              <w:ind w:right="171"/>
              <w:spacing w:after="0"/>
              <w:rPr>
                <w:sz w:val="20"/>
                <w:szCs w:val="20"/>
                <w:color w:val="auto"/>
              </w:rPr>
            </w:pPr>
            <w:r>
              <w:rPr>
                <w:rFonts w:ascii="Arial" w:cs="Arial" w:eastAsia="Arial" w:hAnsi="Arial"/>
                <w:sz w:val="14"/>
                <w:szCs w:val="14"/>
                <w:b w:val="1"/>
                <w:bCs w:val="1"/>
                <w:color w:val="auto"/>
              </w:rPr>
              <w:t>September 30, 2024</w:t>
            </w:r>
          </w:p>
        </w:tc>
        <w:tc>
          <w:tcPr>
            <w:tcW w:w="24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1480" w:type="dxa"/>
            <w:vAlign w:val="bottom"/>
            <w:tcBorders>
              <w:bottom w:val="single" w:sz="8" w:color="2C6937"/>
            </w:tcBorders>
          </w:tcPr>
          <w:p>
            <w:pPr>
              <w:jc w:val="right"/>
              <w:ind w:right="171"/>
              <w:spacing w:after="0"/>
              <w:rPr>
                <w:sz w:val="20"/>
                <w:szCs w:val="20"/>
                <w:color w:val="auto"/>
              </w:rPr>
            </w:pPr>
            <w:r>
              <w:rPr>
                <w:rFonts w:ascii="Arial" w:cs="Arial" w:eastAsia="Arial" w:hAnsi="Arial"/>
                <w:sz w:val="14"/>
                <w:szCs w:val="14"/>
                <w:b w:val="1"/>
                <w:bCs w:val="1"/>
                <w:color w:val="auto"/>
                <w:w w:val="96"/>
              </w:rPr>
              <w:t>December 31, 2023</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900" w:type="dxa"/>
            <w:vAlign w:val="bottom"/>
            <w:gridSpan w:val="2"/>
          </w:tcPr>
          <w:p>
            <w:pPr>
              <w:ind w:left="20"/>
              <w:spacing w:after="0"/>
              <w:rPr>
                <w:sz w:val="20"/>
                <w:szCs w:val="20"/>
                <w:color w:val="auto"/>
              </w:rPr>
            </w:pPr>
            <w:r>
              <w:rPr>
                <w:rFonts w:ascii="Arial" w:cs="Arial" w:eastAsia="Arial" w:hAnsi="Arial"/>
                <w:sz w:val="14"/>
                <w:szCs w:val="14"/>
                <w:b w:val="1"/>
                <w:bCs w:val="1"/>
                <w:color w:val="auto"/>
              </w:rPr>
              <w:t>LTV ratio:</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900" w:type="dxa"/>
            <w:vAlign w:val="bottom"/>
            <w:gridSpan w:val="2"/>
          </w:tcPr>
          <w:p>
            <w:pPr>
              <w:ind w:left="120"/>
              <w:spacing w:after="0"/>
              <w:rPr>
                <w:sz w:val="20"/>
                <w:szCs w:val="20"/>
                <w:color w:val="auto"/>
              </w:rPr>
            </w:pPr>
            <w:r>
              <w:rPr>
                <w:rFonts w:ascii="Arial" w:cs="Arial" w:eastAsia="Arial" w:hAnsi="Arial"/>
                <w:sz w:val="14"/>
                <w:szCs w:val="14"/>
                <w:color w:val="auto"/>
              </w:rPr>
              <w:t>Weighted-average original LTV ratio</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61</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180" w:type="dxa"/>
            <w:vAlign w:val="bottom"/>
          </w:tcPr>
          <w:p>
            <w:pPr>
              <w:spacing w:after="0"/>
              <w:rPr>
                <w:sz w:val="20"/>
                <w:szCs w:val="20"/>
                <w:color w:val="auto"/>
              </w:rPr>
            </w:pPr>
          </w:p>
        </w:tc>
        <w:tc>
          <w:tcPr>
            <w:tcW w:w="680" w:type="dxa"/>
            <w:vAlign w:val="bottom"/>
          </w:tcPr>
          <w:p>
            <w:pPr>
              <w:jc w:val="right"/>
              <w:ind w:right="11"/>
              <w:spacing w:after="0"/>
              <w:rPr>
                <w:sz w:val="20"/>
                <w:szCs w:val="20"/>
                <w:color w:val="auto"/>
              </w:rPr>
            </w:pPr>
            <w:r>
              <w:rPr>
                <w:rFonts w:ascii="Arial" w:cs="Arial" w:eastAsia="Arial" w:hAnsi="Arial"/>
                <w:sz w:val="14"/>
                <w:szCs w:val="14"/>
                <w:color w:val="auto"/>
              </w:rPr>
              <w:t>58</w:t>
            </w:r>
          </w:p>
        </w:tc>
        <w:tc>
          <w:tcPr>
            <w:tcW w:w="240" w:type="dxa"/>
            <w:vAlign w:val="bottom"/>
          </w:tcPr>
          <w:p>
            <w:pPr>
              <w:jc w:val="center"/>
              <w:spacing w:after="0"/>
              <w:rPr>
                <w:sz w:val="20"/>
                <w:szCs w:val="20"/>
                <w:color w:val="auto"/>
              </w:rPr>
            </w:pPr>
            <w:r>
              <w:rPr>
                <w:rFonts w:ascii="Arial" w:cs="Arial" w:eastAsia="Arial" w:hAnsi="Arial"/>
                <w:sz w:val="14"/>
                <w:szCs w:val="14"/>
                <w:color w:val="auto"/>
                <w:w w:val="96"/>
              </w:rPr>
              <w:t>%</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61</w:t>
            </w:r>
          </w:p>
        </w:tc>
        <w:tc>
          <w:tcPr>
            <w:tcW w:w="2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59</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0"/>
                <w:szCs w:val="20"/>
                <w:color w:val="auto"/>
              </w:rPr>
            </w:pPr>
          </w:p>
        </w:tc>
        <w:tc>
          <w:tcPr>
            <w:tcW w:w="1600" w:type="dxa"/>
            <w:vAlign w:val="bottom"/>
          </w:tcPr>
          <w:p>
            <w:pPr>
              <w:jc w:val="right"/>
              <w:ind w:right="11"/>
              <w:spacing w:after="0"/>
              <w:rPr>
                <w:sz w:val="20"/>
                <w:szCs w:val="20"/>
                <w:color w:val="auto"/>
              </w:rPr>
            </w:pPr>
            <w:r>
              <w:rPr>
                <w:rFonts w:ascii="Arial" w:cs="Arial" w:eastAsia="Arial" w:hAnsi="Arial"/>
                <w:sz w:val="14"/>
                <w:szCs w:val="14"/>
                <w:b w:val="1"/>
                <w:bCs w:val="1"/>
                <w:color w:val="auto"/>
              </w:rPr>
              <w:t>63</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2900" w:type="dxa"/>
            <w:vAlign w:val="bottom"/>
            <w:gridSpan w:val="2"/>
          </w:tcPr>
          <w:p>
            <w:pPr>
              <w:ind w:left="20"/>
              <w:spacing w:after="0"/>
              <w:rPr>
                <w:sz w:val="20"/>
                <w:szCs w:val="20"/>
                <w:color w:val="auto"/>
              </w:rPr>
            </w:pPr>
            <w:r>
              <w:rPr>
                <w:rFonts w:ascii="Arial" w:cs="Arial" w:eastAsia="Arial" w:hAnsi="Arial"/>
                <w:sz w:val="14"/>
                <w:szCs w:val="14"/>
                <w:b w:val="1"/>
                <w:bCs w:val="1"/>
                <w:color w:val="auto"/>
              </w:rPr>
              <w:t>DSCR:</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900" w:type="dxa"/>
            <w:vAlign w:val="bottom"/>
            <w:gridSpan w:val="2"/>
          </w:tcPr>
          <w:p>
            <w:pPr>
              <w:ind w:left="120"/>
              <w:spacing w:after="0"/>
              <w:rPr>
                <w:sz w:val="20"/>
                <w:szCs w:val="20"/>
                <w:color w:val="auto"/>
              </w:rPr>
            </w:pPr>
            <w:r>
              <w:rPr>
                <w:rFonts w:ascii="Arial" w:cs="Arial" w:eastAsia="Arial" w:hAnsi="Arial"/>
                <w:sz w:val="14"/>
                <w:szCs w:val="14"/>
                <w:color w:val="auto"/>
              </w:rPr>
              <w:t>Weighted-average DSCR</w:t>
            </w:r>
            <w:r>
              <w:rPr>
                <w:rFonts w:ascii="Arial" w:cs="Arial" w:eastAsia="Arial" w:hAnsi="Arial"/>
                <w:sz w:val="17"/>
                <w:szCs w:val="17"/>
                <w:color w:val="auto"/>
                <w:vertAlign w:val="superscript"/>
              </w:rPr>
              <w:t>(3)</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4"/>
                <w:szCs w:val="14"/>
                <w:color w:val="auto"/>
              </w:rPr>
              <w:t>1.6</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4"/>
                <w:szCs w:val="14"/>
                <w:b w:val="1"/>
                <w:bCs w:val="1"/>
                <w:color w:val="auto"/>
              </w:rPr>
              <w:t>2.0</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900" w:type="dxa"/>
            <w:vAlign w:val="bottom"/>
            <w:gridSpan w:val="2"/>
          </w:tcPr>
          <w:p>
            <w:pPr>
              <w:ind w:left="120"/>
              <w:spacing w:after="0"/>
              <w:rPr>
                <w:sz w:val="20"/>
                <w:szCs w:val="20"/>
                <w:color w:val="auto"/>
              </w:rPr>
            </w:pPr>
            <w:r>
              <w:rPr>
                <w:rFonts w:ascii="Arial" w:cs="Arial" w:eastAsia="Arial" w:hAnsi="Arial"/>
                <w:sz w:val="14"/>
                <w:szCs w:val="14"/>
                <w:color w:val="auto"/>
              </w:rPr>
              <w:t>Current DSCR below 1.0</w:t>
            </w:r>
            <w:r>
              <w:rPr>
                <w:rFonts w:ascii="Arial" w:cs="Arial" w:eastAsia="Arial" w:hAnsi="Arial"/>
                <w:sz w:val="17"/>
                <w:szCs w:val="17"/>
                <w:color w:val="auto"/>
                <w:vertAlign w:val="superscript"/>
              </w:rPr>
              <w:t>(3)</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N/A</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N/A</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N/A</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N/A</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ind w:right="11"/>
              <w:spacing w:after="0"/>
              <w:rPr>
                <w:sz w:val="20"/>
                <w:szCs w:val="20"/>
                <w:color w:val="auto"/>
              </w:rPr>
            </w:pPr>
            <w:r>
              <w:rPr>
                <w:rFonts w:ascii="Arial" w:cs="Arial" w:eastAsia="Arial" w:hAnsi="Arial"/>
                <w:sz w:val="14"/>
                <w:szCs w:val="14"/>
                <w:b w:val="1"/>
                <w:bCs w:val="1"/>
                <w:color w:val="auto"/>
              </w:rPr>
              <w:t>6</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900" w:type="dxa"/>
            <w:vAlign w:val="bottom"/>
            <w:gridSpan w:val="2"/>
          </w:tcPr>
          <w:p>
            <w:pPr>
              <w:ind w:left="20"/>
              <w:spacing w:after="0"/>
              <w:rPr>
                <w:sz w:val="20"/>
                <w:szCs w:val="20"/>
                <w:color w:val="auto"/>
              </w:rPr>
            </w:pPr>
            <w:r>
              <w:rPr>
                <w:rFonts w:ascii="Arial" w:cs="Arial" w:eastAsia="Arial" w:hAnsi="Arial"/>
                <w:sz w:val="14"/>
                <w:szCs w:val="14"/>
                <w:b w:val="1"/>
                <w:bCs w:val="1"/>
                <w:color w:val="auto"/>
              </w:rPr>
              <w:t>Loan amount and count:</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900" w:type="dxa"/>
            <w:vAlign w:val="bottom"/>
            <w:gridSpan w:val="2"/>
          </w:tcPr>
          <w:p>
            <w:pPr>
              <w:ind w:left="120"/>
              <w:spacing w:after="0"/>
              <w:rPr>
                <w:sz w:val="20"/>
                <w:szCs w:val="20"/>
                <w:color w:val="auto"/>
              </w:rPr>
            </w:pPr>
            <w:r>
              <w:rPr>
                <w:rFonts w:ascii="Arial" w:cs="Arial" w:eastAsia="Arial" w:hAnsi="Arial"/>
                <w:sz w:val="14"/>
                <w:szCs w:val="14"/>
                <w:color w:val="auto"/>
              </w:rPr>
              <w:t>Average loan amount (in millions)</w:t>
            </w:r>
          </w:p>
        </w:tc>
        <w:tc>
          <w:tcPr>
            <w:tcW w:w="180" w:type="dxa"/>
            <w:vAlign w:val="bottom"/>
          </w:tcPr>
          <w:p>
            <w:pPr>
              <w:jc w:val="right"/>
              <w:ind w:right="11"/>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20</w:t>
            </w:r>
          </w:p>
        </w:tc>
        <w:tc>
          <w:tcPr>
            <w:tcW w:w="4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1"/>
              <w:spacing w:after="0"/>
              <w:rPr>
                <w:sz w:val="20"/>
                <w:szCs w:val="20"/>
                <w:color w:val="auto"/>
              </w:rPr>
            </w:pPr>
            <w:r>
              <w:rPr>
                <w:rFonts w:ascii="Arial" w:cs="Arial" w:eastAsia="Arial" w:hAnsi="Arial"/>
                <w:sz w:val="14"/>
                <w:szCs w:val="14"/>
                <w:color w:val="auto"/>
              </w:rPr>
              <w:t>19</w:t>
            </w:r>
          </w:p>
        </w:tc>
        <w:tc>
          <w:tcPr>
            <w:tcW w:w="240" w:type="dxa"/>
            <w:vAlign w:val="bottom"/>
          </w:tcPr>
          <w:p>
            <w:pPr>
              <w:spacing w:after="0"/>
              <w:rPr>
                <w:sz w:val="19"/>
                <w:szCs w:val="19"/>
                <w:color w:val="auto"/>
              </w:rPr>
            </w:pPr>
          </w:p>
        </w:tc>
        <w:tc>
          <w:tcPr>
            <w:tcW w:w="180" w:type="dxa"/>
            <w:vAlign w:val="bottom"/>
          </w:tcPr>
          <w:p>
            <w:pPr>
              <w:jc w:val="right"/>
              <w:ind w:right="31"/>
              <w:spacing w:after="0"/>
              <w:rPr>
                <w:sz w:val="20"/>
                <w:szCs w:val="20"/>
                <w:color w:val="auto"/>
              </w:rPr>
            </w:pPr>
            <w:r>
              <w:rPr>
                <w:rFonts w:ascii="Arial" w:cs="Arial" w:eastAsia="Arial" w:hAnsi="Arial"/>
                <w:sz w:val="14"/>
                <w:szCs w:val="14"/>
                <w:b w:val="1"/>
                <w:bCs w:val="1"/>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19</w:t>
            </w: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19</w:t>
            </w:r>
          </w:p>
        </w:tc>
        <w:tc>
          <w:tcPr>
            <w:tcW w:w="4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1600" w:type="dxa"/>
            <w:vAlign w:val="bottom"/>
          </w:tcPr>
          <w:p>
            <w:pPr>
              <w:jc w:val="right"/>
              <w:ind w:right="11"/>
              <w:spacing w:after="0"/>
              <w:rPr>
                <w:sz w:val="20"/>
                <w:szCs w:val="20"/>
                <w:color w:val="auto"/>
              </w:rPr>
            </w:pPr>
            <w:r>
              <w:rPr>
                <w:rFonts w:ascii="Arial" w:cs="Arial" w:eastAsia="Arial" w:hAnsi="Arial"/>
                <w:sz w:val="14"/>
                <w:szCs w:val="14"/>
                <w:b w:val="1"/>
                <w:bCs w:val="1"/>
                <w:color w:val="auto"/>
              </w:rPr>
              <w:t>17</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16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900" w:type="dxa"/>
            <w:vAlign w:val="bottom"/>
            <w:gridSpan w:val="2"/>
          </w:tcPr>
          <w:p>
            <w:pPr>
              <w:ind w:left="120"/>
              <w:spacing w:after="0"/>
              <w:rPr>
                <w:sz w:val="20"/>
                <w:szCs w:val="20"/>
                <w:color w:val="auto"/>
              </w:rPr>
            </w:pPr>
            <w:r>
              <w:rPr>
                <w:rFonts w:ascii="Arial" w:cs="Arial" w:eastAsia="Arial" w:hAnsi="Arial"/>
                <w:sz w:val="14"/>
                <w:szCs w:val="14"/>
                <w:color w:val="auto"/>
              </w:rPr>
              <w:t>Loan count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661</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11"/>
              <w:spacing w:after="0"/>
              <w:rPr>
                <w:sz w:val="20"/>
                <w:szCs w:val="20"/>
                <w:color w:val="auto"/>
              </w:rPr>
            </w:pPr>
            <w:r>
              <w:rPr>
                <w:rFonts w:ascii="Arial" w:cs="Arial" w:eastAsia="Arial" w:hAnsi="Arial"/>
                <w:sz w:val="14"/>
                <w:szCs w:val="14"/>
                <w:color w:val="auto"/>
              </w:rPr>
              <w:t>854</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1,744</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2,247</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ind w:right="11"/>
              <w:spacing w:after="0"/>
              <w:rPr>
                <w:sz w:val="20"/>
                <w:szCs w:val="20"/>
                <w:color w:val="auto"/>
              </w:rPr>
            </w:pPr>
            <w:r>
              <w:rPr>
                <w:rFonts w:ascii="Arial" w:cs="Arial" w:eastAsia="Arial" w:hAnsi="Arial"/>
                <w:sz w:val="14"/>
                <w:szCs w:val="14"/>
                <w:b w:val="1"/>
                <w:bCs w:val="1"/>
                <w:color w:val="auto"/>
              </w:rPr>
              <w:t>29,405</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28,926</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900" w:type="dxa"/>
            <w:vAlign w:val="bottom"/>
            <w:gridSpan w:val="2"/>
          </w:tcPr>
          <w:p>
            <w:pPr>
              <w:ind w:left="20"/>
              <w:spacing w:after="0"/>
              <w:rPr>
                <w:sz w:val="20"/>
                <w:szCs w:val="20"/>
                <w:color w:val="auto"/>
              </w:rPr>
            </w:pPr>
            <w:r>
              <w:rPr>
                <w:rFonts w:ascii="Arial" w:cs="Arial" w:eastAsia="Arial" w:hAnsi="Arial"/>
                <w:sz w:val="14"/>
                <w:szCs w:val="14"/>
                <w:b w:val="1"/>
                <w:bCs w:val="1"/>
                <w:color w:val="auto"/>
              </w:rPr>
              <w:t>Interest rate type:</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900" w:type="dxa"/>
            <w:vAlign w:val="bottom"/>
            <w:gridSpan w:val="2"/>
          </w:tcPr>
          <w:p>
            <w:pPr>
              <w:ind w:left="140"/>
              <w:spacing w:after="0"/>
              <w:rPr>
                <w:sz w:val="20"/>
                <w:szCs w:val="20"/>
                <w:color w:val="auto"/>
              </w:rPr>
            </w:pPr>
            <w:r>
              <w:rPr>
                <w:rFonts w:ascii="Arial" w:cs="Arial" w:eastAsia="Arial" w:hAnsi="Arial"/>
                <w:sz w:val="14"/>
                <w:szCs w:val="14"/>
                <w:color w:val="auto"/>
              </w:rPr>
              <w:t>Fixed interest rate</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180" w:type="dxa"/>
            <w:vAlign w:val="bottom"/>
          </w:tcPr>
          <w:p>
            <w:pPr>
              <w:spacing w:after="0"/>
              <w:rPr>
                <w:sz w:val="17"/>
                <w:szCs w:val="17"/>
                <w:color w:val="auto"/>
              </w:rPr>
            </w:pPr>
          </w:p>
        </w:tc>
        <w:tc>
          <w:tcPr>
            <w:tcW w:w="680" w:type="dxa"/>
            <w:vAlign w:val="bottom"/>
          </w:tcPr>
          <w:p>
            <w:pPr>
              <w:jc w:val="right"/>
              <w:ind w:right="11"/>
              <w:spacing w:after="0"/>
              <w:rPr>
                <w:sz w:val="20"/>
                <w:szCs w:val="20"/>
                <w:color w:val="auto"/>
              </w:rPr>
            </w:pPr>
            <w:r>
              <w:rPr>
                <w:rFonts w:ascii="Arial" w:cs="Arial" w:eastAsia="Arial" w:hAnsi="Arial"/>
                <w:sz w:val="14"/>
                <w:szCs w:val="14"/>
                <w:color w:val="auto"/>
              </w:rPr>
              <w:t>98</w:t>
            </w:r>
          </w:p>
        </w:tc>
        <w:tc>
          <w:tcPr>
            <w:tcW w:w="240" w:type="dxa"/>
            <w:vAlign w:val="bottom"/>
          </w:tcPr>
          <w:p>
            <w:pPr>
              <w:jc w:val="center"/>
              <w:spacing w:after="0"/>
              <w:rPr>
                <w:sz w:val="20"/>
                <w:szCs w:val="20"/>
                <w:color w:val="auto"/>
              </w:rPr>
            </w:pPr>
            <w:r>
              <w:rPr>
                <w:rFonts w:ascii="Arial" w:cs="Arial" w:eastAsia="Arial" w:hAnsi="Arial"/>
                <w:sz w:val="14"/>
                <w:szCs w:val="14"/>
                <w:color w:val="auto"/>
                <w:w w:val="96"/>
              </w:rPr>
              <w: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99</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600" w:type="dxa"/>
            <w:vAlign w:val="bottom"/>
          </w:tcPr>
          <w:p>
            <w:pPr>
              <w:jc w:val="right"/>
              <w:ind w:right="11"/>
              <w:spacing w:after="0"/>
              <w:rPr>
                <w:sz w:val="20"/>
                <w:szCs w:val="20"/>
                <w:color w:val="auto"/>
              </w:rPr>
            </w:pPr>
            <w:r>
              <w:rPr>
                <w:rFonts w:ascii="Arial" w:cs="Arial" w:eastAsia="Arial" w:hAnsi="Arial"/>
                <w:sz w:val="14"/>
                <w:szCs w:val="14"/>
                <w:b w:val="1"/>
                <w:bCs w:val="1"/>
                <w:color w:val="auto"/>
              </w:rPr>
              <w:t>92</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280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Adjustable interest rate</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16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8</w:t>
            </w:r>
          </w:p>
        </w:tc>
        <w:tc>
          <w:tcPr>
            <w:tcW w:w="24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14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800" w:type="dxa"/>
            <w:vAlign w:val="bottom"/>
            <w:tcBorders>
              <w:bottom w:val="single" w:sz="8" w:color="2C6937"/>
            </w:tcBorders>
          </w:tcPr>
          <w:p>
            <w:pPr>
              <w:ind w:left="2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100</w:t>
            </w:r>
          </w:p>
        </w:tc>
        <w:tc>
          <w:tcPr>
            <w:tcW w:w="240" w:type="dxa"/>
            <w:vAlign w:val="bottom"/>
          </w:tcPr>
          <w:p>
            <w:pPr>
              <w:jc w:val="center"/>
              <w:spacing w:after="0"/>
              <w:rPr>
                <w:sz w:val="20"/>
                <w:szCs w:val="20"/>
                <w:color w:val="auto"/>
              </w:rPr>
            </w:pPr>
            <w:r>
              <w:rPr>
                <w:rFonts w:ascii="Arial" w:cs="Arial" w:eastAsia="Arial" w:hAnsi="Arial"/>
                <w:sz w:val="14"/>
                <w:szCs w:val="14"/>
                <w:color w:val="auto"/>
                <w:w w:val="96"/>
              </w:rPr>
              <w:t>%</w:t>
            </w:r>
          </w:p>
        </w:tc>
        <w:tc>
          <w:tcPr>
            <w:tcW w:w="18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2C6937"/>
            </w:tcBorders>
          </w:tcPr>
          <w:p>
            <w:pPr>
              <w:spacing w:after="0"/>
              <w:rPr>
                <w:sz w:val="16"/>
                <w:szCs w:val="16"/>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2C6937"/>
            </w:tcBorders>
          </w:tcPr>
          <w:p>
            <w:pPr>
              <w:spacing w:after="0"/>
              <w:rPr>
                <w:sz w:val="16"/>
                <w:szCs w:val="16"/>
                <w:color w:val="auto"/>
              </w:rPr>
            </w:pPr>
          </w:p>
        </w:tc>
        <w:tc>
          <w:tcPr>
            <w:tcW w:w="16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2C6937"/>
            </w:tcBorders>
          </w:tcPr>
          <w:p>
            <w:pPr>
              <w:spacing w:after="0"/>
              <w:rPr>
                <w:sz w:val="16"/>
                <w:szCs w:val="16"/>
                <w:color w:val="auto"/>
              </w:rPr>
            </w:pPr>
          </w:p>
        </w:tc>
        <w:tc>
          <w:tcPr>
            <w:tcW w:w="14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18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
        </w:trPr>
        <w:tc>
          <w:tcPr>
            <w:tcW w:w="28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66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2C6937"/>
            </w:tcBorders>
          </w:tcPr>
          <w:p>
            <w:pPr>
              <w:spacing w:after="0" w:line="20" w:lineRule="exact"/>
              <w:rPr>
                <w:sz w:val="1"/>
                <w:szCs w:val="1"/>
                <w:color w:val="auto"/>
              </w:rPr>
            </w:pPr>
          </w:p>
        </w:tc>
        <w:tc>
          <w:tcPr>
            <w:tcW w:w="58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16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2C6937"/>
            </w:tcBorders>
          </w:tcPr>
          <w:p>
            <w:pPr>
              <w:spacing w:after="0" w:line="20" w:lineRule="exact"/>
              <w:rPr>
                <w:sz w:val="1"/>
                <w:szCs w:val="1"/>
                <w:color w:val="auto"/>
              </w:rPr>
            </w:pPr>
          </w:p>
        </w:tc>
        <w:tc>
          <w:tcPr>
            <w:tcW w:w="1480" w:type="dxa"/>
            <w:vAlign w:val="bottom"/>
            <w:tcBorders>
              <w:bottom w:val="single" w:sz="8" w:color="2C6937"/>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9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 type:</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900" w:type="dxa"/>
            <w:vAlign w:val="bottom"/>
            <w:gridSpan w:val="2"/>
          </w:tcPr>
          <w:p>
            <w:pPr>
              <w:ind w:left="140"/>
              <w:spacing w:after="0"/>
              <w:rPr>
                <w:sz w:val="20"/>
                <w:szCs w:val="20"/>
                <w:color w:val="auto"/>
              </w:rPr>
            </w:pPr>
            <w:r>
              <w:rPr>
                <w:rFonts w:ascii="Arial" w:cs="Arial" w:eastAsia="Arial" w:hAnsi="Arial"/>
                <w:sz w:val="14"/>
                <w:szCs w:val="14"/>
                <w:color w:val="auto"/>
              </w:rPr>
              <w:t>Full interest-only</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65</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180" w:type="dxa"/>
            <w:vAlign w:val="bottom"/>
          </w:tcPr>
          <w:p>
            <w:pPr>
              <w:spacing w:after="0"/>
              <w:rPr>
                <w:sz w:val="16"/>
                <w:szCs w:val="16"/>
                <w:color w:val="auto"/>
              </w:rPr>
            </w:pPr>
          </w:p>
        </w:tc>
        <w:tc>
          <w:tcPr>
            <w:tcW w:w="680" w:type="dxa"/>
            <w:vAlign w:val="bottom"/>
          </w:tcPr>
          <w:p>
            <w:pPr>
              <w:jc w:val="right"/>
              <w:ind w:right="11"/>
              <w:spacing w:after="0"/>
              <w:rPr>
                <w:sz w:val="20"/>
                <w:szCs w:val="20"/>
                <w:color w:val="auto"/>
              </w:rPr>
            </w:pPr>
            <w:r>
              <w:rPr>
                <w:rFonts w:ascii="Arial" w:cs="Arial" w:eastAsia="Arial" w:hAnsi="Arial"/>
                <w:sz w:val="14"/>
                <w:szCs w:val="14"/>
                <w:color w:val="auto"/>
              </w:rPr>
              <w:t>71</w:t>
            </w:r>
          </w:p>
        </w:tc>
        <w:tc>
          <w:tcPr>
            <w:tcW w:w="240" w:type="dxa"/>
            <w:vAlign w:val="bottom"/>
          </w:tcPr>
          <w:p>
            <w:pPr>
              <w:jc w:val="center"/>
              <w:spacing w:after="0"/>
              <w:rPr>
                <w:sz w:val="20"/>
                <w:szCs w:val="20"/>
                <w:color w:val="auto"/>
              </w:rPr>
            </w:pPr>
            <w:r>
              <w:rPr>
                <w:rFonts w:ascii="Arial" w:cs="Arial" w:eastAsia="Arial" w:hAnsi="Arial"/>
                <w:sz w:val="14"/>
                <w:szCs w:val="14"/>
                <w:color w:val="auto"/>
                <w:w w:val="96"/>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58</w:t>
            </w:r>
          </w:p>
        </w:tc>
        <w:tc>
          <w:tcPr>
            <w:tcW w:w="2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64</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600" w:type="dxa"/>
            <w:vAlign w:val="bottom"/>
          </w:tcPr>
          <w:p>
            <w:pPr>
              <w:jc w:val="right"/>
              <w:ind w:right="11"/>
              <w:spacing w:after="0"/>
              <w:rPr>
                <w:sz w:val="20"/>
                <w:szCs w:val="20"/>
                <w:color w:val="auto"/>
              </w:rPr>
            </w:pPr>
            <w:r>
              <w:rPr>
                <w:rFonts w:ascii="Arial" w:cs="Arial" w:eastAsia="Arial" w:hAnsi="Arial"/>
                <w:sz w:val="14"/>
                <w:szCs w:val="14"/>
                <w:b w:val="1"/>
                <w:bCs w:val="1"/>
                <w:color w:val="auto"/>
              </w:rPr>
              <w:t>43</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2900" w:type="dxa"/>
            <w:vAlign w:val="bottom"/>
            <w:gridSpan w:val="2"/>
          </w:tcPr>
          <w:p>
            <w:pPr>
              <w:ind w:left="140"/>
              <w:spacing w:after="0"/>
              <w:rPr>
                <w:sz w:val="20"/>
                <w:szCs w:val="20"/>
                <w:color w:val="auto"/>
              </w:rPr>
            </w:pPr>
            <w:r>
              <w:rPr>
                <w:rFonts w:ascii="Arial" w:cs="Arial" w:eastAsia="Arial" w:hAnsi="Arial"/>
                <w:sz w:val="14"/>
                <w:szCs w:val="14"/>
                <w:color w:val="auto"/>
              </w:rPr>
              <w:t>Partial interest-only</w:t>
            </w:r>
            <w:r>
              <w:rPr>
                <w:rFonts w:ascii="Arial" w:cs="Arial" w:eastAsia="Arial" w:hAnsi="Arial"/>
                <w:sz w:val="17"/>
                <w:szCs w:val="17"/>
                <w:color w:val="auto"/>
                <w:vertAlign w:val="superscript"/>
              </w:rPr>
              <w:t>(4)</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27</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11"/>
              <w:spacing w:after="0"/>
              <w:rPr>
                <w:sz w:val="20"/>
                <w:szCs w:val="20"/>
                <w:color w:val="auto"/>
              </w:rPr>
            </w:pPr>
            <w:r>
              <w:rPr>
                <w:rFonts w:ascii="Arial" w:cs="Arial" w:eastAsia="Arial" w:hAnsi="Arial"/>
                <w:sz w:val="14"/>
                <w:szCs w:val="14"/>
                <w:color w:val="auto"/>
              </w:rPr>
              <w:t>25</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34</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ind w:right="11"/>
              <w:spacing w:after="0"/>
              <w:rPr>
                <w:sz w:val="20"/>
                <w:szCs w:val="20"/>
                <w:color w:val="auto"/>
              </w:rPr>
            </w:pPr>
            <w:r>
              <w:rPr>
                <w:rFonts w:ascii="Arial" w:cs="Arial" w:eastAsia="Arial" w:hAnsi="Arial"/>
                <w:sz w:val="14"/>
                <w:szCs w:val="14"/>
                <w:b w:val="1"/>
                <w:bCs w:val="1"/>
                <w:color w:val="auto"/>
              </w:rPr>
              <w:t>46</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800" w:type="dxa"/>
            <w:vAlign w:val="bottom"/>
            <w:tcBorders>
              <w:bottom w:val="single" w:sz="8" w:color="2C6937"/>
            </w:tcBorders>
          </w:tcPr>
          <w:p>
            <w:pPr>
              <w:ind w:left="140"/>
              <w:spacing w:after="0"/>
              <w:rPr>
                <w:sz w:val="20"/>
                <w:szCs w:val="20"/>
                <w:color w:val="auto"/>
              </w:rPr>
            </w:pPr>
            <w:r>
              <w:rPr>
                <w:rFonts w:ascii="Arial" w:cs="Arial" w:eastAsia="Arial" w:hAnsi="Arial"/>
                <w:sz w:val="14"/>
                <w:szCs w:val="14"/>
                <w:color w:val="auto"/>
              </w:rPr>
              <w:t>Fully amortizing</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8</w:t>
            </w:r>
          </w:p>
        </w:tc>
        <w:tc>
          <w:tcPr>
            <w:tcW w:w="24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4</w:t>
            </w:r>
          </w:p>
        </w:tc>
        <w:tc>
          <w:tcPr>
            <w:tcW w:w="24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8</w:t>
            </w:r>
          </w:p>
        </w:tc>
        <w:tc>
          <w:tcPr>
            <w:tcW w:w="26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w:t>
            </w:r>
          </w:p>
        </w:tc>
        <w:tc>
          <w:tcPr>
            <w:tcW w:w="24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16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11</w:t>
            </w:r>
          </w:p>
        </w:tc>
        <w:tc>
          <w:tcPr>
            <w:tcW w:w="24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14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12</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800" w:type="dxa"/>
            <w:vAlign w:val="bottom"/>
            <w:tcBorders>
              <w:bottom w:val="single" w:sz="8" w:color="2C6937"/>
            </w:tcBorders>
          </w:tcPr>
          <w:p>
            <w:pPr>
              <w:ind w:left="2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100</w:t>
            </w:r>
          </w:p>
        </w:tc>
        <w:tc>
          <w:tcPr>
            <w:tcW w:w="240" w:type="dxa"/>
            <w:vAlign w:val="bottom"/>
          </w:tcPr>
          <w:p>
            <w:pPr>
              <w:jc w:val="right"/>
              <w:ind w:right="51"/>
              <w:spacing w:after="0"/>
              <w:rPr>
                <w:sz w:val="20"/>
                <w:szCs w:val="20"/>
                <w:color w:val="auto"/>
              </w:rPr>
            </w:pPr>
            <w:r>
              <w:rPr>
                <w:rFonts w:ascii="Arial" w:cs="Arial" w:eastAsia="Arial" w:hAnsi="Arial"/>
                <w:sz w:val="14"/>
                <w:szCs w:val="14"/>
                <w:color w:val="auto"/>
                <w:w w:val="79"/>
              </w:rPr>
              <w:t>%</w:t>
            </w:r>
          </w:p>
        </w:tc>
        <w:tc>
          <w:tcPr>
            <w:tcW w:w="18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2C6937"/>
            </w:tcBorders>
          </w:tcPr>
          <w:p>
            <w:pPr>
              <w:spacing w:after="0"/>
              <w:rPr>
                <w:sz w:val="16"/>
                <w:szCs w:val="16"/>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ind w:right="31"/>
              <w:spacing w:after="0"/>
              <w:rPr>
                <w:sz w:val="20"/>
                <w:szCs w:val="20"/>
                <w:color w:val="auto"/>
              </w:rPr>
            </w:pPr>
            <w:r>
              <w:rPr>
                <w:rFonts w:ascii="Arial" w:cs="Arial" w:eastAsia="Arial" w:hAnsi="Arial"/>
                <w:sz w:val="14"/>
                <w:szCs w:val="14"/>
                <w:color w:val="auto"/>
                <w:w w:val="96"/>
              </w:rPr>
              <w:t>%</w:t>
            </w:r>
          </w:p>
        </w:tc>
        <w:tc>
          <w:tcPr>
            <w:tcW w:w="180" w:type="dxa"/>
            <w:vAlign w:val="bottom"/>
            <w:tcBorders>
              <w:bottom w:val="single" w:sz="8" w:color="2C6937"/>
            </w:tcBorders>
          </w:tcPr>
          <w:p>
            <w:pPr>
              <w:spacing w:after="0"/>
              <w:rPr>
                <w:sz w:val="16"/>
                <w:szCs w:val="16"/>
                <w:color w:val="auto"/>
              </w:rPr>
            </w:pPr>
          </w:p>
        </w:tc>
        <w:tc>
          <w:tcPr>
            <w:tcW w:w="16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center"/>
              <w:ind w:right="11"/>
              <w:spacing w:after="0"/>
              <w:rPr>
                <w:sz w:val="20"/>
                <w:szCs w:val="20"/>
                <w:color w:val="auto"/>
              </w:rPr>
            </w:pPr>
            <w:r>
              <w:rPr>
                <w:rFonts w:ascii="Arial" w:cs="Arial" w:eastAsia="Arial" w:hAnsi="Arial"/>
                <w:sz w:val="14"/>
                <w:szCs w:val="14"/>
                <w:b w:val="1"/>
                <w:bCs w:val="1"/>
                <w:color w:val="auto"/>
                <w:w w:val="96"/>
              </w:rPr>
              <w:t>%</w:t>
            </w:r>
          </w:p>
        </w:tc>
        <w:tc>
          <w:tcPr>
            <w:tcW w:w="220" w:type="dxa"/>
            <w:vAlign w:val="bottom"/>
            <w:tcBorders>
              <w:bottom w:val="single" w:sz="8" w:color="2C6937"/>
            </w:tcBorders>
          </w:tcPr>
          <w:p>
            <w:pPr>
              <w:spacing w:after="0"/>
              <w:rPr>
                <w:sz w:val="16"/>
                <w:szCs w:val="16"/>
                <w:color w:val="auto"/>
              </w:rPr>
            </w:pPr>
          </w:p>
        </w:tc>
        <w:tc>
          <w:tcPr>
            <w:tcW w:w="14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8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66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2C6937"/>
            </w:tcBorders>
          </w:tcPr>
          <w:p>
            <w:pPr>
              <w:spacing w:after="0" w:line="20" w:lineRule="exact"/>
              <w:rPr>
                <w:sz w:val="1"/>
                <w:szCs w:val="1"/>
                <w:color w:val="auto"/>
              </w:rPr>
            </w:pPr>
          </w:p>
        </w:tc>
        <w:tc>
          <w:tcPr>
            <w:tcW w:w="58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16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2C6937"/>
            </w:tcBorders>
          </w:tcPr>
          <w:p>
            <w:pPr>
              <w:spacing w:after="0" w:line="20" w:lineRule="exact"/>
              <w:rPr>
                <w:sz w:val="1"/>
                <w:szCs w:val="1"/>
                <w:color w:val="auto"/>
              </w:rPr>
            </w:pPr>
          </w:p>
        </w:tc>
        <w:tc>
          <w:tcPr>
            <w:tcW w:w="1480" w:type="dxa"/>
            <w:vAlign w:val="bottom"/>
            <w:tcBorders>
              <w:bottom w:val="single" w:sz="8" w:color="2C6937"/>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900" w:type="dxa"/>
            <w:vAlign w:val="bottom"/>
            <w:gridSpan w:val="2"/>
          </w:tcPr>
          <w:p>
            <w:pPr>
              <w:ind w:left="20"/>
              <w:spacing w:after="0"/>
              <w:rPr>
                <w:sz w:val="20"/>
                <w:szCs w:val="20"/>
                <w:color w:val="auto"/>
              </w:rPr>
            </w:pPr>
            <w:r>
              <w:rPr>
                <w:rFonts w:ascii="Arial" w:cs="Arial" w:eastAsia="Arial" w:hAnsi="Arial"/>
                <w:sz w:val="14"/>
                <w:szCs w:val="14"/>
                <w:b w:val="1"/>
                <w:bCs w:val="1"/>
                <w:color w:val="auto"/>
              </w:rPr>
              <w:t>Asset class type:</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900" w:type="dxa"/>
            <w:vAlign w:val="bottom"/>
            <w:gridSpan w:val="2"/>
          </w:tcPr>
          <w:p>
            <w:pPr>
              <w:ind w:left="120"/>
              <w:spacing w:after="0"/>
              <w:rPr>
                <w:sz w:val="20"/>
                <w:szCs w:val="20"/>
                <w:color w:val="auto"/>
              </w:rPr>
            </w:pPr>
            <w:r>
              <w:rPr>
                <w:rFonts w:ascii="Arial" w:cs="Arial" w:eastAsia="Arial" w:hAnsi="Arial"/>
                <w:sz w:val="14"/>
                <w:szCs w:val="14"/>
                <w:color w:val="auto"/>
              </w:rPr>
              <w:t>Conventional/co-op</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98</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180" w:type="dxa"/>
            <w:vAlign w:val="bottom"/>
          </w:tcPr>
          <w:p>
            <w:pPr>
              <w:spacing w:after="0"/>
              <w:rPr>
                <w:sz w:val="16"/>
                <w:szCs w:val="16"/>
                <w:color w:val="auto"/>
              </w:rPr>
            </w:pPr>
          </w:p>
        </w:tc>
        <w:tc>
          <w:tcPr>
            <w:tcW w:w="680" w:type="dxa"/>
            <w:vAlign w:val="bottom"/>
          </w:tcPr>
          <w:p>
            <w:pPr>
              <w:jc w:val="right"/>
              <w:ind w:right="11"/>
              <w:spacing w:after="0"/>
              <w:rPr>
                <w:sz w:val="20"/>
                <w:szCs w:val="20"/>
                <w:color w:val="auto"/>
              </w:rPr>
            </w:pPr>
            <w:r>
              <w:rPr>
                <w:rFonts w:ascii="Arial" w:cs="Arial" w:eastAsia="Arial" w:hAnsi="Arial"/>
                <w:sz w:val="14"/>
                <w:szCs w:val="14"/>
                <w:color w:val="auto"/>
              </w:rPr>
              <w:t>86</w:t>
            </w:r>
          </w:p>
        </w:tc>
        <w:tc>
          <w:tcPr>
            <w:tcW w:w="240" w:type="dxa"/>
            <w:vAlign w:val="bottom"/>
          </w:tcPr>
          <w:p>
            <w:pPr>
              <w:jc w:val="center"/>
              <w:spacing w:after="0"/>
              <w:rPr>
                <w:sz w:val="20"/>
                <w:szCs w:val="20"/>
                <w:color w:val="auto"/>
              </w:rPr>
            </w:pPr>
            <w:r>
              <w:rPr>
                <w:rFonts w:ascii="Arial" w:cs="Arial" w:eastAsia="Arial" w:hAnsi="Arial"/>
                <w:sz w:val="14"/>
                <w:szCs w:val="14"/>
                <w:color w:val="auto"/>
                <w:w w:val="96"/>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94</w:t>
            </w:r>
          </w:p>
        </w:tc>
        <w:tc>
          <w:tcPr>
            <w:tcW w:w="2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91</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600" w:type="dxa"/>
            <w:vAlign w:val="bottom"/>
          </w:tcPr>
          <w:p>
            <w:pPr>
              <w:jc w:val="right"/>
              <w:ind w:right="11"/>
              <w:spacing w:after="0"/>
              <w:rPr>
                <w:sz w:val="20"/>
                <w:szCs w:val="20"/>
                <w:color w:val="auto"/>
              </w:rPr>
            </w:pPr>
            <w:r>
              <w:rPr>
                <w:rFonts w:ascii="Arial" w:cs="Arial" w:eastAsia="Arial" w:hAnsi="Arial"/>
                <w:sz w:val="14"/>
                <w:szCs w:val="14"/>
                <w:b w:val="1"/>
                <w:bCs w:val="1"/>
                <w:color w:val="auto"/>
              </w:rPr>
              <w:t>90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2900" w:type="dxa"/>
            <w:vAlign w:val="bottom"/>
            <w:gridSpan w:val="2"/>
          </w:tcPr>
          <w:p>
            <w:pPr>
              <w:ind w:left="120"/>
              <w:spacing w:after="0"/>
              <w:rPr>
                <w:sz w:val="20"/>
                <w:szCs w:val="20"/>
                <w:color w:val="auto"/>
              </w:rPr>
            </w:pPr>
            <w:r>
              <w:rPr>
                <w:rFonts w:ascii="Arial" w:cs="Arial" w:eastAsia="Arial" w:hAnsi="Arial"/>
                <w:sz w:val="14"/>
                <w:szCs w:val="14"/>
                <w:color w:val="auto"/>
              </w:rPr>
              <w:t>Seniors housing</w:t>
            </w:r>
            <w:r>
              <w:rPr>
                <w:rFonts w:ascii="Arial" w:cs="Arial" w:eastAsia="Arial" w:hAnsi="Arial"/>
                <w:sz w:val="17"/>
                <w:szCs w:val="17"/>
                <w:color w:val="auto"/>
                <w:vertAlign w:val="superscript"/>
              </w:rPr>
              <w:t>(5)</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11"/>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ind w:right="11"/>
              <w:spacing w:after="0"/>
              <w:rPr>
                <w:sz w:val="20"/>
                <w:szCs w:val="20"/>
                <w:color w:val="auto"/>
              </w:rPr>
            </w:pPr>
            <w:r>
              <w:rPr>
                <w:rFonts w:ascii="Arial" w:cs="Arial" w:eastAsia="Arial" w:hAnsi="Arial"/>
                <w:sz w:val="14"/>
                <w:szCs w:val="14"/>
                <w:b w:val="1"/>
                <w:bCs w:val="1"/>
                <w:color w:val="auto"/>
              </w:rPr>
              <w:t>3</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900" w:type="dxa"/>
            <w:vAlign w:val="bottom"/>
            <w:gridSpan w:val="2"/>
          </w:tcPr>
          <w:p>
            <w:pPr>
              <w:ind w:left="120"/>
              <w:spacing w:after="0"/>
              <w:rPr>
                <w:sz w:val="20"/>
                <w:szCs w:val="20"/>
                <w:color w:val="auto"/>
              </w:rPr>
            </w:pPr>
            <w:r>
              <w:rPr>
                <w:rFonts w:ascii="Arial" w:cs="Arial" w:eastAsia="Arial" w:hAnsi="Arial"/>
                <w:sz w:val="14"/>
                <w:szCs w:val="14"/>
                <w:color w:val="auto"/>
              </w:rPr>
              <w:t>Student housing</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ind w:right="11"/>
              <w:spacing w:after="0"/>
              <w:rPr>
                <w:sz w:val="20"/>
                <w:szCs w:val="20"/>
                <w:color w:val="auto"/>
              </w:rPr>
            </w:pPr>
            <w:r>
              <w:rPr>
                <w:rFonts w:ascii="Arial" w:cs="Arial" w:eastAsia="Arial" w:hAnsi="Arial"/>
                <w:sz w:val="14"/>
                <w:szCs w:val="14"/>
                <w:b w:val="1"/>
                <w:bCs w:val="1"/>
                <w:color w:val="auto"/>
              </w:rPr>
              <w:t>3</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80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Manufactured housing</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w:t>
            </w:r>
          </w:p>
        </w:tc>
        <w:tc>
          <w:tcPr>
            <w:tcW w:w="24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13</w:t>
            </w:r>
          </w:p>
        </w:tc>
        <w:tc>
          <w:tcPr>
            <w:tcW w:w="24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w:t>
            </w:r>
          </w:p>
        </w:tc>
        <w:tc>
          <w:tcPr>
            <w:tcW w:w="26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8</w:t>
            </w:r>
          </w:p>
        </w:tc>
        <w:tc>
          <w:tcPr>
            <w:tcW w:w="24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16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4</w:t>
            </w:r>
          </w:p>
        </w:tc>
        <w:tc>
          <w:tcPr>
            <w:tcW w:w="24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14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800" w:type="dxa"/>
            <w:vAlign w:val="bottom"/>
            <w:tcBorders>
              <w:bottom w:val="single" w:sz="8" w:color="2C6937"/>
            </w:tcBorders>
          </w:tcPr>
          <w:p>
            <w:pPr>
              <w:ind w:left="2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100</w:t>
            </w:r>
          </w:p>
        </w:tc>
        <w:tc>
          <w:tcPr>
            <w:tcW w:w="240" w:type="dxa"/>
            <w:vAlign w:val="bottom"/>
          </w:tcPr>
          <w:p>
            <w:pPr>
              <w:jc w:val="right"/>
              <w:ind w:right="51"/>
              <w:spacing w:after="0"/>
              <w:rPr>
                <w:sz w:val="20"/>
                <w:szCs w:val="20"/>
                <w:color w:val="auto"/>
              </w:rPr>
            </w:pPr>
            <w:r>
              <w:rPr>
                <w:rFonts w:ascii="Arial" w:cs="Arial" w:eastAsia="Arial" w:hAnsi="Arial"/>
                <w:sz w:val="14"/>
                <w:szCs w:val="14"/>
                <w:color w:val="auto"/>
                <w:w w:val="79"/>
              </w:rPr>
              <w:t>%</w:t>
            </w:r>
          </w:p>
        </w:tc>
        <w:tc>
          <w:tcPr>
            <w:tcW w:w="18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2C6937"/>
            </w:tcBorders>
          </w:tcPr>
          <w:p>
            <w:pPr>
              <w:spacing w:after="0"/>
              <w:rPr>
                <w:sz w:val="16"/>
                <w:szCs w:val="16"/>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ind w:right="31"/>
              <w:spacing w:after="0"/>
              <w:rPr>
                <w:sz w:val="20"/>
                <w:szCs w:val="20"/>
                <w:color w:val="auto"/>
              </w:rPr>
            </w:pPr>
            <w:r>
              <w:rPr>
                <w:rFonts w:ascii="Arial" w:cs="Arial" w:eastAsia="Arial" w:hAnsi="Arial"/>
                <w:sz w:val="14"/>
                <w:szCs w:val="14"/>
                <w:color w:val="auto"/>
                <w:w w:val="96"/>
              </w:rPr>
              <w:t>%</w:t>
            </w:r>
          </w:p>
        </w:tc>
        <w:tc>
          <w:tcPr>
            <w:tcW w:w="180" w:type="dxa"/>
            <w:vAlign w:val="bottom"/>
            <w:tcBorders>
              <w:bottom w:val="single" w:sz="8" w:color="2C6937"/>
            </w:tcBorders>
          </w:tcPr>
          <w:p>
            <w:pPr>
              <w:spacing w:after="0"/>
              <w:rPr>
                <w:sz w:val="16"/>
                <w:szCs w:val="16"/>
                <w:color w:val="auto"/>
              </w:rPr>
            </w:pPr>
          </w:p>
        </w:tc>
        <w:tc>
          <w:tcPr>
            <w:tcW w:w="16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center"/>
              <w:ind w:right="11"/>
              <w:spacing w:after="0"/>
              <w:rPr>
                <w:sz w:val="20"/>
                <w:szCs w:val="20"/>
                <w:color w:val="auto"/>
              </w:rPr>
            </w:pPr>
            <w:r>
              <w:rPr>
                <w:rFonts w:ascii="Arial" w:cs="Arial" w:eastAsia="Arial" w:hAnsi="Arial"/>
                <w:sz w:val="14"/>
                <w:szCs w:val="14"/>
                <w:b w:val="1"/>
                <w:bCs w:val="1"/>
                <w:color w:val="auto"/>
                <w:w w:val="96"/>
              </w:rPr>
              <w:t>%</w:t>
            </w:r>
          </w:p>
        </w:tc>
        <w:tc>
          <w:tcPr>
            <w:tcW w:w="220" w:type="dxa"/>
            <w:vAlign w:val="bottom"/>
            <w:tcBorders>
              <w:bottom w:val="single" w:sz="8" w:color="2C6937"/>
            </w:tcBorders>
          </w:tcPr>
          <w:p>
            <w:pPr>
              <w:spacing w:after="0"/>
              <w:rPr>
                <w:sz w:val="16"/>
                <w:szCs w:val="16"/>
                <w:color w:val="auto"/>
              </w:rPr>
            </w:pPr>
          </w:p>
        </w:tc>
        <w:tc>
          <w:tcPr>
            <w:tcW w:w="14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8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c>
          <w:tcPr>
            <w:tcW w:w="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w:t>
            </w:r>
          </w:p>
        </w:tc>
        <w:tc>
          <w:tcPr>
            <w:tcW w:w="180" w:type="dxa"/>
            <w:vAlign w:val="bottom"/>
            <w:tcBorders>
              <w:bottom w:val="single" w:sz="8" w:color="2C6937"/>
            </w:tcBorders>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c>
          <w:tcPr>
            <w:tcW w:w="240" w:type="dxa"/>
            <w:vAlign w:val="bottom"/>
            <w:vMerge w:val="restart"/>
          </w:tcPr>
          <w:p>
            <w:pPr>
              <w:jc w:val="center"/>
              <w:spacing w:after="0"/>
              <w:rPr>
                <w:sz w:val="20"/>
                <w:szCs w:val="20"/>
                <w:color w:val="auto"/>
              </w:rPr>
            </w:pPr>
            <w:r>
              <w:rPr>
                <w:rFonts w:ascii="Arial" w:cs="Arial" w:eastAsia="Arial" w:hAnsi="Arial"/>
                <w:sz w:val="14"/>
                <w:szCs w:val="14"/>
                <w:color w:val="auto"/>
                <w:w w:val="96"/>
              </w:rPr>
              <w:t>%</w:t>
            </w:r>
          </w:p>
        </w:tc>
        <w:tc>
          <w:tcPr>
            <w:tcW w:w="180" w:type="dxa"/>
            <w:vAlign w:val="bottom"/>
            <w:tcBorders>
              <w:bottom w:val="single" w:sz="8" w:color="2C6937"/>
            </w:tcBorders>
          </w:tcPr>
          <w:p>
            <w:pPr>
              <w:spacing w:after="0" w:line="20" w:lineRule="exact"/>
              <w:rPr>
                <w:sz w:val="1"/>
                <w:szCs w:val="1"/>
                <w:color w:val="auto"/>
              </w:rPr>
            </w:pPr>
          </w:p>
        </w:tc>
        <w:tc>
          <w:tcPr>
            <w:tcW w:w="660" w:type="dxa"/>
            <w:vAlign w:val="bottom"/>
            <w:tcBorders>
              <w:bottom w:val="single" w:sz="8" w:color="2C6937"/>
            </w:tcBorders>
          </w:tcPr>
          <w:p>
            <w:pPr>
              <w:spacing w:after="0" w:line="20" w:lineRule="exact"/>
              <w:rPr>
                <w:sz w:val="1"/>
                <w:szCs w:val="1"/>
                <w:color w:val="auto"/>
              </w:rPr>
            </w:pPr>
          </w:p>
        </w:tc>
        <w:tc>
          <w:tcPr>
            <w:tcW w:w="2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2C6937"/>
            </w:tcBorders>
          </w:tcPr>
          <w:p>
            <w:pPr>
              <w:spacing w:after="0" w:line="20" w:lineRule="exact"/>
              <w:rPr>
                <w:sz w:val="1"/>
                <w:szCs w:val="1"/>
                <w:color w:val="auto"/>
              </w:rPr>
            </w:pPr>
          </w:p>
        </w:tc>
        <w:tc>
          <w:tcPr>
            <w:tcW w:w="580" w:type="dxa"/>
            <w:vAlign w:val="bottom"/>
            <w:tcBorders>
              <w:bottom w:val="single" w:sz="8" w:color="2C6937"/>
            </w:tcBorders>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2C6937"/>
            </w:tcBorders>
          </w:tcPr>
          <w:p>
            <w:pPr>
              <w:spacing w:after="0" w:line="20" w:lineRule="exact"/>
              <w:rPr>
                <w:sz w:val="1"/>
                <w:szCs w:val="1"/>
                <w:color w:val="auto"/>
              </w:rPr>
            </w:pPr>
          </w:p>
        </w:tc>
        <w:tc>
          <w:tcPr>
            <w:tcW w:w="1600" w:type="dxa"/>
            <w:vAlign w:val="bottom"/>
            <w:tcBorders>
              <w:bottom w:val="single" w:sz="8" w:color="2C6937"/>
            </w:tcBorders>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2C6937"/>
            </w:tcBorders>
          </w:tcPr>
          <w:p>
            <w:pPr>
              <w:spacing w:after="0" w:line="20" w:lineRule="exact"/>
              <w:rPr>
                <w:sz w:val="1"/>
                <w:szCs w:val="1"/>
                <w:color w:val="auto"/>
              </w:rPr>
            </w:pPr>
          </w:p>
        </w:tc>
        <w:tc>
          <w:tcPr>
            <w:tcW w:w="1480" w:type="dxa"/>
            <w:vAlign w:val="bottom"/>
            <w:tcBorders>
              <w:bottom w:val="single" w:sz="8" w:color="2C6937"/>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line="20" w:lineRule="exact"/>
              <w:rPr>
                <w:sz w:val="1"/>
                <w:szCs w:val="1"/>
                <w:color w:val="auto"/>
              </w:rPr>
            </w:pPr>
          </w:p>
        </w:tc>
      </w:tr>
      <w:tr>
        <w:trPr>
          <w:trHeight w:val="186"/>
        </w:trPr>
        <w:tc>
          <w:tcPr>
            <w:tcW w:w="2900" w:type="dxa"/>
            <w:vAlign w:val="bottom"/>
            <w:gridSpan w:val="2"/>
          </w:tcPr>
          <w:p>
            <w:pPr>
              <w:ind w:left="20"/>
              <w:spacing w:after="0" w:line="186" w:lineRule="exact"/>
              <w:rPr>
                <w:sz w:val="20"/>
                <w:szCs w:val="20"/>
                <w:color w:val="auto"/>
              </w:rPr>
            </w:pPr>
            <w:r>
              <w:rPr>
                <w:rFonts w:ascii="Arial" w:cs="Arial" w:eastAsia="Arial" w:hAnsi="Arial"/>
                <w:sz w:val="14"/>
                <w:szCs w:val="14"/>
                <w:color w:val="auto"/>
              </w:rPr>
              <w:t>Affordable</w:t>
            </w:r>
            <w:r>
              <w:rPr>
                <w:rFonts w:ascii="Arial" w:cs="Arial" w:eastAsia="Arial" w:hAnsi="Arial"/>
                <w:sz w:val="17"/>
                <w:szCs w:val="17"/>
                <w:color w:val="auto"/>
                <w:vertAlign w:val="superscript"/>
              </w:rPr>
              <w:t>(6)</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2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11"/>
              <w:spacing w:after="0"/>
              <w:rPr>
                <w:sz w:val="20"/>
                <w:szCs w:val="20"/>
                <w:color w:val="auto"/>
              </w:rPr>
            </w:pPr>
            <w:r>
              <w:rPr>
                <w:rFonts w:ascii="Arial" w:cs="Arial" w:eastAsia="Arial" w:hAnsi="Arial"/>
                <w:sz w:val="14"/>
                <w:szCs w:val="14"/>
                <w:color w:val="auto"/>
              </w:rPr>
              <w:t>9</w:t>
            </w:r>
          </w:p>
        </w:tc>
        <w:tc>
          <w:tcPr>
            <w:tcW w:w="2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2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w:t>
            </w:r>
          </w:p>
        </w:tc>
        <w:tc>
          <w:tcPr>
            <w:tcW w:w="2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ind w:right="11"/>
              <w:spacing w:after="0"/>
              <w:rPr>
                <w:sz w:val="20"/>
                <w:szCs w:val="20"/>
                <w:color w:val="auto"/>
              </w:rPr>
            </w:pPr>
            <w:r>
              <w:rPr>
                <w:rFonts w:ascii="Arial" w:cs="Arial" w:eastAsia="Arial" w:hAnsi="Arial"/>
                <w:sz w:val="14"/>
                <w:szCs w:val="14"/>
                <w:b w:val="1"/>
                <w:bCs w:val="1"/>
                <w:color w:val="auto"/>
              </w:rPr>
              <w:t>12</w:t>
            </w:r>
          </w:p>
        </w:tc>
        <w:tc>
          <w:tcPr>
            <w:tcW w:w="2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12</w:t>
            </w: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900" w:type="dxa"/>
            <w:vAlign w:val="bottom"/>
            <w:gridSpan w:val="2"/>
          </w:tcPr>
          <w:p>
            <w:pPr>
              <w:ind w:left="40"/>
              <w:spacing w:after="0" w:line="194" w:lineRule="exact"/>
              <w:rPr>
                <w:sz w:val="20"/>
                <w:szCs w:val="20"/>
                <w:color w:val="auto"/>
              </w:rPr>
            </w:pPr>
            <w:r>
              <w:rPr>
                <w:rFonts w:ascii="Arial" w:cs="Arial" w:eastAsia="Arial" w:hAnsi="Arial"/>
                <w:sz w:val="14"/>
                <w:szCs w:val="14"/>
                <w:color w:val="auto"/>
              </w:rPr>
              <w:t>Small balance loans</w:t>
            </w:r>
            <w:r>
              <w:rPr>
                <w:rFonts w:ascii="Arial" w:cs="Arial" w:eastAsia="Arial" w:hAnsi="Arial"/>
                <w:sz w:val="17"/>
                <w:szCs w:val="17"/>
                <w:color w:val="auto"/>
                <w:vertAlign w:val="superscript"/>
              </w:rPr>
              <w:t>(7)</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36</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180" w:type="dxa"/>
            <w:vAlign w:val="bottom"/>
          </w:tcPr>
          <w:p>
            <w:pPr>
              <w:spacing w:after="0"/>
              <w:rPr>
                <w:sz w:val="16"/>
                <w:szCs w:val="16"/>
                <w:color w:val="auto"/>
              </w:rPr>
            </w:pPr>
          </w:p>
        </w:tc>
        <w:tc>
          <w:tcPr>
            <w:tcW w:w="680" w:type="dxa"/>
            <w:vAlign w:val="bottom"/>
          </w:tcPr>
          <w:p>
            <w:pPr>
              <w:jc w:val="right"/>
              <w:ind w:right="11"/>
              <w:spacing w:after="0"/>
              <w:rPr>
                <w:sz w:val="20"/>
                <w:szCs w:val="20"/>
                <w:color w:val="auto"/>
              </w:rPr>
            </w:pPr>
            <w:r>
              <w:rPr>
                <w:rFonts w:ascii="Arial" w:cs="Arial" w:eastAsia="Arial" w:hAnsi="Arial"/>
                <w:sz w:val="14"/>
                <w:szCs w:val="14"/>
                <w:color w:val="auto"/>
              </w:rPr>
              <w:t>40</w:t>
            </w:r>
          </w:p>
        </w:tc>
        <w:tc>
          <w:tcPr>
            <w:tcW w:w="240" w:type="dxa"/>
            <w:vAlign w:val="bottom"/>
          </w:tcPr>
          <w:p>
            <w:pPr>
              <w:jc w:val="center"/>
              <w:spacing w:after="0"/>
              <w:rPr>
                <w:sz w:val="20"/>
                <w:szCs w:val="20"/>
                <w:color w:val="auto"/>
              </w:rPr>
            </w:pPr>
            <w:r>
              <w:rPr>
                <w:rFonts w:ascii="Arial" w:cs="Arial" w:eastAsia="Arial" w:hAnsi="Arial"/>
                <w:sz w:val="14"/>
                <w:szCs w:val="14"/>
                <w:color w:val="auto"/>
                <w:w w:val="96"/>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40</w:t>
            </w:r>
          </w:p>
        </w:tc>
        <w:tc>
          <w:tcPr>
            <w:tcW w:w="2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600" w:type="dxa"/>
            <w:vAlign w:val="bottom"/>
          </w:tcPr>
          <w:p>
            <w:pPr>
              <w:jc w:val="right"/>
              <w:ind w:right="11"/>
              <w:spacing w:after="0"/>
              <w:rPr>
                <w:sz w:val="20"/>
                <w:szCs w:val="20"/>
                <w:color w:val="auto"/>
              </w:rPr>
            </w:pPr>
            <w:r>
              <w:rPr>
                <w:rFonts w:ascii="Arial" w:cs="Arial" w:eastAsia="Arial" w:hAnsi="Arial"/>
                <w:sz w:val="14"/>
                <w:szCs w:val="14"/>
                <w:b w:val="1"/>
                <w:bCs w:val="1"/>
                <w:color w:val="auto"/>
              </w:rPr>
              <w:t>47</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2900" w:type="dxa"/>
            <w:vAlign w:val="bottom"/>
            <w:gridSpan w:val="2"/>
          </w:tcPr>
          <w:p>
            <w:pPr>
              <w:ind w:left="20"/>
              <w:spacing w:after="0"/>
              <w:rPr>
                <w:sz w:val="20"/>
                <w:szCs w:val="20"/>
                <w:color w:val="auto"/>
              </w:rPr>
            </w:pPr>
            <w:r>
              <w:rPr>
                <w:rFonts w:ascii="Arial" w:cs="Arial" w:eastAsia="Arial" w:hAnsi="Arial"/>
                <w:sz w:val="14"/>
                <w:szCs w:val="14"/>
                <w:b w:val="1"/>
                <w:bCs w:val="1"/>
                <w:color w:val="auto"/>
              </w:rPr>
              <w:t>Geographic concentration:</w:t>
            </w:r>
            <w:r>
              <w:rPr>
                <w:rFonts w:ascii="Arial" w:cs="Arial" w:eastAsia="Arial" w:hAnsi="Arial"/>
                <w:sz w:val="17"/>
                <w:szCs w:val="17"/>
                <w:b w:val="1"/>
                <w:bCs w:val="1"/>
                <w:color w:val="auto"/>
                <w:vertAlign w:val="superscript"/>
              </w:rPr>
              <w:t>(8)</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900" w:type="dxa"/>
            <w:vAlign w:val="bottom"/>
            <w:gridSpan w:val="2"/>
          </w:tcPr>
          <w:p>
            <w:pPr>
              <w:ind w:left="120"/>
              <w:spacing w:after="0"/>
              <w:rPr>
                <w:sz w:val="20"/>
                <w:szCs w:val="20"/>
                <w:color w:val="auto"/>
              </w:rPr>
            </w:pPr>
            <w:r>
              <w:rPr>
                <w:rFonts w:ascii="Arial" w:cs="Arial" w:eastAsia="Arial" w:hAnsi="Arial"/>
                <w:sz w:val="14"/>
                <w:szCs w:val="14"/>
                <w:color w:val="auto"/>
              </w:rPr>
              <w:t>Midwest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180" w:type="dxa"/>
            <w:vAlign w:val="bottom"/>
          </w:tcPr>
          <w:p>
            <w:pPr>
              <w:spacing w:after="0"/>
              <w:rPr>
                <w:sz w:val="16"/>
                <w:szCs w:val="16"/>
                <w:color w:val="auto"/>
              </w:rPr>
            </w:pPr>
          </w:p>
        </w:tc>
        <w:tc>
          <w:tcPr>
            <w:tcW w:w="680" w:type="dxa"/>
            <w:vAlign w:val="bottom"/>
          </w:tcPr>
          <w:p>
            <w:pPr>
              <w:jc w:val="right"/>
              <w:ind w:right="11"/>
              <w:spacing w:after="0"/>
              <w:rPr>
                <w:sz w:val="20"/>
                <w:szCs w:val="20"/>
                <w:color w:val="auto"/>
              </w:rPr>
            </w:pPr>
            <w:r>
              <w:rPr>
                <w:rFonts w:ascii="Arial" w:cs="Arial" w:eastAsia="Arial" w:hAnsi="Arial"/>
                <w:sz w:val="14"/>
                <w:szCs w:val="14"/>
                <w:color w:val="auto"/>
              </w:rPr>
              <w:t>13</w:t>
            </w:r>
          </w:p>
        </w:tc>
        <w:tc>
          <w:tcPr>
            <w:tcW w:w="240" w:type="dxa"/>
            <w:vAlign w:val="bottom"/>
          </w:tcPr>
          <w:p>
            <w:pPr>
              <w:jc w:val="center"/>
              <w:spacing w:after="0"/>
              <w:rPr>
                <w:sz w:val="20"/>
                <w:szCs w:val="20"/>
                <w:color w:val="auto"/>
              </w:rPr>
            </w:pPr>
            <w:r>
              <w:rPr>
                <w:rFonts w:ascii="Arial" w:cs="Arial" w:eastAsia="Arial" w:hAnsi="Arial"/>
                <w:sz w:val="14"/>
                <w:szCs w:val="14"/>
                <w:color w:val="auto"/>
                <w:w w:val="96"/>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2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600" w:type="dxa"/>
            <w:vAlign w:val="bottom"/>
          </w:tcPr>
          <w:p>
            <w:pPr>
              <w:jc w:val="right"/>
              <w:ind w:right="11"/>
              <w:spacing w:after="0"/>
              <w:rPr>
                <w:sz w:val="20"/>
                <w:szCs w:val="20"/>
                <w:color w:val="auto"/>
              </w:rPr>
            </w:pPr>
            <w:r>
              <w:rPr>
                <w:rFonts w:ascii="Arial" w:cs="Arial" w:eastAsia="Arial" w:hAnsi="Arial"/>
                <w:sz w:val="14"/>
                <w:szCs w:val="14"/>
                <w:b w:val="1"/>
                <w:bCs w:val="1"/>
                <w:color w:val="auto"/>
              </w:rPr>
              <w:t>12</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2900" w:type="dxa"/>
            <w:vAlign w:val="bottom"/>
            <w:gridSpan w:val="2"/>
          </w:tcPr>
          <w:p>
            <w:pPr>
              <w:ind w:left="120"/>
              <w:spacing w:after="0"/>
              <w:rPr>
                <w:sz w:val="20"/>
                <w:szCs w:val="20"/>
                <w:color w:val="auto"/>
              </w:rPr>
            </w:pPr>
            <w:r>
              <w:rPr>
                <w:rFonts w:ascii="Arial" w:cs="Arial" w:eastAsia="Arial" w:hAnsi="Arial"/>
                <w:sz w:val="14"/>
                <w:szCs w:val="14"/>
                <w:color w:val="auto"/>
              </w:rPr>
              <w:t>Northeast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11"/>
              <w:spacing w:after="0"/>
              <w:rPr>
                <w:sz w:val="20"/>
                <w:szCs w:val="20"/>
                <w:color w:val="auto"/>
              </w:rPr>
            </w:pPr>
            <w:r>
              <w:rPr>
                <w:rFonts w:ascii="Arial" w:cs="Arial" w:eastAsia="Arial" w:hAnsi="Arial"/>
                <w:sz w:val="14"/>
                <w:szCs w:val="14"/>
                <w:color w:val="auto"/>
              </w:rPr>
              <w:t>12</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ind w:right="11"/>
              <w:spacing w:after="0"/>
              <w:rPr>
                <w:sz w:val="20"/>
                <w:szCs w:val="20"/>
                <w:color w:val="auto"/>
              </w:rPr>
            </w:pPr>
            <w:r>
              <w:rPr>
                <w:rFonts w:ascii="Arial" w:cs="Arial" w:eastAsia="Arial" w:hAnsi="Arial"/>
                <w:sz w:val="14"/>
                <w:szCs w:val="14"/>
                <w:b w:val="1"/>
                <w:bCs w:val="1"/>
                <w:color w:val="auto"/>
              </w:rPr>
              <w:t>15</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15</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900" w:type="dxa"/>
            <w:vAlign w:val="bottom"/>
            <w:gridSpan w:val="2"/>
          </w:tcPr>
          <w:p>
            <w:pPr>
              <w:ind w:left="120"/>
              <w:spacing w:after="0"/>
              <w:rPr>
                <w:sz w:val="20"/>
                <w:szCs w:val="20"/>
                <w:color w:val="auto"/>
              </w:rPr>
            </w:pPr>
            <w:r>
              <w:rPr>
                <w:rFonts w:ascii="Arial" w:cs="Arial" w:eastAsia="Arial" w:hAnsi="Arial"/>
                <w:sz w:val="14"/>
                <w:szCs w:val="14"/>
                <w:color w:val="auto"/>
              </w:rPr>
              <w:t>Southeast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31</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11"/>
              <w:spacing w:after="0"/>
              <w:rPr>
                <w:sz w:val="20"/>
                <w:szCs w:val="20"/>
                <w:color w:val="auto"/>
              </w:rPr>
            </w:pPr>
            <w:r>
              <w:rPr>
                <w:rFonts w:ascii="Arial" w:cs="Arial" w:eastAsia="Arial" w:hAnsi="Arial"/>
                <w:sz w:val="14"/>
                <w:szCs w:val="14"/>
                <w:color w:val="auto"/>
              </w:rPr>
              <w:t>30</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31</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32</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ind w:right="11"/>
              <w:spacing w:after="0"/>
              <w:rPr>
                <w:sz w:val="20"/>
                <w:szCs w:val="20"/>
                <w:color w:val="auto"/>
              </w:rPr>
            </w:pPr>
            <w:r>
              <w:rPr>
                <w:rFonts w:ascii="Arial" w:cs="Arial" w:eastAsia="Arial" w:hAnsi="Arial"/>
                <w:sz w:val="14"/>
                <w:szCs w:val="14"/>
                <w:b w:val="1"/>
                <w:bCs w:val="1"/>
                <w:color w:val="auto"/>
              </w:rPr>
              <w:t>27</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27</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900" w:type="dxa"/>
            <w:vAlign w:val="bottom"/>
            <w:gridSpan w:val="2"/>
          </w:tcPr>
          <w:p>
            <w:pPr>
              <w:ind w:left="120"/>
              <w:spacing w:after="0"/>
              <w:rPr>
                <w:sz w:val="20"/>
                <w:szCs w:val="20"/>
                <w:color w:val="auto"/>
              </w:rPr>
            </w:pPr>
            <w:r>
              <w:rPr>
                <w:rFonts w:ascii="Arial" w:cs="Arial" w:eastAsia="Arial" w:hAnsi="Arial"/>
                <w:sz w:val="14"/>
                <w:szCs w:val="14"/>
                <w:color w:val="auto"/>
              </w:rPr>
              <w:t>Southwest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18</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11"/>
              <w:spacing w:after="0"/>
              <w:rPr>
                <w:sz w:val="20"/>
                <w:szCs w:val="20"/>
                <w:color w:val="auto"/>
              </w:rPr>
            </w:pPr>
            <w:r>
              <w:rPr>
                <w:rFonts w:ascii="Arial" w:cs="Arial" w:eastAsia="Arial" w:hAnsi="Arial"/>
                <w:sz w:val="14"/>
                <w:szCs w:val="14"/>
                <w:color w:val="auto"/>
              </w:rPr>
              <w:t>24</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23</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24</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ind w:right="11"/>
              <w:spacing w:after="0"/>
              <w:rPr>
                <w:sz w:val="20"/>
                <w:szCs w:val="20"/>
                <w:color w:val="auto"/>
              </w:rPr>
            </w:pPr>
            <w:r>
              <w:rPr>
                <w:rFonts w:ascii="Arial" w:cs="Arial" w:eastAsia="Arial" w:hAnsi="Arial"/>
                <w:sz w:val="14"/>
                <w:szCs w:val="14"/>
                <w:b w:val="1"/>
                <w:bCs w:val="1"/>
                <w:color w:val="auto"/>
              </w:rPr>
              <w:t>22</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22</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80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West</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27</w:t>
            </w:r>
          </w:p>
        </w:tc>
        <w:tc>
          <w:tcPr>
            <w:tcW w:w="24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21</w:t>
            </w:r>
          </w:p>
        </w:tc>
        <w:tc>
          <w:tcPr>
            <w:tcW w:w="24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21</w:t>
            </w:r>
          </w:p>
        </w:tc>
        <w:tc>
          <w:tcPr>
            <w:tcW w:w="26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5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19</w:t>
            </w:r>
          </w:p>
        </w:tc>
        <w:tc>
          <w:tcPr>
            <w:tcW w:w="24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16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24</w:t>
            </w:r>
          </w:p>
        </w:tc>
        <w:tc>
          <w:tcPr>
            <w:tcW w:w="24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14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24</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90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180" w:type="dxa"/>
            <w:vAlign w:val="bottom"/>
          </w:tcPr>
          <w:p>
            <w:pPr>
              <w:spacing w:after="0"/>
              <w:rPr>
                <w:sz w:val="16"/>
                <w:szCs w:val="16"/>
                <w:color w:val="auto"/>
              </w:rPr>
            </w:pPr>
          </w:p>
        </w:tc>
        <w:tc>
          <w:tcPr>
            <w:tcW w:w="680" w:type="dxa"/>
            <w:vAlign w:val="bottom"/>
          </w:tcPr>
          <w:p>
            <w:pPr>
              <w:jc w:val="right"/>
              <w:ind w:right="11"/>
              <w:spacing w:after="0"/>
              <w:rPr>
                <w:sz w:val="20"/>
                <w:szCs w:val="20"/>
                <w:color w:val="auto"/>
              </w:rPr>
            </w:pPr>
            <w:r>
              <w:rPr>
                <w:rFonts w:ascii="Arial" w:cs="Arial" w:eastAsia="Arial" w:hAnsi="Arial"/>
                <w:sz w:val="14"/>
                <w:szCs w:val="14"/>
                <w:color w:val="auto"/>
              </w:rPr>
              <w:t>100</w:t>
            </w:r>
          </w:p>
        </w:tc>
        <w:tc>
          <w:tcPr>
            <w:tcW w:w="240" w:type="dxa"/>
            <w:vAlign w:val="bottom"/>
          </w:tcPr>
          <w:p>
            <w:pPr>
              <w:jc w:val="right"/>
              <w:ind w:right="51"/>
              <w:spacing w:after="0"/>
              <w:rPr>
                <w:sz w:val="20"/>
                <w:szCs w:val="20"/>
                <w:color w:val="auto"/>
              </w:rPr>
            </w:pPr>
            <w:r>
              <w:rPr>
                <w:rFonts w:ascii="Arial" w:cs="Arial" w:eastAsia="Arial" w:hAnsi="Arial"/>
                <w:sz w:val="14"/>
                <w:szCs w:val="14"/>
                <w:color w:val="auto"/>
                <w:w w:val="79"/>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ind w:right="31"/>
              <w:spacing w:after="0"/>
              <w:rPr>
                <w:sz w:val="20"/>
                <w:szCs w:val="20"/>
                <w:color w:val="auto"/>
              </w:rPr>
            </w:pPr>
            <w:r>
              <w:rPr>
                <w:rFonts w:ascii="Arial" w:cs="Arial" w:eastAsia="Arial" w:hAnsi="Arial"/>
                <w:sz w:val="14"/>
                <w:szCs w:val="14"/>
                <w:color w:val="auto"/>
                <w:w w:val="96"/>
              </w:rPr>
              <w:t>%</w:t>
            </w:r>
          </w:p>
        </w:tc>
        <w:tc>
          <w:tcPr>
            <w:tcW w:w="180" w:type="dxa"/>
            <w:vAlign w:val="bottom"/>
          </w:tcPr>
          <w:p>
            <w:pPr>
              <w:spacing w:after="0"/>
              <w:rPr>
                <w:sz w:val="16"/>
                <w:szCs w:val="16"/>
                <w:color w:val="auto"/>
              </w:rPr>
            </w:pPr>
          </w:p>
        </w:tc>
        <w:tc>
          <w:tcPr>
            <w:tcW w:w="1600" w:type="dxa"/>
            <w:vAlign w:val="bottom"/>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center"/>
              <w:ind w:right="11"/>
              <w:spacing w:after="0"/>
              <w:rPr>
                <w:sz w:val="20"/>
                <w:szCs w:val="20"/>
                <w:color w:val="auto"/>
              </w:rPr>
            </w:pPr>
            <w:r>
              <w:rPr>
                <w:rFonts w:ascii="Arial" w:cs="Arial" w:eastAsia="Arial" w:hAnsi="Arial"/>
                <w:sz w:val="14"/>
                <w:szCs w:val="14"/>
                <w:b w:val="1"/>
                <w:bCs w:val="1"/>
                <w:color w:val="auto"/>
                <w:w w:val="96"/>
              </w:rPr>
              <w:t>%</w:t>
            </w:r>
          </w:p>
        </w:tc>
        <w:tc>
          <w:tcPr>
            <w:tcW w:w="2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8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660" w:type="dxa"/>
            <w:vAlign w:val="bottom"/>
            <w:tcBorders>
              <w:top w:val="single" w:sz="8" w:color="2C6937"/>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58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160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1480" w:type="dxa"/>
            <w:vAlign w:val="bottom"/>
            <w:tcBorders>
              <w:top w:val="single" w:sz="8" w:color="2C6937"/>
              <w:bottom w:val="single" w:sz="8" w:color="2C6937"/>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p>
    <w:p>
      <w:pPr>
        <w:ind w:left="200" w:hanging="197"/>
        <w:spacing w:after="0"/>
        <w:tabs>
          <w:tab w:leader="none" w:pos="2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Represents less than 0.5% of multifamily business volume or guaranty book of business.</w:t>
      </w:r>
    </w:p>
    <w:p>
      <w:pPr>
        <w:spacing w:after="0" w:line="45" w:lineRule="exact"/>
        <w:rPr>
          <w:sz w:val="20"/>
          <w:szCs w:val="20"/>
          <w:color w:val="auto"/>
        </w:rPr>
      </w:pPr>
    </w:p>
    <w:p>
      <w:pPr>
        <w:ind w:left="240" w:right="60" w:hanging="237"/>
        <w:spacing w:after="0" w:line="226" w:lineRule="auto"/>
        <w:tabs>
          <w:tab w:leader="none" w:pos="233" w:val="left"/>
        </w:tabs>
        <w:numPr>
          <w:ilvl w:val="0"/>
          <w:numId w:val="46"/>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unpaid principal balance of multifamily loans for each category at time of acquisition, excluding small balance loans which is calculated based on loan count rather than unpaid principal balance.</w:t>
      </w:r>
    </w:p>
    <w:p>
      <w:pPr>
        <w:spacing w:after="0" w:line="27" w:lineRule="exact"/>
        <w:rPr>
          <w:rFonts w:ascii="Arial" w:cs="Arial" w:eastAsia="Arial" w:hAnsi="Arial"/>
          <w:sz w:val="18"/>
          <w:szCs w:val="18"/>
          <w:color w:val="auto"/>
          <w:vertAlign w:val="superscript"/>
        </w:rPr>
      </w:pPr>
    </w:p>
    <w:p>
      <w:pPr>
        <w:ind w:left="240" w:right="400" w:hanging="237"/>
        <w:spacing w:after="0" w:line="244" w:lineRule="auto"/>
        <w:tabs>
          <w:tab w:leader="none" w:pos="233" w:val="left"/>
        </w:tabs>
        <w:numPr>
          <w:ilvl w:val="0"/>
          <w:numId w:val="46"/>
        </w:numPr>
        <w:rPr>
          <w:rFonts w:ascii="Arial" w:cs="Arial" w:eastAsia="Arial" w:hAnsi="Arial"/>
          <w:sz w:val="17"/>
          <w:szCs w:val="17"/>
          <w:color w:val="auto"/>
          <w:vertAlign w:val="superscript"/>
        </w:rPr>
      </w:pPr>
      <w:r>
        <w:rPr>
          <w:rFonts w:ascii="Arial" w:cs="Arial" w:eastAsia="Arial" w:hAnsi="Arial"/>
          <w:sz w:val="13"/>
          <w:szCs w:val="13"/>
          <w:color w:val="auto"/>
        </w:rPr>
        <w:t>Calculated based on the aggregate unpaid principal balance of multifamily loans for each category divided by the aggregate unpaid principal balance of loans in our multifamily guaranty book of business as of the end of each period, excluding small balance loans which is calculated based on loan count rather than unpaid principal balance.</w:t>
      </w:r>
    </w:p>
    <w:p>
      <w:pPr>
        <w:spacing w:after="0" w:line="10" w:lineRule="exact"/>
        <w:rPr>
          <w:rFonts w:ascii="Arial" w:cs="Arial" w:eastAsia="Arial" w:hAnsi="Arial"/>
          <w:sz w:val="17"/>
          <w:szCs w:val="17"/>
          <w:color w:val="auto"/>
          <w:vertAlign w:val="superscript"/>
        </w:rPr>
      </w:pPr>
    </w:p>
    <w:p>
      <w:pPr>
        <w:ind w:left="240" w:right="140" w:hanging="237"/>
        <w:spacing w:after="0" w:line="278" w:lineRule="auto"/>
        <w:tabs>
          <w:tab w:leader="none" w:pos="233" w:val="left"/>
        </w:tabs>
        <w:numPr>
          <w:ilvl w:val="0"/>
          <w:numId w:val="46"/>
        </w:numPr>
        <w:rPr>
          <w:rFonts w:ascii="Arial" w:cs="Arial" w:eastAsia="Arial" w:hAnsi="Arial"/>
          <w:sz w:val="9"/>
          <w:szCs w:val="9"/>
          <w:color w:val="auto"/>
        </w:rPr>
      </w:pPr>
      <w:r>
        <w:rPr>
          <w:rFonts w:ascii="Arial" w:cs="Arial" w:eastAsia="Arial" w:hAnsi="Arial"/>
          <w:sz w:val="14"/>
          <w:szCs w:val="14"/>
          <w:color w:val="auto"/>
        </w:rPr>
        <w:t>For our business volumes, the DSCR is calculated using the actual debt service payments for the loan. For our book of business, our estimates of current DSCRs are based on the latest available income information covering a 12 month period, from quarterly and annual</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2024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43</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60" w:type="dxa"/>
            <w:vAlign w:val="bottom"/>
            <w:tcBorders>
              <w:bottom w:val="single" w:sz="8" w:color="9A9A9A"/>
            </w:tcBorders>
          </w:tcPr>
          <w:p>
            <w:pPr>
              <w:spacing w:after="0"/>
              <w:rPr>
                <w:sz w:val="17"/>
                <w:szCs w:val="17"/>
                <w:color w:val="auto"/>
              </w:rPr>
            </w:pPr>
          </w:p>
        </w:tc>
        <w:tc>
          <w:tcPr>
            <w:tcW w:w="42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46" w:name="page47"/>
    <w:bookmarkEnd w:id="46"/>
    <w:p>
      <w:pPr>
        <w:ind w:left="6440"/>
        <w:spacing w:after="0"/>
        <w:rPr>
          <w:sz w:val="20"/>
          <w:szCs w:val="20"/>
          <w:color w:val="auto"/>
        </w:rPr>
      </w:pPr>
      <w:r>
        <w:rPr>
          <w:rFonts w:ascii="Arial" w:cs="Arial" w:eastAsia="Arial" w:hAnsi="Arial"/>
          <w:sz w:val="14"/>
          <w:szCs w:val="14"/>
          <w:color w:val="05314D"/>
        </w:rPr>
        <w:t>MD&amp;A | Multifamily Business | Multifamily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40"/>
        <w:spacing w:after="0" w:line="275" w:lineRule="auto"/>
        <w:rPr>
          <w:sz w:val="20"/>
          <w:szCs w:val="20"/>
          <w:color w:val="auto"/>
        </w:rPr>
      </w:pPr>
      <w:r>
        <w:rPr>
          <w:rFonts w:ascii="Arial" w:cs="Arial" w:eastAsia="Arial" w:hAnsi="Arial"/>
          <w:sz w:val="14"/>
          <w:szCs w:val="14"/>
          <w:color w:val="auto"/>
        </w:rPr>
        <w:t>statements for these properties including the related debt service. When an annual statement is the latest statement available, it is used. When operating statement information is not available, the underwritten DSCR is used. Co-op loans are excluded from this metric.</w:t>
      </w:r>
    </w:p>
    <w:p>
      <w:pPr>
        <w:ind w:left="220" w:hanging="217"/>
        <w:spacing w:after="0" w:line="214" w:lineRule="auto"/>
        <w:tabs>
          <w:tab w:leader="none" w:pos="220" w:val="left"/>
        </w:tabs>
        <w:numPr>
          <w:ilvl w:val="0"/>
          <w:numId w:val="47"/>
        </w:numPr>
        <w:rPr>
          <w:rFonts w:ascii="Arial" w:cs="Arial" w:eastAsia="Arial" w:hAnsi="Arial"/>
          <w:sz w:val="18"/>
          <w:szCs w:val="18"/>
          <w:color w:val="auto"/>
          <w:vertAlign w:val="superscript"/>
        </w:rPr>
      </w:pPr>
      <w:r>
        <w:rPr>
          <w:rFonts w:ascii="Arial" w:cs="Arial" w:eastAsia="Arial" w:hAnsi="Arial"/>
          <w:sz w:val="14"/>
          <w:szCs w:val="14"/>
          <w:color w:val="auto"/>
        </w:rPr>
        <w:t>Consists of mortgage loans that were underwritten with an interest-only term, regardless of whether the loan is currently in its interest-only period.</w:t>
      </w:r>
    </w:p>
    <w:p>
      <w:pPr>
        <w:spacing w:after="0" w:line="38"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47"/>
        </w:numPr>
        <w:rPr>
          <w:rFonts w:ascii="Arial" w:cs="Arial" w:eastAsia="Arial" w:hAnsi="Arial"/>
          <w:sz w:val="18"/>
          <w:szCs w:val="18"/>
          <w:color w:val="auto"/>
          <w:vertAlign w:val="superscript"/>
        </w:rPr>
      </w:pPr>
      <w:r>
        <w:rPr>
          <w:rFonts w:ascii="Arial" w:cs="Arial" w:eastAsia="Arial" w:hAnsi="Arial"/>
          <w:sz w:val="14"/>
          <w:szCs w:val="14"/>
          <w:color w:val="auto"/>
        </w:rPr>
        <w:t>Seniors housing acquisitions in the first nine months of 2024 represent refinances of existing loans in our multifamily guaranty book of business.</w:t>
      </w:r>
    </w:p>
    <w:p>
      <w:pPr>
        <w:spacing w:after="0" w:line="25" w:lineRule="exact"/>
        <w:rPr>
          <w:rFonts w:ascii="Arial" w:cs="Arial" w:eastAsia="Arial" w:hAnsi="Arial"/>
          <w:sz w:val="18"/>
          <w:szCs w:val="18"/>
          <w:color w:val="auto"/>
          <w:vertAlign w:val="superscript"/>
        </w:rPr>
      </w:pPr>
    </w:p>
    <w:p>
      <w:pPr>
        <w:ind w:left="240" w:right="260" w:hanging="237"/>
        <w:spacing w:after="0" w:line="260" w:lineRule="auto"/>
        <w:tabs>
          <w:tab w:leader="none" w:pos="233" w:val="left"/>
        </w:tabs>
        <w:numPr>
          <w:ilvl w:val="0"/>
          <w:numId w:val="47"/>
        </w:numPr>
        <w:rPr>
          <w:rFonts w:ascii="Arial" w:cs="Arial" w:eastAsia="Arial" w:hAnsi="Arial"/>
          <w:sz w:val="9"/>
          <w:szCs w:val="9"/>
          <w:color w:val="auto"/>
        </w:rPr>
      </w:pPr>
      <w:r>
        <w:rPr>
          <w:rFonts w:ascii="Arial" w:cs="Arial" w:eastAsia="Arial" w:hAnsi="Arial"/>
          <w:sz w:val="14"/>
          <w:szCs w:val="14"/>
          <w:color w:val="auto"/>
        </w:rPr>
        <w:t>Represents Multifamily Affordable Housing (“MAH”) loans, which are defined as financing for properties that are under an agreement that provides long-term affordability, such as properties with rent subsidies or income restrictions. MAH loans are included within the asset class categories referenced above.</w:t>
      </w:r>
    </w:p>
    <w:p>
      <w:pPr>
        <w:spacing w:after="0" w:line="13" w:lineRule="exact"/>
        <w:rPr>
          <w:rFonts w:ascii="Arial" w:cs="Arial" w:eastAsia="Arial" w:hAnsi="Arial"/>
          <w:sz w:val="9"/>
          <w:szCs w:val="9"/>
          <w:color w:val="auto"/>
        </w:rPr>
      </w:pPr>
    </w:p>
    <w:p>
      <w:pPr>
        <w:ind w:left="240" w:right="360" w:hanging="237"/>
        <w:spacing w:after="0" w:line="233" w:lineRule="auto"/>
        <w:tabs>
          <w:tab w:leader="none" w:pos="233" w:val="left"/>
        </w:tabs>
        <w:numPr>
          <w:ilvl w:val="0"/>
          <w:numId w:val="47"/>
        </w:numPr>
        <w:rPr>
          <w:rFonts w:ascii="Arial" w:cs="Arial" w:eastAsia="Arial" w:hAnsi="Arial"/>
          <w:sz w:val="18"/>
          <w:szCs w:val="18"/>
          <w:color w:val="auto"/>
          <w:vertAlign w:val="superscript"/>
        </w:rPr>
      </w:pPr>
      <w:r>
        <w:rPr>
          <w:rFonts w:ascii="Arial" w:cs="Arial" w:eastAsia="Arial" w:hAnsi="Arial"/>
          <w:sz w:val="14"/>
          <w:szCs w:val="14"/>
          <w:color w:val="auto"/>
        </w:rPr>
        <w:t>Small balance loans refer to multifamily loans with an original unpaid principal balance of up to $9 million nationwide. Small balance loans are included within the asset class categories referenced above. We present this metric in the table based on loan count rather than unpaid principal balance. Small balance loans comprised 10% and 11% of our multifamily guaranty book of business as of September 30, 2024 and December 31, 2023, respectively, based on unpaid principal balance of the loan.</w:t>
      </w:r>
    </w:p>
    <w:p>
      <w:pPr>
        <w:spacing w:after="0" w:line="15" w:lineRule="exact"/>
        <w:rPr>
          <w:rFonts w:ascii="Arial" w:cs="Arial" w:eastAsia="Arial" w:hAnsi="Arial"/>
          <w:sz w:val="18"/>
          <w:szCs w:val="18"/>
          <w:color w:val="auto"/>
          <w:vertAlign w:val="superscript"/>
        </w:rPr>
      </w:pPr>
    </w:p>
    <w:p>
      <w:pPr>
        <w:ind w:left="240" w:right="160" w:hanging="237"/>
        <w:spacing w:after="0" w:line="318" w:lineRule="auto"/>
        <w:tabs>
          <w:tab w:leader="none" w:pos="233" w:val="left"/>
        </w:tabs>
        <w:numPr>
          <w:ilvl w:val="0"/>
          <w:numId w:val="47"/>
        </w:numPr>
        <w:rPr>
          <w:rFonts w:ascii="Arial" w:cs="Arial" w:eastAsia="Arial" w:hAnsi="Arial"/>
          <w:sz w:val="8"/>
          <w:szCs w:val="8"/>
          <w:color w:val="auto"/>
        </w:rPr>
      </w:pPr>
      <w:r>
        <w:rPr>
          <w:rFonts w:ascii="Arial" w:cs="Arial" w:eastAsia="Arial" w:hAnsi="Arial"/>
          <w:sz w:val="13"/>
          <w:szCs w:val="13"/>
          <w:color w:val="auto"/>
        </w:rPr>
        <w:t>Midwest consists of IL, IN, IA, MI, MN, NE, ND, OH, SD and WI. Northeast consists of CT, DE, ME, MA, NH, NJ, NY, PA, PR, RI, VT and VI. Southeast consists of AL, DC, FL, GA, KY, MD, MS, NC, SC, TN, VA and WV. Southwest consists of AZ, AR, CO, KS, LA, MO, NM, OK, TX and UT. West consists of AK, CA, GU, HI, ID, MT, NV, OR, WA and WY.</w:t>
      </w:r>
    </w:p>
    <w:p>
      <w:pPr>
        <w:spacing w:after="0" w:line="41"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Multifamily Transfer of Mortgage Credit Risk</w:t>
      </w:r>
    </w:p>
    <w:p>
      <w:pPr>
        <w:spacing w:after="0" w:line="119"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Front-End Credit Risk Sharing</w:t>
      </w:r>
    </w:p>
    <w:p>
      <w:pPr>
        <w:spacing w:after="0" w:line="67" w:lineRule="exact"/>
        <w:rPr>
          <w:sz w:val="20"/>
          <w:szCs w:val="20"/>
          <w:color w:val="auto"/>
        </w:rPr>
      </w:pPr>
    </w:p>
    <w:p>
      <w:pPr>
        <w:ind w:right="60"/>
        <w:spacing w:after="0"/>
        <w:rPr>
          <w:sz w:val="20"/>
          <w:szCs w:val="20"/>
          <w:color w:val="auto"/>
        </w:rPr>
      </w:pPr>
      <w:r>
        <w:rPr>
          <w:rFonts w:ascii="Arial" w:cs="Arial" w:eastAsia="Arial" w:hAnsi="Arial"/>
          <w:sz w:val="16"/>
          <w:szCs w:val="16"/>
          <w:color w:val="auto"/>
        </w:rPr>
        <w:t>We primarily transfer credit risk on the multifamily loans we guarantee through our Delegated Underwriting and Servicing (DUS</w:t>
      </w:r>
      <w:r>
        <w:rPr>
          <w:rFonts w:ascii="Arial" w:cs="Arial" w:eastAsia="Arial" w:hAnsi="Arial"/>
          <w:sz w:val="21"/>
          <w:szCs w:val="21"/>
          <w:color w:val="auto"/>
          <w:vertAlign w:val="superscript"/>
        </w:rPr>
        <w:t>®</w:t>
      </w:r>
      <w:r>
        <w:rPr>
          <w:rFonts w:ascii="Arial" w:cs="Arial" w:eastAsia="Arial" w:hAnsi="Arial"/>
          <w:sz w:val="16"/>
          <w:szCs w:val="16"/>
          <w:color w:val="auto"/>
        </w:rPr>
        <w:t>) program, which delegates to DUS lenders the ability to underwrite and service multifamily loans, in accordance with our standards and requirements. See “MD&amp;A—Multifamily Business—Multifamily Mortgage Credit Risk Management—Transfer of Multifamily Mortgage Credit Risk</w:t>
      </w:r>
      <w:r>
        <w:rPr>
          <w:rFonts w:ascii="Arial" w:cs="Arial" w:eastAsia="Arial" w:hAnsi="Arial"/>
          <w:sz w:val="16"/>
          <w:szCs w:val="16"/>
          <w:color w:val="05314D"/>
        </w:rPr>
        <w:t>”</w:t>
      </w:r>
      <w:r>
        <w:rPr>
          <w:rFonts w:ascii="Arial" w:cs="Arial" w:eastAsia="Arial" w:hAnsi="Arial"/>
          <w:sz w:val="16"/>
          <w:szCs w:val="16"/>
          <w:color w:val="auto"/>
        </w:rPr>
        <w:t xml:space="preserve"> in our 2023 Form 10-K for a description of our DUS program.</w:t>
      </w:r>
    </w:p>
    <w:p>
      <w:pPr>
        <w:spacing w:after="0" w:line="254"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Loans serviced by DUS lenders and their affiliates represented substantially all of our multifamily guaranty book of business as of September 30, 2024 and December 31, 2023. Our DUS model typically results in our lenders assuming approximately one-third of the credit risk on our multifamily loans, either on a pro-rated or tiered basis. In certain situations, lenders assume less than one-third of the credit risk. We establish lender-specific loss-sharing limits for individual transactions based on loan size, lender financial performance, and lender creditworthiness, among other factors. When loss sharing is reduced on a loan, the servicing fee paid to the lender is reduced and our guaranty fee is increased to reflect the lower credit risk retained by the lender.</w:t>
      </w:r>
    </w:p>
    <w:p>
      <w:pPr>
        <w:spacing w:after="0" w:line="38" w:lineRule="exact"/>
        <w:rPr>
          <w:sz w:val="20"/>
          <w:szCs w:val="20"/>
          <w:color w:val="auto"/>
        </w:rPr>
      </w:pPr>
    </w:p>
    <w:p>
      <w:pPr>
        <w:ind w:right="360"/>
        <w:spacing w:after="0" w:line="293" w:lineRule="auto"/>
        <w:rPr>
          <w:sz w:val="20"/>
          <w:szCs w:val="20"/>
          <w:color w:val="auto"/>
        </w:rPr>
      </w:pPr>
      <w:r>
        <w:rPr>
          <w:rFonts w:ascii="Arial" w:cs="Arial" w:eastAsia="Arial" w:hAnsi="Arial"/>
          <w:sz w:val="16"/>
          <w:szCs w:val="16"/>
          <w:color w:val="auto"/>
        </w:rPr>
        <w:t>Non-DUS lenders, which represent a small portion of our multifamily guaranty book of business, typically share or absorb losses based on a negotiated percentage of the loan or the pool balance.</w:t>
      </w:r>
    </w:p>
    <w:p>
      <w:pPr>
        <w:spacing w:after="0" w:line="54"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Back-End Credit Risk Sharing</w:t>
      </w:r>
    </w:p>
    <w:p>
      <w:pPr>
        <w:spacing w:after="0" w:line="106" w:lineRule="exact"/>
        <w:rPr>
          <w:sz w:val="20"/>
          <w:szCs w:val="20"/>
          <w:color w:val="auto"/>
        </w:rPr>
      </w:pPr>
    </w:p>
    <w:p>
      <w:pPr>
        <w:ind w:right="120"/>
        <w:spacing w:after="0" w:line="263" w:lineRule="auto"/>
        <w:rPr>
          <w:sz w:val="20"/>
          <w:szCs w:val="20"/>
          <w:color w:val="auto"/>
        </w:rPr>
      </w:pPr>
      <w:r>
        <w:rPr>
          <w:rFonts w:ascii="Arial" w:cs="Arial" w:eastAsia="Arial" w:hAnsi="Arial"/>
          <w:sz w:val="16"/>
          <w:szCs w:val="16"/>
          <w:color w:val="auto"/>
        </w:rPr>
        <w:t>Our back-end MCAS and MCIRT credit risk transfer programs transfer a portion of the credit risk associated with a reference pool of multifamily mortgage loans to insurers, reinsurers, or investors. During the first nine months of 2024, we entered into three new multifamily credit risk transfer transactions, transferring multifamily mortgage credit risk through our MCIRT and MCAS programs. When engaging in credit risk transfer transactions, we consider their cost, the resulting capital relief, and the overall credit risk appetite of the market. The cost of our credit risk transfer transactions is impacted by macroeconomic conditions and housing market sentiment, as well as the demand and capacity of the investors and reinsurers that support these transactions.</w:t>
      </w:r>
    </w:p>
    <w:p>
      <w:pPr>
        <w:spacing w:after="0" w:line="41" w:lineRule="exact"/>
        <w:rPr>
          <w:sz w:val="20"/>
          <w:szCs w:val="20"/>
          <w:color w:val="auto"/>
        </w:rPr>
      </w:pPr>
    </w:p>
    <w:p>
      <w:pPr>
        <w:ind w:right="140"/>
        <w:spacing w:after="0" w:line="272" w:lineRule="auto"/>
        <w:rPr>
          <w:sz w:val="20"/>
          <w:szCs w:val="20"/>
          <w:color w:val="auto"/>
        </w:rPr>
      </w:pPr>
      <w:r>
        <w:rPr>
          <w:rFonts w:ascii="Arial" w:cs="Arial" w:eastAsia="Arial" w:hAnsi="Arial"/>
          <w:sz w:val="16"/>
          <w:szCs w:val="16"/>
          <w:color w:val="auto"/>
        </w:rPr>
        <w:t>The table below displays the total unpaid principal balance of multifamily loans and the percentage of our multifamily guaranty book of business, based on unpaid principal balance, that is covered by a back-end credit risk transfer transaction. The table does not reflect front-end lender risk-sharing arrangements, as only a small portion of our multifamily guaranty book of business is not covered by these arrangements.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2024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44</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60" w:type="dxa"/>
            <w:vAlign w:val="bottom"/>
            <w:tcBorders>
              <w:bottom w:val="single" w:sz="8" w:color="9A9A9A"/>
            </w:tcBorders>
          </w:tcPr>
          <w:p>
            <w:pPr>
              <w:spacing w:after="0"/>
              <w:rPr>
                <w:sz w:val="17"/>
                <w:szCs w:val="17"/>
                <w:color w:val="auto"/>
              </w:rPr>
            </w:pPr>
          </w:p>
        </w:tc>
        <w:tc>
          <w:tcPr>
            <w:tcW w:w="42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47" w:name="page48"/>
    <w:bookmarkEnd w:id="47"/>
    <w:p>
      <w:pPr>
        <w:ind w:left="6440"/>
        <w:spacing w:after="0"/>
        <w:rPr>
          <w:sz w:val="20"/>
          <w:szCs w:val="20"/>
          <w:color w:val="auto"/>
        </w:rPr>
      </w:pPr>
      <w:r>
        <w:rPr>
          <w:rFonts w:ascii="Arial" w:cs="Arial" w:eastAsia="Arial" w:hAnsi="Arial"/>
          <w:sz w:val="14"/>
          <w:szCs w:val="14"/>
          <w:color w:val="05314D"/>
        </w:rPr>
        <w:t>MD&amp;A | Multifamily Business | Multifamily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Multifamily Loans in Back-End Credit Risk Transfer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165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30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820" w:type="dxa"/>
            <w:vAlign w:val="bottom"/>
            <w:tcBorders>
              <w:bottom w:val="single" w:sz="8" w:color="2C6937"/>
            </w:tcBorders>
            <w:gridSpan w:val="3"/>
          </w:tcPr>
          <w:p>
            <w:pPr>
              <w:jc w:val="center"/>
              <w:ind w:left="1328"/>
              <w:spacing w:after="0"/>
              <w:rPr>
                <w:sz w:val="20"/>
                <w:szCs w:val="20"/>
                <w:color w:val="auto"/>
              </w:rPr>
            </w:pPr>
            <w:r>
              <w:rPr>
                <w:rFonts w:ascii="Arial" w:cs="Arial" w:eastAsia="Arial" w:hAnsi="Arial"/>
                <w:sz w:val="14"/>
                <w:szCs w:val="14"/>
                <w:b w:val="1"/>
                <w:bCs w:val="1"/>
                <w:color w:val="auto"/>
                <w:w w:val="97"/>
              </w:rPr>
              <w:t>As of</w:t>
            </w:r>
          </w:p>
        </w:tc>
        <w:tc>
          <w:tcPr>
            <w:tcW w:w="128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56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2960" w:type="dxa"/>
            <w:vAlign w:val="bottom"/>
            <w:tcBorders>
              <w:bottom w:val="single" w:sz="8" w:color="2C6937"/>
            </w:tcBorders>
            <w:gridSpan w:val="3"/>
          </w:tcPr>
          <w:p>
            <w:pPr>
              <w:ind w:left="760"/>
              <w:spacing w:after="0"/>
              <w:rPr>
                <w:sz w:val="20"/>
                <w:szCs w:val="20"/>
                <w:color w:val="auto"/>
              </w:rPr>
            </w:pPr>
            <w:r>
              <w:rPr>
                <w:rFonts w:ascii="Arial" w:cs="Arial" w:eastAsia="Arial" w:hAnsi="Arial"/>
                <w:sz w:val="14"/>
                <w:szCs w:val="14"/>
                <w:b w:val="1"/>
                <w:bCs w:val="1"/>
                <w:color w:val="auto"/>
              </w:rPr>
              <w:t>September 30, 2024</w:t>
            </w:r>
          </w:p>
        </w:tc>
        <w:tc>
          <w:tcPr>
            <w:tcW w:w="10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2940" w:type="dxa"/>
            <w:vAlign w:val="bottom"/>
            <w:tcBorders>
              <w:bottom w:val="single" w:sz="8" w:color="2C6937"/>
            </w:tcBorders>
            <w:gridSpan w:val="3"/>
          </w:tcPr>
          <w:p>
            <w:pPr>
              <w:ind w:left="780"/>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178"/>
        </w:trPr>
        <w:tc>
          <w:tcPr>
            <w:tcW w:w="4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Unpaid Principal</w:t>
            </w: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Percentage of</w:t>
            </w:r>
          </w:p>
        </w:tc>
        <w:tc>
          <w:tcPr>
            <w:tcW w:w="160" w:type="dxa"/>
            <w:vAlign w:val="bottom"/>
          </w:tcPr>
          <w:p>
            <w:pPr>
              <w:spacing w:after="0"/>
              <w:rPr>
                <w:sz w:val="15"/>
                <w:szCs w:val="15"/>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Unpaid Principal</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7"/>
              </w:rPr>
              <w:t>Percentage of</w:t>
            </w:r>
          </w:p>
        </w:tc>
        <w:tc>
          <w:tcPr>
            <w:tcW w:w="0" w:type="dxa"/>
            <w:vAlign w:val="bottom"/>
          </w:tcPr>
          <w:p>
            <w:pPr>
              <w:spacing w:after="0"/>
              <w:rPr>
                <w:sz w:val="1"/>
                <w:szCs w:val="1"/>
                <w:color w:val="auto"/>
              </w:rPr>
            </w:pPr>
          </w:p>
        </w:tc>
      </w:tr>
      <w:tr>
        <w:trPr>
          <w:trHeight w:val="155"/>
        </w:trPr>
        <w:tc>
          <w:tcPr>
            <w:tcW w:w="4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166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98"/>
              </w:rPr>
              <w:t>Multifamily Guaranty</w:t>
            </w:r>
          </w:p>
        </w:tc>
        <w:tc>
          <w:tcPr>
            <w:tcW w:w="16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15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8"/>
              </w:rPr>
              <w:t>Multifamily Guaranty</w:t>
            </w:r>
          </w:p>
        </w:tc>
        <w:tc>
          <w:tcPr>
            <w:tcW w:w="0" w:type="dxa"/>
            <w:vAlign w:val="bottom"/>
          </w:tcPr>
          <w:p>
            <w:pPr>
              <w:spacing w:after="0"/>
              <w:rPr>
                <w:sz w:val="1"/>
                <w:szCs w:val="1"/>
                <w:color w:val="auto"/>
              </w:rPr>
            </w:pPr>
          </w:p>
        </w:tc>
      </w:tr>
      <w:tr>
        <w:trPr>
          <w:trHeight w:val="202"/>
        </w:trPr>
        <w:tc>
          <w:tcPr>
            <w:tcW w:w="4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400" w:type="dxa"/>
            <w:vAlign w:val="bottom"/>
            <w:tcBorders>
              <w:bottom w:val="single" w:sz="8" w:color="2C6937"/>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Balance</w:t>
            </w:r>
          </w:p>
        </w:tc>
        <w:tc>
          <w:tcPr>
            <w:tcW w:w="1660" w:type="dxa"/>
            <w:vAlign w:val="bottom"/>
            <w:tcBorders>
              <w:bottom w:val="single" w:sz="8" w:color="2C6937"/>
            </w:tcBorders>
            <w:gridSpan w:val="2"/>
          </w:tcPr>
          <w:p>
            <w:pPr>
              <w:jc w:val="center"/>
              <w:ind w:right="100"/>
              <w:spacing w:after="0"/>
              <w:rPr>
                <w:sz w:val="20"/>
                <w:szCs w:val="20"/>
                <w:color w:val="auto"/>
              </w:rPr>
            </w:pPr>
            <w:r>
              <w:rPr>
                <w:rFonts w:ascii="Arial" w:cs="Arial" w:eastAsia="Arial" w:hAnsi="Arial"/>
                <w:sz w:val="14"/>
                <w:szCs w:val="14"/>
                <w:b w:val="1"/>
                <w:bCs w:val="1"/>
                <w:color w:val="auto"/>
                <w:w w:val="98"/>
              </w:rPr>
              <w:t>Book of Business</w:t>
            </w:r>
          </w:p>
        </w:tc>
        <w:tc>
          <w:tcPr>
            <w:tcW w:w="160" w:type="dxa"/>
            <w:vAlign w:val="bottom"/>
            <w:tcBorders>
              <w:bottom w:val="single" w:sz="8" w:color="2C6937"/>
            </w:tcBorders>
          </w:tcPr>
          <w:p>
            <w:pPr>
              <w:spacing w:after="0"/>
              <w:rPr>
                <w:sz w:val="17"/>
                <w:szCs w:val="17"/>
                <w:color w:val="auto"/>
              </w:rPr>
            </w:pPr>
          </w:p>
        </w:tc>
        <w:tc>
          <w:tcPr>
            <w:tcW w:w="1380" w:type="dxa"/>
            <w:vAlign w:val="bottom"/>
            <w:tcBorders>
              <w:bottom w:val="single" w:sz="8" w:color="2C6937"/>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Balance</w:t>
            </w:r>
          </w:p>
        </w:tc>
        <w:tc>
          <w:tcPr>
            <w:tcW w:w="15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8"/>
              </w:rPr>
              <w:t>Book of Business</w:t>
            </w:r>
          </w:p>
        </w:tc>
        <w:tc>
          <w:tcPr>
            <w:tcW w:w="0" w:type="dxa"/>
            <w:vAlign w:val="bottom"/>
          </w:tcPr>
          <w:p>
            <w:pPr>
              <w:spacing w:after="0"/>
              <w:rPr>
                <w:sz w:val="1"/>
                <w:szCs w:val="1"/>
                <w:color w:val="auto"/>
              </w:rPr>
            </w:pPr>
          </w:p>
        </w:tc>
      </w:tr>
      <w:tr>
        <w:trPr>
          <w:trHeight w:val="198"/>
        </w:trPr>
        <w:tc>
          <w:tcPr>
            <w:tcW w:w="4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8"/>
              </w:rPr>
              <w:t>(Dollars in millions)</w:t>
            </w: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4940" w:type="dxa"/>
            <w:vAlign w:val="bottom"/>
            <w:gridSpan w:val="2"/>
          </w:tcPr>
          <w:p>
            <w:pPr>
              <w:ind w:left="20"/>
              <w:spacing w:after="0"/>
              <w:rPr>
                <w:sz w:val="20"/>
                <w:szCs w:val="20"/>
                <w:color w:val="auto"/>
              </w:rPr>
            </w:pPr>
            <w:r>
              <w:rPr>
                <w:rFonts w:ascii="Arial" w:cs="Arial" w:eastAsia="Arial" w:hAnsi="Arial"/>
                <w:sz w:val="15"/>
                <w:szCs w:val="15"/>
                <w:color w:val="auto"/>
              </w:rPr>
              <w:t>MCIRT</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300" w:type="dxa"/>
            <w:vAlign w:val="bottom"/>
          </w:tcPr>
          <w:p>
            <w:pPr>
              <w:jc w:val="right"/>
              <w:ind w:right="7"/>
              <w:spacing w:after="0"/>
              <w:rPr>
                <w:sz w:val="20"/>
                <w:szCs w:val="20"/>
                <w:color w:val="auto"/>
              </w:rPr>
            </w:pPr>
            <w:r>
              <w:rPr>
                <w:rFonts w:ascii="Arial" w:cs="Arial" w:eastAsia="Arial" w:hAnsi="Arial"/>
                <w:sz w:val="15"/>
                <w:szCs w:val="15"/>
                <w:b w:val="1"/>
                <w:bCs w:val="1"/>
                <w:color w:val="auto"/>
              </w:rPr>
              <w:t>102,961</w:t>
            </w:r>
          </w:p>
        </w:tc>
        <w:tc>
          <w:tcPr>
            <w:tcW w:w="100" w:type="dxa"/>
            <w:vAlign w:val="bottom"/>
          </w:tcPr>
          <w:p>
            <w:pPr>
              <w:spacing w:after="0"/>
              <w:rPr>
                <w:sz w:val="21"/>
                <w:szCs w:val="21"/>
                <w:color w:val="auto"/>
              </w:rPr>
            </w:pPr>
          </w:p>
        </w:tc>
        <w:tc>
          <w:tcPr>
            <w:tcW w:w="1560" w:type="dxa"/>
            <w:vAlign w:val="bottom"/>
          </w:tcPr>
          <w:p>
            <w:pPr>
              <w:ind w:left="1180"/>
              <w:spacing w:after="0"/>
              <w:rPr>
                <w:sz w:val="20"/>
                <w:szCs w:val="20"/>
                <w:color w:val="auto"/>
              </w:rPr>
            </w:pPr>
            <w:r>
              <w:rPr>
                <w:rFonts w:ascii="Arial" w:cs="Arial" w:eastAsia="Arial" w:hAnsi="Arial"/>
                <w:sz w:val="15"/>
                <w:szCs w:val="15"/>
                <w:b w:val="1"/>
                <w:bCs w:val="1"/>
                <w:color w:val="auto"/>
              </w:rPr>
              <w:t>21 %</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89,517</w:t>
            </w:r>
          </w:p>
        </w:tc>
        <w:tc>
          <w:tcPr>
            <w:tcW w:w="100" w:type="dxa"/>
            <w:vAlign w:val="bottom"/>
          </w:tcPr>
          <w:p>
            <w:pPr>
              <w:spacing w:after="0"/>
              <w:rPr>
                <w:sz w:val="21"/>
                <w:szCs w:val="21"/>
                <w:color w:val="auto"/>
              </w:rPr>
            </w:pPr>
          </w:p>
        </w:tc>
        <w:tc>
          <w:tcPr>
            <w:tcW w:w="1560" w:type="dxa"/>
            <w:vAlign w:val="bottom"/>
          </w:tcPr>
          <w:p>
            <w:pPr>
              <w:ind w:left="1200"/>
              <w:spacing w:after="0"/>
              <w:rPr>
                <w:sz w:val="20"/>
                <w:szCs w:val="20"/>
                <w:color w:val="auto"/>
              </w:rPr>
            </w:pPr>
            <w:r>
              <w:rPr>
                <w:rFonts w:ascii="Arial" w:cs="Arial" w:eastAsia="Arial" w:hAnsi="Arial"/>
                <w:sz w:val="15"/>
                <w:szCs w:val="15"/>
                <w:color w:val="auto"/>
                <w:w w:val="99"/>
              </w:rPr>
              <w:t>19 %</w:t>
            </w:r>
          </w:p>
        </w:tc>
        <w:tc>
          <w:tcPr>
            <w:tcW w:w="0" w:type="dxa"/>
            <w:vAlign w:val="bottom"/>
          </w:tcPr>
          <w:p>
            <w:pPr>
              <w:spacing w:after="0"/>
              <w:rPr>
                <w:sz w:val="1"/>
                <w:szCs w:val="1"/>
                <w:color w:val="auto"/>
              </w:rPr>
            </w:pPr>
          </w:p>
        </w:tc>
      </w:tr>
      <w:tr>
        <w:trPr>
          <w:trHeight w:val="226"/>
        </w:trPr>
        <w:tc>
          <w:tcPr>
            <w:tcW w:w="4860" w:type="dxa"/>
            <w:vAlign w:val="bottom"/>
            <w:tcBorders>
              <w:bottom w:val="single" w:sz="8" w:color="216C2B"/>
            </w:tcBorders>
          </w:tcPr>
          <w:p>
            <w:pPr>
              <w:ind w:left="20"/>
              <w:spacing w:after="0"/>
              <w:rPr>
                <w:sz w:val="20"/>
                <w:szCs w:val="20"/>
                <w:color w:val="auto"/>
              </w:rPr>
            </w:pPr>
            <w:r>
              <w:rPr>
                <w:rFonts w:ascii="Arial" w:cs="Arial" w:eastAsia="Arial" w:hAnsi="Arial"/>
                <w:sz w:val="15"/>
                <w:szCs w:val="15"/>
                <w:color w:val="auto"/>
              </w:rPr>
              <w:t>MCAS</w:t>
            </w:r>
          </w:p>
        </w:tc>
        <w:tc>
          <w:tcPr>
            <w:tcW w:w="8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1300" w:type="dxa"/>
            <w:vAlign w:val="bottom"/>
            <w:tcBorders>
              <w:bottom w:val="single" w:sz="8" w:color="2C6937"/>
            </w:tcBorders>
          </w:tcPr>
          <w:p>
            <w:pPr>
              <w:jc w:val="right"/>
              <w:ind w:right="7"/>
              <w:spacing w:after="0"/>
              <w:rPr>
                <w:sz w:val="20"/>
                <w:szCs w:val="20"/>
                <w:color w:val="auto"/>
              </w:rPr>
            </w:pPr>
            <w:r>
              <w:rPr>
                <w:rFonts w:ascii="Arial" w:cs="Arial" w:eastAsia="Arial" w:hAnsi="Arial"/>
                <w:sz w:val="15"/>
                <w:szCs w:val="15"/>
                <w:b w:val="1"/>
                <w:bCs w:val="1"/>
                <w:color w:val="auto"/>
              </w:rPr>
              <w:t>56,683</w:t>
            </w:r>
          </w:p>
        </w:tc>
        <w:tc>
          <w:tcPr>
            <w:tcW w:w="100" w:type="dxa"/>
            <w:vAlign w:val="bottom"/>
          </w:tcPr>
          <w:p>
            <w:pPr>
              <w:spacing w:after="0"/>
              <w:rPr>
                <w:sz w:val="19"/>
                <w:szCs w:val="19"/>
                <w:color w:val="auto"/>
              </w:rPr>
            </w:pPr>
          </w:p>
        </w:tc>
        <w:tc>
          <w:tcPr>
            <w:tcW w:w="1560" w:type="dxa"/>
            <w:vAlign w:val="bottom"/>
            <w:tcBorders>
              <w:bottom w:val="single" w:sz="8" w:color="2C6937"/>
            </w:tcBorders>
          </w:tcPr>
          <w:p>
            <w:pPr>
              <w:ind w:left="1180"/>
              <w:spacing w:after="0"/>
              <w:rPr>
                <w:sz w:val="20"/>
                <w:szCs w:val="20"/>
                <w:color w:val="auto"/>
              </w:rPr>
            </w:pPr>
            <w:r>
              <w:rPr>
                <w:rFonts w:ascii="Arial" w:cs="Arial" w:eastAsia="Arial" w:hAnsi="Arial"/>
                <w:sz w:val="15"/>
                <w:szCs w:val="15"/>
                <w:b w:val="1"/>
                <w:bCs w:val="1"/>
                <w:color w:val="auto"/>
              </w:rPr>
              <w:t>12</w:t>
            </w:r>
          </w:p>
        </w:tc>
        <w:tc>
          <w:tcPr>
            <w:tcW w:w="100" w:type="dxa"/>
            <w:vAlign w:val="bottom"/>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12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48,476</w:t>
            </w:r>
          </w:p>
        </w:tc>
        <w:tc>
          <w:tcPr>
            <w:tcW w:w="100" w:type="dxa"/>
            <w:vAlign w:val="bottom"/>
          </w:tcPr>
          <w:p>
            <w:pPr>
              <w:spacing w:after="0"/>
              <w:rPr>
                <w:sz w:val="19"/>
                <w:szCs w:val="19"/>
                <w:color w:val="auto"/>
              </w:rPr>
            </w:pPr>
          </w:p>
        </w:tc>
        <w:tc>
          <w:tcPr>
            <w:tcW w:w="1560" w:type="dxa"/>
            <w:vAlign w:val="bottom"/>
            <w:tcBorders>
              <w:bottom w:val="single" w:sz="8" w:color="2C6937"/>
            </w:tcBorders>
          </w:tcPr>
          <w:p>
            <w:pPr>
              <w:ind w:left="1200"/>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25"/>
        </w:trPr>
        <w:tc>
          <w:tcPr>
            <w:tcW w:w="4940" w:type="dxa"/>
            <w:vAlign w:val="bottom"/>
            <w:gridSpan w:val="2"/>
          </w:tcPr>
          <w:p>
            <w:pPr>
              <w:ind w:left="180"/>
              <w:spacing w:after="0"/>
              <w:rPr>
                <w:sz w:val="20"/>
                <w:szCs w:val="20"/>
                <w:color w:val="auto"/>
              </w:rPr>
            </w:pPr>
            <w:r>
              <w:rPr>
                <w:rFonts w:ascii="Arial" w:cs="Arial" w:eastAsia="Arial" w:hAnsi="Arial"/>
                <w:sz w:val="15"/>
                <w:szCs w:val="15"/>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300" w:type="dxa"/>
            <w:vAlign w:val="bottom"/>
          </w:tcPr>
          <w:p>
            <w:pPr>
              <w:jc w:val="right"/>
              <w:ind w:right="7"/>
              <w:spacing w:after="0"/>
              <w:rPr>
                <w:sz w:val="20"/>
                <w:szCs w:val="20"/>
                <w:color w:val="auto"/>
              </w:rPr>
            </w:pPr>
            <w:r>
              <w:rPr>
                <w:rFonts w:ascii="Arial" w:cs="Arial" w:eastAsia="Arial" w:hAnsi="Arial"/>
                <w:sz w:val="15"/>
                <w:szCs w:val="15"/>
                <w:b w:val="1"/>
                <w:bCs w:val="1"/>
                <w:color w:val="auto"/>
              </w:rPr>
              <w:t>159,644</w:t>
            </w:r>
          </w:p>
        </w:tc>
        <w:tc>
          <w:tcPr>
            <w:tcW w:w="100" w:type="dxa"/>
            <w:vAlign w:val="bottom"/>
          </w:tcPr>
          <w:p>
            <w:pPr>
              <w:spacing w:after="0"/>
              <w:rPr>
                <w:sz w:val="19"/>
                <w:szCs w:val="19"/>
                <w:color w:val="auto"/>
              </w:rPr>
            </w:pPr>
          </w:p>
        </w:tc>
        <w:tc>
          <w:tcPr>
            <w:tcW w:w="1560" w:type="dxa"/>
            <w:vAlign w:val="bottom"/>
          </w:tcPr>
          <w:p>
            <w:pPr>
              <w:ind w:left="1180"/>
              <w:spacing w:after="0"/>
              <w:rPr>
                <w:sz w:val="20"/>
                <w:szCs w:val="20"/>
                <w:color w:val="auto"/>
              </w:rPr>
            </w:pPr>
            <w:r>
              <w:rPr>
                <w:rFonts w:ascii="Arial" w:cs="Arial" w:eastAsia="Arial" w:hAnsi="Arial"/>
                <w:sz w:val="15"/>
                <w:szCs w:val="15"/>
                <w:b w:val="1"/>
                <w:bCs w:val="1"/>
                <w:color w:val="auto"/>
              </w:rPr>
              <w:t>33 %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137,993</w:t>
            </w:r>
          </w:p>
        </w:tc>
        <w:tc>
          <w:tcPr>
            <w:tcW w:w="100" w:type="dxa"/>
            <w:vAlign w:val="bottom"/>
          </w:tcPr>
          <w:p>
            <w:pPr>
              <w:spacing w:after="0"/>
              <w:rPr>
                <w:sz w:val="19"/>
                <w:szCs w:val="19"/>
                <w:color w:val="auto"/>
              </w:rPr>
            </w:pPr>
          </w:p>
        </w:tc>
        <w:tc>
          <w:tcPr>
            <w:tcW w:w="1560" w:type="dxa"/>
            <w:vAlign w:val="bottom"/>
          </w:tcPr>
          <w:p>
            <w:pPr>
              <w:ind w:left="1200"/>
              <w:spacing w:after="0"/>
              <w:rPr>
                <w:sz w:val="20"/>
                <w:szCs w:val="20"/>
                <w:color w:val="auto"/>
              </w:rPr>
            </w:pPr>
            <w:r>
              <w:rPr>
                <w:rFonts w:ascii="Arial" w:cs="Arial" w:eastAsia="Arial" w:hAnsi="Arial"/>
                <w:sz w:val="15"/>
                <w:szCs w:val="15"/>
                <w:color w:val="auto"/>
                <w:w w:val="99"/>
              </w:rPr>
              <w:t>29 %</w:t>
            </w:r>
          </w:p>
        </w:tc>
        <w:tc>
          <w:tcPr>
            <w:tcW w:w="0" w:type="dxa"/>
            <w:vAlign w:val="bottom"/>
          </w:tcPr>
          <w:p>
            <w:pPr>
              <w:spacing w:after="0"/>
              <w:rPr>
                <w:sz w:val="1"/>
                <w:szCs w:val="1"/>
                <w:color w:val="auto"/>
              </w:rPr>
            </w:pPr>
          </w:p>
        </w:tc>
      </w:tr>
      <w:tr>
        <w:trPr>
          <w:trHeight w:val="20"/>
        </w:trPr>
        <w:tc>
          <w:tcPr>
            <w:tcW w:w="486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3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12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Multifamily Problem Loan Management</w:t>
      </w:r>
    </w:p>
    <w:p>
      <w:pPr>
        <w:spacing w:after="0" w:line="106"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Credit Performance Statistics on Multifamily Problem Loans</w:t>
      </w:r>
    </w:p>
    <w:p>
      <w:pPr>
        <w:spacing w:after="0" w:line="80"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The percentage of criticized loans in our multifamily guaranty book of business slightly decreased as of September 30, 2024 compared with December 31, 2023, due to improving financial performance reflected in their latest operating statements and active management of the criticized loan population, both primarily related to seniors housing loans. However, our criticized loan population remains elevated, largely driven by properties financed with adjustable-rate mortgages. The criticized loans category substantially consists of loans classified as “Substandard” and also includes loans classified as “Special Mention” or “Doubtful.” Substandard loans are loans that have a well-defined weakness that could impact their timely full repayment. While the majority of the substandard loans in our multifamily guaranty book of business are currently making timely payments, we continue to monitor the performance of our substandard loan population. For more information on our credit quality indicators, including our population of substandard loans, see “Note 4, Mortgage Loans.”</w:t>
      </w:r>
    </w:p>
    <w:p>
      <w:pPr>
        <w:spacing w:after="0" w:line="43"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Our multifamily serious delinquency rate increased to 0.56% as of September 30, 2024, compared with 0.46% as of December 31, 2023, due to a portfolio of approximately $600 million of adjustable-rate conventional loans that became seriously delinquent in the third quarter of 2024. Approximately one-third of our seriously delinquent multifamily loan population as of September 30, 2024 was comprised of seniors housing loans. Our multifamily serious delinquency rate consists of multifamily loans that were 60 days or more past due based on unpaid principal balance, expressed as a percentage of our multifamily guaranty book of business.</w:t>
      </w:r>
    </w:p>
    <w:p>
      <w:pPr>
        <w:spacing w:after="0" w:line="38"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Management monitors the multifamily serious delinquency rate as an indicator of potential future credit losses and loss mitigation activities. Serious delinquency rates are reflective of our performance in assessing and managing credit risk associated with multifamily loans in our guaranty book of business. Typically, higher serious delinquency rates result in a higher allowance for loan losses. The percentage of loans in our multifamily guaranty book of business that were 180 days or more delinquent was 0.34% as of September 30, 2024, compared with 0.29% as of December 31, 2023.</w:t>
      </w:r>
    </w:p>
    <w:p>
      <w:pPr>
        <w:spacing w:after="0" w:line="33"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In addition to the credit performance information on our multifamily loans provided in this report, we provide additional information about the performance of our multifamily loans that back MBS and whole loan REMICs in the “Data Collections” section of our DUS Disclose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tool, available at www.fanniemae.com/dusdisclose. Information on our website is not incorporated into this report. Information in Data Collections may differ from similar measures presented in our financial statements and other public disclosures for a variety of reasons, including as a result of variations in the loan population covered, timing differences in reporting and other factors.</w:t>
      </w:r>
    </w:p>
    <w:p>
      <w:pPr>
        <w:spacing w:after="0" w:line="91"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Multifamily REO Management</w:t>
      </w:r>
    </w:p>
    <w:p>
      <w:pPr>
        <w:spacing w:after="0" w:line="80"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As of September 30, 2024, we held 128 multifamily REO properties with a carrying value of $690 million, compared with 61 properties with a carrying value of $378 million as of December 31, 2023. The increase in foreclosure activity was primarily driven by properties included in a specific seniors housing portfolio that had write-offs during 2023. A majority of properties in this portfolio have completed the foreclosure or sale process as of September 30, 2024; however, we expect the foreclosure process to take longer for properties in the portfolio that are located in certain judicial foreclosure states with historically long foreclosure timelines.</w:t>
      </w:r>
    </w:p>
    <w:p>
      <w:pPr>
        <w:spacing w:after="0" w:line="92"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Multifamily Credit Loss Performance Metrics</w:t>
      </w:r>
    </w:p>
    <w:p>
      <w:pPr>
        <w:spacing w:after="0" w:line="67"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color w:val="auto"/>
        </w:rPr>
        <w:t>The amount of multifamily credit losses or gains we realize in a given period is driven by foreclosures, pre-foreclosure sales, post-foreclosure REO activity and other events that trigger write-offs and recoveries. Our multifamily credit loss performance metrics are not defined terms and may not be calculated in the same manner as similarly titled measures reported by other companies. For the purposes of our multifamily credit loss performance metrics, credit losses or gains</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2024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45</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60" w:type="dxa"/>
            <w:vAlign w:val="bottom"/>
            <w:tcBorders>
              <w:bottom w:val="single" w:sz="8" w:color="9A9A9A"/>
            </w:tcBorders>
          </w:tcPr>
          <w:p>
            <w:pPr>
              <w:spacing w:after="0"/>
              <w:rPr>
                <w:sz w:val="17"/>
                <w:szCs w:val="17"/>
                <w:color w:val="auto"/>
              </w:rPr>
            </w:pPr>
          </w:p>
        </w:tc>
        <w:tc>
          <w:tcPr>
            <w:tcW w:w="42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48" w:name="page49"/>
    <w:bookmarkEnd w:id="48"/>
    <w:p>
      <w:pPr>
        <w:ind w:left="6420"/>
        <w:spacing w:after="0"/>
        <w:rPr>
          <w:sz w:val="20"/>
          <w:szCs w:val="20"/>
          <w:color w:val="auto"/>
        </w:rPr>
      </w:pPr>
      <w:r>
        <w:rPr>
          <w:rFonts w:ascii="Arial" w:cs="Arial" w:eastAsia="Arial" w:hAnsi="Arial"/>
          <w:sz w:val="14"/>
          <w:szCs w:val="14"/>
          <w:color w:val="05314D"/>
        </w:rPr>
        <w:t>MD&amp;A | Multifamily Business | Multifamily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17145</wp:posOffset>
            </wp:positionV>
            <wp:extent cx="697484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748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represent write-offs net of recoveries and foreclosed property income or expense. We believe our multifamily credit losses, and our multifamily credit losses net of freestanding loss-sharing arrangements, provide useful information about our multifamily credit performance because they display our multifamily credit losses in the context of our multifamily guaranty book of business, including changes to the benefit we expect to receive from loss-sharing arrangements. Management views multifamily credit losses, net of freestanding loss-sharing arrangements, as a key metric related to our multifamily business model and our strategy to share multifamily credit risk.</w:t>
      </w:r>
    </w:p>
    <w:p>
      <w:pPr>
        <w:spacing w:after="0" w:line="3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table below displays the components of our multifamily credit loss performance metrics, as well as our multifamily initial write-off severity rate and write-off loan count.</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Multifamily Credit Loss Performance Metrics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740" w:type="dxa"/>
            <w:vAlign w:val="bottom"/>
            <w:tcBorders>
              <w:top w:val="single" w:sz="8" w:color="2C6937"/>
            </w:tcBorders>
          </w:tcPr>
          <w:p>
            <w:pPr>
              <w:spacing w:after="0"/>
              <w:rPr>
                <w:sz w:val="15"/>
                <w:szCs w:val="15"/>
                <w:color w:val="auto"/>
              </w:rPr>
            </w:pPr>
          </w:p>
        </w:tc>
        <w:tc>
          <w:tcPr>
            <w:tcW w:w="2780" w:type="dxa"/>
            <w:vAlign w:val="bottom"/>
            <w:tcBorders>
              <w:top w:val="single" w:sz="8" w:color="2C6937"/>
            </w:tcBorders>
            <w:gridSpan w:val="3"/>
          </w:tcPr>
          <w:p>
            <w:pPr>
              <w:jc w:val="center"/>
              <w:ind w:right="100"/>
              <w:spacing w:after="0"/>
              <w:rPr>
                <w:sz w:val="20"/>
                <w:szCs w:val="20"/>
                <w:color w:val="auto"/>
              </w:rPr>
            </w:pPr>
            <w:r>
              <w:rPr>
                <w:rFonts w:ascii="Arial" w:cs="Arial" w:eastAsia="Arial" w:hAnsi="Arial"/>
                <w:sz w:val="15"/>
                <w:szCs w:val="15"/>
                <w:b w:val="1"/>
                <w:bCs w:val="1"/>
                <w:color w:val="auto"/>
              </w:rPr>
              <w:t>For the Three Months Ended</w:t>
            </w:r>
          </w:p>
        </w:tc>
        <w:tc>
          <w:tcPr>
            <w:tcW w:w="2700" w:type="dxa"/>
            <w:vAlign w:val="bottom"/>
            <w:tcBorders>
              <w:top w:val="single" w:sz="8" w:color="2C6937"/>
            </w:tcBorders>
            <w:gridSpan w:val="2"/>
          </w:tcPr>
          <w:p>
            <w:pPr>
              <w:jc w:val="center"/>
              <w:ind w:right="223"/>
              <w:spacing w:after="0"/>
              <w:rPr>
                <w:sz w:val="20"/>
                <w:szCs w:val="20"/>
                <w:color w:val="auto"/>
              </w:rPr>
            </w:pPr>
            <w:r>
              <w:rPr>
                <w:rFonts w:ascii="Arial" w:cs="Arial" w:eastAsia="Arial" w:hAnsi="Arial"/>
                <w:sz w:val="15"/>
                <w:szCs w:val="15"/>
                <w:b w:val="1"/>
                <w:bCs w:val="1"/>
                <w:color w:val="auto"/>
              </w:rPr>
              <w:t>For the Nine Months Ended</w:t>
            </w:r>
          </w:p>
        </w:tc>
      </w:tr>
      <w:tr>
        <w:trPr>
          <w:trHeight w:val="206"/>
        </w:trPr>
        <w:tc>
          <w:tcPr>
            <w:tcW w:w="5740" w:type="dxa"/>
            <w:vAlign w:val="bottom"/>
          </w:tcPr>
          <w:p>
            <w:pPr>
              <w:spacing w:after="0"/>
              <w:rPr>
                <w:sz w:val="17"/>
                <w:szCs w:val="17"/>
                <w:color w:val="auto"/>
              </w:rPr>
            </w:pPr>
          </w:p>
        </w:tc>
        <w:tc>
          <w:tcPr>
            <w:tcW w:w="278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rPr>
              <w:t>September 30,</w:t>
            </w:r>
          </w:p>
        </w:tc>
        <w:tc>
          <w:tcPr>
            <w:tcW w:w="1800" w:type="dxa"/>
            <w:vAlign w:val="bottom"/>
          </w:tcPr>
          <w:p>
            <w:pPr>
              <w:jc w:val="center"/>
              <w:ind w:left="503"/>
              <w:spacing w:after="0"/>
              <w:rPr>
                <w:sz w:val="20"/>
                <w:szCs w:val="20"/>
                <w:color w:val="auto"/>
              </w:rPr>
            </w:pPr>
            <w:r>
              <w:rPr>
                <w:rFonts w:ascii="Arial" w:cs="Arial" w:eastAsia="Arial" w:hAnsi="Arial"/>
                <w:sz w:val="15"/>
                <w:szCs w:val="15"/>
                <w:b w:val="1"/>
                <w:bCs w:val="1"/>
                <w:color w:val="auto"/>
              </w:rPr>
              <w:t>September 30,</w:t>
            </w:r>
          </w:p>
        </w:tc>
        <w:tc>
          <w:tcPr>
            <w:tcW w:w="900" w:type="dxa"/>
            <w:vAlign w:val="bottom"/>
          </w:tcPr>
          <w:p>
            <w:pPr>
              <w:spacing w:after="0"/>
              <w:rPr>
                <w:sz w:val="17"/>
                <w:szCs w:val="17"/>
                <w:color w:val="auto"/>
              </w:rPr>
            </w:pPr>
          </w:p>
        </w:tc>
      </w:tr>
      <w:tr>
        <w:trPr>
          <w:trHeight w:val="199"/>
        </w:trPr>
        <w:tc>
          <w:tcPr>
            <w:tcW w:w="5740" w:type="dxa"/>
            <w:vAlign w:val="bottom"/>
          </w:tcPr>
          <w:p>
            <w:pPr>
              <w:spacing w:after="0"/>
              <w:rPr>
                <w:sz w:val="17"/>
                <w:szCs w:val="17"/>
                <w:color w:val="auto"/>
              </w:rPr>
            </w:pPr>
          </w:p>
        </w:tc>
        <w:tc>
          <w:tcPr>
            <w:tcW w:w="1340" w:type="dxa"/>
            <w:vAlign w:val="bottom"/>
            <w:tcBorders>
              <w:top w:val="single" w:sz="8" w:color="2C6937"/>
              <w:bottom w:val="single" w:sz="8" w:color="2C6937"/>
            </w:tcBorders>
          </w:tcPr>
          <w:p>
            <w:pPr>
              <w:jc w:val="right"/>
              <w:ind w:right="443"/>
              <w:spacing w:after="0"/>
              <w:rPr>
                <w:sz w:val="20"/>
                <w:szCs w:val="20"/>
                <w:color w:val="auto"/>
              </w:rPr>
            </w:pPr>
            <w:r>
              <w:rPr>
                <w:rFonts w:ascii="Arial" w:cs="Arial" w:eastAsia="Arial" w:hAnsi="Arial"/>
                <w:sz w:val="15"/>
                <w:szCs w:val="15"/>
                <w:b w:val="1"/>
                <w:bCs w:val="1"/>
                <w:color w:val="auto"/>
              </w:rPr>
              <w:t>2024</w:t>
            </w:r>
          </w:p>
        </w:tc>
        <w:tc>
          <w:tcPr>
            <w:tcW w:w="1340" w:type="dxa"/>
            <w:vAlign w:val="bottom"/>
            <w:tcBorders>
              <w:top w:val="single" w:sz="8" w:color="2C6937"/>
              <w:bottom w:val="single" w:sz="8" w:color="2C6937"/>
            </w:tcBorders>
          </w:tcPr>
          <w:p>
            <w:pPr>
              <w:jc w:val="right"/>
              <w:ind w:right="403"/>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bottom w:val="single" w:sz="8" w:color="2C6937"/>
            </w:tcBorders>
          </w:tcPr>
          <w:p>
            <w:pPr>
              <w:spacing w:after="0"/>
              <w:rPr>
                <w:sz w:val="17"/>
                <w:szCs w:val="17"/>
                <w:color w:val="auto"/>
              </w:rPr>
            </w:pPr>
          </w:p>
        </w:tc>
        <w:tc>
          <w:tcPr>
            <w:tcW w:w="1800" w:type="dxa"/>
            <w:vAlign w:val="bottom"/>
            <w:tcBorders>
              <w:top w:val="single" w:sz="8" w:color="2C6937"/>
              <w:bottom w:val="single" w:sz="8" w:color="2C6937"/>
            </w:tcBorders>
          </w:tcPr>
          <w:p>
            <w:pPr>
              <w:jc w:val="right"/>
              <w:ind w:right="923"/>
              <w:spacing w:after="0"/>
              <w:rPr>
                <w:sz w:val="20"/>
                <w:szCs w:val="20"/>
                <w:color w:val="auto"/>
              </w:rPr>
            </w:pPr>
            <w:r>
              <w:rPr>
                <w:rFonts w:ascii="Arial" w:cs="Arial" w:eastAsia="Arial" w:hAnsi="Arial"/>
                <w:sz w:val="15"/>
                <w:szCs w:val="15"/>
                <w:b w:val="1"/>
                <w:bCs w:val="1"/>
                <w:color w:val="auto"/>
              </w:rPr>
              <w:t>2024</w:t>
            </w:r>
          </w:p>
        </w:tc>
        <w:tc>
          <w:tcPr>
            <w:tcW w:w="900" w:type="dxa"/>
            <w:vAlign w:val="bottom"/>
            <w:tcBorders>
              <w:top w:val="single" w:sz="8" w:color="2C6937"/>
              <w:bottom w:val="single" w:sz="8" w:color="2C6937"/>
            </w:tcBorders>
          </w:tcPr>
          <w:p>
            <w:pPr>
              <w:jc w:val="right"/>
              <w:ind w:right="403"/>
              <w:spacing w:after="0"/>
              <w:rPr>
                <w:sz w:val="20"/>
                <w:szCs w:val="20"/>
                <w:color w:val="auto"/>
              </w:rPr>
            </w:pPr>
            <w:r>
              <w:rPr>
                <w:rFonts w:ascii="Arial" w:cs="Arial" w:eastAsia="Arial" w:hAnsi="Arial"/>
                <w:sz w:val="15"/>
                <w:szCs w:val="15"/>
                <w:b w:val="1"/>
                <w:bCs w:val="1"/>
                <w:color w:val="auto"/>
              </w:rPr>
              <w:t>2023</w:t>
            </w:r>
          </w:p>
        </w:tc>
      </w:tr>
    </w:tbl>
    <w:p>
      <w:pPr>
        <w:spacing w:after="0" w:line="89" w:lineRule="exact"/>
        <w:rPr>
          <w:sz w:val="20"/>
          <w:szCs w:val="20"/>
          <w:color w:val="auto"/>
        </w:rPr>
      </w:pPr>
    </w:p>
    <w:p>
      <w:pPr>
        <w:ind w:left="7760"/>
        <w:spacing w:after="0"/>
        <w:rPr>
          <w:sz w:val="20"/>
          <w:szCs w:val="20"/>
          <w:color w:val="auto"/>
        </w:rPr>
      </w:pPr>
      <w:r>
        <w:rPr>
          <w:rFonts w:ascii="Arial" w:cs="Arial" w:eastAsia="Arial" w:hAnsi="Arial"/>
          <w:sz w:val="15"/>
          <w:szCs w:val="15"/>
          <w:b w:val="1"/>
          <w:bCs w:val="1"/>
          <w:color w:val="auto"/>
        </w:rPr>
        <w:t>(Dollars in millions)</w:t>
      </w:r>
    </w:p>
    <w:p>
      <w:pPr>
        <w:sectPr>
          <w:pgSz w:w="11900" w:h="16838" w:orient="portrait"/>
          <w:cols w:equalWidth="0" w:num="1">
            <w:col w:w="11240"/>
          </w:cols>
          <w:pgMar w:left="320" w:top="248" w:right="339" w:bottom="1440" w:gutter="0" w:footer="0" w:header="0"/>
        </w:sectPr>
      </w:pPr>
    </w:p>
    <w:p>
      <w:pPr>
        <w:spacing w:after="0" w:line="139" w:lineRule="exact"/>
        <w:rPr>
          <w:sz w:val="20"/>
          <w:szCs w:val="20"/>
          <w:color w:val="auto"/>
        </w:rPr>
      </w:pPr>
    </w:p>
    <w:p>
      <w:pPr>
        <w:ind w:left="20"/>
        <w:spacing w:after="0"/>
        <w:rPr>
          <w:sz w:val="20"/>
          <w:szCs w:val="20"/>
          <w:color w:val="auto"/>
        </w:rPr>
      </w:pPr>
      <w:r>
        <w:rPr>
          <w:rFonts w:ascii="Arial" w:cs="Arial" w:eastAsia="Arial" w:hAnsi="Arial"/>
          <w:sz w:val="15"/>
          <w:szCs w:val="15"/>
          <w:color w:val="auto"/>
        </w:rPr>
        <w:t>Write-offs</w:t>
      </w:r>
      <w:r>
        <w:rPr>
          <w:rFonts w:ascii="Arial" w:cs="Arial" w:eastAsia="Arial" w:hAnsi="Arial"/>
          <w:sz w:val="20"/>
          <w:szCs w:val="20"/>
          <w:color w:val="auto"/>
          <w:vertAlign w:val="superscript"/>
        </w:rPr>
        <w:t>(1)</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15"/>
          <w:szCs w:val="15"/>
          <w:color w:val="auto"/>
        </w:rPr>
        <w:t>Recoveries</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5"/>
          <w:szCs w:val="15"/>
          <w:color w:val="auto"/>
        </w:rPr>
        <w:t>Foreclosed property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358584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585845" cy="8255"/>
                    </a:xfrm>
                    <a:prstGeom prst="rect">
                      <a:avLst/>
                    </a:prstGeom>
                    <a:noFill/>
                  </pic:spPr>
                </pic:pic>
              </a:graphicData>
            </a:graphic>
          </wp:anchor>
        </w:drawing>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Credit gains (losses)</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5"/>
          <w:szCs w:val="15"/>
          <w:color w:val="auto"/>
        </w:rPr>
        <w:t>Change in expected benefits from freestanding loss-sharing arrangements</w:t>
      </w:r>
      <w:r>
        <w:rPr>
          <w:rFonts w:ascii="Arial" w:cs="Arial" w:eastAsia="Arial" w:hAnsi="Arial"/>
          <w:sz w:val="20"/>
          <w:szCs w:val="20"/>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358584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585845" cy="8255"/>
                    </a:xfrm>
                    <a:prstGeom prst="rect">
                      <a:avLst/>
                    </a:prstGeom>
                    <a:noFill/>
                  </pic:spPr>
                </pic:pic>
              </a:graphicData>
            </a:graphic>
          </wp:anchor>
        </w:drawing>
      </w:r>
    </w:p>
    <w:p>
      <w:pPr>
        <w:spacing w:after="0" w:line="7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Credit gains (losses), net of freestanding loss-sharing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358584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5858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53975</wp:posOffset>
            </wp:positionV>
            <wp:extent cx="358584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585845" cy="8255"/>
                    </a:xfrm>
                    <a:prstGeom prst="rect">
                      <a:avLst/>
                    </a:prstGeom>
                    <a:noFill/>
                  </pic:spPr>
                </pic:pic>
              </a:graphicData>
            </a:graphic>
          </wp:anchor>
        </w:drawing>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5"/>
          <w:szCs w:val="15"/>
          <w:color w:val="auto"/>
        </w:rPr>
        <w:t>Credit gain (loss) ratio (in bps)</w:t>
      </w:r>
      <w:r>
        <w:rPr>
          <w:rFonts w:ascii="Arial" w:cs="Arial" w:eastAsia="Arial" w:hAnsi="Arial"/>
          <w:sz w:val="20"/>
          <w:szCs w:val="20"/>
          <w:color w:val="auto"/>
          <w:vertAlign w:val="superscript"/>
        </w:rPr>
        <w:t>(3)</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15"/>
          <w:szCs w:val="15"/>
          <w:color w:val="auto"/>
        </w:rPr>
        <w:t>Credit gain (loss) ratio, net of freestanding loss-sharing arrangements (in bps)</w:t>
      </w:r>
      <w:r>
        <w:rPr>
          <w:rFonts w:ascii="Arial" w:cs="Arial" w:eastAsia="Arial" w:hAnsi="Arial"/>
          <w:sz w:val="20"/>
          <w:szCs w:val="20"/>
          <w:color w:val="auto"/>
          <w:vertAlign w:val="superscript"/>
        </w:rPr>
        <w:t>(2)(3)</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15"/>
          <w:szCs w:val="15"/>
          <w:color w:val="auto"/>
        </w:rPr>
        <w:t>Multifamily initial write-off severity rate on liquidated loans</w:t>
      </w:r>
      <w:r>
        <w:rPr>
          <w:rFonts w:ascii="Arial" w:cs="Arial" w:eastAsia="Arial" w:hAnsi="Arial"/>
          <w:sz w:val="20"/>
          <w:szCs w:val="20"/>
          <w:color w:val="auto"/>
          <w:vertAlign w:val="superscript"/>
        </w:rPr>
        <w:t>(4)(5)</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15"/>
          <w:szCs w:val="15"/>
          <w:color w:val="auto"/>
        </w:rPr>
        <w:t>Multifamily write-off loan count on liquidated loans</w:t>
      </w:r>
      <w:r>
        <w:rPr>
          <w:rFonts w:ascii="Arial" w:cs="Arial" w:eastAsia="Arial" w:hAnsi="Arial"/>
          <w:sz w:val="20"/>
          <w:szCs w:val="20"/>
          <w:color w:val="auto"/>
          <w:vertAlign w:val="superscript"/>
        </w:rPr>
        <w:t>(6)</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340" w:type="dxa"/>
            <w:vAlign w:val="bottom"/>
          </w:tcPr>
          <w:p>
            <w:pPr>
              <w:jc w:val="right"/>
              <w:ind w:right="163"/>
              <w:spacing w:after="0"/>
              <w:rPr>
                <w:sz w:val="20"/>
                <w:szCs w:val="20"/>
                <w:color w:val="auto"/>
              </w:rPr>
            </w:pPr>
            <w:r>
              <w:rPr>
                <w:rFonts w:ascii="Arial" w:cs="Arial" w:eastAsia="Arial" w:hAnsi="Arial"/>
                <w:sz w:val="15"/>
                <w:szCs w:val="15"/>
                <w:b w:val="1"/>
                <w:bCs w:val="1"/>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(224)</w:t>
            </w:r>
          </w:p>
        </w:tc>
        <w:tc>
          <w:tcPr>
            <w:tcW w:w="380" w:type="dxa"/>
            <w:vAlign w:val="bottom"/>
          </w:tcPr>
          <w:p>
            <w:pPr>
              <w:spacing w:after="0"/>
              <w:rPr>
                <w:sz w:val="18"/>
                <w:szCs w:val="18"/>
                <w:color w:val="auto"/>
              </w:rPr>
            </w:pP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(52)</w:t>
            </w:r>
          </w:p>
        </w:tc>
        <w:tc>
          <w:tcPr>
            <w:tcW w:w="360" w:type="dxa"/>
            <w:vAlign w:val="bottom"/>
          </w:tcPr>
          <w:p>
            <w:pPr>
              <w:spacing w:after="0"/>
              <w:rPr>
                <w:sz w:val="18"/>
                <w:szCs w:val="18"/>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b w:val="1"/>
                <w:bCs w:val="1"/>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(395)</w:t>
            </w:r>
          </w:p>
        </w:tc>
        <w:tc>
          <w:tcPr>
            <w:tcW w:w="360" w:type="dxa"/>
            <w:vAlign w:val="bottom"/>
          </w:tcPr>
          <w:p>
            <w:pPr>
              <w:spacing w:after="0"/>
              <w:rPr>
                <w:sz w:val="18"/>
                <w:szCs w:val="18"/>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(306)</w:t>
            </w:r>
          </w:p>
        </w:tc>
        <w:tc>
          <w:tcPr>
            <w:tcW w:w="160" w:type="dxa"/>
            <w:vAlign w:val="bottom"/>
          </w:tcPr>
          <w:p>
            <w:pPr>
              <w:spacing w:after="0"/>
              <w:rPr>
                <w:sz w:val="18"/>
                <w:szCs w:val="18"/>
                <w:color w:val="auto"/>
              </w:rPr>
            </w:pPr>
          </w:p>
        </w:tc>
      </w:tr>
      <w:tr>
        <w:trPr>
          <w:trHeight w:val="309"/>
        </w:trPr>
        <w:tc>
          <w:tcPr>
            <w:tcW w:w="340" w:type="dxa"/>
            <w:vAlign w:val="bottom"/>
          </w:tcPr>
          <w:p>
            <w:pPr>
              <w:spacing w:after="0"/>
              <w:rPr>
                <w:sz w:val="24"/>
                <w:szCs w:val="24"/>
                <w:color w:val="auto"/>
              </w:rPr>
            </w:pPr>
          </w:p>
        </w:tc>
        <w:tc>
          <w:tcPr>
            <w:tcW w:w="680" w:type="dxa"/>
            <w:vAlign w:val="bottom"/>
          </w:tcPr>
          <w:p>
            <w:pPr>
              <w:jc w:val="right"/>
              <w:ind w:right="3"/>
              <w:spacing w:after="0"/>
              <w:rPr>
                <w:sz w:val="20"/>
                <w:szCs w:val="20"/>
                <w:color w:val="auto"/>
              </w:rPr>
            </w:pPr>
            <w:r>
              <w:rPr>
                <w:rFonts w:ascii="Arial" w:cs="Arial" w:eastAsia="Arial" w:hAnsi="Arial"/>
                <w:sz w:val="15"/>
                <w:szCs w:val="15"/>
                <w:b w:val="1"/>
                <w:bCs w:val="1"/>
                <w:color w:val="auto"/>
              </w:rPr>
              <w:t>48</w:t>
            </w: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8</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ind w:right="3"/>
              <w:spacing w:after="0"/>
              <w:rPr>
                <w:sz w:val="20"/>
                <w:szCs w:val="20"/>
                <w:color w:val="auto"/>
              </w:rPr>
            </w:pPr>
            <w:r>
              <w:rPr>
                <w:rFonts w:ascii="Arial" w:cs="Arial" w:eastAsia="Arial" w:hAnsi="Arial"/>
                <w:sz w:val="15"/>
                <w:szCs w:val="15"/>
                <w:b w:val="1"/>
                <w:bCs w:val="1"/>
                <w:color w:val="auto"/>
              </w:rPr>
              <w:t>81</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18</w:t>
            </w:r>
          </w:p>
        </w:tc>
        <w:tc>
          <w:tcPr>
            <w:tcW w:w="160" w:type="dxa"/>
            <w:vAlign w:val="bottom"/>
          </w:tcPr>
          <w:p>
            <w:pPr>
              <w:spacing w:after="0"/>
              <w:rPr>
                <w:sz w:val="24"/>
                <w:szCs w:val="24"/>
                <w:color w:val="auto"/>
              </w:rPr>
            </w:pPr>
          </w:p>
        </w:tc>
      </w:tr>
      <w:tr>
        <w:trPr>
          <w:trHeight w:val="303"/>
        </w:trPr>
        <w:tc>
          <w:tcPr>
            <w:tcW w:w="340" w:type="dxa"/>
            <w:vAlign w:val="bottom"/>
            <w:tcBorders>
              <w:bottom w:val="single" w:sz="8" w:color="2C6937"/>
            </w:tcBorders>
          </w:tcPr>
          <w:p>
            <w:pPr>
              <w:spacing w:after="0"/>
              <w:rPr>
                <w:sz w:val="24"/>
                <w:szCs w:val="24"/>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(47)</w:t>
            </w:r>
          </w:p>
        </w:tc>
        <w:tc>
          <w:tcPr>
            <w:tcW w:w="380" w:type="dxa"/>
            <w:vAlign w:val="bottom"/>
          </w:tcPr>
          <w:p>
            <w:pPr>
              <w:spacing w:after="0"/>
              <w:rPr>
                <w:sz w:val="24"/>
                <w:szCs w:val="24"/>
                <w:color w:val="auto"/>
              </w:rPr>
            </w:pPr>
          </w:p>
        </w:tc>
        <w:tc>
          <w:tcPr>
            <w:tcW w:w="380" w:type="dxa"/>
            <w:vAlign w:val="bottom"/>
            <w:tcBorders>
              <w:bottom w:val="single" w:sz="8" w:color="2C6937"/>
            </w:tcBorders>
          </w:tcPr>
          <w:p>
            <w:pPr>
              <w:spacing w:after="0"/>
              <w:rPr>
                <w:sz w:val="24"/>
                <w:szCs w:val="24"/>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(45)</w:t>
            </w:r>
          </w:p>
        </w:tc>
        <w:tc>
          <w:tcPr>
            <w:tcW w:w="360" w:type="dxa"/>
            <w:vAlign w:val="bottom"/>
          </w:tcPr>
          <w:p>
            <w:pPr>
              <w:spacing w:after="0"/>
              <w:rPr>
                <w:sz w:val="24"/>
                <w:szCs w:val="24"/>
                <w:color w:val="auto"/>
              </w:rPr>
            </w:pPr>
          </w:p>
        </w:tc>
        <w:tc>
          <w:tcPr>
            <w:tcW w:w="340" w:type="dxa"/>
            <w:vAlign w:val="bottom"/>
            <w:tcBorders>
              <w:bottom w:val="single" w:sz="8" w:color="2C6937"/>
            </w:tcBorders>
          </w:tcPr>
          <w:p>
            <w:pPr>
              <w:spacing w:after="0"/>
              <w:rPr>
                <w:sz w:val="24"/>
                <w:szCs w:val="24"/>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(92)</w:t>
            </w:r>
          </w:p>
        </w:tc>
        <w:tc>
          <w:tcPr>
            <w:tcW w:w="360" w:type="dxa"/>
            <w:vAlign w:val="bottom"/>
          </w:tcPr>
          <w:p>
            <w:pPr>
              <w:spacing w:after="0"/>
              <w:rPr>
                <w:sz w:val="24"/>
                <w:szCs w:val="24"/>
                <w:color w:val="auto"/>
              </w:rPr>
            </w:pPr>
          </w:p>
        </w:tc>
        <w:tc>
          <w:tcPr>
            <w:tcW w:w="360" w:type="dxa"/>
            <w:vAlign w:val="bottom"/>
            <w:tcBorders>
              <w:bottom w:val="single" w:sz="8" w:color="2C6937"/>
            </w:tcBorders>
          </w:tcPr>
          <w:p>
            <w:pPr>
              <w:spacing w:after="0"/>
              <w:rPr>
                <w:sz w:val="24"/>
                <w:szCs w:val="24"/>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(85)</w:t>
            </w:r>
          </w:p>
        </w:tc>
        <w:tc>
          <w:tcPr>
            <w:tcW w:w="160" w:type="dxa"/>
            <w:vAlign w:val="bottom"/>
          </w:tcPr>
          <w:p>
            <w:pPr>
              <w:spacing w:after="0"/>
              <w:rPr>
                <w:sz w:val="24"/>
                <w:szCs w:val="24"/>
                <w:color w:val="auto"/>
              </w:rPr>
            </w:pPr>
          </w:p>
        </w:tc>
      </w:tr>
      <w:tr>
        <w:trPr>
          <w:trHeight w:val="309"/>
        </w:trPr>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(223)</w:t>
            </w: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(89)</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(406)</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(373)</w:t>
            </w:r>
          </w:p>
        </w:tc>
        <w:tc>
          <w:tcPr>
            <w:tcW w:w="160" w:type="dxa"/>
            <w:vAlign w:val="bottom"/>
          </w:tcPr>
          <w:p>
            <w:pPr>
              <w:spacing w:after="0"/>
              <w:rPr>
                <w:sz w:val="24"/>
                <w:szCs w:val="24"/>
                <w:color w:val="auto"/>
              </w:rPr>
            </w:pPr>
          </w:p>
        </w:tc>
      </w:tr>
      <w:tr>
        <w:trPr>
          <w:trHeight w:val="303"/>
        </w:trPr>
        <w:tc>
          <w:tcPr>
            <w:tcW w:w="340" w:type="dxa"/>
            <w:vAlign w:val="bottom"/>
            <w:tcBorders>
              <w:bottom w:val="single" w:sz="8" w:color="2C6937"/>
            </w:tcBorders>
          </w:tcPr>
          <w:p>
            <w:pPr>
              <w:spacing w:after="0"/>
              <w:rPr>
                <w:sz w:val="24"/>
                <w:szCs w:val="24"/>
                <w:color w:val="auto"/>
              </w:rPr>
            </w:pPr>
          </w:p>
        </w:tc>
        <w:tc>
          <w:tcPr>
            <w:tcW w:w="6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56</w:t>
            </w:r>
          </w:p>
        </w:tc>
        <w:tc>
          <w:tcPr>
            <w:tcW w:w="380" w:type="dxa"/>
            <w:vAlign w:val="bottom"/>
          </w:tcPr>
          <w:p>
            <w:pPr>
              <w:spacing w:after="0"/>
              <w:rPr>
                <w:sz w:val="24"/>
                <w:szCs w:val="24"/>
                <w:color w:val="auto"/>
              </w:rPr>
            </w:pPr>
          </w:p>
        </w:tc>
        <w:tc>
          <w:tcPr>
            <w:tcW w:w="380" w:type="dxa"/>
            <w:vAlign w:val="bottom"/>
            <w:tcBorders>
              <w:bottom w:val="single" w:sz="8" w:color="2C6937"/>
            </w:tcBorders>
          </w:tcPr>
          <w:p>
            <w:pPr>
              <w:spacing w:after="0"/>
              <w:rPr>
                <w:sz w:val="24"/>
                <w:szCs w:val="24"/>
                <w:color w:val="auto"/>
              </w:rPr>
            </w:pPr>
          </w:p>
        </w:tc>
        <w:tc>
          <w:tcPr>
            <w:tcW w:w="64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18</w:t>
            </w:r>
          </w:p>
        </w:tc>
        <w:tc>
          <w:tcPr>
            <w:tcW w:w="360" w:type="dxa"/>
            <w:vAlign w:val="bottom"/>
          </w:tcPr>
          <w:p>
            <w:pPr>
              <w:spacing w:after="0"/>
              <w:rPr>
                <w:sz w:val="24"/>
                <w:szCs w:val="24"/>
                <w:color w:val="auto"/>
              </w:rPr>
            </w:pPr>
          </w:p>
        </w:tc>
        <w:tc>
          <w:tcPr>
            <w:tcW w:w="340" w:type="dxa"/>
            <w:vAlign w:val="bottom"/>
            <w:tcBorders>
              <w:bottom w:val="single" w:sz="8" w:color="2C6937"/>
            </w:tcBorders>
          </w:tcPr>
          <w:p>
            <w:pPr>
              <w:spacing w:after="0"/>
              <w:rPr>
                <w:sz w:val="24"/>
                <w:szCs w:val="24"/>
                <w:color w:val="auto"/>
              </w:rPr>
            </w:pPr>
          </w:p>
        </w:tc>
        <w:tc>
          <w:tcPr>
            <w:tcW w:w="6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109</w:t>
            </w:r>
          </w:p>
        </w:tc>
        <w:tc>
          <w:tcPr>
            <w:tcW w:w="360" w:type="dxa"/>
            <w:vAlign w:val="bottom"/>
          </w:tcPr>
          <w:p>
            <w:pPr>
              <w:spacing w:after="0"/>
              <w:rPr>
                <w:sz w:val="24"/>
                <w:szCs w:val="24"/>
                <w:color w:val="auto"/>
              </w:rPr>
            </w:pPr>
          </w:p>
        </w:tc>
        <w:tc>
          <w:tcPr>
            <w:tcW w:w="360" w:type="dxa"/>
            <w:vAlign w:val="bottom"/>
            <w:tcBorders>
              <w:bottom w:val="single" w:sz="8" w:color="2C6937"/>
            </w:tcBorders>
          </w:tcPr>
          <w:p>
            <w:pPr>
              <w:spacing w:after="0"/>
              <w:rPr>
                <w:sz w:val="24"/>
                <w:szCs w:val="24"/>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49</w:t>
            </w:r>
          </w:p>
        </w:tc>
        <w:tc>
          <w:tcPr>
            <w:tcW w:w="160" w:type="dxa"/>
            <w:vAlign w:val="bottom"/>
          </w:tcPr>
          <w:p>
            <w:pPr>
              <w:spacing w:after="0"/>
              <w:rPr>
                <w:sz w:val="24"/>
                <w:szCs w:val="24"/>
                <w:color w:val="auto"/>
              </w:rPr>
            </w:pPr>
          </w:p>
        </w:tc>
      </w:tr>
      <w:tr>
        <w:trPr>
          <w:trHeight w:val="302"/>
        </w:trPr>
        <w:tc>
          <w:tcPr>
            <w:tcW w:w="340" w:type="dxa"/>
            <w:vAlign w:val="bottom"/>
            <w:tcBorders>
              <w:bottom w:val="single" w:sz="8" w:color="2C6937"/>
            </w:tcBorders>
          </w:tcPr>
          <w:p>
            <w:pPr>
              <w:jc w:val="right"/>
              <w:ind w:right="163"/>
              <w:spacing w:after="0"/>
              <w:rPr>
                <w:sz w:val="20"/>
                <w:szCs w:val="20"/>
                <w:color w:val="auto"/>
              </w:rPr>
            </w:pPr>
            <w:r>
              <w:rPr>
                <w:rFonts w:ascii="Arial" w:cs="Arial" w:eastAsia="Arial" w:hAnsi="Arial"/>
                <w:sz w:val="15"/>
                <w:szCs w:val="15"/>
                <w:b w:val="1"/>
                <w:bCs w:val="1"/>
                <w:color w:val="auto"/>
                <w:w w:val="95"/>
              </w:rPr>
              <w:t>$</w:t>
            </w: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(167)</w:t>
            </w:r>
          </w:p>
        </w:tc>
        <w:tc>
          <w:tcPr>
            <w:tcW w:w="380" w:type="dxa"/>
            <w:vAlign w:val="bottom"/>
          </w:tcPr>
          <w:p>
            <w:pPr>
              <w:spacing w:after="0"/>
              <w:rPr>
                <w:sz w:val="24"/>
                <w:szCs w:val="24"/>
                <w:color w:val="auto"/>
              </w:rPr>
            </w:pPr>
          </w:p>
        </w:tc>
        <w:tc>
          <w:tcPr>
            <w:tcW w:w="380" w:type="dxa"/>
            <w:vAlign w:val="bottom"/>
            <w:tcBorders>
              <w:bottom w:val="single" w:sz="8" w:color="2C6937"/>
            </w:tcBorders>
          </w:tcPr>
          <w:p>
            <w:pPr>
              <w:jc w:val="right"/>
              <w:ind w:right="203"/>
              <w:spacing w:after="0"/>
              <w:rPr>
                <w:sz w:val="20"/>
                <w:szCs w:val="20"/>
                <w:color w:val="auto"/>
              </w:rPr>
            </w:pPr>
            <w:r>
              <w:rPr>
                <w:rFonts w:ascii="Arial" w:cs="Arial" w:eastAsia="Arial" w:hAnsi="Arial"/>
                <w:sz w:val="15"/>
                <w:szCs w:val="15"/>
                <w:color w:val="auto"/>
                <w:w w:val="95"/>
              </w:rPr>
              <w:t>$</w:t>
            </w: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(71)</w:t>
            </w:r>
          </w:p>
        </w:tc>
        <w:tc>
          <w:tcPr>
            <w:tcW w:w="360" w:type="dxa"/>
            <w:vAlign w:val="bottom"/>
          </w:tcPr>
          <w:p>
            <w:pPr>
              <w:spacing w:after="0"/>
              <w:rPr>
                <w:sz w:val="24"/>
                <w:szCs w:val="24"/>
                <w:color w:val="auto"/>
              </w:rPr>
            </w:pPr>
          </w:p>
        </w:tc>
        <w:tc>
          <w:tcPr>
            <w:tcW w:w="340" w:type="dxa"/>
            <w:vAlign w:val="bottom"/>
            <w:tcBorders>
              <w:bottom w:val="single" w:sz="8" w:color="2C6937"/>
            </w:tcBorders>
          </w:tcPr>
          <w:p>
            <w:pPr>
              <w:jc w:val="right"/>
              <w:ind w:right="163"/>
              <w:spacing w:after="0"/>
              <w:rPr>
                <w:sz w:val="20"/>
                <w:szCs w:val="20"/>
                <w:color w:val="auto"/>
              </w:rPr>
            </w:pPr>
            <w:r>
              <w:rPr>
                <w:rFonts w:ascii="Arial" w:cs="Arial" w:eastAsia="Arial" w:hAnsi="Arial"/>
                <w:sz w:val="15"/>
                <w:szCs w:val="15"/>
                <w:b w:val="1"/>
                <w:bCs w:val="1"/>
                <w:color w:val="auto"/>
                <w:w w:val="95"/>
              </w:rPr>
              <w:t>$</w:t>
            </w: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(297)</w:t>
            </w:r>
          </w:p>
        </w:tc>
        <w:tc>
          <w:tcPr>
            <w:tcW w:w="360" w:type="dxa"/>
            <w:vAlign w:val="bottom"/>
          </w:tcPr>
          <w:p>
            <w:pPr>
              <w:spacing w:after="0"/>
              <w:rPr>
                <w:sz w:val="24"/>
                <w:szCs w:val="24"/>
                <w:color w:val="auto"/>
              </w:rPr>
            </w:pPr>
          </w:p>
        </w:tc>
        <w:tc>
          <w:tcPr>
            <w:tcW w:w="360" w:type="dxa"/>
            <w:vAlign w:val="bottom"/>
            <w:tcBorders>
              <w:bottom w:val="single" w:sz="8" w:color="2C6937"/>
            </w:tcBorders>
          </w:tcPr>
          <w:p>
            <w:pPr>
              <w:jc w:val="right"/>
              <w:ind w:right="183"/>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(324)</w:t>
            </w:r>
          </w:p>
        </w:tc>
        <w:tc>
          <w:tcPr>
            <w:tcW w:w="160" w:type="dxa"/>
            <w:vAlign w:val="bottom"/>
          </w:tcPr>
          <w:p>
            <w:pPr>
              <w:spacing w:after="0"/>
              <w:rPr>
                <w:sz w:val="24"/>
                <w:szCs w:val="24"/>
                <w:color w:val="auto"/>
              </w:rPr>
            </w:pPr>
          </w:p>
        </w:tc>
      </w:tr>
      <w:tr>
        <w:trPr>
          <w:trHeight w:val="20"/>
        </w:trPr>
        <w:tc>
          <w:tcPr>
            <w:tcW w:w="340" w:type="dxa"/>
            <w:vAlign w:val="bottom"/>
            <w:tcBorders>
              <w:bottom w:val="single" w:sz="8" w:color="2C6937"/>
            </w:tcBorders>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bottom w:val="single" w:sz="8" w:color="2C6937"/>
            </w:tcBorders>
          </w:tcPr>
          <w:p>
            <w:pPr>
              <w:spacing w:after="0" w:line="20" w:lineRule="exact"/>
              <w:rPr>
                <w:sz w:val="1"/>
                <w:szCs w:val="1"/>
                <w:color w:val="auto"/>
              </w:rPr>
            </w:pPr>
          </w:p>
        </w:tc>
        <w:tc>
          <w:tcPr>
            <w:tcW w:w="640" w:type="dxa"/>
            <w:vAlign w:val="bottom"/>
            <w:tcBorders>
              <w:bottom w:val="single" w:sz="8" w:color="2C6937"/>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bottom w:val="single" w:sz="8" w:color="2C6937"/>
            </w:tcBorders>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bottom w:val="single" w:sz="8" w:color="2C6937"/>
            </w:tcBorders>
          </w:tcPr>
          <w:p>
            <w:pPr>
              <w:spacing w:after="0" w:line="20" w:lineRule="exact"/>
              <w:rPr>
                <w:sz w:val="1"/>
                <w:szCs w:val="1"/>
                <w:color w:val="auto"/>
              </w:rPr>
            </w:pPr>
          </w:p>
        </w:tc>
        <w:tc>
          <w:tcPr>
            <w:tcW w:w="660" w:type="dxa"/>
            <w:vAlign w:val="bottom"/>
            <w:tcBorders>
              <w:bottom w:val="single" w:sz="8" w:color="2C6937"/>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85"/>
        </w:trPr>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(18.5)</w:t>
            </w: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(7.7)</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(11.3)</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(11.0)</w:t>
            </w:r>
          </w:p>
        </w:tc>
        <w:tc>
          <w:tcPr>
            <w:tcW w:w="160" w:type="dxa"/>
            <w:vAlign w:val="bottom"/>
          </w:tcPr>
          <w:p>
            <w:pPr>
              <w:spacing w:after="0"/>
              <w:rPr>
                <w:sz w:val="24"/>
                <w:szCs w:val="24"/>
                <w:color w:val="auto"/>
              </w:rPr>
            </w:pPr>
          </w:p>
        </w:tc>
      </w:tr>
      <w:tr>
        <w:trPr>
          <w:trHeight w:val="309"/>
        </w:trPr>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(13.8)</w:t>
            </w: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(6.2)</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(8.3)</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(9.6)</w:t>
            </w:r>
          </w:p>
        </w:tc>
        <w:tc>
          <w:tcPr>
            <w:tcW w:w="160" w:type="dxa"/>
            <w:vAlign w:val="bottom"/>
          </w:tcPr>
          <w:p>
            <w:pPr>
              <w:spacing w:after="0"/>
              <w:rPr>
                <w:sz w:val="24"/>
                <w:szCs w:val="24"/>
                <w:color w:val="auto"/>
              </w:rPr>
            </w:pPr>
          </w:p>
        </w:tc>
      </w:tr>
      <w:tr>
        <w:trPr>
          <w:trHeight w:val="309"/>
        </w:trPr>
        <w:tc>
          <w:tcPr>
            <w:tcW w:w="34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16.3 %</w:t>
            </w:r>
          </w:p>
        </w:tc>
        <w:tc>
          <w:tcPr>
            <w:tcW w:w="38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7.4 %</w:t>
            </w:r>
          </w:p>
        </w:tc>
        <w:tc>
          <w:tcPr>
            <w:tcW w:w="34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21.1 %</w:t>
            </w:r>
          </w:p>
        </w:tc>
        <w:tc>
          <w:tcPr>
            <w:tcW w:w="36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9.2 %</w:t>
            </w:r>
          </w:p>
        </w:tc>
      </w:tr>
      <w:tr>
        <w:trPr>
          <w:trHeight w:val="309"/>
        </w:trPr>
        <w:tc>
          <w:tcPr>
            <w:tcW w:w="340" w:type="dxa"/>
            <w:vAlign w:val="bottom"/>
          </w:tcPr>
          <w:p>
            <w:pPr>
              <w:spacing w:after="0"/>
              <w:rPr>
                <w:sz w:val="24"/>
                <w:szCs w:val="24"/>
                <w:color w:val="auto"/>
              </w:rPr>
            </w:pPr>
          </w:p>
        </w:tc>
        <w:tc>
          <w:tcPr>
            <w:tcW w:w="680" w:type="dxa"/>
            <w:vAlign w:val="bottom"/>
          </w:tcPr>
          <w:p>
            <w:pPr>
              <w:jc w:val="right"/>
              <w:ind w:right="3"/>
              <w:spacing w:after="0"/>
              <w:rPr>
                <w:sz w:val="20"/>
                <w:szCs w:val="20"/>
                <w:color w:val="auto"/>
              </w:rPr>
            </w:pPr>
            <w:r>
              <w:rPr>
                <w:rFonts w:ascii="Arial" w:cs="Arial" w:eastAsia="Arial" w:hAnsi="Arial"/>
                <w:sz w:val="15"/>
                <w:szCs w:val="15"/>
                <w:b w:val="1"/>
                <w:bCs w:val="1"/>
                <w:color w:val="auto"/>
              </w:rPr>
              <w:t>5</w:t>
            </w: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7</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ind w:right="3"/>
              <w:spacing w:after="0"/>
              <w:rPr>
                <w:sz w:val="20"/>
                <w:szCs w:val="20"/>
                <w:color w:val="auto"/>
              </w:rPr>
            </w:pPr>
            <w:r>
              <w:rPr>
                <w:rFonts w:ascii="Arial" w:cs="Arial" w:eastAsia="Arial" w:hAnsi="Arial"/>
                <w:sz w:val="15"/>
                <w:szCs w:val="15"/>
                <w:b w:val="1"/>
                <w:bCs w:val="1"/>
                <w:color w:val="auto"/>
              </w:rPr>
              <w:t>16</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13</w:t>
            </w:r>
          </w:p>
        </w:tc>
        <w:tc>
          <w:tcPr>
            <w:tcW w:w="160" w:type="dxa"/>
            <w:vAlign w:val="bottom"/>
          </w:tcPr>
          <w:p>
            <w:pPr>
              <w:spacing w:after="0"/>
              <w:rPr>
                <w:sz w:val="24"/>
                <w:szCs w:val="24"/>
                <w:color w:val="auto"/>
              </w:rPr>
            </w:pPr>
          </w:p>
        </w:tc>
      </w:tr>
    </w:tbl>
    <w:p>
      <w:pPr>
        <w:spacing w:after="0" w:line="115" w:lineRule="exact"/>
        <w:rPr>
          <w:sz w:val="20"/>
          <w:szCs w:val="20"/>
          <w:color w:val="auto"/>
        </w:rPr>
      </w:pPr>
    </w:p>
    <w:p>
      <w:pPr>
        <w:sectPr>
          <w:pgSz w:w="11900" w:h="16838" w:orient="portrait"/>
          <w:cols w:equalWidth="0" w:num="2">
            <w:col w:w="5580" w:space="160"/>
            <w:col w:w="5500"/>
          </w:cols>
          <w:pgMar w:left="320" w:top="248" w:right="339" w:bottom="1440" w:gutter="0" w:footer="0" w:header="0"/>
          <w:type w:val="continuous"/>
        </w:sectPr>
      </w:pPr>
    </w:p>
    <w:p>
      <w:pPr>
        <w:ind w:left="240" w:right="80" w:hanging="237"/>
        <w:spacing w:after="0" w:line="226" w:lineRule="auto"/>
        <w:tabs>
          <w:tab w:leader="none" w:pos="233"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Represents write-offs when a loan is determined to be uncollectible prior to a liquidation event, which includes foreclosure, a deed-in-lieu of foreclosure or a short-sale (collectively a “liquidation event”), as well as write-offs at liquidation. Write-offs associated with non-REO sales are net of loss sharing.</w:t>
      </w:r>
    </w:p>
    <w:p>
      <w:pPr>
        <w:spacing w:after="0" w:line="27" w:lineRule="exact"/>
        <w:rPr>
          <w:rFonts w:ascii="Arial" w:cs="Arial" w:eastAsia="Arial" w:hAnsi="Arial"/>
          <w:sz w:val="18"/>
          <w:szCs w:val="18"/>
          <w:color w:val="auto"/>
          <w:vertAlign w:val="superscript"/>
        </w:rPr>
      </w:pPr>
    </w:p>
    <w:p>
      <w:pPr>
        <w:ind w:left="240" w:right="380" w:hanging="237"/>
        <w:spacing w:after="0" w:line="228" w:lineRule="auto"/>
        <w:tabs>
          <w:tab w:leader="none" w:pos="233"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Represents changes to the benefit we expect to receive only from write-offs as a result of certain freestanding loss-sharing arrangements, primarily multifamily DUS lender risk-sharing transactions. Changes to the expected benefits we will receive are recorded in “Change in expected credit enhancement recoveries” in our condensed consolidated statements of operations and comprehensive income.</w:t>
      </w:r>
    </w:p>
    <w:p>
      <w:pPr>
        <w:spacing w:after="0" w:line="26" w:lineRule="exact"/>
        <w:rPr>
          <w:rFonts w:ascii="Arial" w:cs="Arial" w:eastAsia="Arial" w:hAnsi="Arial"/>
          <w:sz w:val="18"/>
          <w:szCs w:val="18"/>
          <w:color w:val="auto"/>
          <w:vertAlign w:val="superscript"/>
        </w:rPr>
      </w:pPr>
    </w:p>
    <w:p>
      <w:pPr>
        <w:ind w:left="240" w:right="120" w:hanging="237"/>
        <w:spacing w:after="0" w:line="226" w:lineRule="auto"/>
        <w:tabs>
          <w:tab w:leader="none" w:pos="233"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annualized amount of “Credit gains (losses)” and “Credit gains (losses), net of freestanding loss-sharing arrangements,” divided by the average multifamily guaranty book of business during the period.</w:t>
      </w:r>
    </w:p>
    <w:p>
      <w:pPr>
        <w:spacing w:after="0" w:line="1"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Rate is calculated as the initial write-off amount divided by the average defaulted unpaid principal balance.</w:t>
      </w:r>
    </w:p>
    <w:p>
      <w:pPr>
        <w:spacing w:after="0" w:line="37" w:lineRule="exact"/>
        <w:rPr>
          <w:rFonts w:ascii="Arial" w:cs="Arial" w:eastAsia="Arial" w:hAnsi="Arial"/>
          <w:sz w:val="18"/>
          <w:szCs w:val="18"/>
          <w:color w:val="auto"/>
          <w:vertAlign w:val="superscript"/>
        </w:rPr>
      </w:pPr>
    </w:p>
    <w:p>
      <w:pPr>
        <w:ind w:left="240" w:right="200" w:hanging="237"/>
        <w:spacing w:after="0" w:line="210" w:lineRule="auto"/>
        <w:tabs>
          <w:tab w:leader="none" w:pos="233"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Based on write-offs associated with a liquidation event. The rate excludes any costs, gains or losses associated with REO after initial acquisition through final disposition. The rate also excludes write-offs when a loan is determined to be uncollectible prior to a liquidation event. Write-offs are net of lender loss-sharing agreements.</w:t>
      </w:r>
    </w:p>
    <w:p>
      <w:pPr>
        <w:spacing w:after="0" w:line="26"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48"/>
        </w:numPr>
        <w:rPr>
          <w:rFonts w:ascii="Arial" w:cs="Arial" w:eastAsia="Arial" w:hAnsi="Arial"/>
          <w:sz w:val="9"/>
          <w:szCs w:val="9"/>
          <w:color w:val="auto"/>
        </w:rPr>
      </w:pPr>
      <w:r>
        <w:rPr>
          <w:rFonts w:ascii="Arial" w:cs="Arial" w:eastAsia="Arial" w:hAnsi="Arial"/>
          <w:sz w:val="14"/>
          <w:szCs w:val="14"/>
          <w:color w:val="auto"/>
        </w:rPr>
        <w:t>Represents the number of loans that experienced write-offs associated with a liquidation event during the period.</w:t>
      </w:r>
    </w:p>
    <w:p>
      <w:pPr>
        <w:spacing w:after="0" w:line="95" w:lineRule="exact"/>
        <w:rPr>
          <w:sz w:val="20"/>
          <w:szCs w:val="20"/>
          <w:color w:val="auto"/>
        </w:rPr>
      </w:pPr>
    </w:p>
    <w:p>
      <w:pPr>
        <w:ind w:right="240"/>
        <w:spacing w:after="0" w:line="272" w:lineRule="auto"/>
        <w:rPr>
          <w:sz w:val="20"/>
          <w:szCs w:val="20"/>
          <w:color w:val="auto"/>
        </w:rPr>
      </w:pPr>
      <w:r>
        <w:rPr>
          <w:rFonts w:ascii="Arial" w:cs="Arial" w:eastAsia="Arial" w:hAnsi="Arial"/>
          <w:sz w:val="16"/>
          <w:szCs w:val="16"/>
          <w:color w:val="auto"/>
        </w:rPr>
        <w:t>Our multifamily credit losses in the first nine months of 2024 were largely driven by write-offs of adjustable-rate conventional loans that became seriously delinquent during the third quarter of 2024. Our multifamily credit losses in the first nine months of 2023 were primarily driven by write-offs on a seniors housing portfolio during the first quarter of 2023.</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2024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46</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60" w:type="dxa"/>
            <w:vAlign w:val="bottom"/>
            <w:tcBorders>
              <w:bottom w:val="single" w:sz="8" w:color="9A9A9A"/>
            </w:tcBorders>
          </w:tcPr>
          <w:p>
            <w:pPr>
              <w:spacing w:after="0"/>
              <w:rPr>
                <w:sz w:val="17"/>
                <w:szCs w:val="17"/>
                <w:color w:val="auto"/>
              </w:rPr>
            </w:pPr>
          </w:p>
        </w:tc>
        <w:tc>
          <w:tcPr>
            <w:tcW w:w="42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49" w:name="page50"/>
    <w:bookmarkEnd w:id="49"/>
    <w:p>
      <w:pPr>
        <w:ind w:left="7240"/>
        <w:spacing w:after="0"/>
        <w:rPr>
          <w:sz w:val="20"/>
          <w:szCs w:val="20"/>
          <w:color w:val="auto"/>
        </w:rPr>
      </w:pPr>
      <w:r>
        <w:rPr>
          <w:rFonts w:ascii="Arial" w:cs="Arial" w:eastAsia="Arial" w:hAnsi="Arial"/>
          <w:sz w:val="13"/>
          <w:szCs w:val="13"/>
          <w:color w:val="05314D"/>
        </w:rPr>
        <w:t>MD&amp;A | Consolidated Credit Ratios and Select Credit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2216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Consolidated Credit Ratios and Select Credit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table below displays select credit ratios on our single-family conventional guaranty book of business and our multifamily guaranty book of business, as well as the inputs used in calculating these ratios.</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Consolidated Credit Ratios and Select Credit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165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75" w:lineRule="exact"/>
        <w:rPr>
          <w:sz w:val="20"/>
          <w:szCs w:val="20"/>
          <w:color w:val="auto"/>
        </w:rPr>
      </w:pPr>
    </w:p>
    <w:p>
      <w:pPr>
        <w:ind w:left="7000"/>
        <w:spacing w:after="0"/>
        <w:rPr>
          <w:sz w:val="20"/>
          <w:szCs w:val="20"/>
          <w:color w:val="auto"/>
        </w:rPr>
      </w:pPr>
      <w:r>
        <w:rPr>
          <w:rFonts w:ascii="Arial" w:cs="Arial" w:eastAsia="Arial" w:hAnsi="Arial"/>
          <w:sz w:val="15"/>
          <w:szCs w:val="15"/>
          <w:b w:val="1"/>
          <w:bCs w:val="1"/>
          <w:color w:val="auto"/>
        </w:rPr>
        <w:t>As of</w:t>
      </w:r>
    </w:p>
    <w:p>
      <w:pPr>
        <w:spacing w:after="0" w:line="31" w:lineRule="exact"/>
        <w:rPr>
          <w:sz w:val="20"/>
          <w:szCs w:val="20"/>
          <w:color w:val="auto"/>
        </w:rPr>
      </w:pPr>
    </w:p>
    <w:tbl>
      <w:tblPr>
        <w:tblLayout w:type="fixed"/>
        <w:tblInd w:w="3120" w:type="dxa"/>
        <w:tblCellMar>
          <w:top w:w="0" w:type="dxa"/>
          <w:left w:w="0" w:type="dxa"/>
          <w:bottom w:w="0" w:type="dxa"/>
          <w:right w:w="0" w:type="dxa"/>
        </w:tblCellMar>
      </w:tblPr>
      <w:tr>
        <w:trPr>
          <w:trHeight w:val="206"/>
        </w:trPr>
        <w:tc>
          <w:tcPr>
            <w:tcW w:w="1180" w:type="dxa"/>
            <w:vAlign w:val="bottom"/>
            <w:tcBorders>
              <w:top w:val="single" w:sz="8" w:color="216C2B"/>
              <w:bottom w:val="single" w:sz="8" w:color="2C6937"/>
            </w:tcBorders>
          </w:tcPr>
          <w:p>
            <w:pPr>
              <w:spacing w:after="0"/>
              <w:rPr>
                <w:sz w:val="17"/>
                <w:szCs w:val="17"/>
                <w:color w:val="auto"/>
              </w:rPr>
            </w:pPr>
          </w:p>
        </w:tc>
        <w:tc>
          <w:tcPr>
            <w:tcW w:w="1500" w:type="dxa"/>
            <w:vAlign w:val="bottom"/>
            <w:tcBorders>
              <w:top w:val="single" w:sz="8" w:color="216C2B"/>
              <w:bottom w:val="single" w:sz="8" w:color="2C6937"/>
            </w:tcBorders>
          </w:tcPr>
          <w:p>
            <w:pPr>
              <w:ind w:left="140"/>
              <w:spacing w:after="0"/>
              <w:rPr>
                <w:sz w:val="20"/>
                <w:szCs w:val="20"/>
                <w:color w:val="auto"/>
              </w:rPr>
            </w:pPr>
            <w:r>
              <w:rPr>
                <w:rFonts w:ascii="Arial" w:cs="Arial" w:eastAsia="Arial" w:hAnsi="Arial"/>
                <w:sz w:val="15"/>
                <w:szCs w:val="15"/>
                <w:b w:val="1"/>
                <w:bCs w:val="1"/>
                <w:color w:val="auto"/>
                <w:w w:val="95"/>
              </w:rPr>
              <w:t>September 30, 2024</w:t>
            </w:r>
          </w:p>
        </w:tc>
        <w:tc>
          <w:tcPr>
            <w:tcW w:w="1320" w:type="dxa"/>
            <w:vAlign w:val="bottom"/>
            <w:tcBorders>
              <w:top w:val="single" w:sz="8" w:color="216C2B"/>
              <w:bottom w:val="single" w:sz="8" w:color="2C6937"/>
            </w:tcBorders>
          </w:tcPr>
          <w:p>
            <w:pPr>
              <w:spacing w:after="0"/>
              <w:rPr>
                <w:sz w:val="17"/>
                <w:szCs w:val="17"/>
                <w:color w:val="auto"/>
              </w:rPr>
            </w:pPr>
          </w:p>
        </w:tc>
        <w:tc>
          <w:tcPr>
            <w:tcW w:w="100" w:type="dxa"/>
            <w:vAlign w:val="bottom"/>
            <w:tcBorders>
              <w:top w:val="single" w:sz="8" w:color="216C2B"/>
            </w:tcBorders>
          </w:tcPr>
          <w:p>
            <w:pPr>
              <w:spacing w:after="0"/>
              <w:rPr>
                <w:sz w:val="17"/>
                <w:szCs w:val="17"/>
                <w:color w:val="auto"/>
              </w:rPr>
            </w:pPr>
          </w:p>
        </w:tc>
        <w:tc>
          <w:tcPr>
            <w:tcW w:w="1220" w:type="dxa"/>
            <w:vAlign w:val="bottom"/>
            <w:tcBorders>
              <w:top w:val="single" w:sz="8" w:color="216C2B"/>
              <w:bottom w:val="single" w:sz="8" w:color="2C6937"/>
            </w:tcBorders>
          </w:tcPr>
          <w:p>
            <w:pPr>
              <w:spacing w:after="0"/>
              <w:rPr>
                <w:sz w:val="17"/>
                <w:szCs w:val="17"/>
                <w:color w:val="auto"/>
              </w:rPr>
            </w:pPr>
          </w:p>
        </w:tc>
        <w:tc>
          <w:tcPr>
            <w:tcW w:w="1560" w:type="dxa"/>
            <w:vAlign w:val="bottom"/>
            <w:tcBorders>
              <w:top w:val="single" w:sz="8" w:color="216C2B"/>
              <w:bottom w:val="single" w:sz="8" w:color="2C6937"/>
            </w:tcBorders>
          </w:tcPr>
          <w:p>
            <w:pPr>
              <w:ind w:left="140"/>
              <w:spacing w:after="0"/>
              <w:rPr>
                <w:sz w:val="20"/>
                <w:szCs w:val="20"/>
                <w:color w:val="auto"/>
              </w:rPr>
            </w:pPr>
            <w:r>
              <w:rPr>
                <w:rFonts w:ascii="Arial" w:cs="Arial" w:eastAsia="Arial" w:hAnsi="Arial"/>
                <w:sz w:val="15"/>
                <w:szCs w:val="15"/>
                <w:b w:val="1"/>
                <w:bCs w:val="1"/>
                <w:color w:val="auto"/>
              </w:rPr>
              <w:t>December 31, 2023</w:t>
            </w:r>
          </w:p>
        </w:tc>
        <w:tc>
          <w:tcPr>
            <w:tcW w:w="1240" w:type="dxa"/>
            <w:vAlign w:val="bottom"/>
            <w:tcBorders>
              <w:top w:val="single" w:sz="8" w:color="216C2B"/>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118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Single-family</w:t>
            </w:r>
          </w:p>
        </w:tc>
        <w:tc>
          <w:tcPr>
            <w:tcW w:w="1500" w:type="dxa"/>
            <w:vAlign w:val="bottom"/>
            <w:vMerge w:val="restart"/>
          </w:tcPr>
          <w:p>
            <w:pPr>
              <w:ind w:left="380"/>
              <w:spacing w:after="0"/>
              <w:rPr>
                <w:sz w:val="20"/>
                <w:szCs w:val="20"/>
                <w:color w:val="auto"/>
              </w:rPr>
            </w:pPr>
            <w:r>
              <w:rPr>
                <w:rFonts w:ascii="Arial" w:cs="Arial" w:eastAsia="Arial" w:hAnsi="Arial"/>
                <w:sz w:val="15"/>
                <w:szCs w:val="15"/>
                <w:b w:val="1"/>
                <w:bCs w:val="1"/>
                <w:color w:val="auto"/>
              </w:rPr>
              <w:t>Multifamily</w:t>
            </w:r>
          </w:p>
        </w:tc>
        <w:tc>
          <w:tcPr>
            <w:tcW w:w="142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Consolidated Total</w:t>
            </w:r>
          </w:p>
        </w:tc>
        <w:tc>
          <w:tcPr>
            <w:tcW w:w="122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Single-family</w:t>
            </w:r>
          </w:p>
        </w:tc>
        <w:tc>
          <w:tcPr>
            <w:tcW w:w="1560" w:type="dxa"/>
            <w:vAlign w:val="bottom"/>
            <w:vMerge w:val="restart"/>
          </w:tcPr>
          <w:p>
            <w:pPr>
              <w:ind w:left="380"/>
              <w:spacing w:after="0"/>
              <w:rPr>
                <w:sz w:val="20"/>
                <w:szCs w:val="20"/>
                <w:color w:val="auto"/>
              </w:rPr>
            </w:pPr>
            <w:r>
              <w:rPr>
                <w:rFonts w:ascii="Arial" w:cs="Arial" w:eastAsia="Arial" w:hAnsi="Arial"/>
                <w:sz w:val="15"/>
                <w:szCs w:val="15"/>
                <w:b w:val="1"/>
                <w:bCs w:val="1"/>
                <w:color w:val="auto"/>
              </w:rPr>
              <w:t>Multifamily</w:t>
            </w:r>
          </w:p>
        </w:tc>
        <w:tc>
          <w:tcPr>
            <w:tcW w:w="1240" w:type="dxa"/>
            <w:vAlign w:val="bottom"/>
          </w:tcPr>
          <w:p>
            <w:pPr>
              <w:jc w:val="center"/>
              <w:ind w:right="7"/>
              <w:spacing w:after="0" w:line="144" w:lineRule="exact"/>
              <w:rPr>
                <w:sz w:val="20"/>
                <w:szCs w:val="20"/>
                <w:color w:val="auto"/>
              </w:rPr>
            </w:pPr>
            <w:r>
              <w:rPr>
                <w:rFonts w:ascii="Arial" w:cs="Arial" w:eastAsia="Arial" w:hAnsi="Arial"/>
                <w:sz w:val="15"/>
                <w:szCs w:val="15"/>
                <w:b w:val="1"/>
                <w:bCs w:val="1"/>
                <w:color w:val="auto"/>
                <w:w w:val="96"/>
              </w:rPr>
              <w:t>Consolidated</w:t>
            </w:r>
          </w:p>
        </w:tc>
        <w:tc>
          <w:tcPr>
            <w:tcW w:w="0" w:type="dxa"/>
            <w:vAlign w:val="bottom"/>
          </w:tcPr>
          <w:p>
            <w:pPr>
              <w:spacing w:after="0"/>
              <w:rPr>
                <w:sz w:val="1"/>
                <w:szCs w:val="1"/>
                <w:color w:val="auto"/>
              </w:rPr>
            </w:pPr>
          </w:p>
        </w:tc>
      </w:tr>
      <w:tr>
        <w:trPr>
          <w:trHeight w:val="200"/>
        </w:trPr>
        <w:tc>
          <w:tcPr>
            <w:tcW w:w="1180" w:type="dxa"/>
            <w:vAlign w:val="bottom"/>
            <w:vMerge w:val="continue"/>
          </w:tcPr>
          <w:p>
            <w:pPr>
              <w:spacing w:after="0"/>
              <w:rPr>
                <w:sz w:val="17"/>
                <w:szCs w:val="17"/>
                <w:color w:val="auto"/>
              </w:rPr>
            </w:pPr>
          </w:p>
        </w:tc>
        <w:tc>
          <w:tcPr>
            <w:tcW w:w="1500" w:type="dxa"/>
            <w:vAlign w:val="bottom"/>
            <w:vMerge w:val="continue"/>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560" w:type="dxa"/>
            <w:vAlign w:val="bottom"/>
            <w:vMerge w:val="continue"/>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1974850</wp:posOffset>
            </wp:positionH>
            <wp:positionV relativeFrom="paragraph">
              <wp:posOffset>-635</wp:posOffset>
            </wp:positionV>
            <wp:extent cx="51657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65725" cy="8255"/>
                    </a:xfrm>
                    <a:prstGeom prst="rect">
                      <a:avLst/>
                    </a:prstGeom>
                    <a:noFill/>
                  </pic:spPr>
                </pic:pic>
              </a:graphicData>
            </a:graphic>
          </wp:anchor>
        </w:drawing>
      </w:r>
    </w:p>
    <w:p>
      <w:pPr>
        <w:ind w:left="6500"/>
        <w:spacing w:after="0"/>
        <w:rPr>
          <w:sz w:val="20"/>
          <w:szCs w:val="20"/>
          <w:color w:val="auto"/>
        </w:rPr>
      </w:pPr>
      <w:r>
        <w:rPr>
          <w:rFonts w:ascii="Arial" w:cs="Arial" w:eastAsia="Arial" w:hAnsi="Arial"/>
          <w:sz w:val="15"/>
          <w:szCs w:val="15"/>
          <w:b w:val="1"/>
          <w:bCs w:val="1"/>
          <w:color w:val="auto"/>
        </w:rPr>
        <w:t>(Dollars in millions)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120" w:type="dxa"/>
            <w:vAlign w:val="bottom"/>
            <w:gridSpan w:val="2"/>
          </w:tcPr>
          <w:p>
            <w:pPr>
              <w:ind w:left="20"/>
              <w:spacing w:after="0"/>
              <w:rPr>
                <w:sz w:val="20"/>
                <w:szCs w:val="20"/>
                <w:color w:val="auto"/>
              </w:rPr>
            </w:pPr>
            <w:r>
              <w:rPr>
                <w:rFonts w:ascii="Arial" w:cs="Arial" w:eastAsia="Arial" w:hAnsi="Arial"/>
                <w:sz w:val="15"/>
                <w:szCs w:val="15"/>
                <w:b w:val="1"/>
                <w:bCs w:val="1"/>
                <w:color w:val="auto"/>
              </w:rPr>
              <w:t>Credit loss reserves as a percentage of:</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26"/>
        </w:trPr>
        <w:tc>
          <w:tcPr>
            <w:tcW w:w="3120" w:type="dxa"/>
            <w:vAlign w:val="bottom"/>
            <w:gridSpan w:val="2"/>
          </w:tcPr>
          <w:p>
            <w:pPr>
              <w:ind w:left="180"/>
              <w:spacing w:after="0"/>
              <w:rPr>
                <w:sz w:val="20"/>
                <w:szCs w:val="20"/>
                <w:color w:val="auto"/>
              </w:rPr>
            </w:pPr>
            <w:r>
              <w:rPr>
                <w:rFonts w:ascii="Arial" w:cs="Arial" w:eastAsia="Arial" w:hAnsi="Arial"/>
                <w:sz w:val="15"/>
                <w:szCs w:val="15"/>
                <w:color w:val="auto"/>
              </w:rPr>
              <w:t>Guaranty book of business</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0.14</w:t>
            </w:r>
          </w:p>
        </w:tc>
        <w:tc>
          <w:tcPr>
            <w:tcW w:w="360" w:type="dxa"/>
            <w:vAlign w:val="bottom"/>
          </w:tcPr>
          <w:p>
            <w:pPr>
              <w:jc w:val="right"/>
              <w:ind w:right="147"/>
              <w:spacing w:after="0"/>
              <w:rPr>
                <w:sz w:val="20"/>
                <w:szCs w:val="20"/>
                <w:color w:val="auto"/>
              </w:rPr>
            </w:pPr>
            <w:r>
              <w:rPr>
                <w:rFonts w:ascii="Arial" w:cs="Arial" w:eastAsia="Arial" w:hAnsi="Arial"/>
                <w:sz w:val="15"/>
                <w:szCs w:val="15"/>
                <w:b w:val="1"/>
                <w:bCs w:val="1"/>
                <w:color w:val="auto"/>
                <w:w w:val="89"/>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0.53</w:t>
            </w:r>
          </w:p>
        </w:tc>
        <w:tc>
          <w:tcPr>
            <w:tcW w:w="380" w:type="dxa"/>
            <w:vAlign w:val="bottom"/>
          </w:tcPr>
          <w:p>
            <w:pPr>
              <w:jc w:val="right"/>
              <w:ind w:right="147"/>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0.19</w:t>
            </w:r>
          </w:p>
        </w:tc>
        <w:tc>
          <w:tcPr>
            <w:tcW w:w="380" w:type="dxa"/>
            <w:vAlign w:val="bottom"/>
          </w:tcPr>
          <w:p>
            <w:pPr>
              <w:jc w:val="right"/>
              <w:ind w:right="147"/>
              <w:spacing w:after="0"/>
              <w:rPr>
                <w:sz w:val="20"/>
                <w:szCs w:val="20"/>
                <w:color w:val="auto"/>
              </w:rPr>
            </w:pPr>
            <w:r>
              <w:rPr>
                <w:rFonts w:ascii="Arial" w:cs="Arial" w:eastAsia="Arial" w:hAnsi="Arial"/>
                <w:sz w:val="15"/>
                <w:szCs w:val="15"/>
                <w:b w:val="1"/>
                <w:bCs w:val="1"/>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0.18</w:t>
            </w:r>
          </w:p>
        </w:tc>
        <w:tc>
          <w:tcPr>
            <w:tcW w:w="380" w:type="dxa"/>
            <w:vAlign w:val="bottom"/>
          </w:tcPr>
          <w:p>
            <w:pPr>
              <w:jc w:val="right"/>
              <w:ind w:right="167"/>
              <w:spacing w:after="0"/>
              <w:rPr>
                <w:sz w:val="20"/>
                <w:szCs w:val="20"/>
                <w:color w:val="auto"/>
              </w:rPr>
            </w:pPr>
            <w:r>
              <w:rPr>
                <w:rFonts w:ascii="Arial" w:cs="Arial" w:eastAsia="Arial" w:hAnsi="Arial"/>
                <w:sz w:val="15"/>
                <w:szCs w:val="15"/>
                <w:color w:val="auto"/>
                <w:w w:val="89"/>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0.44</w:t>
            </w:r>
          </w:p>
        </w:tc>
        <w:tc>
          <w:tcPr>
            <w:tcW w:w="380" w:type="dxa"/>
            <w:vAlign w:val="bottom"/>
          </w:tcPr>
          <w:p>
            <w:pPr>
              <w:jc w:val="right"/>
              <w:ind w:right="147"/>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0.21</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32"/>
        </w:trPr>
        <w:tc>
          <w:tcPr>
            <w:tcW w:w="3120" w:type="dxa"/>
            <w:vAlign w:val="bottom"/>
            <w:gridSpan w:val="2"/>
          </w:tcPr>
          <w:p>
            <w:pPr>
              <w:ind w:left="180"/>
              <w:spacing w:after="0"/>
              <w:rPr>
                <w:sz w:val="20"/>
                <w:szCs w:val="20"/>
                <w:color w:val="auto"/>
              </w:rPr>
            </w:pPr>
            <w:r>
              <w:rPr>
                <w:rFonts w:ascii="Arial" w:cs="Arial" w:eastAsia="Arial" w:hAnsi="Arial"/>
                <w:sz w:val="15"/>
                <w:szCs w:val="15"/>
                <w:color w:val="auto"/>
              </w:rPr>
              <w:t>Nonaccrual loans at amortized cost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20.97</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114.08</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28.89</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28.50</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109.21</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34.51</w:t>
            </w:r>
          </w:p>
        </w:tc>
        <w:tc>
          <w:tcPr>
            <w:tcW w:w="240" w:type="dxa"/>
            <w:vAlign w:val="bottom"/>
          </w:tcPr>
          <w:p>
            <w:pPr>
              <w:spacing w:after="0"/>
              <w:rPr>
                <w:sz w:val="20"/>
                <w:szCs w:val="20"/>
                <w:color w:val="auto"/>
              </w:rPr>
            </w:pPr>
          </w:p>
        </w:tc>
      </w:tr>
      <w:tr>
        <w:trPr>
          <w:trHeight w:val="438"/>
        </w:trPr>
        <w:tc>
          <w:tcPr>
            <w:tcW w:w="3120" w:type="dxa"/>
            <w:vAlign w:val="bottom"/>
            <w:gridSpan w:val="2"/>
          </w:tcPr>
          <w:p>
            <w:pPr>
              <w:ind w:left="20"/>
              <w:spacing w:after="0"/>
              <w:rPr>
                <w:sz w:val="20"/>
                <w:szCs w:val="20"/>
                <w:color w:val="auto"/>
              </w:rPr>
            </w:pPr>
            <w:r>
              <w:rPr>
                <w:rFonts w:ascii="Arial" w:cs="Arial" w:eastAsia="Arial" w:hAnsi="Arial"/>
                <w:sz w:val="15"/>
                <w:szCs w:val="15"/>
                <w:b w:val="1"/>
                <w:bCs w:val="1"/>
                <w:color w:val="auto"/>
              </w:rPr>
              <w:t>Nonaccrual loans as a percentage of:</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2"/>
        </w:trPr>
        <w:tc>
          <w:tcPr>
            <w:tcW w:w="3120" w:type="dxa"/>
            <w:vAlign w:val="bottom"/>
            <w:gridSpan w:val="2"/>
          </w:tcPr>
          <w:p>
            <w:pPr>
              <w:ind w:left="180"/>
              <w:spacing w:after="0"/>
              <w:rPr>
                <w:sz w:val="20"/>
                <w:szCs w:val="20"/>
                <w:color w:val="auto"/>
              </w:rPr>
            </w:pPr>
            <w:r>
              <w:rPr>
                <w:rFonts w:ascii="Arial" w:cs="Arial" w:eastAsia="Arial" w:hAnsi="Arial"/>
                <w:sz w:val="15"/>
                <w:szCs w:val="15"/>
                <w:color w:val="auto"/>
              </w:rPr>
              <w:t>Guaranty book of business</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0.67</w:t>
            </w:r>
          </w:p>
        </w:tc>
        <w:tc>
          <w:tcPr>
            <w:tcW w:w="360" w:type="dxa"/>
            <w:vAlign w:val="bottom"/>
          </w:tcPr>
          <w:p>
            <w:pPr>
              <w:jc w:val="right"/>
              <w:ind w:right="147"/>
              <w:spacing w:after="0"/>
              <w:rPr>
                <w:sz w:val="20"/>
                <w:szCs w:val="20"/>
                <w:color w:val="auto"/>
              </w:rPr>
            </w:pPr>
            <w:r>
              <w:rPr>
                <w:rFonts w:ascii="Arial" w:cs="Arial" w:eastAsia="Arial" w:hAnsi="Arial"/>
                <w:sz w:val="15"/>
                <w:szCs w:val="15"/>
                <w:b w:val="1"/>
                <w:bCs w:val="1"/>
                <w:color w:val="auto"/>
                <w:w w:val="89"/>
              </w:rPr>
              <w:t>%</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0.47</w:t>
            </w:r>
          </w:p>
        </w:tc>
        <w:tc>
          <w:tcPr>
            <w:tcW w:w="380" w:type="dxa"/>
            <w:vAlign w:val="bottom"/>
          </w:tcPr>
          <w:p>
            <w:pPr>
              <w:jc w:val="right"/>
              <w:ind w:right="147"/>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0.65</w:t>
            </w:r>
          </w:p>
        </w:tc>
        <w:tc>
          <w:tcPr>
            <w:tcW w:w="380" w:type="dxa"/>
            <w:vAlign w:val="bottom"/>
          </w:tcPr>
          <w:p>
            <w:pPr>
              <w:jc w:val="right"/>
              <w:ind w:right="147"/>
              <w:spacing w:after="0"/>
              <w:rPr>
                <w:sz w:val="20"/>
                <w:szCs w:val="20"/>
                <w:color w:val="auto"/>
              </w:rPr>
            </w:pPr>
            <w:r>
              <w:rPr>
                <w:rFonts w:ascii="Arial" w:cs="Arial" w:eastAsia="Arial" w:hAnsi="Arial"/>
                <w:sz w:val="15"/>
                <w:szCs w:val="15"/>
                <w:b w:val="1"/>
                <w:bCs w:val="1"/>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0.65</w:t>
            </w:r>
          </w:p>
        </w:tc>
        <w:tc>
          <w:tcPr>
            <w:tcW w:w="380" w:type="dxa"/>
            <w:vAlign w:val="bottom"/>
          </w:tcPr>
          <w:p>
            <w:pPr>
              <w:jc w:val="right"/>
              <w:ind w:right="167"/>
              <w:spacing w:after="0"/>
              <w:rPr>
                <w:sz w:val="20"/>
                <w:szCs w:val="20"/>
                <w:color w:val="auto"/>
              </w:rPr>
            </w:pPr>
            <w:r>
              <w:rPr>
                <w:rFonts w:ascii="Arial" w:cs="Arial" w:eastAsia="Arial" w:hAnsi="Arial"/>
                <w:sz w:val="15"/>
                <w:szCs w:val="15"/>
                <w:color w:val="auto"/>
                <w:w w:val="89"/>
              </w:rPr>
              <w:t>%</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0.40</w:t>
            </w:r>
          </w:p>
        </w:tc>
        <w:tc>
          <w:tcPr>
            <w:tcW w:w="380" w:type="dxa"/>
            <w:vAlign w:val="bottom"/>
          </w:tcPr>
          <w:p>
            <w:pPr>
              <w:jc w:val="right"/>
              <w:ind w:right="147"/>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0.62</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393"/>
        </w:trPr>
        <w:tc>
          <w:tcPr>
            <w:tcW w:w="3120" w:type="dxa"/>
            <w:vAlign w:val="bottom"/>
            <w:gridSpan w:val="2"/>
          </w:tcPr>
          <w:p>
            <w:pPr>
              <w:ind w:left="20"/>
              <w:spacing w:after="0"/>
              <w:rPr>
                <w:sz w:val="20"/>
                <w:szCs w:val="20"/>
                <w:color w:val="auto"/>
              </w:rPr>
            </w:pPr>
            <w:r>
              <w:rPr>
                <w:rFonts w:ascii="Arial" w:cs="Arial" w:eastAsia="Arial" w:hAnsi="Arial"/>
                <w:sz w:val="15"/>
                <w:szCs w:val="15"/>
                <w:b w:val="1"/>
                <w:bCs w:val="1"/>
                <w:color w:val="auto"/>
              </w:rPr>
              <w:t>Select financial information used in</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00"/>
        </w:trPr>
        <w:tc>
          <w:tcPr>
            <w:tcW w:w="3120" w:type="dxa"/>
            <w:vAlign w:val="bottom"/>
            <w:gridSpan w:val="2"/>
          </w:tcPr>
          <w:p>
            <w:pPr>
              <w:ind w:left="180"/>
              <w:spacing w:after="0"/>
              <w:rPr>
                <w:sz w:val="20"/>
                <w:szCs w:val="20"/>
                <w:color w:val="auto"/>
              </w:rPr>
            </w:pPr>
            <w:r>
              <w:rPr>
                <w:rFonts w:ascii="Arial" w:cs="Arial" w:eastAsia="Arial" w:hAnsi="Arial"/>
                <w:sz w:val="15"/>
                <w:szCs w:val="15"/>
                <w:b w:val="1"/>
                <w:bCs w:val="1"/>
                <w:color w:val="auto"/>
              </w:rPr>
              <w:t>calculating credit ratios:</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38"/>
        </w:trPr>
        <w:tc>
          <w:tcPr>
            <w:tcW w:w="3120" w:type="dxa"/>
            <w:vAlign w:val="bottom"/>
            <w:gridSpan w:val="2"/>
          </w:tcPr>
          <w:p>
            <w:pPr>
              <w:ind w:left="180"/>
              <w:spacing w:after="0"/>
              <w:rPr>
                <w:sz w:val="20"/>
                <w:szCs w:val="20"/>
                <w:color w:val="auto"/>
              </w:rPr>
            </w:pPr>
            <w:r>
              <w:rPr>
                <w:rFonts w:ascii="Arial" w:cs="Arial" w:eastAsia="Arial" w:hAnsi="Arial"/>
                <w:sz w:val="15"/>
                <w:szCs w:val="15"/>
                <w:color w:val="auto"/>
              </w:rPr>
              <w:t>Credit loss reserves</w:t>
            </w:r>
            <w:r>
              <w:rPr>
                <w:rFonts w:ascii="Arial" w:cs="Arial" w:eastAsia="Arial" w:hAnsi="Arial"/>
                <w:sz w:val="18"/>
                <w:szCs w:val="18"/>
                <w:color w:val="auto"/>
                <w:vertAlign w:val="superscript"/>
              </w:rPr>
              <w:t>(1)</w:t>
            </w:r>
          </w:p>
        </w:tc>
        <w:tc>
          <w:tcPr>
            <w:tcW w:w="160" w:type="dxa"/>
            <w:vAlign w:val="bottom"/>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(5,099)</w:t>
            </w:r>
          </w:p>
        </w:tc>
        <w:tc>
          <w:tcPr>
            <w:tcW w:w="360" w:type="dxa"/>
            <w:vAlign w:val="bottom"/>
          </w:tcPr>
          <w:p>
            <w:pPr>
              <w:spacing w:after="0"/>
              <w:rPr>
                <w:sz w:val="20"/>
                <w:szCs w:val="20"/>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b w:val="1"/>
                <w:bCs w:val="1"/>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(2,577)</w:t>
            </w:r>
          </w:p>
        </w:tc>
        <w:tc>
          <w:tcPr>
            <w:tcW w:w="60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w:t>
            </w: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(7,676)</w:t>
            </w:r>
          </w:p>
        </w:tc>
        <w:tc>
          <w:tcPr>
            <w:tcW w:w="380" w:type="dxa"/>
            <w:vAlign w:val="bottom"/>
          </w:tcPr>
          <w:p>
            <w:pPr>
              <w:spacing w:after="0"/>
              <w:rPr>
                <w:sz w:val="20"/>
                <w:szCs w:val="20"/>
                <w:color w:val="auto"/>
              </w:rPr>
            </w:pP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(6,696)</w:t>
            </w:r>
          </w:p>
        </w:tc>
        <w:tc>
          <w:tcPr>
            <w:tcW w:w="380" w:type="dxa"/>
            <w:vAlign w:val="bottom"/>
          </w:tcPr>
          <w:p>
            <w:pPr>
              <w:spacing w:after="0"/>
              <w:rPr>
                <w:sz w:val="20"/>
                <w:szCs w:val="20"/>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(2,064)</w:t>
            </w: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(8,760)</w:t>
            </w:r>
          </w:p>
        </w:tc>
        <w:tc>
          <w:tcPr>
            <w:tcW w:w="240" w:type="dxa"/>
            <w:vAlign w:val="bottom"/>
          </w:tcPr>
          <w:p>
            <w:pPr>
              <w:spacing w:after="0"/>
              <w:rPr>
                <w:sz w:val="20"/>
                <w:szCs w:val="20"/>
                <w:color w:val="auto"/>
              </w:rPr>
            </w:pPr>
          </w:p>
        </w:tc>
      </w:tr>
      <w:tr>
        <w:trPr>
          <w:trHeight w:val="232"/>
        </w:trPr>
        <w:tc>
          <w:tcPr>
            <w:tcW w:w="3120" w:type="dxa"/>
            <w:vAlign w:val="bottom"/>
            <w:gridSpan w:val="2"/>
          </w:tcPr>
          <w:p>
            <w:pPr>
              <w:ind w:left="180"/>
              <w:spacing w:after="0"/>
              <w:rPr>
                <w:sz w:val="20"/>
                <w:szCs w:val="20"/>
                <w:color w:val="auto"/>
              </w:rPr>
            </w:pPr>
            <w:r>
              <w:rPr>
                <w:rFonts w:ascii="Arial" w:cs="Arial" w:eastAsia="Arial" w:hAnsi="Arial"/>
                <w:sz w:val="15"/>
                <w:szCs w:val="15"/>
                <w:color w:val="auto"/>
              </w:rPr>
              <w:t>Guaranty book of business</w:t>
            </w:r>
            <w:r>
              <w:rPr>
                <w:rFonts w:ascii="Arial" w:cs="Arial" w:eastAsia="Arial" w:hAnsi="Arial"/>
                <w:sz w:val="18"/>
                <w:szCs w:val="18"/>
                <w:color w:val="auto"/>
                <w:vertAlign w:val="superscript"/>
              </w:rPr>
              <w:t>(2)</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3,627,398</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485,645</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4,113,043</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3,636,735</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470,398</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4,107,133</w:t>
            </w:r>
          </w:p>
        </w:tc>
        <w:tc>
          <w:tcPr>
            <w:tcW w:w="240" w:type="dxa"/>
            <w:vAlign w:val="bottom"/>
          </w:tcPr>
          <w:p>
            <w:pPr>
              <w:spacing w:after="0"/>
              <w:rPr>
                <w:sz w:val="20"/>
                <w:szCs w:val="20"/>
                <w:color w:val="auto"/>
              </w:rPr>
            </w:pPr>
          </w:p>
        </w:tc>
      </w:tr>
      <w:tr>
        <w:trPr>
          <w:trHeight w:val="226"/>
        </w:trPr>
        <w:tc>
          <w:tcPr>
            <w:tcW w:w="3120" w:type="dxa"/>
            <w:vAlign w:val="bottom"/>
            <w:gridSpan w:val="2"/>
          </w:tcPr>
          <w:p>
            <w:pPr>
              <w:ind w:left="180"/>
              <w:spacing w:after="0"/>
              <w:rPr>
                <w:sz w:val="20"/>
                <w:szCs w:val="20"/>
                <w:color w:val="auto"/>
              </w:rPr>
            </w:pPr>
            <w:r>
              <w:rPr>
                <w:rFonts w:ascii="Arial" w:cs="Arial" w:eastAsia="Arial" w:hAnsi="Arial"/>
                <w:sz w:val="15"/>
                <w:szCs w:val="15"/>
                <w:color w:val="auto"/>
              </w:rPr>
              <w:t>Nonaccrual loans at amortized cost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24,313</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2,259</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26,572</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23,497</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1,890</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25,387</w:t>
            </w:r>
          </w:p>
        </w:tc>
        <w:tc>
          <w:tcPr>
            <w:tcW w:w="240" w:type="dxa"/>
            <w:vAlign w:val="bottom"/>
          </w:tcPr>
          <w:p>
            <w:pPr>
              <w:spacing w:after="0"/>
              <w:rPr>
                <w:sz w:val="19"/>
                <w:szCs w:val="19"/>
                <w:color w:val="auto"/>
              </w:rPr>
            </w:pPr>
          </w:p>
        </w:tc>
      </w:tr>
      <w:tr>
        <w:trPr>
          <w:trHeight w:val="438"/>
        </w:trPr>
        <w:tc>
          <w:tcPr>
            <w:tcW w:w="3120" w:type="dxa"/>
            <w:vAlign w:val="bottom"/>
            <w:gridSpan w:val="2"/>
          </w:tcPr>
          <w:p>
            <w:pPr>
              <w:ind w:left="20"/>
              <w:spacing w:after="0"/>
              <w:rPr>
                <w:sz w:val="20"/>
                <w:szCs w:val="20"/>
                <w:color w:val="auto"/>
              </w:rPr>
            </w:pPr>
            <w:r>
              <w:rPr>
                <w:rFonts w:ascii="Arial" w:cs="Arial" w:eastAsia="Arial" w:hAnsi="Arial"/>
                <w:sz w:val="15"/>
                <w:szCs w:val="15"/>
                <w:b w:val="1"/>
                <w:bCs w:val="1"/>
                <w:color w:val="auto"/>
              </w:rPr>
              <w:t>Components of credit loss reserves:</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2"/>
        </w:trPr>
        <w:tc>
          <w:tcPr>
            <w:tcW w:w="3120" w:type="dxa"/>
            <w:vAlign w:val="bottom"/>
            <w:gridSpan w:val="2"/>
          </w:tcPr>
          <w:p>
            <w:pPr>
              <w:ind w:left="180"/>
              <w:spacing w:after="0"/>
              <w:rPr>
                <w:sz w:val="20"/>
                <w:szCs w:val="20"/>
                <w:color w:val="auto"/>
              </w:rPr>
            </w:pPr>
            <w:r>
              <w:rPr>
                <w:rFonts w:ascii="Arial" w:cs="Arial" w:eastAsia="Arial" w:hAnsi="Arial"/>
                <w:sz w:val="15"/>
                <w:szCs w:val="15"/>
                <w:color w:val="auto"/>
              </w:rPr>
              <w:t>Allowance for loan losses</w:t>
            </w:r>
          </w:p>
        </w:tc>
        <w:tc>
          <w:tcPr>
            <w:tcW w:w="160" w:type="dxa"/>
            <w:vAlign w:val="bottom"/>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(5,086)</w:t>
            </w:r>
          </w:p>
        </w:tc>
        <w:tc>
          <w:tcPr>
            <w:tcW w:w="360" w:type="dxa"/>
            <w:vAlign w:val="bottom"/>
          </w:tcPr>
          <w:p>
            <w:pPr>
              <w:spacing w:after="0"/>
              <w:rPr>
                <w:sz w:val="20"/>
                <w:szCs w:val="20"/>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b w:val="1"/>
                <w:bCs w:val="1"/>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(2,570)</w:t>
            </w:r>
          </w:p>
        </w:tc>
        <w:tc>
          <w:tcPr>
            <w:tcW w:w="60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w:t>
            </w: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(7,656)</w:t>
            </w:r>
          </w:p>
        </w:tc>
        <w:tc>
          <w:tcPr>
            <w:tcW w:w="380" w:type="dxa"/>
            <w:vAlign w:val="bottom"/>
          </w:tcPr>
          <w:p>
            <w:pPr>
              <w:spacing w:after="0"/>
              <w:rPr>
                <w:sz w:val="20"/>
                <w:szCs w:val="20"/>
                <w:color w:val="auto"/>
              </w:rPr>
            </w:pP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(6,671)</w:t>
            </w:r>
          </w:p>
        </w:tc>
        <w:tc>
          <w:tcPr>
            <w:tcW w:w="380" w:type="dxa"/>
            <w:vAlign w:val="bottom"/>
          </w:tcPr>
          <w:p>
            <w:pPr>
              <w:spacing w:after="0"/>
              <w:rPr>
                <w:sz w:val="20"/>
                <w:szCs w:val="20"/>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(2,059)</w:t>
            </w: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(8,730)</w:t>
            </w:r>
          </w:p>
        </w:tc>
        <w:tc>
          <w:tcPr>
            <w:tcW w:w="240" w:type="dxa"/>
            <w:vAlign w:val="bottom"/>
          </w:tcPr>
          <w:p>
            <w:pPr>
              <w:spacing w:after="0"/>
              <w:rPr>
                <w:sz w:val="20"/>
                <w:szCs w:val="20"/>
                <w:color w:val="auto"/>
              </w:rPr>
            </w:pPr>
          </w:p>
        </w:tc>
      </w:tr>
      <w:tr>
        <w:trPr>
          <w:trHeight w:val="232"/>
        </w:trPr>
        <w:tc>
          <w:tcPr>
            <w:tcW w:w="3120" w:type="dxa"/>
            <w:vAlign w:val="bottom"/>
            <w:gridSpan w:val="2"/>
          </w:tcPr>
          <w:p>
            <w:pPr>
              <w:ind w:left="180"/>
              <w:spacing w:after="0"/>
              <w:rPr>
                <w:sz w:val="20"/>
                <w:szCs w:val="20"/>
                <w:color w:val="auto"/>
              </w:rPr>
            </w:pPr>
            <w:r>
              <w:rPr>
                <w:rFonts w:ascii="Arial" w:cs="Arial" w:eastAsia="Arial" w:hAnsi="Arial"/>
                <w:sz w:val="15"/>
                <w:szCs w:val="15"/>
                <w:color w:val="auto"/>
              </w:rPr>
              <w:t>Allowance for accrued interest receivable</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(13)</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(13)</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(25)</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(25)</w:t>
            </w:r>
          </w:p>
        </w:tc>
        <w:tc>
          <w:tcPr>
            <w:tcW w:w="240" w:type="dxa"/>
            <w:vAlign w:val="bottom"/>
          </w:tcPr>
          <w:p>
            <w:pPr>
              <w:spacing w:after="0"/>
              <w:rPr>
                <w:sz w:val="20"/>
                <w:szCs w:val="20"/>
                <w:color w:val="auto"/>
              </w:rPr>
            </w:pPr>
          </w:p>
        </w:tc>
      </w:tr>
      <w:tr>
        <w:trPr>
          <w:trHeight w:val="230"/>
        </w:trPr>
        <w:tc>
          <w:tcPr>
            <w:tcW w:w="300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Reserve for guaranty losses</w:t>
            </w:r>
            <w:r>
              <w:rPr>
                <w:rFonts w:ascii="Arial" w:cs="Arial" w:eastAsia="Arial" w:hAnsi="Arial"/>
                <w:sz w:val="18"/>
                <w:szCs w:val="18"/>
                <w:color w:val="auto"/>
                <w:vertAlign w:val="superscript"/>
              </w:rPr>
              <w:t>(3)</w:t>
            </w:r>
          </w:p>
        </w:tc>
        <w:tc>
          <w:tcPr>
            <w:tcW w:w="120" w:type="dxa"/>
            <w:vAlign w:val="bottom"/>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w:t>
            </w:r>
          </w:p>
        </w:tc>
        <w:tc>
          <w:tcPr>
            <w:tcW w:w="360" w:type="dxa"/>
            <w:vAlign w:val="bottom"/>
          </w:tcPr>
          <w:p>
            <w:pPr>
              <w:spacing w:after="0"/>
              <w:rPr>
                <w:sz w:val="19"/>
                <w:szCs w:val="19"/>
                <w:color w:val="auto"/>
              </w:rPr>
            </w:pPr>
          </w:p>
        </w:tc>
        <w:tc>
          <w:tcPr>
            <w:tcW w:w="240" w:type="dxa"/>
            <w:vAlign w:val="bottom"/>
            <w:tcBorders>
              <w:bottom w:val="single" w:sz="8" w:color="2C6937"/>
            </w:tcBorders>
          </w:tcPr>
          <w:p>
            <w:pPr>
              <w:spacing w:after="0"/>
              <w:rPr>
                <w:sz w:val="19"/>
                <w:szCs w:val="19"/>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(7)</w:t>
            </w:r>
          </w:p>
        </w:tc>
        <w:tc>
          <w:tcPr>
            <w:tcW w:w="380" w:type="dxa"/>
            <w:vAlign w:val="bottom"/>
          </w:tcPr>
          <w:p>
            <w:pPr>
              <w:spacing w:after="0"/>
              <w:rPr>
                <w:sz w:val="19"/>
                <w:szCs w:val="19"/>
                <w:color w:val="auto"/>
              </w:rPr>
            </w:pPr>
          </w:p>
        </w:tc>
        <w:tc>
          <w:tcPr>
            <w:tcW w:w="220" w:type="dxa"/>
            <w:vAlign w:val="bottom"/>
            <w:tcBorders>
              <w:bottom w:val="single" w:sz="8" w:color="2C6937"/>
            </w:tcBorders>
          </w:tcPr>
          <w:p>
            <w:pPr>
              <w:spacing w:after="0"/>
              <w:rPr>
                <w:sz w:val="19"/>
                <w:szCs w:val="19"/>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(7)</w:t>
            </w:r>
          </w:p>
        </w:tc>
        <w:tc>
          <w:tcPr>
            <w:tcW w:w="38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9"/>
                <w:szCs w:val="19"/>
                <w:color w:val="auto"/>
              </w:rPr>
            </w:pPr>
          </w:p>
        </w:tc>
        <w:tc>
          <w:tcPr>
            <w:tcW w:w="240" w:type="dxa"/>
            <w:vAlign w:val="bottom"/>
            <w:tcBorders>
              <w:bottom w:val="single" w:sz="8" w:color="2C6937"/>
            </w:tcBorders>
          </w:tcPr>
          <w:p>
            <w:pPr>
              <w:spacing w:after="0"/>
              <w:rPr>
                <w:sz w:val="19"/>
                <w:szCs w:val="19"/>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w:t>
            </w:r>
          </w:p>
        </w:tc>
        <w:tc>
          <w:tcPr>
            <w:tcW w:w="380" w:type="dxa"/>
            <w:vAlign w:val="bottom"/>
          </w:tcPr>
          <w:p>
            <w:pPr>
              <w:spacing w:after="0"/>
              <w:rPr>
                <w:sz w:val="19"/>
                <w:szCs w:val="19"/>
                <w:color w:val="auto"/>
              </w:rPr>
            </w:pPr>
          </w:p>
        </w:tc>
        <w:tc>
          <w:tcPr>
            <w:tcW w:w="220" w:type="dxa"/>
            <w:vAlign w:val="bottom"/>
            <w:tcBorders>
              <w:bottom w:val="single" w:sz="8" w:color="2C6937"/>
            </w:tcBorders>
          </w:tcPr>
          <w:p>
            <w:pPr>
              <w:spacing w:after="0"/>
              <w:rPr>
                <w:sz w:val="19"/>
                <w:szCs w:val="19"/>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w:t>
            </w:r>
          </w:p>
        </w:tc>
        <w:tc>
          <w:tcPr>
            <w:tcW w:w="240" w:type="dxa"/>
            <w:vAlign w:val="bottom"/>
          </w:tcPr>
          <w:p>
            <w:pPr>
              <w:spacing w:after="0"/>
              <w:rPr>
                <w:sz w:val="19"/>
                <w:szCs w:val="19"/>
                <w:color w:val="auto"/>
              </w:rPr>
            </w:pPr>
          </w:p>
        </w:tc>
      </w:tr>
      <w:tr>
        <w:trPr>
          <w:trHeight w:val="225"/>
        </w:trPr>
        <w:tc>
          <w:tcPr>
            <w:tcW w:w="3120" w:type="dxa"/>
            <w:vAlign w:val="bottom"/>
            <w:gridSpan w:val="2"/>
          </w:tcPr>
          <w:p>
            <w:pPr>
              <w:ind w:left="320"/>
              <w:spacing w:after="0"/>
              <w:rPr>
                <w:sz w:val="20"/>
                <w:szCs w:val="20"/>
                <w:color w:val="auto"/>
              </w:rPr>
            </w:pPr>
            <w:r>
              <w:rPr>
                <w:rFonts w:ascii="Arial" w:cs="Arial" w:eastAsia="Arial" w:hAnsi="Arial"/>
                <w:sz w:val="15"/>
                <w:szCs w:val="15"/>
                <w:color w:val="auto"/>
              </w:rPr>
              <w:t>Total credit loss reserves</w:t>
            </w:r>
            <w:r>
              <w:rPr>
                <w:rFonts w:ascii="Arial" w:cs="Arial" w:eastAsia="Arial" w:hAnsi="Arial"/>
                <w:sz w:val="18"/>
                <w:szCs w:val="18"/>
                <w:color w:val="auto"/>
                <w:vertAlign w:val="superscript"/>
              </w:rPr>
              <w:t>(1)</w:t>
            </w:r>
          </w:p>
        </w:tc>
        <w:tc>
          <w:tcPr>
            <w:tcW w:w="160" w:type="dxa"/>
            <w:vAlign w:val="bottom"/>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(5,099)</w:t>
            </w:r>
          </w:p>
        </w:tc>
        <w:tc>
          <w:tcPr>
            <w:tcW w:w="360" w:type="dxa"/>
            <w:vAlign w:val="bottom"/>
          </w:tcPr>
          <w:p>
            <w:pPr>
              <w:spacing w:after="0"/>
              <w:rPr>
                <w:sz w:val="19"/>
                <w:szCs w:val="19"/>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b w:val="1"/>
                <w:bCs w:val="1"/>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(2,577)</w:t>
            </w:r>
          </w:p>
        </w:tc>
        <w:tc>
          <w:tcPr>
            <w:tcW w:w="60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w:t>
            </w: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(7,676)</w:t>
            </w:r>
          </w:p>
        </w:tc>
        <w:tc>
          <w:tcPr>
            <w:tcW w:w="380" w:type="dxa"/>
            <w:vAlign w:val="bottom"/>
          </w:tcPr>
          <w:p>
            <w:pPr>
              <w:spacing w:after="0"/>
              <w:rPr>
                <w:sz w:val="19"/>
                <w:szCs w:val="19"/>
                <w:color w:val="auto"/>
              </w:rPr>
            </w:pP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(6,696)</w:t>
            </w:r>
          </w:p>
        </w:tc>
        <w:tc>
          <w:tcPr>
            <w:tcW w:w="380" w:type="dxa"/>
            <w:vAlign w:val="bottom"/>
          </w:tcPr>
          <w:p>
            <w:pPr>
              <w:spacing w:after="0"/>
              <w:rPr>
                <w:sz w:val="19"/>
                <w:szCs w:val="19"/>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(2,064)</w:t>
            </w: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(8,760)</w:t>
            </w:r>
          </w:p>
        </w:tc>
        <w:tc>
          <w:tcPr>
            <w:tcW w:w="240" w:type="dxa"/>
            <w:vAlign w:val="bottom"/>
          </w:tcPr>
          <w:p>
            <w:pPr>
              <w:spacing w:after="0"/>
              <w:rPr>
                <w:sz w:val="19"/>
                <w:szCs w:val="19"/>
                <w:color w:val="auto"/>
              </w:rPr>
            </w:pPr>
          </w:p>
        </w:tc>
      </w:tr>
      <w:tr>
        <w:trPr>
          <w:trHeight w:val="20"/>
        </w:trPr>
        <w:tc>
          <w:tcPr>
            <w:tcW w:w="300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21" w:lineRule="exact"/>
        <w:rPr>
          <w:sz w:val="20"/>
          <w:szCs w:val="20"/>
          <w:color w:val="auto"/>
        </w:rPr>
      </w:pPr>
    </w:p>
    <w:p>
      <w:pPr>
        <w:ind w:left="240" w:right="420" w:hanging="237"/>
        <w:spacing w:after="0" w:line="226" w:lineRule="auto"/>
        <w:tabs>
          <w:tab w:leader="none" w:pos="233" w:val="left"/>
        </w:tabs>
        <w:numPr>
          <w:ilvl w:val="0"/>
          <w:numId w:val="49"/>
        </w:numPr>
        <w:rPr>
          <w:rFonts w:ascii="Arial" w:cs="Arial" w:eastAsia="Arial" w:hAnsi="Arial"/>
          <w:sz w:val="18"/>
          <w:szCs w:val="18"/>
          <w:color w:val="auto"/>
          <w:vertAlign w:val="superscript"/>
        </w:rPr>
      </w:pPr>
      <w:r>
        <w:rPr>
          <w:rFonts w:ascii="Arial" w:cs="Arial" w:eastAsia="Arial" w:hAnsi="Arial"/>
          <w:sz w:val="14"/>
          <w:szCs w:val="14"/>
          <w:color w:val="auto"/>
        </w:rPr>
        <w:t>Our multifamily credit loss reserves exclude the expected benefit of freestanding credit enhancements on multifamily loans of $849 million as of September 30, 2024 and $599 million as of December 31, 2023, which are recorded in “Other assets” in our condensed consolidated balance sheets.</w:t>
      </w:r>
    </w:p>
    <w:p>
      <w:pPr>
        <w:spacing w:after="0" w:line="1"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49"/>
        </w:numPr>
        <w:rPr>
          <w:rFonts w:ascii="Arial" w:cs="Arial" w:eastAsia="Arial" w:hAnsi="Arial"/>
          <w:sz w:val="18"/>
          <w:szCs w:val="18"/>
          <w:color w:val="auto"/>
          <w:vertAlign w:val="superscript"/>
        </w:rPr>
      </w:pPr>
      <w:r>
        <w:rPr>
          <w:rFonts w:ascii="Arial" w:cs="Arial" w:eastAsia="Arial" w:hAnsi="Arial"/>
          <w:sz w:val="14"/>
          <w:szCs w:val="14"/>
          <w:color w:val="auto"/>
        </w:rPr>
        <w:t>Guaranty book of business is as of period end. For single-family, represents the conventional guaranty book of business.</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49"/>
        </w:numPr>
        <w:rPr>
          <w:rFonts w:ascii="Arial" w:cs="Arial" w:eastAsia="Arial" w:hAnsi="Arial"/>
          <w:sz w:val="18"/>
          <w:szCs w:val="18"/>
          <w:color w:val="auto"/>
          <w:vertAlign w:val="superscript"/>
        </w:rPr>
      </w:pPr>
      <w:r>
        <w:rPr>
          <w:rFonts w:ascii="Arial" w:cs="Arial" w:eastAsia="Arial" w:hAnsi="Arial"/>
          <w:sz w:val="14"/>
          <w:szCs w:val="14"/>
          <w:color w:val="auto"/>
        </w:rPr>
        <w:t>Reserve for guaranty losses is recorded in “Other liabilities” in our condensed consolidated balance sheets.</w:t>
      </w:r>
    </w:p>
    <w:p>
      <w:pPr>
        <w:spacing w:after="0" w:line="53"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Our single-family credit loss reserves decreased as of September 30, 2024 compared with December 31, 2023 primarily as a result of a benefit for credit losses, which reduced our single-family allowance for loan losses. Our multifamily credit loss reserves increased as of September 30, 2024 compared with December 31, 2023 primarily as a result of a provision for credit losses, which increased our multifamily allowance for loan losses. See “Consolidated Results of Operations—Benefit (Provision) for Credit Losses” for more information on our single-family benefit for credit losses and our multifamily provision for credit losses.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2024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47</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60" w:type="dxa"/>
            <w:vAlign w:val="bottom"/>
            <w:tcBorders>
              <w:bottom w:val="single" w:sz="8" w:color="9A9A9A"/>
            </w:tcBorders>
          </w:tcPr>
          <w:p>
            <w:pPr>
              <w:spacing w:after="0"/>
              <w:rPr>
                <w:sz w:val="16"/>
                <w:szCs w:val="16"/>
                <w:color w:val="auto"/>
              </w:rPr>
            </w:pPr>
          </w:p>
        </w:tc>
        <w:tc>
          <w:tcPr>
            <w:tcW w:w="428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50" w:name="page51"/>
    <w:bookmarkEnd w:id="50"/>
    <w:p>
      <w:pPr>
        <w:jc w:val="right"/>
        <w:ind w:right="40"/>
        <w:spacing w:after="0"/>
        <w:rPr>
          <w:sz w:val="20"/>
          <w:szCs w:val="20"/>
          <w:color w:val="auto"/>
        </w:rPr>
      </w:pPr>
      <w:r>
        <w:rPr>
          <w:rFonts w:ascii="Arial" w:cs="Arial" w:eastAsia="Arial" w:hAnsi="Arial"/>
          <w:sz w:val="14"/>
          <w:szCs w:val="14"/>
          <w:color w:val="05314D"/>
        </w:rPr>
        <w:t>MD&amp;A | Consolidated Credit Ratios and Select Credit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2216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Consolidated Write-off Ratio and Select Credit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165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75" w:lineRule="exact"/>
        <w:rPr>
          <w:sz w:val="20"/>
          <w:szCs w:val="20"/>
          <w:color w:val="auto"/>
        </w:rPr>
      </w:pPr>
    </w:p>
    <w:p>
      <w:pPr>
        <w:jc w:val="center"/>
        <w:ind w:left="4000"/>
        <w:spacing w:after="0"/>
        <w:rPr>
          <w:sz w:val="20"/>
          <w:szCs w:val="20"/>
          <w:color w:val="auto"/>
        </w:rPr>
      </w:pPr>
      <w:r>
        <w:rPr>
          <w:rFonts w:ascii="Arial" w:cs="Arial" w:eastAsia="Arial" w:hAnsi="Arial"/>
          <w:sz w:val="15"/>
          <w:szCs w:val="15"/>
          <w:b w:val="1"/>
          <w:bCs w:val="1"/>
          <w:color w:val="auto"/>
        </w:rPr>
        <w:t>For the 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2548255</wp:posOffset>
            </wp:positionH>
            <wp:positionV relativeFrom="paragraph">
              <wp:posOffset>32385</wp:posOffset>
            </wp:positionV>
            <wp:extent cx="45923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592320" cy="8255"/>
                    </a:xfrm>
                    <a:prstGeom prst="rect">
                      <a:avLst/>
                    </a:prstGeom>
                    <a:noFill/>
                  </pic:spPr>
                </pic:pic>
              </a:graphicData>
            </a:graphic>
          </wp:anchor>
        </w:drawing>
      </w:r>
    </w:p>
    <w:p>
      <w:pPr>
        <w:spacing w:after="0" w:line="40" w:lineRule="exact"/>
        <w:rPr>
          <w:sz w:val="20"/>
          <w:szCs w:val="20"/>
          <w:color w:val="auto"/>
        </w:rPr>
      </w:pPr>
    </w:p>
    <w:p>
      <w:pPr>
        <w:ind w:left="5620"/>
        <w:spacing w:after="0"/>
        <w:tabs>
          <w:tab w:leader="none" w:pos="9280" w:val="left"/>
        </w:tabs>
        <w:rPr>
          <w:sz w:val="20"/>
          <w:szCs w:val="20"/>
          <w:color w:val="auto"/>
        </w:rPr>
      </w:pPr>
      <w:r>
        <w:rPr>
          <w:rFonts w:ascii="Arial" w:cs="Arial" w:eastAsia="Arial" w:hAnsi="Arial"/>
          <w:sz w:val="15"/>
          <w:szCs w:val="15"/>
          <w:b w:val="1"/>
          <w:bCs w:val="1"/>
          <w:color w:val="auto"/>
        </w:rPr>
        <w:t>2024</w:t>
      </w:r>
      <w:r>
        <w:rPr>
          <w:sz w:val="20"/>
          <w:szCs w:val="20"/>
          <w:color w:val="auto"/>
        </w:rPr>
        <w:tab/>
      </w:r>
      <w:r>
        <w:rPr>
          <w:rFonts w:ascii="Arial" w:cs="Arial" w:eastAsia="Arial" w:hAnsi="Arial"/>
          <w:sz w:val="15"/>
          <w:szCs w:val="15"/>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2548255</wp:posOffset>
            </wp:positionH>
            <wp:positionV relativeFrom="paragraph">
              <wp:posOffset>15875</wp:posOffset>
            </wp:positionV>
            <wp:extent cx="459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592320" cy="825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Select credit ratio:</w:t>
      </w:r>
    </w:p>
    <w:p>
      <w:pPr>
        <w:spacing w:after="0" w:line="60" w:lineRule="exact"/>
        <w:rPr>
          <w:sz w:val="20"/>
          <w:szCs w:val="20"/>
          <w:color w:val="auto"/>
        </w:rPr>
      </w:pPr>
    </w:p>
    <w:p>
      <w:pPr>
        <w:ind w:left="320" w:hanging="154"/>
        <w:spacing w:after="0" w:line="315" w:lineRule="auto"/>
        <w:rPr>
          <w:sz w:val="20"/>
          <w:szCs w:val="20"/>
          <w:color w:val="auto"/>
        </w:rPr>
      </w:pPr>
      <w:r>
        <w:rPr>
          <w:rFonts w:ascii="Arial" w:cs="Arial" w:eastAsia="Arial" w:hAnsi="Arial"/>
          <w:sz w:val="14"/>
          <w:szCs w:val="14"/>
          <w:color w:val="auto"/>
        </w:rPr>
        <w:t>Write-offs, net of recoveries annualized, as a percentage of the average guaranty book of business (in bps)</w:t>
      </w:r>
    </w:p>
    <w:p>
      <w:pPr>
        <w:spacing w:after="0" w:line="222" w:lineRule="exact"/>
        <w:rPr>
          <w:sz w:val="20"/>
          <w:szCs w:val="20"/>
          <w:color w:val="auto"/>
        </w:rPr>
      </w:pPr>
    </w:p>
    <w:p>
      <w:pPr>
        <w:ind w:left="180" w:right="120" w:hanging="154"/>
        <w:spacing w:after="0" w:line="237" w:lineRule="auto"/>
        <w:rPr>
          <w:sz w:val="20"/>
          <w:szCs w:val="20"/>
          <w:color w:val="auto"/>
        </w:rPr>
      </w:pPr>
      <w:r>
        <w:rPr>
          <w:rFonts w:ascii="Arial" w:cs="Arial" w:eastAsia="Arial" w:hAnsi="Arial"/>
          <w:sz w:val="15"/>
          <w:szCs w:val="15"/>
          <w:b w:val="1"/>
          <w:bCs w:val="1"/>
          <w:color w:val="auto"/>
        </w:rPr>
        <w:t>Select financial information used in calculating credit ratio:</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1220" w:type="dxa"/>
            <w:vAlign w:val="bottom"/>
            <w:tcBorders>
              <w:bottom w:val="single" w:sz="8" w:color="2C6937"/>
            </w:tcBorders>
          </w:tcPr>
          <w:p>
            <w:pPr>
              <w:jc w:val="right"/>
              <w:ind w:right="147"/>
              <w:spacing w:after="0"/>
              <w:rPr>
                <w:sz w:val="20"/>
                <w:szCs w:val="20"/>
                <w:color w:val="auto"/>
              </w:rPr>
            </w:pPr>
            <w:r>
              <w:rPr>
                <w:rFonts w:ascii="Arial" w:cs="Arial" w:eastAsia="Arial" w:hAnsi="Arial"/>
                <w:sz w:val="15"/>
                <w:szCs w:val="15"/>
                <w:b w:val="1"/>
                <w:bCs w:val="1"/>
                <w:color w:val="auto"/>
              </w:rPr>
              <w:t>Single-family</w:t>
            </w:r>
          </w:p>
        </w:tc>
        <w:tc>
          <w:tcPr>
            <w:tcW w:w="1320" w:type="dxa"/>
            <w:vAlign w:val="bottom"/>
            <w:tcBorders>
              <w:bottom w:val="single" w:sz="8" w:color="2C6937"/>
            </w:tcBorders>
          </w:tcPr>
          <w:p>
            <w:pPr>
              <w:jc w:val="right"/>
              <w:ind w:right="327"/>
              <w:spacing w:after="0"/>
              <w:rPr>
                <w:sz w:val="20"/>
                <w:szCs w:val="20"/>
                <w:color w:val="auto"/>
              </w:rPr>
            </w:pPr>
            <w:r>
              <w:rPr>
                <w:rFonts w:ascii="Arial" w:cs="Arial" w:eastAsia="Arial" w:hAnsi="Arial"/>
                <w:sz w:val="15"/>
                <w:szCs w:val="15"/>
                <w:b w:val="1"/>
                <w:bCs w:val="1"/>
                <w:color w:val="auto"/>
              </w:rPr>
              <w:t>Multifamily</w:t>
            </w:r>
          </w:p>
        </w:tc>
        <w:tc>
          <w:tcPr>
            <w:tcW w:w="1080" w:type="dxa"/>
            <w:vAlign w:val="bottom"/>
            <w:tcBorders>
              <w:bottom w:val="single" w:sz="8" w:color="2C6937"/>
            </w:tcBorders>
          </w:tcPr>
          <w:p>
            <w:pPr>
              <w:jc w:val="right"/>
              <w:ind w:right="387"/>
              <w:spacing w:after="0"/>
              <w:rPr>
                <w:sz w:val="20"/>
                <w:szCs w:val="20"/>
                <w:color w:val="auto"/>
              </w:rPr>
            </w:pPr>
            <w:r>
              <w:rPr>
                <w:rFonts w:ascii="Arial" w:cs="Arial" w:eastAsia="Arial" w:hAnsi="Arial"/>
                <w:sz w:val="15"/>
                <w:szCs w:val="15"/>
                <w:b w:val="1"/>
                <w:bCs w:val="1"/>
                <w:color w:val="auto"/>
              </w:rPr>
              <w:t>Total</w:t>
            </w:r>
          </w:p>
        </w:tc>
        <w:tc>
          <w:tcPr>
            <w:tcW w:w="1280" w:type="dxa"/>
            <w:vAlign w:val="bottom"/>
            <w:tcBorders>
              <w:bottom w:val="single" w:sz="8" w:color="2C6937"/>
            </w:tcBorders>
          </w:tcPr>
          <w:p>
            <w:pPr>
              <w:jc w:val="right"/>
              <w:ind w:right="167"/>
              <w:spacing w:after="0"/>
              <w:rPr>
                <w:sz w:val="20"/>
                <w:szCs w:val="20"/>
                <w:color w:val="auto"/>
              </w:rPr>
            </w:pPr>
            <w:r>
              <w:rPr>
                <w:rFonts w:ascii="Arial" w:cs="Arial" w:eastAsia="Arial" w:hAnsi="Arial"/>
                <w:sz w:val="15"/>
                <w:szCs w:val="15"/>
                <w:b w:val="1"/>
                <w:bCs w:val="1"/>
                <w:color w:val="auto"/>
              </w:rPr>
              <w:t>Single-family</w:t>
            </w:r>
          </w:p>
        </w:tc>
        <w:tc>
          <w:tcPr>
            <w:tcW w:w="1320" w:type="dxa"/>
            <w:vAlign w:val="bottom"/>
            <w:tcBorders>
              <w:bottom w:val="single" w:sz="8" w:color="2C6937"/>
            </w:tcBorders>
          </w:tcPr>
          <w:p>
            <w:pPr>
              <w:jc w:val="right"/>
              <w:ind w:right="327"/>
              <w:spacing w:after="0"/>
              <w:rPr>
                <w:sz w:val="20"/>
                <w:szCs w:val="20"/>
                <w:color w:val="auto"/>
              </w:rPr>
            </w:pPr>
            <w:r>
              <w:rPr>
                <w:rFonts w:ascii="Arial" w:cs="Arial" w:eastAsia="Arial" w:hAnsi="Arial"/>
                <w:sz w:val="15"/>
                <w:szCs w:val="15"/>
                <w:b w:val="1"/>
                <w:bCs w:val="1"/>
                <w:color w:val="auto"/>
              </w:rPr>
              <w:t>Multifamily</w:t>
            </w:r>
          </w:p>
        </w:tc>
        <w:tc>
          <w:tcPr>
            <w:tcW w:w="1000" w:type="dxa"/>
            <w:vAlign w:val="bottom"/>
            <w:tcBorders>
              <w:bottom w:val="single" w:sz="8" w:color="2C6937"/>
            </w:tcBorders>
          </w:tcPr>
          <w:p>
            <w:pPr>
              <w:jc w:val="right"/>
              <w:ind w:right="307"/>
              <w:spacing w:after="0"/>
              <w:rPr>
                <w:sz w:val="20"/>
                <w:szCs w:val="20"/>
                <w:color w:val="auto"/>
              </w:rPr>
            </w:pPr>
            <w:r>
              <w:rPr>
                <w:rFonts w:ascii="Arial" w:cs="Arial" w:eastAsia="Arial" w:hAnsi="Arial"/>
                <w:sz w:val="15"/>
                <w:szCs w:val="15"/>
                <w:b w:val="1"/>
                <w:bCs w:val="1"/>
                <w:color w:val="auto"/>
              </w:rPr>
              <w:t>Total</w:t>
            </w:r>
          </w:p>
        </w:tc>
      </w:tr>
      <w:tr>
        <w:trPr>
          <w:trHeight w:val="193"/>
        </w:trPr>
        <w:tc>
          <w:tcPr>
            <w:tcW w:w="1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360" w:type="dxa"/>
            <w:vAlign w:val="bottom"/>
            <w:gridSpan w:val="2"/>
          </w:tcPr>
          <w:p>
            <w:pPr>
              <w:jc w:val="right"/>
              <w:ind w:right="547"/>
              <w:spacing w:after="0"/>
              <w:rPr>
                <w:sz w:val="20"/>
                <w:szCs w:val="20"/>
                <w:color w:val="auto"/>
              </w:rPr>
            </w:pPr>
            <w:r>
              <w:rPr>
                <w:rFonts w:ascii="Arial" w:cs="Arial" w:eastAsia="Arial" w:hAnsi="Arial"/>
                <w:sz w:val="15"/>
                <w:szCs w:val="15"/>
                <w:b w:val="1"/>
                <w:bCs w:val="1"/>
                <w:color w:val="auto"/>
              </w:rPr>
              <w:t>(Dollars in millions)</w:t>
            </w:r>
          </w:p>
        </w:tc>
        <w:tc>
          <w:tcPr>
            <w:tcW w:w="1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627"/>
        </w:trPr>
        <w:tc>
          <w:tcPr>
            <w:tcW w:w="1220" w:type="dxa"/>
            <w:vAlign w:val="bottom"/>
          </w:tcPr>
          <w:p>
            <w:pPr>
              <w:jc w:val="right"/>
              <w:ind w:right="107"/>
              <w:spacing w:after="0"/>
              <w:rPr>
                <w:sz w:val="20"/>
                <w:szCs w:val="20"/>
                <w:color w:val="auto"/>
              </w:rPr>
            </w:pPr>
            <w:r>
              <w:rPr>
                <w:rFonts w:ascii="Arial" w:cs="Arial" w:eastAsia="Arial" w:hAnsi="Arial"/>
                <w:sz w:val="15"/>
                <w:szCs w:val="15"/>
                <w:b w:val="1"/>
                <w:bCs w:val="1"/>
                <w:color w:val="auto"/>
              </w:rPr>
              <w:t>2.3</w:t>
            </w:r>
          </w:p>
        </w:tc>
        <w:tc>
          <w:tcPr>
            <w:tcW w:w="1320" w:type="dxa"/>
            <w:vAlign w:val="bottom"/>
          </w:tcPr>
          <w:p>
            <w:pPr>
              <w:jc w:val="right"/>
              <w:ind w:right="207"/>
              <w:spacing w:after="0"/>
              <w:rPr>
                <w:sz w:val="20"/>
                <w:szCs w:val="20"/>
                <w:color w:val="auto"/>
              </w:rPr>
            </w:pPr>
            <w:r>
              <w:rPr>
                <w:rFonts w:ascii="Arial" w:cs="Arial" w:eastAsia="Arial" w:hAnsi="Arial"/>
                <w:sz w:val="15"/>
                <w:szCs w:val="15"/>
                <w:b w:val="1"/>
                <w:bCs w:val="1"/>
                <w:color w:val="auto"/>
              </w:rPr>
              <w:t>14.6</w:t>
            </w:r>
          </w:p>
        </w:tc>
        <w:tc>
          <w:tcPr>
            <w:tcW w:w="1080" w:type="dxa"/>
            <w:vAlign w:val="bottom"/>
          </w:tcPr>
          <w:p>
            <w:pPr>
              <w:jc w:val="right"/>
              <w:ind w:right="67"/>
              <w:spacing w:after="0"/>
              <w:rPr>
                <w:sz w:val="20"/>
                <w:szCs w:val="20"/>
                <w:color w:val="auto"/>
              </w:rPr>
            </w:pPr>
            <w:r>
              <w:rPr>
                <w:rFonts w:ascii="Arial" w:cs="Arial" w:eastAsia="Arial" w:hAnsi="Arial"/>
                <w:sz w:val="15"/>
                <w:szCs w:val="15"/>
                <w:b w:val="1"/>
                <w:bCs w:val="1"/>
                <w:color w:val="auto"/>
              </w:rPr>
              <w:t>3.8</w:t>
            </w:r>
          </w:p>
        </w:tc>
        <w:tc>
          <w:tcPr>
            <w:tcW w:w="1280" w:type="dxa"/>
            <w:vAlign w:val="bottom"/>
          </w:tcPr>
          <w:p>
            <w:pPr>
              <w:jc w:val="right"/>
              <w:ind w:right="67"/>
              <w:spacing w:after="0"/>
              <w:rPr>
                <w:sz w:val="20"/>
                <w:szCs w:val="20"/>
                <w:color w:val="auto"/>
              </w:rPr>
            </w:pPr>
            <w:r>
              <w:rPr>
                <w:rFonts w:ascii="Arial" w:cs="Arial" w:eastAsia="Arial" w:hAnsi="Arial"/>
                <w:sz w:val="15"/>
                <w:szCs w:val="15"/>
                <w:color w:val="auto"/>
              </w:rPr>
              <w:t>7.2</w:t>
            </w:r>
          </w:p>
        </w:tc>
        <w:tc>
          <w:tcPr>
            <w:tcW w:w="1320" w:type="dxa"/>
            <w:vAlign w:val="bottom"/>
          </w:tcPr>
          <w:p>
            <w:pPr>
              <w:jc w:val="right"/>
              <w:ind w:right="207"/>
              <w:spacing w:after="0"/>
              <w:rPr>
                <w:sz w:val="20"/>
                <w:szCs w:val="20"/>
                <w:color w:val="auto"/>
              </w:rPr>
            </w:pPr>
            <w:r>
              <w:rPr>
                <w:rFonts w:ascii="Arial" w:cs="Arial" w:eastAsia="Arial" w:hAnsi="Arial"/>
                <w:sz w:val="15"/>
                <w:szCs w:val="15"/>
                <w:color w:val="auto"/>
              </w:rPr>
              <w:t>3.8</w:t>
            </w:r>
          </w:p>
        </w:tc>
        <w:tc>
          <w:tcPr>
            <w:tcW w:w="1000" w:type="dxa"/>
            <w:vAlign w:val="bottom"/>
          </w:tcPr>
          <w:p>
            <w:pPr>
              <w:jc w:val="right"/>
              <w:spacing w:after="0"/>
              <w:rPr>
                <w:sz w:val="20"/>
                <w:szCs w:val="20"/>
                <w:color w:val="auto"/>
              </w:rPr>
            </w:pPr>
            <w:r>
              <w:rPr>
                <w:rFonts w:ascii="Arial" w:cs="Arial" w:eastAsia="Arial" w:hAnsi="Arial"/>
                <w:sz w:val="15"/>
                <w:szCs w:val="15"/>
                <w:color w:val="auto"/>
              </w:rPr>
              <w:t>6.8</w:t>
            </w:r>
          </w:p>
        </w:tc>
      </w:tr>
    </w:tbl>
    <w:p>
      <w:pPr>
        <w:spacing w:after="0" w:line="611" w:lineRule="exact"/>
        <w:rPr>
          <w:sz w:val="20"/>
          <w:szCs w:val="20"/>
          <w:color w:val="auto"/>
        </w:rPr>
      </w:pPr>
    </w:p>
    <w:p>
      <w:pPr>
        <w:sectPr>
          <w:pgSz w:w="11900" w:h="16838" w:orient="portrait"/>
          <w:cols w:equalWidth="0" w:num="2">
            <w:col w:w="3840" w:space="180"/>
            <w:col w:w="7220"/>
          </w:cols>
          <w:pgMar w:left="320" w:top="248" w:right="339" w:bottom="1440" w:gutter="0" w:footer="0" w:header="0"/>
          <w:type w:val="continuous"/>
        </w:sectPr>
      </w:pPr>
    </w:p>
    <w:tbl>
      <w:tblPr>
        <w:tblLayout w:type="fixed"/>
        <w:tblInd w:w="0" w:type="dxa"/>
        <w:tblCellMar>
          <w:top w:w="0" w:type="dxa"/>
          <w:left w:w="0" w:type="dxa"/>
          <w:bottom w:w="0" w:type="dxa"/>
          <w:right w:w="0" w:type="dxa"/>
        </w:tblCellMar>
      </w:tblPr>
      <w:tr>
        <w:trPr>
          <w:trHeight w:val="232"/>
        </w:trPr>
        <w:tc>
          <w:tcPr>
            <w:tcW w:w="4020" w:type="dxa"/>
            <w:vAlign w:val="bottom"/>
            <w:gridSpan w:val="2"/>
          </w:tcPr>
          <w:p>
            <w:pPr>
              <w:ind w:left="280"/>
              <w:spacing w:after="0"/>
              <w:rPr>
                <w:sz w:val="20"/>
                <w:szCs w:val="20"/>
                <w:color w:val="auto"/>
              </w:rPr>
            </w:pPr>
            <w:r>
              <w:rPr>
                <w:rFonts w:ascii="Arial" w:cs="Arial" w:eastAsia="Arial" w:hAnsi="Arial"/>
                <w:sz w:val="15"/>
                <w:szCs w:val="15"/>
                <w:color w:val="auto"/>
              </w:rPr>
              <w:t>Write-offs</w:t>
            </w:r>
            <w:r>
              <w:rPr>
                <w:rFonts w:ascii="Arial" w:cs="Arial" w:eastAsia="Arial" w:hAnsi="Arial"/>
                <w:sz w:val="18"/>
                <w:szCs w:val="18"/>
                <w:color w:val="auto"/>
                <w:vertAlign w:val="superscript"/>
              </w:rPr>
              <w:t>(1)</w:t>
            </w:r>
          </w:p>
        </w:tc>
        <w:tc>
          <w:tcPr>
            <w:tcW w:w="240" w:type="dxa"/>
            <w:vAlign w:val="bottom"/>
          </w:tcPr>
          <w:p>
            <w:pPr>
              <w:jc w:val="right"/>
              <w:ind w:right="67"/>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236</w:t>
            </w:r>
          </w:p>
        </w:tc>
        <w:tc>
          <w:tcPr>
            <w:tcW w:w="80" w:type="dxa"/>
            <w:vAlign w:val="bottom"/>
          </w:tcPr>
          <w:p>
            <w:pPr>
              <w:spacing w:after="0"/>
              <w:rPr>
                <w:sz w:val="20"/>
                <w:szCs w:val="20"/>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b w:val="1"/>
                <w:bCs w:val="1"/>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224</w:t>
            </w:r>
          </w:p>
        </w:tc>
        <w:tc>
          <w:tcPr>
            <w:tcW w:w="100" w:type="dxa"/>
            <w:vAlign w:val="bottom"/>
          </w:tcPr>
          <w:p>
            <w:pPr>
              <w:spacing w:after="0"/>
              <w:rPr>
                <w:sz w:val="20"/>
                <w:szCs w:val="20"/>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460</w:t>
            </w:r>
          </w:p>
        </w:tc>
        <w:tc>
          <w:tcPr>
            <w:tcW w:w="100" w:type="dxa"/>
            <w:vAlign w:val="bottom"/>
          </w:tcPr>
          <w:p>
            <w:pPr>
              <w:spacing w:after="0"/>
              <w:rPr>
                <w:sz w:val="20"/>
                <w:szCs w:val="20"/>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color w:val="auto"/>
              </w:rPr>
              <w:t>701</w:t>
            </w:r>
          </w:p>
        </w:tc>
        <w:tc>
          <w:tcPr>
            <w:tcW w:w="100" w:type="dxa"/>
            <w:vAlign w:val="bottom"/>
          </w:tcPr>
          <w:p>
            <w:pPr>
              <w:spacing w:after="0"/>
              <w:rPr>
                <w:sz w:val="20"/>
                <w:szCs w:val="20"/>
                <w:color w:val="auto"/>
              </w:rPr>
            </w:pPr>
          </w:p>
        </w:tc>
        <w:tc>
          <w:tcPr>
            <w:tcW w:w="300" w:type="dxa"/>
            <w:vAlign w:val="bottom"/>
          </w:tcPr>
          <w:p>
            <w:pPr>
              <w:jc w:val="right"/>
              <w:ind w:right="127"/>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52</w:t>
            </w:r>
          </w:p>
        </w:tc>
        <w:tc>
          <w:tcPr>
            <w:tcW w:w="100" w:type="dxa"/>
            <w:vAlign w:val="bottom"/>
          </w:tcPr>
          <w:p>
            <w:pPr>
              <w:spacing w:after="0"/>
              <w:rPr>
                <w:sz w:val="20"/>
                <w:szCs w:val="20"/>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753</w:t>
            </w:r>
          </w:p>
        </w:tc>
      </w:tr>
      <w:tr>
        <w:trPr>
          <w:trHeight w:val="224"/>
        </w:trPr>
        <w:tc>
          <w:tcPr>
            <w:tcW w:w="3900" w:type="dxa"/>
            <w:vAlign w:val="bottom"/>
            <w:tcBorders>
              <w:bottom w:val="single" w:sz="8" w:color="2C6937"/>
            </w:tcBorders>
          </w:tcPr>
          <w:p>
            <w:pPr>
              <w:ind w:left="280"/>
              <w:spacing w:after="0"/>
              <w:rPr>
                <w:sz w:val="20"/>
                <w:szCs w:val="20"/>
                <w:color w:val="auto"/>
              </w:rPr>
            </w:pPr>
            <w:r>
              <w:rPr>
                <w:rFonts w:ascii="Arial" w:cs="Arial" w:eastAsia="Arial" w:hAnsi="Arial"/>
                <w:sz w:val="15"/>
                <w:szCs w:val="15"/>
                <w:color w:val="auto"/>
              </w:rPr>
              <w:t>Recoveries</w:t>
            </w:r>
          </w:p>
        </w:tc>
        <w:tc>
          <w:tcPr>
            <w:tcW w:w="120" w:type="dxa"/>
            <w:vAlign w:val="bottom"/>
          </w:tcPr>
          <w:p>
            <w:pPr>
              <w:spacing w:after="0"/>
              <w:rPr>
                <w:sz w:val="19"/>
                <w:szCs w:val="19"/>
                <w:color w:val="auto"/>
              </w:rPr>
            </w:pPr>
          </w:p>
        </w:tc>
        <w:tc>
          <w:tcPr>
            <w:tcW w:w="240" w:type="dxa"/>
            <w:vAlign w:val="bottom"/>
            <w:tcBorders>
              <w:bottom w:val="single" w:sz="8" w:color="2C6937"/>
            </w:tcBorders>
          </w:tcPr>
          <w:p>
            <w:pPr>
              <w:spacing w:after="0"/>
              <w:rPr>
                <w:sz w:val="19"/>
                <w:szCs w:val="19"/>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(25)</w:t>
            </w:r>
          </w:p>
        </w:tc>
        <w:tc>
          <w:tcPr>
            <w:tcW w:w="80" w:type="dxa"/>
            <w:vAlign w:val="bottom"/>
          </w:tcPr>
          <w:p>
            <w:pPr>
              <w:spacing w:after="0"/>
              <w:rPr>
                <w:sz w:val="19"/>
                <w:szCs w:val="19"/>
                <w:color w:val="auto"/>
              </w:rPr>
            </w:pPr>
          </w:p>
        </w:tc>
        <w:tc>
          <w:tcPr>
            <w:tcW w:w="260" w:type="dxa"/>
            <w:vAlign w:val="bottom"/>
            <w:tcBorders>
              <w:bottom w:val="single" w:sz="8" w:color="2C6937"/>
            </w:tcBorders>
          </w:tcPr>
          <w:p>
            <w:pPr>
              <w:spacing w:after="0"/>
              <w:rPr>
                <w:sz w:val="19"/>
                <w:szCs w:val="19"/>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(48)</w:t>
            </w:r>
          </w:p>
        </w:tc>
        <w:tc>
          <w:tcPr>
            <w:tcW w:w="100" w:type="dxa"/>
            <w:vAlign w:val="bottom"/>
          </w:tcPr>
          <w:p>
            <w:pPr>
              <w:spacing w:after="0"/>
              <w:rPr>
                <w:sz w:val="19"/>
                <w:szCs w:val="19"/>
                <w:color w:val="auto"/>
              </w:rPr>
            </w:pPr>
          </w:p>
        </w:tc>
        <w:tc>
          <w:tcPr>
            <w:tcW w:w="260" w:type="dxa"/>
            <w:vAlign w:val="bottom"/>
            <w:tcBorders>
              <w:bottom w:val="single" w:sz="8" w:color="2C6937"/>
            </w:tcBorders>
          </w:tcPr>
          <w:p>
            <w:pPr>
              <w:spacing w:after="0"/>
              <w:rPr>
                <w:sz w:val="19"/>
                <w:szCs w:val="19"/>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(73)</w:t>
            </w:r>
          </w:p>
        </w:tc>
        <w:tc>
          <w:tcPr>
            <w:tcW w:w="100" w:type="dxa"/>
            <w:vAlign w:val="bottom"/>
          </w:tcPr>
          <w:p>
            <w:pPr>
              <w:spacing w:after="0"/>
              <w:rPr>
                <w:sz w:val="19"/>
                <w:szCs w:val="19"/>
                <w:color w:val="auto"/>
              </w:rPr>
            </w:pPr>
          </w:p>
        </w:tc>
        <w:tc>
          <w:tcPr>
            <w:tcW w:w="240" w:type="dxa"/>
            <w:vAlign w:val="bottom"/>
            <w:tcBorders>
              <w:bottom w:val="single" w:sz="8" w:color="2C6937"/>
            </w:tcBorders>
          </w:tcPr>
          <w:p>
            <w:pPr>
              <w:spacing w:after="0"/>
              <w:rPr>
                <w:sz w:val="19"/>
                <w:szCs w:val="19"/>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(50)</w:t>
            </w:r>
          </w:p>
        </w:tc>
        <w:tc>
          <w:tcPr>
            <w:tcW w:w="100" w:type="dxa"/>
            <w:vAlign w:val="bottom"/>
          </w:tcPr>
          <w:p>
            <w:pPr>
              <w:spacing w:after="0"/>
              <w:rPr>
                <w:sz w:val="19"/>
                <w:szCs w:val="19"/>
                <w:color w:val="auto"/>
              </w:rPr>
            </w:pPr>
          </w:p>
        </w:tc>
        <w:tc>
          <w:tcPr>
            <w:tcW w:w="300" w:type="dxa"/>
            <w:vAlign w:val="bottom"/>
            <w:tcBorders>
              <w:bottom w:val="single" w:sz="8" w:color="2C6937"/>
            </w:tcBorders>
          </w:tcPr>
          <w:p>
            <w:pPr>
              <w:spacing w:after="0"/>
              <w:rPr>
                <w:sz w:val="19"/>
                <w:szCs w:val="19"/>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19"/>
                <w:szCs w:val="19"/>
                <w:color w:val="auto"/>
              </w:rPr>
            </w:pPr>
          </w:p>
        </w:tc>
        <w:tc>
          <w:tcPr>
            <w:tcW w:w="260" w:type="dxa"/>
            <w:vAlign w:val="bottom"/>
            <w:tcBorders>
              <w:bottom w:val="single" w:sz="8" w:color="2C6937"/>
            </w:tcBorders>
          </w:tcPr>
          <w:p>
            <w:pPr>
              <w:spacing w:after="0"/>
              <w:rPr>
                <w:sz w:val="19"/>
                <w:szCs w:val="19"/>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(58)</w:t>
            </w:r>
          </w:p>
        </w:tc>
      </w:tr>
      <w:tr>
        <w:trPr>
          <w:trHeight w:val="225"/>
        </w:trPr>
        <w:tc>
          <w:tcPr>
            <w:tcW w:w="4020" w:type="dxa"/>
            <w:vAlign w:val="bottom"/>
            <w:gridSpan w:val="2"/>
          </w:tcPr>
          <w:p>
            <w:pPr>
              <w:ind w:left="180"/>
              <w:spacing w:after="0"/>
              <w:rPr>
                <w:sz w:val="20"/>
                <w:szCs w:val="20"/>
                <w:color w:val="auto"/>
              </w:rPr>
            </w:pPr>
            <w:r>
              <w:rPr>
                <w:rFonts w:ascii="Arial" w:cs="Arial" w:eastAsia="Arial" w:hAnsi="Arial"/>
                <w:sz w:val="15"/>
                <w:szCs w:val="15"/>
                <w:color w:val="auto"/>
              </w:rPr>
              <w:t>Write-offs, net of recoveries</w:t>
            </w:r>
          </w:p>
        </w:tc>
        <w:tc>
          <w:tcPr>
            <w:tcW w:w="240" w:type="dxa"/>
            <w:vAlign w:val="bottom"/>
          </w:tcPr>
          <w:p>
            <w:pPr>
              <w:jc w:val="right"/>
              <w:ind w:right="67"/>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211</w:t>
            </w:r>
          </w:p>
        </w:tc>
        <w:tc>
          <w:tcPr>
            <w:tcW w:w="80" w:type="dxa"/>
            <w:vAlign w:val="bottom"/>
          </w:tcPr>
          <w:p>
            <w:pPr>
              <w:spacing w:after="0"/>
              <w:rPr>
                <w:sz w:val="19"/>
                <w:szCs w:val="19"/>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b w:val="1"/>
                <w:bCs w:val="1"/>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176</w:t>
            </w:r>
          </w:p>
        </w:tc>
        <w:tc>
          <w:tcPr>
            <w:tcW w:w="100" w:type="dxa"/>
            <w:vAlign w:val="bottom"/>
          </w:tcPr>
          <w:p>
            <w:pPr>
              <w:spacing w:after="0"/>
              <w:rPr>
                <w:sz w:val="19"/>
                <w:szCs w:val="19"/>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387</w:t>
            </w:r>
          </w:p>
        </w:tc>
        <w:tc>
          <w:tcPr>
            <w:tcW w:w="100" w:type="dxa"/>
            <w:vAlign w:val="bottom"/>
          </w:tcPr>
          <w:p>
            <w:pPr>
              <w:spacing w:after="0"/>
              <w:rPr>
                <w:sz w:val="19"/>
                <w:szCs w:val="19"/>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color w:val="auto"/>
              </w:rPr>
              <w:t>651</w:t>
            </w:r>
          </w:p>
        </w:tc>
        <w:tc>
          <w:tcPr>
            <w:tcW w:w="100" w:type="dxa"/>
            <w:vAlign w:val="bottom"/>
          </w:tcPr>
          <w:p>
            <w:pPr>
              <w:spacing w:after="0"/>
              <w:rPr>
                <w:sz w:val="19"/>
                <w:szCs w:val="19"/>
                <w:color w:val="auto"/>
              </w:rPr>
            </w:pPr>
          </w:p>
        </w:tc>
        <w:tc>
          <w:tcPr>
            <w:tcW w:w="300" w:type="dxa"/>
            <w:vAlign w:val="bottom"/>
          </w:tcPr>
          <w:p>
            <w:pPr>
              <w:jc w:val="right"/>
              <w:ind w:right="127"/>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44</w:t>
            </w:r>
          </w:p>
        </w:tc>
        <w:tc>
          <w:tcPr>
            <w:tcW w:w="100" w:type="dxa"/>
            <w:vAlign w:val="bottom"/>
          </w:tcPr>
          <w:p>
            <w:pPr>
              <w:spacing w:after="0"/>
              <w:rPr>
                <w:sz w:val="19"/>
                <w:szCs w:val="19"/>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695</w:t>
            </w:r>
          </w:p>
        </w:tc>
      </w:tr>
      <w:tr>
        <w:trPr>
          <w:trHeight w:val="20"/>
        </w:trPr>
        <w:tc>
          <w:tcPr>
            <w:tcW w:w="390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r>
      <w:tr>
        <w:trPr>
          <w:trHeight w:val="254"/>
        </w:trPr>
        <w:tc>
          <w:tcPr>
            <w:tcW w:w="4020" w:type="dxa"/>
            <w:vAlign w:val="bottom"/>
            <w:gridSpan w:val="2"/>
          </w:tcPr>
          <w:p>
            <w:pPr>
              <w:ind w:left="180"/>
              <w:spacing w:after="0"/>
              <w:rPr>
                <w:sz w:val="20"/>
                <w:szCs w:val="20"/>
                <w:color w:val="auto"/>
              </w:rPr>
            </w:pPr>
            <w:r>
              <w:rPr>
                <w:rFonts w:ascii="Arial" w:cs="Arial" w:eastAsia="Arial" w:hAnsi="Arial"/>
                <w:sz w:val="15"/>
                <w:szCs w:val="15"/>
                <w:color w:val="auto"/>
              </w:rPr>
              <w:t>Average guaranty book of business</w:t>
            </w:r>
            <w:r>
              <w:rPr>
                <w:rFonts w:ascii="Arial" w:cs="Arial" w:eastAsia="Arial" w:hAnsi="Arial"/>
                <w:sz w:val="18"/>
                <w:szCs w:val="18"/>
                <w:color w:val="auto"/>
                <w:vertAlign w:val="superscript"/>
              </w:rPr>
              <w:t>(2)</w:t>
            </w:r>
          </w:p>
        </w:tc>
        <w:tc>
          <w:tcPr>
            <w:tcW w:w="240" w:type="dxa"/>
            <w:vAlign w:val="bottom"/>
          </w:tcPr>
          <w:p>
            <w:pPr>
              <w:jc w:val="right"/>
              <w:ind w:right="67"/>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3,625,702</w:t>
            </w:r>
          </w:p>
        </w:tc>
        <w:tc>
          <w:tcPr>
            <w:tcW w:w="80" w:type="dxa"/>
            <w:vAlign w:val="bottom"/>
          </w:tcPr>
          <w:p>
            <w:pPr>
              <w:spacing w:after="0"/>
              <w:rPr>
                <w:sz w:val="22"/>
                <w:szCs w:val="22"/>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b w:val="1"/>
                <w:bCs w:val="1"/>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482,863</w:t>
            </w:r>
          </w:p>
        </w:tc>
        <w:tc>
          <w:tcPr>
            <w:tcW w:w="100" w:type="dxa"/>
            <w:vAlign w:val="bottom"/>
          </w:tcPr>
          <w:p>
            <w:pPr>
              <w:spacing w:after="0"/>
              <w:rPr>
                <w:sz w:val="22"/>
                <w:szCs w:val="22"/>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4,108,566</w:t>
            </w:r>
          </w:p>
        </w:tc>
        <w:tc>
          <w:tcPr>
            <w:tcW w:w="100" w:type="dxa"/>
            <w:vAlign w:val="bottom"/>
          </w:tcPr>
          <w:p>
            <w:pPr>
              <w:spacing w:after="0"/>
              <w:rPr>
                <w:sz w:val="22"/>
                <w:szCs w:val="22"/>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color w:val="auto"/>
              </w:rPr>
              <w:t>3,635,883</w:t>
            </w:r>
          </w:p>
        </w:tc>
        <w:tc>
          <w:tcPr>
            <w:tcW w:w="100" w:type="dxa"/>
            <w:vAlign w:val="bottom"/>
          </w:tcPr>
          <w:p>
            <w:pPr>
              <w:spacing w:after="0"/>
              <w:rPr>
                <w:sz w:val="22"/>
                <w:szCs w:val="22"/>
                <w:color w:val="auto"/>
              </w:rPr>
            </w:pPr>
          </w:p>
        </w:tc>
        <w:tc>
          <w:tcPr>
            <w:tcW w:w="300" w:type="dxa"/>
            <w:vAlign w:val="bottom"/>
          </w:tcPr>
          <w:p>
            <w:pPr>
              <w:jc w:val="right"/>
              <w:ind w:right="127"/>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459,719</w:t>
            </w:r>
          </w:p>
        </w:tc>
        <w:tc>
          <w:tcPr>
            <w:tcW w:w="100" w:type="dxa"/>
            <w:vAlign w:val="bottom"/>
          </w:tcPr>
          <w:p>
            <w:pPr>
              <w:spacing w:after="0"/>
              <w:rPr>
                <w:sz w:val="22"/>
                <w:szCs w:val="22"/>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4,095,602</w:t>
            </w:r>
          </w:p>
        </w:tc>
      </w:tr>
      <w:tr>
        <w:trPr>
          <w:trHeight w:val="424"/>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20" w:type="dxa"/>
            <w:vAlign w:val="bottom"/>
            <w:gridSpan w:val="9"/>
          </w:tcPr>
          <w:p>
            <w:pPr>
              <w:jc w:val="right"/>
              <w:ind w:right="27"/>
              <w:spacing w:after="0"/>
              <w:rPr>
                <w:sz w:val="20"/>
                <w:szCs w:val="20"/>
                <w:color w:val="auto"/>
              </w:rPr>
            </w:pPr>
            <w:r>
              <w:rPr>
                <w:rFonts w:ascii="Arial" w:cs="Arial" w:eastAsia="Arial" w:hAnsi="Arial"/>
                <w:sz w:val="15"/>
                <w:szCs w:val="15"/>
                <w:b w:val="1"/>
                <w:bCs w:val="1"/>
                <w:color w:val="auto"/>
              </w:rPr>
              <w:t>For the Nine Months Ended September 30,</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216C2B"/>
            </w:tcBorders>
          </w:tcPr>
          <w:p>
            <w:pPr>
              <w:spacing w:after="0"/>
              <w:rPr>
                <w:sz w:val="2"/>
                <w:szCs w:val="2"/>
                <w:color w:val="auto"/>
              </w:rPr>
            </w:pPr>
          </w:p>
        </w:tc>
        <w:tc>
          <w:tcPr>
            <w:tcW w:w="880" w:type="dxa"/>
            <w:vAlign w:val="bottom"/>
            <w:tcBorders>
              <w:bottom w:val="single" w:sz="8" w:color="216C2B"/>
            </w:tcBorders>
          </w:tcPr>
          <w:p>
            <w:pPr>
              <w:spacing w:after="0"/>
              <w:rPr>
                <w:sz w:val="2"/>
                <w:szCs w:val="2"/>
                <w:color w:val="auto"/>
              </w:rPr>
            </w:pPr>
          </w:p>
        </w:tc>
        <w:tc>
          <w:tcPr>
            <w:tcW w:w="80" w:type="dxa"/>
            <w:vAlign w:val="bottom"/>
            <w:tcBorders>
              <w:bottom w:val="single" w:sz="8" w:color="216C2B"/>
            </w:tcBorders>
          </w:tcPr>
          <w:p>
            <w:pPr>
              <w:spacing w:after="0"/>
              <w:rPr>
                <w:sz w:val="2"/>
                <w:szCs w:val="2"/>
                <w:color w:val="auto"/>
              </w:rPr>
            </w:pPr>
          </w:p>
        </w:tc>
        <w:tc>
          <w:tcPr>
            <w:tcW w:w="260" w:type="dxa"/>
            <w:vAlign w:val="bottom"/>
            <w:tcBorders>
              <w:bottom w:val="single" w:sz="8" w:color="216C2B"/>
            </w:tcBorders>
          </w:tcPr>
          <w:p>
            <w:pPr>
              <w:spacing w:after="0"/>
              <w:rPr>
                <w:sz w:val="2"/>
                <w:szCs w:val="2"/>
                <w:color w:val="auto"/>
              </w:rPr>
            </w:pPr>
          </w:p>
        </w:tc>
        <w:tc>
          <w:tcPr>
            <w:tcW w:w="860" w:type="dxa"/>
            <w:vAlign w:val="bottom"/>
            <w:tcBorders>
              <w:bottom w:val="single" w:sz="8" w:color="216C2B"/>
            </w:tcBorders>
          </w:tcPr>
          <w:p>
            <w:pPr>
              <w:spacing w:after="0"/>
              <w:rPr>
                <w:sz w:val="2"/>
                <w:szCs w:val="2"/>
                <w:color w:val="auto"/>
              </w:rPr>
            </w:pPr>
          </w:p>
        </w:tc>
        <w:tc>
          <w:tcPr>
            <w:tcW w:w="100" w:type="dxa"/>
            <w:vAlign w:val="bottom"/>
            <w:tcBorders>
              <w:bottom w:val="single" w:sz="8" w:color="216C2B"/>
            </w:tcBorders>
          </w:tcPr>
          <w:p>
            <w:pPr>
              <w:spacing w:after="0"/>
              <w:rPr>
                <w:sz w:val="2"/>
                <w:szCs w:val="2"/>
                <w:color w:val="auto"/>
              </w:rPr>
            </w:pPr>
          </w:p>
        </w:tc>
        <w:tc>
          <w:tcPr>
            <w:tcW w:w="260" w:type="dxa"/>
            <w:vAlign w:val="bottom"/>
            <w:tcBorders>
              <w:bottom w:val="single" w:sz="8" w:color="216C2B"/>
            </w:tcBorders>
          </w:tcPr>
          <w:p>
            <w:pPr>
              <w:spacing w:after="0"/>
              <w:rPr>
                <w:sz w:val="2"/>
                <w:szCs w:val="2"/>
                <w:color w:val="auto"/>
              </w:rPr>
            </w:pPr>
          </w:p>
        </w:tc>
        <w:tc>
          <w:tcPr>
            <w:tcW w:w="880" w:type="dxa"/>
            <w:vAlign w:val="bottom"/>
            <w:tcBorders>
              <w:bottom w:val="single" w:sz="8" w:color="216C2B"/>
            </w:tcBorders>
          </w:tcPr>
          <w:p>
            <w:pPr>
              <w:spacing w:after="0"/>
              <w:rPr>
                <w:sz w:val="2"/>
                <w:szCs w:val="2"/>
                <w:color w:val="auto"/>
              </w:rPr>
            </w:pPr>
          </w:p>
        </w:tc>
        <w:tc>
          <w:tcPr>
            <w:tcW w:w="100" w:type="dxa"/>
            <w:vAlign w:val="bottom"/>
            <w:tcBorders>
              <w:bottom w:val="single" w:sz="8" w:color="216C2B"/>
            </w:tcBorders>
          </w:tcPr>
          <w:p>
            <w:pPr>
              <w:spacing w:after="0"/>
              <w:rPr>
                <w:sz w:val="2"/>
                <w:szCs w:val="2"/>
                <w:color w:val="auto"/>
              </w:rPr>
            </w:pPr>
          </w:p>
        </w:tc>
        <w:tc>
          <w:tcPr>
            <w:tcW w:w="240" w:type="dxa"/>
            <w:vAlign w:val="bottom"/>
            <w:tcBorders>
              <w:bottom w:val="single" w:sz="8" w:color="216C2B"/>
            </w:tcBorders>
          </w:tcPr>
          <w:p>
            <w:pPr>
              <w:spacing w:after="0"/>
              <w:rPr>
                <w:sz w:val="2"/>
                <w:szCs w:val="2"/>
                <w:color w:val="auto"/>
              </w:rPr>
            </w:pPr>
          </w:p>
        </w:tc>
        <w:tc>
          <w:tcPr>
            <w:tcW w:w="880" w:type="dxa"/>
            <w:vAlign w:val="bottom"/>
            <w:tcBorders>
              <w:bottom w:val="single" w:sz="8" w:color="216C2B"/>
            </w:tcBorders>
          </w:tcPr>
          <w:p>
            <w:pPr>
              <w:spacing w:after="0"/>
              <w:rPr>
                <w:sz w:val="2"/>
                <w:szCs w:val="2"/>
                <w:color w:val="auto"/>
              </w:rPr>
            </w:pPr>
          </w:p>
        </w:tc>
        <w:tc>
          <w:tcPr>
            <w:tcW w:w="100" w:type="dxa"/>
            <w:vAlign w:val="bottom"/>
            <w:tcBorders>
              <w:bottom w:val="single" w:sz="8" w:color="216C2B"/>
            </w:tcBorders>
          </w:tcPr>
          <w:p>
            <w:pPr>
              <w:spacing w:after="0"/>
              <w:rPr>
                <w:sz w:val="2"/>
                <w:szCs w:val="2"/>
                <w:color w:val="auto"/>
              </w:rPr>
            </w:pPr>
          </w:p>
        </w:tc>
        <w:tc>
          <w:tcPr>
            <w:tcW w:w="300" w:type="dxa"/>
            <w:vAlign w:val="bottom"/>
            <w:tcBorders>
              <w:bottom w:val="single" w:sz="8" w:color="216C2B"/>
            </w:tcBorders>
          </w:tcPr>
          <w:p>
            <w:pPr>
              <w:spacing w:after="0"/>
              <w:rPr>
                <w:sz w:val="2"/>
                <w:szCs w:val="2"/>
                <w:color w:val="auto"/>
              </w:rPr>
            </w:pPr>
          </w:p>
        </w:tc>
        <w:tc>
          <w:tcPr>
            <w:tcW w:w="820" w:type="dxa"/>
            <w:vAlign w:val="bottom"/>
            <w:tcBorders>
              <w:bottom w:val="single" w:sz="8" w:color="216C2B"/>
            </w:tcBorders>
          </w:tcPr>
          <w:p>
            <w:pPr>
              <w:spacing w:after="0"/>
              <w:rPr>
                <w:sz w:val="2"/>
                <w:szCs w:val="2"/>
                <w:color w:val="auto"/>
              </w:rPr>
            </w:pPr>
          </w:p>
        </w:tc>
        <w:tc>
          <w:tcPr>
            <w:tcW w:w="100" w:type="dxa"/>
            <w:vAlign w:val="bottom"/>
            <w:tcBorders>
              <w:bottom w:val="single" w:sz="8" w:color="216C2B"/>
            </w:tcBorders>
          </w:tcPr>
          <w:p>
            <w:pPr>
              <w:spacing w:after="0"/>
              <w:rPr>
                <w:sz w:val="2"/>
                <w:szCs w:val="2"/>
                <w:color w:val="auto"/>
              </w:rPr>
            </w:pPr>
          </w:p>
        </w:tc>
        <w:tc>
          <w:tcPr>
            <w:tcW w:w="260" w:type="dxa"/>
            <w:vAlign w:val="bottom"/>
            <w:tcBorders>
              <w:bottom w:val="single" w:sz="8" w:color="216C2B"/>
            </w:tcBorders>
          </w:tcPr>
          <w:p>
            <w:pPr>
              <w:spacing w:after="0"/>
              <w:rPr>
                <w:sz w:val="2"/>
                <w:szCs w:val="2"/>
                <w:color w:val="auto"/>
              </w:rPr>
            </w:pPr>
          </w:p>
        </w:tc>
        <w:tc>
          <w:tcPr>
            <w:tcW w:w="860" w:type="dxa"/>
            <w:vAlign w:val="bottom"/>
            <w:tcBorders>
              <w:bottom w:val="single" w:sz="8" w:color="216C2B"/>
            </w:tcBorders>
          </w:tcPr>
          <w:p>
            <w:pPr>
              <w:spacing w:after="0"/>
              <w:rPr>
                <w:sz w:val="2"/>
                <w:szCs w:val="2"/>
                <w:color w:val="auto"/>
              </w:rPr>
            </w:pPr>
          </w:p>
        </w:tc>
      </w:tr>
      <w:tr>
        <w:trPr>
          <w:trHeight w:val="186"/>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jc w:val="right"/>
              <w:ind w:right="307"/>
              <w:spacing w:after="0"/>
              <w:rPr>
                <w:sz w:val="20"/>
                <w:szCs w:val="20"/>
                <w:color w:val="auto"/>
              </w:rPr>
            </w:pPr>
            <w:r>
              <w:rPr>
                <w:rFonts w:ascii="Arial" w:cs="Arial" w:eastAsia="Arial" w:hAnsi="Arial"/>
                <w:sz w:val="15"/>
                <w:szCs w:val="15"/>
                <w:b w:val="1"/>
                <w:bCs w:val="1"/>
                <w:color w:val="auto"/>
              </w:rPr>
              <w:t>2024</w:t>
            </w:r>
          </w:p>
        </w:tc>
        <w:tc>
          <w:tcPr>
            <w:tcW w:w="100" w:type="dxa"/>
            <w:vAlign w:val="bottom"/>
            <w:tcBorders>
              <w:bottom w:val="single" w:sz="8" w:color="2C6937"/>
            </w:tcBorders>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820" w:type="dxa"/>
            <w:vAlign w:val="bottom"/>
            <w:tcBorders>
              <w:bottom w:val="single" w:sz="8" w:color="2C6937"/>
            </w:tcBorders>
          </w:tcPr>
          <w:p>
            <w:pPr>
              <w:jc w:val="right"/>
              <w:ind w:right="327"/>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bottom w:val="single" w:sz="8" w:color="2C6937"/>
            </w:tcBorders>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spacing w:after="0"/>
              <w:rPr>
                <w:sz w:val="16"/>
                <w:szCs w:val="16"/>
                <w:color w:val="auto"/>
              </w:rPr>
            </w:pPr>
          </w:p>
        </w:tc>
      </w:tr>
    </w:tbl>
    <w:p>
      <w:pPr>
        <w:spacing w:after="0" w:line="73" w:lineRule="exact"/>
        <w:rPr>
          <w:sz w:val="20"/>
          <w:szCs w:val="20"/>
          <w:color w:val="auto"/>
        </w:rPr>
      </w:pPr>
    </w:p>
    <w:p>
      <w:pPr>
        <w:sectPr>
          <w:pgSz w:w="11900" w:h="16838" w:orient="portrait"/>
          <w:cols w:equalWidth="0" w:num="1">
            <w:col w:w="11240"/>
          </w:cols>
          <w:pgMar w:left="320" w:top="248" w:right="339" w:bottom="1440" w:gutter="0" w:footer="0" w:header="0"/>
          <w:type w:val="continuous"/>
        </w:sectPr>
      </w:pP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Select credit ratio:</w:t>
      </w:r>
    </w:p>
    <w:p>
      <w:pPr>
        <w:spacing w:after="0" w:line="60" w:lineRule="exact"/>
        <w:rPr>
          <w:sz w:val="20"/>
          <w:szCs w:val="20"/>
          <w:color w:val="auto"/>
        </w:rPr>
      </w:pPr>
    </w:p>
    <w:p>
      <w:pPr>
        <w:ind w:left="320" w:hanging="154"/>
        <w:spacing w:after="0" w:line="315" w:lineRule="auto"/>
        <w:rPr>
          <w:sz w:val="20"/>
          <w:szCs w:val="20"/>
          <w:color w:val="auto"/>
        </w:rPr>
      </w:pPr>
      <w:r>
        <w:rPr>
          <w:rFonts w:ascii="Arial" w:cs="Arial" w:eastAsia="Arial" w:hAnsi="Arial"/>
          <w:sz w:val="14"/>
          <w:szCs w:val="14"/>
          <w:color w:val="auto"/>
        </w:rPr>
        <w:t>Write-offs, net of recoveries annualized, as a percentage of the average guaranty book of business (in bps)</w:t>
      </w:r>
    </w:p>
    <w:p>
      <w:pPr>
        <w:spacing w:after="0" w:line="209" w:lineRule="exact"/>
        <w:rPr>
          <w:sz w:val="20"/>
          <w:szCs w:val="20"/>
          <w:color w:val="auto"/>
        </w:rPr>
      </w:pPr>
    </w:p>
    <w:p>
      <w:pPr>
        <w:ind w:left="180" w:right="120" w:hanging="154"/>
        <w:spacing w:after="0" w:line="237" w:lineRule="auto"/>
        <w:rPr>
          <w:sz w:val="20"/>
          <w:szCs w:val="20"/>
          <w:color w:val="auto"/>
        </w:rPr>
      </w:pPr>
      <w:r>
        <w:rPr>
          <w:rFonts w:ascii="Arial" w:cs="Arial" w:eastAsia="Arial" w:hAnsi="Arial"/>
          <w:sz w:val="15"/>
          <w:szCs w:val="15"/>
          <w:b w:val="1"/>
          <w:bCs w:val="1"/>
          <w:color w:val="auto"/>
        </w:rPr>
        <w:t>Select financial information used in calculating credit ratio:</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1220" w:type="dxa"/>
            <w:vAlign w:val="bottom"/>
            <w:tcBorders>
              <w:bottom w:val="single" w:sz="8" w:color="2C6937"/>
            </w:tcBorders>
          </w:tcPr>
          <w:p>
            <w:pPr>
              <w:jc w:val="right"/>
              <w:ind w:right="147"/>
              <w:spacing w:after="0"/>
              <w:rPr>
                <w:sz w:val="20"/>
                <w:szCs w:val="20"/>
                <w:color w:val="auto"/>
              </w:rPr>
            </w:pPr>
            <w:r>
              <w:rPr>
                <w:rFonts w:ascii="Arial" w:cs="Arial" w:eastAsia="Arial" w:hAnsi="Arial"/>
                <w:sz w:val="15"/>
                <w:szCs w:val="15"/>
                <w:b w:val="1"/>
                <w:bCs w:val="1"/>
                <w:color w:val="auto"/>
              </w:rPr>
              <w:t>Single-family</w:t>
            </w:r>
          </w:p>
        </w:tc>
        <w:tc>
          <w:tcPr>
            <w:tcW w:w="1320" w:type="dxa"/>
            <w:vAlign w:val="bottom"/>
            <w:tcBorders>
              <w:bottom w:val="single" w:sz="8" w:color="2C6937"/>
            </w:tcBorders>
          </w:tcPr>
          <w:p>
            <w:pPr>
              <w:jc w:val="right"/>
              <w:ind w:right="327"/>
              <w:spacing w:after="0"/>
              <w:rPr>
                <w:sz w:val="20"/>
                <w:szCs w:val="20"/>
                <w:color w:val="auto"/>
              </w:rPr>
            </w:pPr>
            <w:r>
              <w:rPr>
                <w:rFonts w:ascii="Arial" w:cs="Arial" w:eastAsia="Arial" w:hAnsi="Arial"/>
                <w:sz w:val="15"/>
                <w:szCs w:val="15"/>
                <w:b w:val="1"/>
                <w:bCs w:val="1"/>
                <w:color w:val="auto"/>
              </w:rPr>
              <w:t>Multifamily</w:t>
            </w:r>
          </w:p>
        </w:tc>
        <w:tc>
          <w:tcPr>
            <w:tcW w:w="1080" w:type="dxa"/>
            <w:vAlign w:val="bottom"/>
            <w:tcBorders>
              <w:bottom w:val="single" w:sz="8" w:color="2C6937"/>
            </w:tcBorders>
          </w:tcPr>
          <w:p>
            <w:pPr>
              <w:jc w:val="right"/>
              <w:ind w:right="387"/>
              <w:spacing w:after="0"/>
              <w:rPr>
                <w:sz w:val="20"/>
                <w:szCs w:val="20"/>
                <w:color w:val="auto"/>
              </w:rPr>
            </w:pPr>
            <w:r>
              <w:rPr>
                <w:rFonts w:ascii="Arial" w:cs="Arial" w:eastAsia="Arial" w:hAnsi="Arial"/>
                <w:sz w:val="15"/>
                <w:szCs w:val="15"/>
                <w:b w:val="1"/>
                <w:bCs w:val="1"/>
                <w:color w:val="auto"/>
              </w:rPr>
              <w:t>Total</w:t>
            </w:r>
          </w:p>
        </w:tc>
        <w:tc>
          <w:tcPr>
            <w:tcW w:w="1260" w:type="dxa"/>
            <w:vAlign w:val="bottom"/>
            <w:tcBorders>
              <w:bottom w:val="single" w:sz="8" w:color="2C6937"/>
            </w:tcBorders>
          </w:tcPr>
          <w:p>
            <w:pPr>
              <w:jc w:val="right"/>
              <w:ind w:right="147"/>
              <w:spacing w:after="0"/>
              <w:rPr>
                <w:sz w:val="20"/>
                <w:szCs w:val="20"/>
                <w:color w:val="auto"/>
              </w:rPr>
            </w:pPr>
            <w:r>
              <w:rPr>
                <w:rFonts w:ascii="Arial" w:cs="Arial" w:eastAsia="Arial" w:hAnsi="Arial"/>
                <w:sz w:val="15"/>
                <w:szCs w:val="15"/>
                <w:b w:val="1"/>
                <w:bCs w:val="1"/>
                <w:color w:val="auto"/>
              </w:rPr>
              <w:t>Single-family</w:t>
            </w:r>
          </w:p>
        </w:tc>
        <w:tc>
          <w:tcPr>
            <w:tcW w:w="1340" w:type="dxa"/>
            <w:vAlign w:val="bottom"/>
            <w:tcBorders>
              <w:bottom w:val="single" w:sz="8" w:color="2C6937"/>
            </w:tcBorders>
          </w:tcPr>
          <w:p>
            <w:pPr>
              <w:jc w:val="right"/>
              <w:ind w:right="327"/>
              <w:spacing w:after="0"/>
              <w:rPr>
                <w:sz w:val="20"/>
                <w:szCs w:val="20"/>
                <w:color w:val="auto"/>
              </w:rPr>
            </w:pPr>
            <w:r>
              <w:rPr>
                <w:rFonts w:ascii="Arial" w:cs="Arial" w:eastAsia="Arial" w:hAnsi="Arial"/>
                <w:sz w:val="15"/>
                <w:szCs w:val="15"/>
                <w:b w:val="1"/>
                <w:bCs w:val="1"/>
                <w:color w:val="auto"/>
              </w:rPr>
              <w:t>Multifamily</w:t>
            </w:r>
          </w:p>
        </w:tc>
        <w:tc>
          <w:tcPr>
            <w:tcW w:w="1000" w:type="dxa"/>
            <w:vAlign w:val="bottom"/>
            <w:tcBorders>
              <w:bottom w:val="single" w:sz="8" w:color="2C6937"/>
            </w:tcBorders>
          </w:tcPr>
          <w:p>
            <w:pPr>
              <w:jc w:val="right"/>
              <w:ind w:right="307"/>
              <w:spacing w:after="0"/>
              <w:rPr>
                <w:sz w:val="20"/>
                <w:szCs w:val="20"/>
                <w:color w:val="auto"/>
              </w:rPr>
            </w:pPr>
            <w:r>
              <w:rPr>
                <w:rFonts w:ascii="Arial" w:cs="Arial" w:eastAsia="Arial" w:hAnsi="Arial"/>
                <w:sz w:val="15"/>
                <w:szCs w:val="15"/>
                <w:b w:val="1"/>
                <w:bCs w:val="1"/>
                <w:color w:val="auto"/>
              </w:rPr>
              <w:t>Total</w:t>
            </w:r>
          </w:p>
        </w:tc>
      </w:tr>
      <w:tr>
        <w:trPr>
          <w:trHeight w:val="193"/>
        </w:trPr>
        <w:tc>
          <w:tcPr>
            <w:tcW w:w="1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340" w:type="dxa"/>
            <w:vAlign w:val="bottom"/>
            <w:gridSpan w:val="2"/>
          </w:tcPr>
          <w:p>
            <w:pPr>
              <w:jc w:val="right"/>
              <w:ind w:right="527"/>
              <w:spacing w:after="0"/>
              <w:rPr>
                <w:sz w:val="20"/>
                <w:szCs w:val="20"/>
                <w:color w:val="auto"/>
              </w:rPr>
            </w:pPr>
            <w:r>
              <w:rPr>
                <w:rFonts w:ascii="Arial" w:cs="Arial" w:eastAsia="Arial" w:hAnsi="Arial"/>
                <w:sz w:val="15"/>
                <w:szCs w:val="15"/>
                <w:b w:val="1"/>
                <w:bCs w:val="1"/>
                <w:color w:val="auto"/>
              </w:rPr>
              <w:t>(Dollars in millions)</w:t>
            </w:r>
          </w:p>
        </w:tc>
        <w:tc>
          <w:tcPr>
            <w:tcW w:w="13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627"/>
        </w:trPr>
        <w:tc>
          <w:tcPr>
            <w:tcW w:w="1220" w:type="dxa"/>
            <w:vAlign w:val="bottom"/>
          </w:tcPr>
          <w:p>
            <w:pPr>
              <w:jc w:val="right"/>
              <w:ind w:right="107"/>
              <w:spacing w:after="0"/>
              <w:rPr>
                <w:sz w:val="20"/>
                <w:szCs w:val="20"/>
                <w:color w:val="auto"/>
              </w:rPr>
            </w:pPr>
            <w:r>
              <w:rPr>
                <w:rFonts w:ascii="Arial" w:cs="Arial" w:eastAsia="Arial" w:hAnsi="Arial"/>
                <w:sz w:val="15"/>
                <w:szCs w:val="15"/>
                <w:b w:val="1"/>
                <w:bCs w:val="1"/>
                <w:color w:val="auto"/>
              </w:rPr>
              <w:t>1.1</w:t>
            </w:r>
          </w:p>
        </w:tc>
        <w:tc>
          <w:tcPr>
            <w:tcW w:w="1320" w:type="dxa"/>
            <w:vAlign w:val="bottom"/>
          </w:tcPr>
          <w:p>
            <w:pPr>
              <w:jc w:val="right"/>
              <w:ind w:right="207"/>
              <w:spacing w:after="0"/>
              <w:rPr>
                <w:sz w:val="20"/>
                <w:szCs w:val="20"/>
                <w:color w:val="auto"/>
              </w:rPr>
            </w:pPr>
            <w:r>
              <w:rPr>
                <w:rFonts w:ascii="Arial" w:cs="Arial" w:eastAsia="Arial" w:hAnsi="Arial"/>
                <w:sz w:val="15"/>
                <w:szCs w:val="15"/>
                <w:b w:val="1"/>
                <w:bCs w:val="1"/>
                <w:color w:val="auto"/>
              </w:rPr>
              <w:t>8.8</w:t>
            </w:r>
          </w:p>
        </w:tc>
        <w:tc>
          <w:tcPr>
            <w:tcW w:w="1080" w:type="dxa"/>
            <w:vAlign w:val="bottom"/>
          </w:tcPr>
          <w:p>
            <w:pPr>
              <w:jc w:val="right"/>
              <w:ind w:right="67"/>
              <w:spacing w:after="0"/>
              <w:rPr>
                <w:sz w:val="20"/>
                <w:szCs w:val="20"/>
                <w:color w:val="auto"/>
              </w:rPr>
            </w:pPr>
            <w:r>
              <w:rPr>
                <w:rFonts w:ascii="Arial" w:cs="Arial" w:eastAsia="Arial" w:hAnsi="Arial"/>
                <w:sz w:val="15"/>
                <w:szCs w:val="15"/>
                <w:b w:val="1"/>
                <w:bCs w:val="1"/>
                <w:color w:val="auto"/>
              </w:rPr>
              <w:t>2.0</w:t>
            </w:r>
          </w:p>
        </w:tc>
        <w:tc>
          <w:tcPr>
            <w:tcW w:w="1260" w:type="dxa"/>
            <w:vAlign w:val="bottom"/>
          </w:tcPr>
          <w:p>
            <w:pPr>
              <w:jc w:val="right"/>
              <w:ind w:right="107"/>
              <w:spacing w:after="0"/>
              <w:rPr>
                <w:sz w:val="20"/>
                <w:szCs w:val="20"/>
                <w:color w:val="auto"/>
              </w:rPr>
            </w:pPr>
            <w:r>
              <w:rPr>
                <w:rFonts w:ascii="Arial" w:cs="Arial" w:eastAsia="Arial" w:hAnsi="Arial"/>
                <w:sz w:val="15"/>
                <w:szCs w:val="15"/>
                <w:color w:val="auto"/>
              </w:rPr>
              <w:t>2.4</w:t>
            </w:r>
          </w:p>
        </w:tc>
        <w:tc>
          <w:tcPr>
            <w:tcW w:w="1340" w:type="dxa"/>
            <w:vAlign w:val="bottom"/>
          </w:tcPr>
          <w:p>
            <w:pPr>
              <w:jc w:val="right"/>
              <w:ind w:right="207"/>
              <w:spacing w:after="0"/>
              <w:rPr>
                <w:sz w:val="20"/>
                <w:szCs w:val="20"/>
                <w:color w:val="auto"/>
              </w:rPr>
            </w:pPr>
            <w:r>
              <w:rPr>
                <w:rFonts w:ascii="Arial" w:cs="Arial" w:eastAsia="Arial" w:hAnsi="Arial"/>
                <w:sz w:val="15"/>
                <w:szCs w:val="15"/>
                <w:color w:val="auto"/>
              </w:rPr>
              <w:t>8.5</w:t>
            </w:r>
          </w:p>
        </w:tc>
        <w:tc>
          <w:tcPr>
            <w:tcW w:w="1000" w:type="dxa"/>
            <w:vAlign w:val="bottom"/>
          </w:tcPr>
          <w:p>
            <w:pPr>
              <w:jc w:val="right"/>
              <w:spacing w:after="0"/>
              <w:rPr>
                <w:sz w:val="20"/>
                <w:szCs w:val="20"/>
                <w:color w:val="auto"/>
              </w:rPr>
            </w:pPr>
            <w:r>
              <w:rPr>
                <w:rFonts w:ascii="Arial" w:cs="Arial" w:eastAsia="Arial" w:hAnsi="Arial"/>
                <w:sz w:val="15"/>
                <w:szCs w:val="15"/>
                <w:color w:val="auto"/>
              </w:rPr>
              <w:t>3.0</w:t>
            </w:r>
          </w:p>
        </w:tc>
      </w:tr>
    </w:tbl>
    <w:p>
      <w:pPr>
        <w:spacing w:after="0" w:line="598" w:lineRule="exact"/>
        <w:rPr>
          <w:sz w:val="20"/>
          <w:szCs w:val="20"/>
          <w:color w:val="auto"/>
        </w:rPr>
      </w:pPr>
    </w:p>
    <w:p>
      <w:pPr>
        <w:sectPr>
          <w:pgSz w:w="11900" w:h="16838" w:orient="portrait"/>
          <w:cols w:equalWidth="0" w:num="2">
            <w:col w:w="3840" w:space="180"/>
            <w:col w:w="7220"/>
          </w:cols>
          <w:pgMar w:left="320" w:top="248" w:right="339" w:bottom="1440" w:gutter="0" w:footer="0" w:header="0"/>
          <w:type w:val="continuous"/>
        </w:sectPr>
      </w:pPr>
    </w:p>
    <w:tbl>
      <w:tblPr>
        <w:tblLayout w:type="fixed"/>
        <w:tblInd w:w="0" w:type="dxa"/>
        <w:tblCellMar>
          <w:top w:w="0" w:type="dxa"/>
          <w:left w:w="0" w:type="dxa"/>
          <w:bottom w:w="0" w:type="dxa"/>
          <w:right w:w="0" w:type="dxa"/>
        </w:tblCellMar>
      </w:tblPr>
      <w:tr>
        <w:trPr>
          <w:trHeight w:val="232"/>
        </w:trPr>
        <w:tc>
          <w:tcPr>
            <w:tcW w:w="4020" w:type="dxa"/>
            <w:vAlign w:val="bottom"/>
            <w:gridSpan w:val="2"/>
          </w:tcPr>
          <w:p>
            <w:pPr>
              <w:ind w:left="280"/>
              <w:spacing w:after="0"/>
              <w:rPr>
                <w:sz w:val="20"/>
                <w:szCs w:val="20"/>
                <w:color w:val="auto"/>
              </w:rPr>
            </w:pPr>
            <w:r>
              <w:rPr>
                <w:rFonts w:ascii="Arial" w:cs="Arial" w:eastAsia="Arial" w:hAnsi="Arial"/>
                <w:sz w:val="15"/>
                <w:szCs w:val="15"/>
                <w:color w:val="auto"/>
              </w:rPr>
              <w:t>Write-offs</w:t>
            </w:r>
            <w:r>
              <w:rPr>
                <w:rFonts w:ascii="Arial" w:cs="Arial" w:eastAsia="Arial" w:hAnsi="Arial"/>
                <w:sz w:val="18"/>
                <w:szCs w:val="18"/>
                <w:color w:val="auto"/>
                <w:vertAlign w:val="superscript"/>
              </w:rPr>
              <w:t>(1)</w:t>
            </w:r>
          </w:p>
        </w:tc>
        <w:tc>
          <w:tcPr>
            <w:tcW w:w="240" w:type="dxa"/>
            <w:vAlign w:val="bottom"/>
          </w:tcPr>
          <w:p>
            <w:pPr>
              <w:jc w:val="right"/>
              <w:ind w:right="67"/>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496</w:t>
            </w:r>
          </w:p>
        </w:tc>
        <w:tc>
          <w:tcPr>
            <w:tcW w:w="80" w:type="dxa"/>
            <w:vAlign w:val="bottom"/>
          </w:tcPr>
          <w:p>
            <w:pPr>
              <w:spacing w:after="0"/>
              <w:rPr>
                <w:sz w:val="20"/>
                <w:szCs w:val="20"/>
                <w:color w:val="auto"/>
              </w:rPr>
            </w:pPr>
          </w:p>
        </w:tc>
        <w:tc>
          <w:tcPr>
            <w:tcW w:w="320" w:type="dxa"/>
            <w:vAlign w:val="bottom"/>
          </w:tcPr>
          <w:p>
            <w:pPr>
              <w:jc w:val="right"/>
              <w:ind w:right="147"/>
              <w:spacing w:after="0"/>
              <w:rPr>
                <w:sz w:val="20"/>
                <w:szCs w:val="20"/>
                <w:color w:val="auto"/>
              </w:rPr>
            </w:pPr>
            <w:r>
              <w:rPr>
                <w:rFonts w:ascii="Arial" w:cs="Arial" w:eastAsia="Arial" w:hAnsi="Arial"/>
                <w:sz w:val="15"/>
                <w:szCs w:val="15"/>
                <w:b w:val="1"/>
                <w:bCs w:val="1"/>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395</w:t>
            </w:r>
          </w:p>
        </w:tc>
        <w:tc>
          <w:tcPr>
            <w:tcW w:w="100" w:type="dxa"/>
            <w:vAlign w:val="bottom"/>
          </w:tcPr>
          <w:p>
            <w:pPr>
              <w:spacing w:after="0"/>
              <w:rPr>
                <w:sz w:val="20"/>
                <w:szCs w:val="20"/>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891</w:t>
            </w:r>
          </w:p>
        </w:tc>
        <w:tc>
          <w:tcPr>
            <w:tcW w:w="100" w:type="dxa"/>
            <w:vAlign w:val="bottom"/>
          </w:tcPr>
          <w:p>
            <w:pPr>
              <w:spacing w:after="0"/>
              <w:rPr>
                <w:sz w:val="20"/>
                <w:szCs w:val="20"/>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color w:val="auto"/>
              </w:rPr>
              <w:t>800</w:t>
            </w:r>
          </w:p>
        </w:tc>
        <w:tc>
          <w:tcPr>
            <w:tcW w:w="100" w:type="dxa"/>
            <w:vAlign w:val="bottom"/>
          </w:tcPr>
          <w:p>
            <w:pPr>
              <w:spacing w:after="0"/>
              <w:rPr>
                <w:sz w:val="20"/>
                <w:szCs w:val="20"/>
                <w:color w:val="auto"/>
              </w:rPr>
            </w:pPr>
          </w:p>
        </w:tc>
        <w:tc>
          <w:tcPr>
            <w:tcW w:w="320" w:type="dxa"/>
            <w:vAlign w:val="bottom"/>
          </w:tcPr>
          <w:p>
            <w:pPr>
              <w:jc w:val="right"/>
              <w:ind w:right="147"/>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306</w:t>
            </w:r>
          </w:p>
        </w:tc>
        <w:tc>
          <w:tcPr>
            <w:tcW w:w="100" w:type="dxa"/>
            <w:vAlign w:val="bottom"/>
          </w:tcPr>
          <w:p>
            <w:pPr>
              <w:spacing w:after="0"/>
              <w:rPr>
                <w:sz w:val="20"/>
                <w:szCs w:val="20"/>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1,106</w:t>
            </w:r>
          </w:p>
        </w:tc>
      </w:tr>
      <w:tr>
        <w:trPr>
          <w:trHeight w:val="224"/>
        </w:trPr>
        <w:tc>
          <w:tcPr>
            <w:tcW w:w="3900" w:type="dxa"/>
            <w:vAlign w:val="bottom"/>
            <w:tcBorders>
              <w:bottom w:val="single" w:sz="8" w:color="2C6937"/>
            </w:tcBorders>
          </w:tcPr>
          <w:p>
            <w:pPr>
              <w:ind w:left="280"/>
              <w:spacing w:after="0"/>
              <w:rPr>
                <w:sz w:val="20"/>
                <w:szCs w:val="20"/>
                <w:color w:val="auto"/>
              </w:rPr>
            </w:pPr>
            <w:r>
              <w:rPr>
                <w:rFonts w:ascii="Arial" w:cs="Arial" w:eastAsia="Arial" w:hAnsi="Arial"/>
                <w:sz w:val="15"/>
                <w:szCs w:val="15"/>
                <w:color w:val="auto"/>
              </w:rPr>
              <w:t>Recoveries</w:t>
            </w:r>
          </w:p>
        </w:tc>
        <w:tc>
          <w:tcPr>
            <w:tcW w:w="120" w:type="dxa"/>
            <w:vAlign w:val="bottom"/>
          </w:tcPr>
          <w:p>
            <w:pPr>
              <w:spacing w:after="0"/>
              <w:rPr>
                <w:sz w:val="19"/>
                <w:szCs w:val="19"/>
                <w:color w:val="auto"/>
              </w:rPr>
            </w:pPr>
          </w:p>
        </w:tc>
        <w:tc>
          <w:tcPr>
            <w:tcW w:w="240" w:type="dxa"/>
            <w:vAlign w:val="bottom"/>
            <w:tcBorders>
              <w:bottom w:val="single" w:sz="8" w:color="2C6937"/>
            </w:tcBorders>
          </w:tcPr>
          <w:p>
            <w:pPr>
              <w:spacing w:after="0"/>
              <w:rPr>
                <w:sz w:val="19"/>
                <w:szCs w:val="19"/>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(184)</w:t>
            </w:r>
          </w:p>
        </w:tc>
        <w:tc>
          <w:tcPr>
            <w:tcW w:w="80" w:type="dxa"/>
            <w:vAlign w:val="bottom"/>
          </w:tcPr>
          <w:p>
            <w:pPr>
              <w:spacing w:after="0"/>
              <w:rPr>
                <w:sz w:val="19"/>
                <w:szCs w:val="19"/>
                <w:color w:val="auto"/>
              </w:rPr>
            </w:pPr>
          </w:p>
        </w:tc>
        <w:tc>
          <w:tcPr>
            <w:tcW w:w="320" w:type="dxa"/>
            <w:vAlign w:val="bottom"/>
            <w:tcBorders>
              <w:bottom w:val="single" w:sz="8" w:color="2C6937"/>
            </w:tcBorders>
          </w:tcPr>
          <w:p>
            <w:pPr>
              <w:spacing w:after="0"/>
              <w:rPr>
                <w:sz w:val="19"/>
                <w:szCs w:val="19"/>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(81)</w:t>
            </w:r>
          </w:p>
        </w:tc>
        <w:tc>
          <w:tcPr>
            <w:tcW w:w="100" w:type="dxa"/>
            <w:vAlign w:val="bottom"/>
          </w:tcPr>
          <w:p>
            <w:pPr>
              <w:spacing w:after="0"/>
              <w:rPr>
                <w:sz w:val="19"/>
                <w:szCs w:val="19"/>
                <w:color w:val="auto"/>
              </w:rPr>
            </w:pPr>
          </w:p>
        </w:tc>
        <w:tc>
          <w:tcPr>
            <w:tcW w:w="260" w:type="dxa"/>
            <w:vAlign w:val="bottom"/>
            <w:tcBorders>
              <w:bottom w:val="single" w:sz="8" w:color="2C6937"/>
            </w:tcBorders>
          </w:tcPr>
          <w:p>
            <w:pPr>
              <w:spacing w:after="0"/>
              <w:rPr>
                <w:sz w:val="19"/>
                <w:szCs w:val="19"/>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(265)</w:t>
            </w:r>
          </w:p>
        </w:tc>
        <w:tc>
          <w:tcPr>
            <w:tcW w:w="100" w:type="dxa"/>
            <w:vAlign w:val="bottom"/>
          </w:tcPr>
          <w:p>
            <w:pPr>
              <w:spacing w:after="0"/>
              <w:rPr>
                <w:sz w:val="19"/>
                <w:szCs w:val="19"/>
                <w:color w:val="auto"/>
              </w:rPr>
            </w:pPr>
          </w:p>
        </w:tc>
        <w:tc>
          <w:tcPr>
            <w:tcW w:w="240" w:type="dxa"/>
            <w:vAlign w:val="bottom"/>
            <w:tcBorders>
              <w:bottom w:val="single" w:sz="8" w:color="2C6937"/>
            </w:tcBorders>
          </w:tcPr>
          <w:p>
            <w:pPr>
              <w:spacing w:after="0"/>
              <w:rPr>
                <w:sz w:val="19"/>
                <w:szCs w:val="19"/>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(157)</w:t>
            </w:r>
          </w:p>
        </w:tc>
        <w:tc>
          <w:tcPr>
            <w:tcW w:w="100" w:type="dxa"/>
            <w:vAlign w:val="bottom"/>
          </w:tcPr>
          <w:p>
            <w:pPr>
              <w:spacing w:after="0"/>
              <w:rPr>
                <w:sz w:val="19"/>
                <w:szCs w:val="19"/>
                <w:color w:val="auto"/>
              </w:rPr>
            </w:pPr>
          </w:p>
        </w:tc>
        <w:tc>
          <w:tcPr>
            <w:tcW w:w="320" w:type="dxa"/>
            <w:vAlign w:val="bottom"/>
            <w:tcBorders>
              <w:bottom w:val="single" w:sz="8" w:color="2C6937"/>
            </w:tcBorders>
          </w:tcPr>
          <w:p>
            <w:pPr>
              <w:spacing w:after="0"/>
              <w:rPr>
                <w:sz w:val="19"/>
                <w:szCs w:val="19"/>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(18)</w:t>
            </w:r>
          </w:p>
        </w:tc>
        <w:tc>
          <w:tcPr>
            <w:tcW w:w="100" w:type="dxa"/>
            <w:vAlign w:val="bottom"/>
          </w:tcPr>
          <w:p>
            <w:pPr>
              <w:spacing w:after="0"/>
              <w:rPr>
                <w:sz w:val="19"/>
                <w:szCs w:val="19"/>
                <w:color w:val="auto"/>
              </w:rPr>
            </w:pPr>
          </w:p>
        </w:tc>
        <w:tc>
          <w:tcPr>
            <w:tcW w:w="260" w:type="dxa"/>
            <w:vAlign w:val="bottom"/>
            <w:tcBorders>
              <w:bottom w:val="single" w:sz="8" w:color="2C6937"/>
            </w:tcBorders>
          </w:tcPr>
          <w:p>
            <w:pPr>
              <w:spacing w:after="0"/>
              <w:rPr>
                <w:sz w:val="19"/>
                <w:szCs w:val="19"/>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(175)</w:t>
            </w:r>
          </w:p>
        </w:tc>
      </w:tr>
      <w:tr>
        <w:trPr>
          <w:trHeight w:val="225"/>
        </w:trPr>
        <w:tc>
          <w:tcPr>
            <w:tcW w:w="4020" w:type="dxa"/>
            <w:vAlign w:val="bottom"/>
            <w:gridSpan w:val="2"/>
          </w:tcPr>
          <w:p>
            <w:pPr>
              <w:ind w:left="180"/>
              <w:spacing w:after="0"/>
              <w:rPr>
                <w:sz w:val="20"/>
                <w:szCs w:val="20"/>
                <w:color w:val="auto"/>
              </w:rPr>
            </w:pPr>
            <w:r>
              <w:rPr>
                <w:rFonts w:ascii="Arial" w:cs="Arial" w:eastAsia="Arial" w:hAnsi="Arial"/>
                <w:sz w:val="15"/>
                <w:szCs w:val="15"/>
                <w:color w:val="auto"/>
              </w:rPr>
              <w:t>Write-offs, net of recoveries</w:t>
            </w:r>
          </w:p>
        </w:tc>
        <w:tc>
          <w:tcPr>
            <w:tcW w:w="240" w:type="dxa"/>
            <w:vAlign w:val="bottom"/>
          </w:tcPr>
          <w:p>
            <w:pPr>
              <w:jc w:val="right"/>
              <w:ind w:right="67"/>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312</w:t>
            </w:r>
          </w:p>
        </w:tc>
        <w:tc>
          <w:tcPr>
            <w:tcW w:w="80" w:type="dxa"/>
            <w:vAlign w:val="bottom"/>
          </w:tcPr>
          <w:p>
            <w:pPr>
              <w:spacing w:after="0"/>
              <w:rPr>
                <w:sz w:val="19"/>
                <w:szCs w:val="19"/>
                <w:color w:val="auto"/>
              </w:rPr>
            </w:pPr>
          </w:p>
        </w:tc>
        <w:tc>
          <w:tcPr>
            <w:tcW w:w="320" w:type="dxa"/>
            <w:vAlign w:val="bottom"/>
          </w:tcPr>
          <w:p>
            <w:pPr>
              <w:jc w:val="right"/>
              <w:ind w:right="147"/>
              <w:spacing w:after="0"/>
              <w:rPr>
                <w:sz w:val="20"/>
                <w:szCs w:val="20"/>
                <w:color w:val="auto"/>
              </w:rPr>
            </w:pPr>
            <w:r>
              <w:rPr>
                <w:rFonts w:ascii="Arial" w:cs="Arial" w:eastAsia="Arial" w:hAnsi="Arial"/>
                <w:sz w:val="15"/>
                <w:szCs w:val="15"/>
                <w:b w:val="1"/>
                <w:bCs w:val="1"/>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314</w:t>
            </w:r>
          </w:p>
        </w:tc>
        <w:tc>
          <w:tcPr>
            <w:tcW w:w="100" w:type="dxa"/>
            <w:vAlign w:val="bottom"/>
          </w:tcPr>
          <w:p>
            <w:pPr>
              <w:spacing w:after="0"/>
              <w:rPr>
                <w:sz w:val="19"/>
                <w:szCs w:val="19"/>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626</w:t>
            </w:r>
          </w:p>
        </w:tc>
        <w:tc>
          <w:tcPr>
            <w:tcW w:w="100" w:type="dxa"/>
            <w:vAlign w:val="bottom"/>
          </w:tcPr>
          <w:p>
            <w:pPr>
              <w:spacing w:after="0"/>
              <w:rPr>
                <w:sz w:val="19"/>
                <w:szCs w:val="19"/>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color w:val="auto"/>
              </w:rPr>
              <w:t>643</w:t>
            </w:r>
          </w:p>
        </w:tc>
        <w:tc>
          <w:tcPr>
            <w:tcW w:w="100" w:type="dxa"/>
            <w:vAlign w:val="bottom"/>
          </w:tcPr>
          <w:p>
            <w:pPr>
              <w:spacing w:after="0"/>
              <w:rPr>
                <w:sz w:val="19"/>
                <w:szCs w:val="19"/>
                <w:color w:val="auto"/>
              </w:rPr>
            </w:pPr>
          </w:p>
        </w:tc>
        <w:tc>
          <w:tcPr>
            <w:tcW w:w="320" w:type="dxa"/>
            <w:vAlign w:val="bottom"/>
          </w:tcPr>
          <w:p>
            <w:pPr>
              <w:jc w:val="right"/>
              <w:ind w:right="147"/>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288</w:t>
            </w:r>
          </w:p>
        </w:tc>
        <w:tc>
          <w:tcPr>
            <w:tcW w:w="100" w:type="dxa"/>
            <w:vAlign w:val="bottom"/>
          </w:tcPr>
          <w:p>
            <w:pPr>
              <w:spacing w:after="0"/>
              <w:rPr>
                <w:sz w:val="19"/>
                <w:szCs w:val="19"/>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931</w:t>
            </w:r>
          </w:p>
        </w:tc>
      </w:tr>
      <w:tr>
        <w:trPr>
          <w:trHeight w:val="20"/>
        </w:trPr>
        <w:tc>
          <w:tcPr>
            <w:tcW w:w="390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r>
      <w:tr>
        <w:trPr>
          <w:trHeight w:val="254"/>
        </w:trPr>
        <w:tc>
          <w:tcPr>
            <w:tcW w:w="4020" w:type="dxa"/>
            <w:vAlign w:val="bottom"/>
            <w:gridSpan w:val="2"/>
          </w:tcPr>
          <w:p>
            <w:pPr>
              <w:ind w:left="180"/>
              <w:spacing w:after="0"/>
              <w:rPr>
                <w:sz w:val="20"/>
                <w:szCs w:val="20"/>
                <w:color w:val="auto"/>
              </w:rPr>
            </w:pPr>
            <w:r>
              <w:rPr>
                <w:rFonts w:ascii="Arial" w:cs="Arial" w:eastAsia="Arial" w:hAnsi="Arial"/>
                <w:sz w:val="15"/>
                <w:szCs w:val="15"/>
                <w:color w:val="auto"/>
              </w:rPr>
              <w:t>Average guaranty book of business</w:t>
            </w:r>
            <w:r>
              <w:rPr>
                <w:rFonts w:ascii="Arial" w:cs="Arial" w:eastAsia="Arial" w:hAnsi="Arial"/>
                <w:sz w:val="18"/>
                <w:szCs w:val="18"/>
                <w:color w:val="auto"/>
                <w:vertAlign w:val="superscript"/>
              </w:rPr>
              <w:t>(2)</w:t>
            </w:r>
          </w:p>
        </w:tc>
        <w:tc>
          <w:tcPr>
            <w:tcW w:w="240" w:type="dxa"/>
            <w:vAlign w:val="bottom"/>
          </w:tcPr>
          <w:p>
            <w:pPr>
              <w:jc w:val="right"/>
              <w:ind w:right="67"/>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3,628,443</w:t>
            </w:r>
          </w:p>
        </w:tc>
        <w:tc>
          <w:tcPr>
            <w:tcW w:w="80" w:type="dxa"/>
            <w:vAlign w:val="bottom"/>
          </w:tcPr>
          <w:p>
            <w:pPr>
              <w:spacing w:after="0"/>
              <w:rPr>
                <w:sz w:val="22"/>
                <w:szCs w:val="22"/>
                <w:color w:val="auto"/>
              </w:rPr>
            </w:pPr>
          </w:p>
        </w:tc>
        <w:tc>
          <w:tcPr>
            <w:tcW w:w="320" w:type="dxa"/>
            <w:vAlign w:val="bottom"/>
          </w:tcPr>
          <w:p>
            <w:pPr>
              <w:jc w:val="right"/>
              <w:ind w:right="147"/>
              <w:spacing w:after="0"/>
              <w:rPr>
                <w:sz w:val="20"/>
                <w:szCs w:val="20"/>
                <w:color w:val="auto"/>
              </w:rPr>
            </w:pPr>
            <w:r>
              <w:rPr>
                <w:rFonts w:ascii="Arial" w:cs="Arial" w:eastAsia="Arial" w:hAnsi="Arial"/>
                <w:sz w:val="15"/>
                <w:szCs w:val="15"/>
                <w:b w:val="1"/>
                <w:bCs w:val="1"/>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478,264</w:t>
            </w:r>
          </w:p>
        </w:tc>
        <w:tc>
          <w:tcPr>
            <w:tcW w:w="100" w:type="dxa"/>
            <w:vAlign w:val="bottom"/>
          </w:tcPr>
          <w:p>
            <w:pPr>
              <w:spacing w:after="0"/>
              <w:rPr>
                <w:sz w:val="22"/>
                <w:szCs w:val="22"/>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4,106,707</w:t>
            </w:r>
          </w:p>
        </w:tc>
        <w:tc>
          <w:tcPr>
            <w:tcW w:w="100" w:type="dxa"/>
            <w:vAlign w:val="bottom"/>
          </w:tcPr>
          <w:p>
            <w:pPr>
              <w:spacing w:after="0"/>
              <w:rPr>
                <w:sz w:val="22"/>
                <w:szCs w:val="22"/>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color w:val="auto"/>
              </w:rPr>
              <w:t>3,633,848</w:t>
            </w:r>
          </w:p>
        </w:tc>
        <w:tc>
          <w:tcPr>
            <w:tcW w:w="100" w:type="dxa"/>
            <w:vAlign w:val="bottom"/>
          </w:tcPr>
          <w:p>
            <w:pPr>
              <w:spacing w:after="0"/>
              <w:rPr>
                <w:sz w:val="22"/>
                <w:szCs w:val="22"/>
                <w:color w:val="auto"/>
              </w:rPr>
            </w:pPr>
          </w:p>
        </w:tc>
        <w:tc>
          <w:tcPr>
            <w:tcW w:w="320" w:type="dxa"/>
            <w:vAlign w:val="bottom"/>
          </w:tcPr>
          <w:p>
            <w:pPr>
              <w:jc w:val="right"/>
              <w:ind w:right="147"/>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451,322</w:t>
            </w:r>
          </w:p>
        </w:tc>
        <w:tc>
          <w:tcPr>
            <w:tcW w:w="100" w:type="dxa"/>
            <w:vAlign w:val="bottom"/>
          </w:tcPr>
          <w:p>
            <w:pPr>
              <w:spacing w:after="0"/>
              <w:rPr>
                <w:sz w:val="22"/>
                <w:szCs w:val="22"/>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4,085,170</w:t>
            </w:r>
          </w:p>
        </w:tc>
      </w:tr>
    </w:tbl>
    <w:p>
      <w:pPr>
        <w:spacing w:after="0" w:line="65" w:lineRule="exact"/>
        <w:rPr>
          <w:sz w:val="20"/>
          <w:szCs w:val="20"/>
          <w:color w:val="auto"/>
        </w:rPr>
      </w:pPr>
    </w:p>
    <w:p>
      <w:pPr>
        <w:ind w:left="220" w:hanging="217"/>
        <w:spacing w:after="0"/>
        <w:tabs>
          <w:tab w:leader="none" w:pos="220" w:val="left"/>
        </w:tabs>
        <w:numPr>
          <w:ilvl w:val="0"/>
          <w:numId w:val="50"/>
        </w:numPr>
        <w:rPr>
          <w:rFonts w:ascii="Arial" w:cs="Arial" w:eastAsia="Arial" w:hAnsi="Arial"/>
          <w:sz w:val="18"/>
          <w:szCs w:val="18"/>
          <w:color w:val="auto"/>
          <w:vertAlign w:val="superscript"/>
        </w:rPr>
      </w:pPr>
      <w:r>
        <w:rPr>
          <w:rFonts w:ascii="Arial" w:cs="Arial" w:eastAsia="Arial" w:hAnsi="Arial"/>
          <w:sz w:val="14"/>
          <w:szCs w:val="14"/>
          <w:color w:val="auto"/>
        </w:rPr>
        <w:t>Represents write-offs when a loan is determined to be uncollectible. For single-family, also includes any write-offs upon the redesignation of mortgage loans from HFI to HFS.</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50"/>
        </w:numPr>
        <w:rPr>
          <w:rFonts w:ascii="Arial" w:cs="Arial" w:eastAsia="Arial" w:hAnsi="Arial"/>
          <w:sz w:val="18"/>
          <w:szCs w:val="18"/>
          <w:color w:val="auto"/>
          <w:vertAlign w:val="superscript"/>
        </w:rPr>
      </w:pPr>
      <w:r>
        <w:rPr>
          <w:rFonts w:ascii="Arial" w:cs="Arial" w:eastAsia="Arial" w:hAnsi="Arial"/>
          <w:sz w:val="14"/>
          <w:szCs w:val="14"/>
          <w:color w:val="auto"/>
        </w:rPr>
        <w:t>Average guaranty book of business is based on the average of quarter-end balances.</w:t>
      </w:r>
    </w:p>
    <w:p>
      <w:pPr>
        <w:spacing w:after="0" w:line="135"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138670" cy="165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Liquidity Management</w:t>
      </w:r>
    </w:p>
    <w:p>
      <w:pPr>
        <w:spacing w:after="0" w:line="76"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This section supplements and updates information regarding liquidity management in our 2023 Form 10-K. See “MD&amp;A—Liquidity and Capital Management —Liquidity Management” in our 2023 Form 10-K for additional information, including discussions of our primary sources and uses of funds, our liquidity and funding risk management practices and contingency planning, our liquidity requirements, factors that influence our debt funding activity, factors that may impact our access to or the cost of our debt funding and factors that could adversely affect our liquidity and funding. As of September 30, 2024, we were in compliance with all four components of the liquidity requirements outlined in our 2023 Form 10-K. Also see “Risk Factors—Liquidity and Funding Risk” in our 2023 Form 10-K for a discussion of liquidity and funding risks.</w:t>
      </w:r>
    </w:p>
    <w:p>
      <w:pPr>
        <w:spacing w:after="0" w:line="13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Debt Funding</w:t>
      </w:r>
    </w:p>
    <w:p>
      <w:pPr>
        <w:spacing w:after="0" w:line="93" w:lineRule="exact"/>
        <w:rPr>
          <w:sz w:val="20"/>
          <w:szCs w:val="20"/>
          <w:color w:val="auto"/>
        </w:rPr>
      </w:pPr>
    </w:p>
    <w:p>
      <w:pPr>
        <w:ind w:right="320"/>
        <w:spacing w:after="0" w:line="310" w:lineRule="auto"/>
        <w:rPr>
          <w:sz w:val="20"/>
          <w:szCs w:val="20"/>
          <w:color w:val="auto"/>
        </w:rPr>
      </w:pPr>
      <w:r>
        <w:rPr>
          <w:rFonts w:ascii="Arial" w:cs="Arial" w:eastAsia="Arial" w:hAnsi="Arial"/>
          <w:sz w:val="16"/>
          <w:szCs w:val="16"/>
          <w:color w:val="auto"/>
        </w:rPr>
        <w:t>The unpaid principal balance of our aggregate indebtedness was $125.2 billion as of September 30, 2024. Pursuant to the terms of the senior preferred stock purchase agreement with Treasury, we are prohibited from issuing debt without</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2024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48</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60" w:type="dxa"/>
            <w:vAlign w:val="bottom"/>
            <w:tcBorders>
              <w:bottom w:val="single" w:sz="8" w:color="9A9A9A"/>
            </w:tcBorders>
          </w:tcPr>
          <w:p>
            <w:pPr>
              <w:spacing w:after="0"/>
              <w:rPr>
                <w:sz w:val="17"/>
                <w:szCs w:val="17"/>
                <w:color w:val="auto"/>
              </w:rPr>
            </w:pPr>
          </w:p>
        </w:tc>
        <w:tc>
          <w:tcPr>
            <w:tcW w:w="42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51" w:name="page52"/>
    <w:bookmarkEnd w:id="51"/>
    <w:p>
      <w:pPr>
        <w:ind w:left="854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the prior consent of Treasury if it would result in our aggregate indebtedness exceeding our outstanding debt limit, currently set to $270 billion. The calculation of our indebtedness for purposes of complying with our debt limit reflects the unpaid principal balance and excludes debt basis adjustments and debt of consolidated trusts.</w:t>
      </w:r>
    </w:p>
    <w:p>
      <w:pPr>
        <w:spacing w:after="0" w:line="84"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Outstanding Debt</w:t>
      </w:r>
    </w:p>
    <w:p>
      <w:pPr>
        <w:spacing w:after="0" w:line="67"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Total outstanding debt of Fannie Mae includes short-term and long-term debt and excludes debt of consolidated trusts. Short-term debt of Fannie Mae consists of borrowings with an original contractual maturity of one year or less and, therefore, does not include the current portion of long-term debt. Long-term debt of Fannie Mae consists of borrowings with an original contractual maturity of greater than one year.</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chart and table display information on our outstanding short-term and long-term debt based on original contractual maturity.</w:t>
      </w:r>
    </w:p>
    <w:p>
      <w:pPr>
        <w:spacing w:after="0" w:line="88" w:lineRule="exact"/>
        <w:rPr>
          <w:sz w:val="20"/>
          <w:szCs w:val="20"/>
          <w:color w:val="auto"/>
        </w:rPr>
      </w:pPr>
    </w:p>
    <w:p>
      <w:pPr>
        <w:ind w:left="4600"/>
        <w:spacing w:after="0"/>
        <w:rPr>
          <w:sz w:val="20"/>
          <w:szCs w:val="20"/>
          <w:color w:val="auto"/>
        </w:rPr>
      </w:pPr>
      <w:r>
        <w:rPr>
          <w:rFonts w:ascii="Georgia" w:cs="Georgia" w:eastAsia="Georgia" w:hAnsi="Georgia"/>
          <w:sz w:val="19"/>
          <w:szCs w:val="19"/>
          <w:b w:val="1"/>
          <w:bCs w:val="1"/>
          <w:color w:val="05314D"/>
        </w:rPr>
        <w:t>Debt of Fannie Mae</w:t>
      </w:r>
      <w:r>
        <w:rPr>
          <w:rFonts w:ascii="Georgia" w:cs="Georgia" w:eastAsia="Georgia" w:hAnsi="Georgia"/>
          <w:sz w:val="24"/>
          <w:szCs w:val="24"/>
          <w:b w:val="1"/>
          <w:bCs w:val="1"/>
          <w:color w:val="05314D"/>
          <w:vertAlign w:val="superscript"/>
        </w:rPr>
        <w:t>(1</w:t>
      </w:r>
      <w:r>
        <w:rPr>
          <w:rFonts w:ascii="Georgia" w:cs="Georgia" w:eastAsia="Georgia" w:hAnsi="Georgia"/>
          <w:sz w:val="24"/>
          <w:szCs w:val="24"/>
          <w:b w:val="1"/>
          <w:bCs w:val="1"/>
          <w:color w:val="000000"/>
          <w:vertAlign w:val="superscript"/>
        </w:rPr>
        <w:t>)</w:t>
      </w:r>
    </w:p>
    <w:p>
      <w:pPr>
        <w:ind w:left="4660"/>
        <w:spacing w:after="0" w:line="237" w:lineRule="auto"/>
        <w:rPr>
          <w:sz w:val="20"/>
          <w:szCs w:val="20"/>
          <w:color w:val="auto"/>
        </w:rPr>
      </w:pPr>
      <w:r>
        <w:rPr>
          <w:rFonts w:ascii="Georgia" w:cs="Georgia" w:eastAsia="Georgia" w:hAnsi="Georgia"/>
          <w:sz w:val="19"/>
          <w:szCs w:val="19"/>
          <w:b w:val="1"/>
          <w:bCs w:val="1"/>
          <w:color w:val="05314D"/>
        </w:rPr>
        <w:t>(Dollars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1131570</wp:posOffset>
            </wp:positionH>
            <wp:positionV relativeFrom="paragraph">
              <wp:posOffset>7620</wp:posOffset>
            </wp:positionV>
            <wp:extent cx="4886960" cy="23983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886960" cy="2398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880"/>
        <w:spacing w:after="0"/>
        <w:rPr>
          <w:sz w:val="20"/>
          <w:szCs w:val="20"/>
          <w:color w:val="auto"/>
        </w:rPr>
      </w:pPr>
      <w:r>
        <w:rPr>
          <w:rFonts w:ascii="Arial" w:cs="Arial" w:eastAsia="Arial" w:hAnsi="Arial"/>
          <w:sz w:val="15"/>
          <w:szCs w:val="15"/>
          <w:color w:val="auto"/>
        </w:rPr>
        <w:t>Short-term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1623060</wp:posOffset>
            </wp:positionH>
            <wp:positionV relativeFrom="paragraph">
              <wp:posOffset>53975</wp:posOffset>
            </wp:positionV>
            <wp:extent cx="130810" cy="1308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65" w:lineRule="exact"/>
        <w:rPr>
          <w:sz w:val="20"/>
          <w:szCs w:val="20"/>
          <w:color w:val="auto"/>
        </w:rPr>
      </w:pPr>
    </w:p>
    <w:p>
      <w:pPr>
        <w:ind w:left="2880"/>
        <w:spacing w:after="0"/>
        <w:rPr>
          <w:sz w:val="20"/>
          <w:szCs w:val="20"/>
          <w:color w:val="auto"/>
        </w:rPr>
      </w:pPr>
      <w:r>
        <w:rPr>
          <w:rFonts w:ascii="Arial" w:cs="Arial" w:eastAsia="Arial" w:hAnsi="Arial"/>
          <w:sz w:val="15"/>
          <w:szCs w:val="15"/>
          <w:color w:val="auto"/>
        </w:rPr>
        <w:t>Long-term debt maturing within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1623060</wp:posOffset>
            </wp:positionH>
            <wp:positionV relativeFrom="paragraph">
              <wp:posOffset>53975</wp:posOffset>
            </wp:positionV>
            <wp:extent cx="130810" cy="1308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65" w:lineRule="exact"/>
        <w:rPr>
          <w:sz w:val="20"/>
          <w:szCs w:val="20"/>
          <w:color w:val="auto"/>
        </w:rPr>
      </w:pPr>
    </w:p>
    <w:p>
      <w:pPr>
        <w:ind w:left="2880"/>
        <w:spacing w:after="0"/>
        <w:rPr>
          <w:sz w:val="20"/>
          <w:szCs w:val="20"/>
          <w:color w:val="auto"/>
        </w:rPr>
      </w:pPr>
      <w:r>
        <w:rPr>
          <w:rFonts w:ascii="Arial" w:cs="Arial" w:eastAsia="Arial" w:hAnsi="Arial"/>
          <w:sz w:val="15"/>
          <w:szCs w:val="15"/>
          <w:color w:val="auto"/>
        </w:rPr>
        <w:t>Long-term debt, excluding portion maturing within one year</w:t>
      </w:r>
    </w:p>
    <w:p>
      <w:pPr>
        <w:spacing w:after="0" w:line="142" w:lineRule="exact"/>
        <w:rPr>
          <w:sz w:val="20"/>
          <w:szCs w:val="20"/>
          <w:color w:val="auto"/>
        </w:rPr>
      </w:pPr>
    </w:p>
    <w:p>
      <w:pPr>
        <w:ind w:left="240" w:right="240" w:hanging="237"/>
        <w:spacing w:after="0" w:line="264" w:lineRule="auto"/>
        <w:tabs>
          <w:tab w:leader="none" w:pos="233" w:val="left"/>
        </w:tabs>
        <w:numPr>
          <w:ilvl w:val="0"/>
          <w:numId w:val="51"/>
        </w:numPr>
        <w:rPr>
          <w:rFonts w:ascii="Arial" w:cs="Arial" w:eastAsia="Arial" w:hAnsi="Arial"/>
          <w:sz w:val="9"/>
          <w:szCs w:val="9"/>
          <w:color w:val="auto"/>
        </w:rPr>
      </w:pPr>
      <w:r>
        <w:rPr>
          <w:rFonts w:ascii="Arial" w:cs="Arial" w:eastAsia="Arial" w:hAnsi="Arial"/>
          <w:sz w:val="14"/>
          <w:szCs w:val="14"/>
          <w:color w:val="auto"/>
        </w:rPr>
        <w:t>Outstanding debt balance consists of the unpaid principal balance, premiums and discounts, fair value adjustments, hedge-related basis adjustments and other cost basis adjustments. Reported amounts include net discount unamortized cost basis adjustments and fair value adjustments of $3.4 billion and $4.0 billion as of September 30, 2024 and December 31, 2023, respectively.</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Selected Debt Information</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200" w:type="dxa"/>
            <w:vAlign w:val="bottom"/>
            <w:tcBorders>
              <w:top w:val="single" w:sz="8" w:color="2C6937"/>
            </w:tcBorders>
          </w:tcPr>
          <w:p>
            <w:pPr>
              <w:spacing w:after="0"/>
              <w:rPr>
                <w:sz w:val="18"/>
                <w:szCs w:val="18"/>
                <w:color w:val="auto"/>
              </w:rPr>
            </w:pPr>
          </w:p>
        </w:tc>
        <w:tc>
          <w:tcPr>
            <w:tcW w:w="200" w:type="dxa"/>
            <w:vAlign w:val="bottom"/>
            <w:tcBorders>
              <w:top w:val="single" w:sz="8" w:color="2C6937"/>
            </w:tcBorders>
          </w:tcPr>
          <w:p>
            <w:pPr>
              <w:spacing w:after="0"/>
              <w:rPr>
                <w:sz w:val="18"/>
                <w:szCs w:val="18"/>
                <w:color w:val="auto"/>
              </w:rPr>
            </w:pPr>
          </w:p>
        </w:tc>
        <w:tc>
          <w:tcPr>
            <w:tcW w:w="220" w:type="dxa"/>
            <w:vAlign w:val="bottom"/>
            <w:tcBorders>
              <w:top w:val="single" w:sz="8" w:color="2C6937"/>
              <w:bottom w:val="single" w:sz="8" w:color="2C6937"/>
            </w:tcBorders>
          </w:tcPr>
          <w:p>
            <w:pPr>
              <w:spacing w:after="0"/>
              <w:rPr>
                <w:sz w:val="18"/>
                <w:szCs w:val="18"/>
                <w:color w:val="auto"/>
              </w:rPr>
            </w:pPr>
          </w:p>
        </w:tc>
        <w:tc>
          <w:tcPr>
            <w:tcW w:w="1520" w:type="dxa"/>
            <w:vAlign w:val="bottom"/>
            <w:tcBorders>
              <w:top w:val="single" w:sz="8" w:color="2C6937"/>
              <w:bottom w:val="single" w:sz="8" w:color="2C6937"/>
            </w:tcBorders>
          </w:tcPr>
          <w:p>
            <w:pPr>
              <w:spacing w:after="0"/>
              <w:rPr>
                <w:sz w:val="18"/>
                <w:szCs w:val="18"/>
                <w:color w:val="auto"/>
              </w:rPr>
            </w:pPr>
          </w:p>
        </w:tc>
        <w:tc>
          <w:tcPr>
            <w:tcW w:w="480" w:type="dxa"/>
            <w:vAlign w:val="bottom"/>
            <w:tcBorders>
              <w:top w:val="single" w:sz="8" w:color="2C6937"/>
              <w:bottom w:val="single" w:sz="8" w:color="2C6937"/>
            </w:tcBorders>
          </w:tcPr>
          <w:p>
            <w:pPr>
              <w:jc w:val="right"/>
              <w:ind w:right="47"/>
              <w:spacing w:after="0"/>
              <w:rPr>
                <w:sz w:val="20"/>
                <w:szCs w:val="20"/>
                <w:color w:val="auto"/>
              </w:rPr>
            </w:pPr>
            <w:r>
              <w:rPr>
                <w:rFonts w:ascii="Arial" w:cs="Arial" w:eastAsia="Arial" w:hAnsi="Arial"/>
                <w:sz w:val="14"/>
                <w:szCs w:val="14"/>
                <w:b w:val="1"/>
                <w:bCs w:val="1"/>
                <w:color w:val="auto"/>
                <w:w w:val="97"/>
              </w:rPr>
              <w:t>As of</w:t>
            </w:r>
          </w:p>
        </w:tc>
        <w:tc>
          <w:tcPr>
            <w:tcW w:w="1620" w:type="dxa"/>
            <w:vAlign w:val="bottom"/>
            <w:tcBorders>
              <w:top w:val="single" w:sz="8" w:color="2C6937"/>
              <w:bottom w:val="single" w:sz="8" w:color="2C6937"/>
            </w:tcBorders>
          </w:tcPr>
          <w:p>
            <w:pPr>
              <w:spacing w:after="0"/>
              <w:rPr>
                <w:sz w:val="18"/>
                <w:szCs w:val="18"/>
                <w:color w:val="auto"/>
              </w:rPr>
            </w:pPr>
          </w:p>
        </w:tc>
      </w:tr>
      <w:tr>
        <w:trPr>
          <w:trHeight w:val="186"/>
        </w:trPr>
        <w:tc>
          <w:tcPr>
            <w:tcW w:w="7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1520" w:type="dxa"/>
            <w:vAlign w:val="bottom"/>
            <w:tcBorders>
              <w:bottom w:val="single" w:sz="8" w:color="2C6937"/>
            </w:tcBorders>
          </w:tcPr>
          <w:p>
            <w:pPr>
              <w:jc w:val="right"/>
              <w:ind w:right="65"/>
              <w:spacing w:after="0"/>
              <w:rPr>
                <w:sz w:val="20"/>
                <w:szCs w:val="20"/>
                <w:color w:val="auto"/>
              </w:rPr>
            </w:pPr>
            <w:r>
              <w:rPr>
                <w:rFonts w:ascii="Arial" w:cs="Arial" w:eastAsia="Arial" w:hAnsi="Arial"/>
                <w:sz w:val="14"/>
                <w:szCs w:val="14"/>
                <w:b w:val="1"/>
                <w:bCs w:val="1"/>
                <w:color w:val="auto"/>
              </w:rPr>
              <w:t>September 30, 2024</w:t>
            </w:r>
          </w:p>
        </w:tc>
        <w:tc>
          <w:tcPr>
            <w:tcW w:w="480" w:type="dxa"/>
            <w:vAlign w:val="bottom"/>
            <w:tcBorders>
              <w:bottom w:val="single" w:sz="8" w:color="2C6937"/>
            </w:tcBorders>
          </w:tcPr>
          <w:p>
            <w:pPr>
              <w:spacing w:after="0"/>
              <w:rPr>
                <w:sz w:val="16"/>
                <w:szCs w:val="16"/>
                <w:color w:val="auto"/>
              </w:rPr>
            </w:pPr>
          </w:p>
        </w:tc>
        <w:tc>
          <w:tcPr>
            <w:tcW w:w="1620" w:type="dxa"/>
            <w:vAlign w:val="bottom"/>
            <w:tcBorders>
              <w:bottom w:val="single" w:sz="8" w:color="2C6937"/>
            </w:tcBorders>
          </w:tcPr>
          <w:p>
            <w:pPr>
              <w:jc w:val="right"/>
              <w:ind w:right="224"/>
              <w:spacing w:after="0"/>
              <w:rPr>
                <w:sz w:val="20"/>
                <w:szCs w:val="20"/>
                <w:color w:val="auto"/>
              </w:rPr>
            </w:pPr>
            <w:r>
              <w:rPr>
                <w:rFonts w:ascii="Arial" w:cs="Arial" w:eastAsia="Arial" w:hAnsi="Arial"/>
                <w:sz w:val="14"/>
                <w:szCs w:val="14"/>
                <w:b w:val="1"/>
                <w:bCs w:val="1"/>
                <w:color w:val="auto"/>
              </w:rPr>
              <w:t>December 31, 2023</w:t>
            </w:r>
          </w:p>
        </w:tc>
      </w:tr>
      <w:tr>
        <w:trPr>
          <w:trHeight w:val="185"/>
        </w:trPr>
        <w:tc>
          <w:tcPr>
            <w:tcW w:w="7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20" w:type="dxa"/>
            <w:vAlign w:val="bottom"/>
            <w:gridSpan w:val="3"/>
          </w:tcPr>
          <w:p>
            <w:pPr>
              <w:jc w:val="right"/>
              <w:ind w:right="1224"/>
              <w:spacing w:after="0"/>
              <w:rPr>
                <w:sz w:val="20"/>
                <w:szCs w:val="20"/>
                <w:color w:val="auto"/>
              </w:rPr>
            </w:pPr>
            <w:r>
              <w:rPr>
                <w:rFonts w:ascii="Arial" w:cs="Arial" w:eastAsia="Arial" w:hAnsi="Arial"/>
                <w:sz w:val="14"/>
                <w:szCs w:val="14"/>
                <w:b w:val="1"/>
                <w:bCs w:val="1"/>
                <w:color w:val="auto"/>
              </w:rPr>
              <w:t>(Dollars in billions)</w:t>
            </w:r>
          </w:p>
        </w:tc>
      </w:tr>
      <w:tr>
        <w:trPr>
          <w:trHeight w:val="208"/>
        </w:trPr>
        <w:tc>
          <w:tcPr>
            <w:tcW w:w="7200" w:type="dxa"/>
            <w:vAlign w:val="bottom"/>
            <w:tcBorders>
              <w:bottom w:val="single" w:sz="8" w:color="2C6937"/>
            </w:tcBorders>
          </w:tcPr>
          <w:p>
            <w:pPr>
              <w:ind w:left="20"/>
              <w:spacing w:after="0" w:line="207" w:lineRule="exact"/>
              <w:rPr>
                <w:sz w:val="20"/>
                <w:szCs w:val="20"/>
                <w:color w:val="auto"/>
              </w:rPr>
            </w:pPr>
            <w:r>
              <w:rPr>
                <w:rFonts w:ascii="Arial" w:cs="Arial" w:eastAsia="Arial" w:hAnsi="Arial"/>
                <w:sz w:val="15"/>
                <w:szCs w:val="15"/>
                <w:b w:val="1"/>
                <w:bCs w:val="1"/>
                <w:color w:val="auto"/>
              </w:rPr>
              <w:t>Selected Weighted-Average Interest Rates</w:t>
            </w:r>
            <w:r>
              <w:rPr>
                <w:rFonts w:ascii="Arial" w:cs="Arial" w:eastAsia="Arial" w:hAnsi="Arial"/>
                <w:sz w:val="20"/>
                <w:szCs w:val="20"/>
                <w:b w:val="1"/>
                <w:bCs w:val="1"/>
                <w:color w:val="auto"/>
                <w:vertAlign w:val="superscript"/>
              </w:rPr>
              <w:t>(1)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198"/>
        </w:trPr>
        <w:tc>
          <w:tcPr>
            <w:tcW w:w="7200" w:type="dxa"/>
            <w:vAlign w:val="bottom"/>
          </w:tcPr>
          <w:p>
            <w:pPr>
              <w:ind w:left="180"/>
              <w:spacing w:after="0"/>
              <w:rPr>
                <w:sz w:val="20"/>
                <w:szCs w:val="20"/>
                <w:color w:val="auto"/>
              </w:rPr>
            </w:pPr>
            <w:r>
              <w:rPr>
                <w:rFonts w:ascii="Arial" w:cs="Arial" w:eastAsia="Arial" w:hAnsi="Arial"/>
                <w:sz w:val="15"/>
                <w:szCs w:val="15"/>
                <w:color w:val="auto"/>
              </w:rPr>
              <w:t>Interest rate on short-term debt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gridSpan w:val="2"/>
          </w:tcPr>
          <w:p>
            <w:pPr>
              <w:jc w:val="right"/>
              <w:ind w:right="247"/>
              <w:spacing w:after="0"/>
              <w:rPr>
                <w:sz w:val="20"/>
                <w:szCs w:val="20"/>
                <w:color w:val="auto"/>
              </w:rPr>
            </w:pPr>
            <w:r>
              <w:rPr>
                <w:rFonts w:ascii="Arial" w:cs="Arial" w:eastAsia="Arial" w:hAnsi="Arial"/>
                <w:sz w:val="15"/>
                <w:szCs w:val="15"/>
                <w:b w:val="1"/>
                <w:bCs w:val="1"/>
                <w:color w:val="auto"/>
              </w:rPr>
              <w:t>5.10 %</w:t>
            </w:r>
          </w:p>
        </w:tc>
        <w:tc>
          <w:tcPr>
            <w:tcW w:w="1620" w:type="dxa"/>
            <w:vAlign w:val="bottom"/>
          </w:tcPr>
          <w:p>
            <w:pPr>
              <w:jc w:val="right"/>
              <w:spacing w:after="0"/>
              <w:rPr>
                <w:sz w:val="20"/>
                <w:szCs w:val="20"/>
                <w:color w:val="auto"/>
              </w:rPr>
            </w:pPr>
            <w:r>
              <w:rPr>
                <w:rFonts w:ascii="Arial" w:cs="Arial" w:eastAsia="Arial" w:hAnsi="Arial"/>
                <w:sz w:val="15"/>
                <w:szCs w:val="15"/>
                <w:color w:val="auto"/>
              </w:rPr>
              <w:t>5.13 %</w:t>
            </w:r>
          </w:p>
        </w:tc>
      </w:tr>
      <w:tr>
        <w:trPr>
          <w:trHeight w:val="206"/>
        </w:trPr>
        <w:tc>
          <w:tcPr>
            <w:tcW w:w="7200" w:type="dxa"/>
            <w:vAlign w:val="bottom"/>
          </w:tcPr>
          <w:p>
            <w:pPr>
              <w:ind w:left="180"/>
              <w:spacing w:after="0"/>
              <w:rPr>
                <w:sz w:val="20"/>
                <w:szCs w:val="20"/>
                <w:color w:val="auto"/>
              </w:rPr>
            </w:pPr>
            <w:r>
              <w:rPr>
                <w:rFonts w:ascii="Arial" w:cs="Arial" w:eastAsia="Arial" w:hAnsi="Arial"/>
                <w:sz w:val="15"/>
                <w:szCs w:val="15"/>
                <w:color w:val="auto"/>
              </w:rPr>
              <w:t>Interest rate on long-term debt, including portion maturing within one year</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b w:val="1"/>
                <w:bCs w:val="1"/>
                <w:color w:val="auto"/>
              </w:rPr>
              <w:t>3.11</w:t>
            </w:r>
          </w:p>
        </w:tc>
        <w:tc>
          <w:tcPr>
            <w:tcW w:w="480" w:type="dxa"/>
            <w:vAlign w:val="bottom"/>
          </w:tcPr>
          <w:p>
            <w:pPr>
              <w:spacing w:after="0"/>
              <w:rPr>
                <w:sz w:val="17"/>
                <w:szCs w:val="17"/>
                <w:color w:val="auto"/>
              </w:rPr>
            </w:pPr>
          </w:p>
        </w:tc>
        <w:tc>
          <w:tcPr>
            <w:tcW w:w="1620" w:type="dxa"/>
            <w:vAlign w:val="bottom"/>
          </w:tcPr>
          <w:p>
            <w:pPr>
              <w:jc w:val="right"/>
              <w:ind w:right="124"/>
              <w:spacing w:after="0"/>
              <w:rPr>
                <w:sz w:val="20"/>
                <w:szCs w:val="20"/>
                <w:color w:val="auto"/>
              </w:rPr>
            </w:pPr>
            <w:r>
              <w:rPr>
                <w:rFonts w:ascii="Arial" w:cs="Arial" w:eastAsia="Arial" w:hAnsi="Arial"/>
                <w:sz w:val="15"/>
                <w:szCs w:val="15"/>
                <w:color w:val="auto"/>
              </w:rPr>
              <w:t>2.63</w:t>
            </w:r>
          </w:p>
        </w:tc>
      </w:tr>
      <w:tr>
        <w:trPr>
          <w:trHeight w:val="206"/>
        </w:trPr>
        <w:tc>
          <w:tcPr>
            <w:tcW w:w="7200" w:type="dxa"/>
            <w:vAlign w:val="bottom"/>
          </w:tcPr>
          <w:p>
            <w:pPr>
              <w:ind w:left="180"/>
              <w:spacing w:after="0"/>
              <w:rPr>
                <w:sz w:val="20"/>
                <w:szCs w:val="20"/>
                <w:color w:val="auto"/>
              </w:rPr>
            </w:pPr>
            <w:r>
              <w:rPr>
                <w:rFonts w:ascii="Arial" w:cs="Arial" w:eastAsia="Arial" w:hAnsi="Arial"/>
                <w:sz w:val="15"/>
                <w:szCs w:val="15"/>
                <w:color w:val="auto"/>
              </w:rPr>
              <w:t>Interest rate on callable debt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b w:val="1"/>
                <w:bCs w:val="1"/>
                <w:color w:val="auto"/>
              </w:rPr>
              <w:t>2.57</w:t>
            </w:r>
          </w:p>
        </w:tc>
        <w:tc>
          <w:tcPr>
            <w:tcW w:w="480" w:type="dxa"/>
            <w:vAlign w:val="bottom"/>
          </w:tcPr>
          <w:p>
            <w:pPr>
              <w:spacing w:after="0"/>
              <w:rPr>
                <w:sz w:val="17"/>
                <w:szCs w:val="17"/>
                <w:color w:val="auto"/>
              </w:rPr>
            </w:pPr>
          </w:p>
        </w:tc>
        <w:tc>
          <w:tcPr>
            <w:tcW w:w="1620" w:type="dxa"/>
            <w:vAlign w:val="bottom"/>
          </w:tcPr>
          <w:p>
            <w:pPr>
              <w:jc w:val="right"/>
              <w:ind w:right="124"/>
              <w:spacing w:after="0"/>
              <w:rPr>
                <w:sz w:val="20"/>
                <w:szCs w:val="20"/>
                <w:color w:val="auto"/>
              </w:rPr>
            </w:pPr>
            <w:r>
              <w:rPr>
                <w:rFonts w:ascii="Arial" w:cs="Arial" w:eastAsia="Arial" w:hAnsi="Arial"/>
                <w:sz w:val="15"/>
                <w:szCs w:val="15"/>
                <w:color w:val="auto"/>
              </w:rPr>
              <w:t>2.41</w:t>
            </w:r>
          </w:p>
        </w:tc>
      </w:tr>
      <w:tr>
        <w:trPr>
          <w:trHeight w:val="208"/>
        </w:trPr>
        <w:tc>
          <w:tcPr>
            <w:tcW w:w="7200" w:type="dxa"/>
            <w:vAlign w:val="bottom"/>
            <w:tcBorders>
              <w:bottom w:val="single" w:sz="8" w:color="2C6937"/>
            </w:tcBorders>
          </w:tcPr>
          <w:p>
            <w:pPr>
              <w:ind w:left="20"/>
              <w:spacing w:after="0"/>
              <w:rPr>
                <w:sz w:val="20"/>
                <w:szCs w:val="20"/>
                <w:color w:val="auto"/>
              </w:rPr>
            </w:pPr>
            <w:r>
              <w:rPr>
                <w:rFonts w:ascii="Arial" w:cs="Arial" w:eastAsia="Arial" w:hAnsi="Arial"/>
                <w:sz w:val="15"/>
                <w:szCs w:val="15"/>
                <w:b w:val="1"/>
                <w:bCs w:val="1"/>
                <w:color w:val="auto"/>
              </w:rPr>
              <w:t>Selected Maturity Data</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198"/>
        </w:trPr>
        <w:tc>
          <w:tcPr>
            <w:tcW w:w="7200" w:type="dxa"/>
            <w:vAlign w:val="bottom"/>
          </w:tcPr>
          <w:p>
            <w:pPr>
              <w:ind w:left="180"/>
              <w:spacing w:after="0"/>
              <w:rPr>
                <w:sz w:val="20"/>
                <w:szCs w:val="20"/>
                <w:color w:val="auto"/>
              </w:rPr>
            </w:pPr>
            <w:r>
              <w:rPr>
                <w:rFonts w:ascii="Arial" w:cs="Arial" w:eastAsia="Arial" w:hAnsi="Arial"/>
                <w:sz w:val="15"/>
                <w:szCs w:val="15"/>
                <w:color w:val="auto"/>
              </w:rPr>
              <w:t>Weighted-average maturity of debt maturing within one year (in days)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b w:val="1"/>
                <w:bCs w:val="1"/>
                <w:color w:val="auto"/>
              </w:rPr>
              <w:t>169</w:t>
            </w:r>
          </w:p>
        </w:tc>
        <w:tc>
          <w:tcPr>
            <w:tcW w:w="480" w:type="dxa"/>
            <w:vAlign w:val="bottom"/>
          </w:tcPr>
          <w:p>
            <w:pPr>
              <w:spacing w:after="0"/>
              <w:rPr>
                <w:sz w:val="17"/>
                <w:szCs w:val="17"/>
                <w:color w:val="auto"/>
              </w:rPr>
            </w:pPr>
          </w:p>
        </w:tc>
        <w:tc>
          <w:tcPr>
            <w:tcW w:w="1620" w:type="dxa"/>
            <w:vAlign w:val="bottom"/>
          </w:tcPr>
          <w:p>
            <w:pPr>
              <w:jc w:val="right"/>
              <w:ind w:right="124"/>
              <w:spacing w:after="0"/>
              <w:rPr>
                <w:sz w:val="20"/>
                <w:szCs w:val="20"/>
                <w:color w:val="auto"/>
              </w:rPr>
            </w:pPr>
            <w:r>
              <w:rPr>
                <w:rFonts w:ascii="Arial" w:cs="Arial" w:eastAsia="Arial" w:hAnsi="Arial"/>
                <w:sz w:val="15"/>
                <w:szCs w:val="15"/>
                <w:color w:val="auto"/>
              </w:rPr>
              <w:t>135</w:t>
            </w:r>
          </w:p>
        </w:tc>
      </w:tr>
      <w:tr>
        <w:trPr>
          <w:trHeight w:val="206"/>
        </w:trPr>
        <w:tc>
          <w:tcPr>
            <w:tcW w:w="7200" w:type="dxa"/>
            <w:vAlign w:val="bottom"/>
          </w:tcPr>
          <w:p>
            <w:pPr>
              <w:ind w:left="180"/>
              <w:spacing w:after="0"/>
              <w:rPr>
                <w:sz w:val="20"/>
                <w:szCs w:val="20"/>
                <w:color w:val="auto"/>
              </w:rPr>
            </w:pPr>
            <w:r>
              <w:rPr>
                <w:rFonts w:ascii="Arial" w:cs="Arial" w:eastAsia="Arial" w:hAnsi="Arial"/>
                <w:sz w:val="15"/>
                <w:szCs w:val="15"/>
                <w:color w:val="auto"/>
              </w:rPr>
              <w:t>Weighted-average maturity of debt maturing in more than one year (in months)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b w:val="1"/>
                <w:bCs w:val="1"/>
                <w:color w:val="auto"/>
              </w:rPr>
              <w:t>45</w:t>
            </w:r>
          </w:p>
        </w:tc>
        <w:tc>
          <w:tcPr>
            <w:tcW w:w="480" w:type="dxa"/>
            <w:vAlign w:val="bottom"/>
          </w:tcPr>
          <w:p>
            <w:pPr>
              <w:spacing w:after="0"/>
              <w:rPr>
                <w:sz w:val="17"/>
                <w:szCs w:val="17"/>
                <w:color w:val="auto"/>
              </w:rPr>
            </w:pPr>
          </w:p>
        </w:tc>
        <w:tc>
          <w:tcPr>
            <w:tcW w:w="1620" w:type="dxa"/>
            <w:vAlign w:val="bottom"/>
          </w:tcPr>
          <w:p>
            <w:pPr>
              <w:jc w:val="right"/>
              <w:ind w:right="124"/>
              <w:spacing w:after="0"/>
              <w:rPr>
                <w:sz w:val="20"/>
                <w:szCs w:val="20"/>
                <w:color w:val="auto"/>
              </w:rPr>
            </w:pPr>
            <w:r>
              <w:rPr>
                <w:rFonts w:ascii="Arial" w:cs="Arial" w:eastAsia="Arial" w:hAnsi="Arial"/>
                <w:sz w:val="15"/>
                <w:szCs w:val="15"/>
                <w:color w:val="auto"/>
              </w:rPr>
              <w:t>46</w:t>
            </w:r>
          </w:p>
        </w:tc>
      </w:tr>
      <w:tr>
        <w:trPr>
          <w:trHeight w:val="208"/>
        </w:trPr>
        <w:tc>
          <w:tcPr>
            <w:tcW w:w="7200" w:type="dxa"/>
            <w:vAlign w:val="bottom"/>
            <w:tcBorders>
              <w:bottom w:val="single" w:sz="8" w:color="2C6937"/>
            </w:tcBorders>
          </w:tcPr>
          <w:p>
            <w:pPr>
              <w:ind w:left="20"/>
              <w:spacing w:after="0"/>
              <w:rPr>
                <w:sz w:val="20"/>
                <w:szCs w:val="20"/>
                <w:color w:val="auto"/>
              </w:rPr>
            </w:pPr>
            <w:r>
              <w:rPr>
                <w:rFonts w:ascii="Arial" w:cs="Arial" w:eastAsia="Arial" w:hAnsi="Arial"/>
                <w:sz w:val="15"/>
                <w:szCs w:val="15"/>
                <w:b w:val="1"/>
                <w:bCs w:val="1"/>
                <w:color w:val="auto"/>
              </w:rPr>
              <w:t>Other Data</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198"/>
        </w:trPr>
        <w:tc>
          <w:tcPr>
            <w:tcW w:w="7200" w:type="dxa"/>
            <w:vAlign w:val="bottom"/>
          </w:tcPr>
          <w:p>
            <w:pPr>
              <w:ind w:left="180"/>
              <w:spacing w:after="0" w:line="198" w:lineRule="exact"/>
              <w:rPr>
                <w:sz w:val="20"/>
                <w:szCs w:val="20"/>
                <w:color w:val="auto"/>
              </w:rPr>
            </w:pPr>
            <w:r>
              <w:rPr>
                <w:rFonts w:ascii="Arial" w:cs="Arial" w:eastAsia="Arial" w:hAnsi="Arial"/>
                <w:sz w:val="15"/>
                <w:szCs w:val="15"/>
                <w:color w:val="auto"/>
              </w:rPr>
              <w:t>Outstanding callable debt</w:t>
            </w:r>
            <w:r>
              <w:rPr>
                <w:rFonts w:ascii="Arial" w:cs="Arial" w:eastAsia="Arial" w:hAnsi="Arial"/>
                <w:sz w:val="20"/>
                <w:szCs w:val="20"/>
                <w:color w:val="auto"/>
                <w:vertAlign w:val="superscript"/>
              </w:rPr>
              <w:t>(2)</w:t>
            </w:r>
          </w:p>
        </w:tc>
        <w:tc>
          <w:tcPr>
            <w:tcW w:w="4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w:t>
            </w:r>
          </w:p>
        </w:tc>
        <w:tc>
          <w:tcPr>
            <w:tcW w:w="1520" w:type="dxa"/>
            <w:vAlign w:val="bottom"/>
          </w:tcPr>
          <w:p>
            <w:pPr>
              <w:jc w:val="right"/>
              <w:spacing w:after="0"/>
              <w:rPr>
                <w:sz w:val="20"/>
                <w:szCs w:val="20"/>
                <w:color w:val="auto"/>
              </w:rPr>
            </w:pPr>
            <w:r>
              <w:rPr>
                <w:rFonts w:ascii="Arial" w:cs="Arial" w:eastAsia="Arial" w:hAnsi="Arial"/>
                <w:sz w:val="15"/>
                <w:szCs w:val="15"/>
                <w:b w:val="1"/>
                <w:bCs w:val="1"/>
                <w:color w:val="auto"/>
              </w:rPr>
              <w:t>39.2</w:t>
            </w:r>
          </w:p>
        </w:tc>
        <w:tc>
          <w:tcPr>
            <w:tcW w:w="48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1620" w:type="dxa"/>
            <w:vAlign w:val="bottom"/>
          </w:tcPr>
          <w:p>
            <w:pPr>
              <w:jc w:val="right"/>
              <w:ind w:right="124"/>
              <w:spacing w:after="0"/>
              <w:rPr>
                <w:sz w:val="20"/>
                <w:szCs w:val="20"/>
                <w:color w:val="auto"/>
              </w:rPr>
            </w:pPr>
            <w:r>
              <w:rPr>
                <w:rFonts w:ascii="Arial" w:cs="Arial" w:eastAsia="Arial" w:hAnsi="Arial"/>
                <w:sz w:val="15"/>
                <w:szCs w:val="15"/>
                <w:color w:val="auto"/>
              </w:rPr>
              <w:t>43.8</w:t>
            </w:r>
          </w:p>
        </w:tc>
      </w:tr>
      <w:tr>
        <w:trPr>
          <w:trHeight w:val="273"/>
        </w:trPr>
        <w:tc>
          <w:tcPr>
            <w:tcW w:w="7200" w:type="dxa"/>
            <w:vAlign w:val="bottom"/>
          </w:tcPr>
          <w:p>
            <w:pPr>
              <w:ind w:left="180"/>
              <w:spacing w:after="0"/>
              <w:rPr>
                <w:sz w:val="20"/>
                <w:szCs w:val="20"/>
                <w:color w:val="auto"/>
              </w:rPr>
            </w:pPr>
            <w:r>
              <w:rPr>
                <w:rFonts w:ascii="Arial" w:cs="Arial" w:eastAsia="Arial" w:hAnsi="Arial"/>
                <w:sz w:val="15"/>
                <w:szCs w:val="15"/>
                <w:color w:val="auto"/>
              </w:rPr>
              <w:t>Connecticut Avenue Securities debt</w:t>
            </w:r>
            <w:r>
              <w:rPr>
                <w:rFonts w:ascii="Arial" w:cs="Arial" w:eastAsia="Arial" w:hAnsi="Arial"/>
                <w:sz w:val="20"/>
                <w:szCs w:val="20"/>
                <w:color w:val="auto"/>
                <w:vertAlign w:val="superscript"/>
              </w:rPr>
              <w:t>(3)</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5"/>
                <w:szCs w:val="15"/>
                <w:b w:val="1"/>
                <w:bCs w:val="1"/>
                <w:color w:val="auto"/>
              </w:rPr>
              <w:t>2.1</w:t>
            </w:r>
          </w:p>
        </w:tc>
        <w:tc>
          <w:tcPr>
            <w:tcW w:w="480" w:type="dxa"/>
            <w:vAlign w:val="bottom"/>
          </w:tcPr>
          <w:p>
            <w:pPr>
              <w:spacing w:after="0"/>
              <w:rPr>
                <w:sz w:val="23"/>
                <w:szCs w:val="23"/>
                <w:color w:val="auto"/>
              </w:rPr>
            </w:pPr>
          </w:p>
        </w:tc>
        <w:tc>
          <w:tcPr>
            <w:tcW w:w="1620" w:type="dxa"/>
            <w:vAlign w:val="bottom"/>
          </w:tcPr>
          <w:p>
            <w:pPr>
              <w:jc w:val="right"/>
              <w:ind w:right="124"/>
              <w:spacing w:after="0"/>
              <w:rPr>
                <w:sz w:val="20"/>
                <w:szCs w:val="20"/>
                <w:color w:val="auto"/>
              </w:rPr>
            </w:pPr>
            <w:r>
              <w:rPr>
                <w:rFonts w:ascii="Arial" w:cs="Arial" w:eastAsia="Arial" w:hAnsi="Arial"/>
                <w:sz w:val="15"/>
                <w:szCs w:val="15"/>
                <w:color w:val="auto"/>
              </w:rPr>
              <w:t>2.8</w:t>
            </w:r>
          </w:p>
        </w:tc>
      </w:tr>
    </w:tbl>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2024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49</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60" w:type="dxa"/>
            <w:vAlign w:val="bottom"/>
            <w:tcBorders>
              <w:bottom w:val="single" w:sz="8" w:color="9A9A9A"/>
            </w:tcBorders>
          </w:tcPr>
          <w:p>
            <w:pPr>
              <w:spacing w:after="0"/>
              <w:rPr>
                <w:sz w:val="17"/>
                <w:szCs w:val="17"/>
                <w:color w:val="auto"/>
              </w:rPr>
            </w:pPr>
          </w:p>
        </w:tc>
        <w:tc>
          <w:tcPr>
            <w:tcW w:w="42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52" w:name="page53"/>
    <w:bookmarkEnd w:id="52"/>
    <w:p>
      <w:pPr>
        <w:ind w:left="854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20" w:hanging="217"/>
        <w:spacing w:after="0"/>
        <w:tabs>
          <w:tab w:leader="none" w:pos="220" w:val="left"/>
        </w:tabs>
        <w:numPr>
          <w:ilvl w:val="0"/>
          <w:numId w:val="52"/>
        </w:numPr>
        <w:rPr>
          <w:rFonts w:ascii="Arial" w:cs="Arial" w:eastAsia="Arial" w:hAnsi="Arial"/>
          <w:sz w:val="18"/>
          <w:szCs w:val="18"/>
          <w:color w:val="auto"/>
          <w:vertAlign w:val="superscript"/>
        </w:rPr>
      </w:pPr>
      <w:r>
        <w:rPr>
          <w:rFonts w:ascii="Arial" w:cs="Arial" w:eastAsia="Arial" w:hAnsi="Arial"/>
          <w:sz w:val="14"/>
          <w:szCs w:val="14"/>
          <w:color w:val="auto"/>
        </w:rPr>
        <w:t>Excludes the effects of fair value adjustments and hedge-related basis adjustments.</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52"/>
        </w:numPr>
        <w:rPr>
          <w:rFonts w:ascii="Arial" w:cs="Arial" w:eastAsia="Arial" w:hAnsi="Arial"/>
          <w:sz w:val="18"/>
          <w:szCs w:val="18"/>
          <w:color w:val="auto"/>
          <w:vertAlign w:val="superscript"/>
        </w:rPr>
      </w:pPr>
      <w:r>
        <w:rPr>
          <w:rFonts w:ascii="Arial" w:cs="Arial" w:eastAsia="Arial" w:hAnsi="Arial"/>
          <w:sz w:val="14"/>
          <w:szCs w:val="14"/>
          <w:color w:val="auto"/>
        </w:rPr>
        <w:t>Includes short-term callable debt of $445 million and $2.6 billion as of September 30, 2024 and December 31, 2023, respectively.</w:t>
      </w:r>
    </w:p>
    <w:p>
      <w:pPr>
        <w:spacing w:after="0" w:line="38" w:lineRule="exact"/>
        <w:rPr>
          <w:rFonts w:ascii="Arial" w:cs="Arial" w:eastAsia="Arial" w:hAnsi="Arial"/>
          <w:sz w:val="18"/>
          <w:szCs w:val="18"/>
          <w:color w:val="auto"/>
          <w:vertAlign w:val="superscript"/>
        </w:rPr>
      </w:pPr>
    </w:p>
    <w:p>
      <w:pPr>
        <w:ind w:left="240" w:right="460" w:hanging="237"/>
        <w:spacing w:after="0" w:line="224" w:lineRule="auto"/>
        <w:tabs>
          <w:tab w:leader="none" w:pos="233" w:val="left"/>
        </w:tabs>
        <w:numPr>
          <w:ilvl w:val="0"/>
          <w:numId w:val="52"/>
        </w:numPr>
        <w:rPr>
          <w:rFonts w:ascii="Arial" w:cs="Arial" w:eastAsia="Arial" w:hAnsi="Arial"/>
          <w:sz w:val="17"/>
          <w:szCs w:val="17"/>
          <w:color w:val="auto"/>
          <w:vertAlign w:val="superscript"/>
        </w:rPr>
      </w:pPr>
      <w:r>
        <w:rPr>
          <w:rFonts w:ascii="Arial" w:cs="Arial" w:eastAsia="Arial" w:hAnsi="Arial"/>
          <w:sz w:val="13"/>
          <w:szCs w:val="13"/>
          <w:color w:val="auto"/>
        </w:rPr>
        <w:t>Represents CAS debt issued prior to November 2018. See “MD&amp;A—Single-Family Business—Single-Family Mortgage Credit Risk Management—Single-Family Credit Enhancement and Transfer of Mortgage Credit Risk—Credit Risk Transfer Transactions” in our 2023 Form 10-K for information regarding our Connecticut Avenue Securities</w:t>
      </w:r>
      <w:r>
        <w:rPr>
          <w:rFonts w:ascii="Arial" w:cs="Arial" w:eastAsia="Arial" w:hAnsi="Arial"/>
          <w:sz w:val="8"/>
          <w:szCs w:val="8"/>
          <w:color w:val="auto"/>
        </w:rPr>
        <w:t>®</w:t>
      </w:r>
      <w:r>
        <w:rPr>
          <w:rFonts w:ascii="Arial" w:cs="Arial" w:eastAsia="Arial" w:hAnsi="Arial"/>
          <w:sz w:val="13"/>
          <w:szCs w:val="13"/>
          <w:color w:val="auto"/>
        </w:rPr>
        <w:t>.</w:t>
      </w:r>
    </w:p>
    <w:p>
      <w:pPr>
        <w:spacing w:after="0" w:line="51"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We intend to repay our short-term and long-term debt obligations as they become due primarily through cash from business operations, the sale of assets in our corporate liquidity portfolio and the issuance of additional debt securities.</w:t>
      </w:r>
    </w:p>
    <w:p>
      <w:pPr>
        <w:spacing w:after="0" w:line="2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For information on the maturity profile of our outstanding long-term debt, see “Note 8, Short-Term and Long-Term Debt” in this report and in our 2023 Form 10-K.</w:t>
      </w:r>
    </w:p>
    <w:p>
      <w:pPr>
        <w:spacing w:after="0" w:line="54"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Debt Funding Activity</w:t>
      </w:r>
    </w:p>
    <w:p>
      <w:pPr>
        <w:spacing w:after="0" w:line="8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table below displays activity in debt of Fannie Mae. This activity excludes the debt of consolidated trusts and intraday borrowing. The reported amounts of debt issued and paid off during each period represent the face amount of the debt at issuance and redemption.</w:t>
      </w:r>
    </w:p>
    <w:p>
      <w:pPr>
        <w:spacing w:after="0" w:line="1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increased our issuance of long-term debt during the third quarter of 2024 compared with the third quarter of 2023, taking advantage of favorable market conditions to issue additional long-term debt to enhance our liquidity position.</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001543"/>
        </w:rPr>
        <w:t>Activity in Debt of Fannie 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22225</wp:posOffset>
            </wp:positionV>
            <wp:extent cx="7122160" cy="165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22160" cy="16510"/>
                    </a:xfrm>
                    <a:prstGeom prst="rect">
                      <a:avLst/>
                    </a:prstGeom>
                    <a:noFill/>
                  </pic:spPr>
                </pic:pic>
              </a:graphicData>
            </a:graphic>
          </wp:anchor>
        </w:drawing>
      </w: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gridSpan w:val="4"/>
          </w:tcPr>
          <w:p>
            <w:pPr>
              <w:spacing w:after="0"/>
              <w:rPr>
                <w:sz w:val="20"/>
                <w:szCs w:val="20"/>
                <w:color w:val="auto"/>
              </w:rPr>
            </w:pPr>
            <w:r>
              <w:rPr>
                <w:rFonts w:ascii="Arial" w:cs="Arial" w:eastAsia="Arial" w:hAnsi="Arial"/>
                <w:sz w:val="14"/>
                <w:szCs w:val="14"/>
                <w:b w:val="1"/>
                <w:bCs w:val="1"/>
                <w:color w:val="auto"/>
              </w:rPr>
              <w:t>For the Three Months Ended September</w:t>
            </w:r>
          </w:p>
        </w:tc>
        <w:tc>
          <w:tcPr>
            <w:tcW w:w="2900" w:type="dxa"/>
            <w:vAlign w:val="bottom"/>
            <w:gridSpan w:val="4"/>
            <w:vMerge w:val="restart"/>
          </w:tcPr>
          <w:p>
            <w:pPr>
              <w:jc w:val="right"/>
              <w:ind w:right="3"/>
              <w:spacing w:after="0"/>
              <w:rPr>
                <w:sz w:val="20"/>
                <w:szCs w:val="20"/>
                <w:color w:val="auto"/>
              </w:rPr>
            </w:pPr>
            <w:r>
              <w:rPr>
                <w:rFonts w:ascii="Arial" w:cs="Arial" w:eastAsia="Arial" w:hAnsi="Arial"/>
                <w:sz w:val="14"/>
                <w:szCs w:val="14"/>
                <w:b w:val="1"/>
                <w:bCs w:val="1"/>
                <w:color w:val="auto"/>
                <w:w w:val="99"/>
              </w:rPr>
              <w:t>For the Nine Months Ended September 30,</w:t>
            </w:r>
          </w:p>
        </w:tc>
        <w:tc>
          <w:tcPr>
            <w:tcW w:w="0" w:type="dxa"/>
            <w:vAlign w:val="bottom"/>
          </w:tcPr>
          <w:p>
            <w:pPr>
              <w:spacing w:after="0"/>
              <w:rPr>
                <w:sz w:val="1"/>
                <w:szCs w:val="1"/>
                <w:color w:val="auto"/>
              </w:rPr>
            </w:pPr>
          </w:p>
        </w:tc>
      </w:tr>
      <w:tr>
        <w:trPr>
          <w:trHeight w:val="177"/>
        </w:trPr>
        <w:tc>
          <w:tcPr>
            <w:tcW w:w="536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680" w:type="dxa"/>
            <w:vAlign w:val="bottom"/>
            <w:tcBorders>
              <w:bottom w:val="single" w:sz="8" w:color="2C6937"/>
            </w:tcBorders>
            <w:gridSpan w:val="2"/>
          </w:tcPr>
          <w:p>
            <w:pPr>
              <w:jc w:val="right"/>
              <w:ind w:right="203"/>
              <w:spacing w:after="0"/>
              <w:rPr>
                <w:sz w:val="20"/>
                <w:szCs w:val="20"/>
                <w:color w:val="auto"/>
              </w:rPr>
            </w:pPr>
            <w:r>
              <w:rPr>
                <w:rFonts w:ascii="Arial" w:cs="Arial" w:eastAsia="Arial" w:hAnsi="Arial"/>
                <w:sz w:val="14"/>
                <w:szCs w:val="14"/>
                <w:b w:val="1"/>
                <w:bCs w:val="1"/>
                <w:color w:val="auto"/>
              </w:rPr>
              <w:t>30,</w:t>
            </w:r>
          </w:p>
        </w:tc>
        <w:tc>
          <w:tcPr>
            <w:tcW w:w="1060" w:type="dxa"/>
            <w:vAlign w:val="bottom"/>
            <w:tcBorders>
              <w:bottom w:val="single" w:sz="8" w:color="2C6937"/>
            </w:tcBorders>
          </w:tcPr>
          <w:p>
            <w:pPr>
              <w:spacing w:after="0"/>
              <w:rPr>
                <w:sz w:val="15"/>
                <w:szCs w:val="15"/>
                <w:color w:val="auto"/>
              </w:rPr>
            </w:pPr>
          </w:p>
        </w:tc>
        <w:tc>
          <w:tcPr>
            <w:tcW w:w="100" w:type="dxa"/>
            <w:vAlign w:val="bottom"/>
          </w:tcPr>
          <w:p>
            <w:pPr>
              <w:spacing w:after="0"/>
              <w:rPr>
                <w:sz w:val="15"/>
                <w:szCs w:val="15"/>
                <w:color w:val="auto"/>
              </w:rPr>
            </w:pPr>
          </w:p>
        </w:tc>
        <w:tc>
          <w:tcPr>
            <w:tcW w:w="2900" w:type="dxa"/>
            <w:vAlign w:val="bottom"/>
            <w:tcBorders>
              <w:bottom w:val="single" w:sz="8" w:color="2C6937"/>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36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320" w:type="dxa"/>
            <w:vAlign w:val="bottom"/>
            <w:tcBorders>
              <w:bottom w:val="single" w:sz="8" w:color="2C6937"/>
            </w:tcBorders>
          </w:tcPr>
          <w:p>
            <w:pPr>
              <w:jc w:val="right"/>
              <w:ind w:right="524"/>
              <w:spacing w:after="0"/>
              <w:rPr>
                <w:sz w:val="20"/>
                <w:szCs w:val="20"/>
                <w:color w:val="auto"/>
              </w:rPr>
            </w:pPr>
            <w:r>
              <w:rPr>
                <w:rFonts w:ascii="Arial" w:cs="Arial" w:eastAsia="Arial" w:hAnsi="Arial"/>
                <w:sz w:val="14"/>
                <w:szCs w:val="14"/>
                <w:b w:val="1"/>
                <w:bCs w:val="1"/>
                <w:color w:val="auto"/>
              </w:rPr>
              <w:t>2024</w:t>
            </w:r>
          </w:p>
        </w:tc>
        <w:tc>
          <w:tcPr>
            <w:tcW w:w="36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tcPr>
          <w:p>
            <w:pPr>
              <w:jc w:val="right"/>
              <w:ind w:right="46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2C6937"/>
            </w:tcBorders>
          </w:tcPr>
          <w:p>
            <w:pPr>
              <w:spacing w:after="0"/>
              <w:rPr>
                <w:sz w:val="16"/>
                <w:szCs w:val="16"/>
                <w:color w:val="auto"/>
              </w:rPr>
            </w:pPr>
          </w:p>
        </w:tc>
        <w:tc>
          <w:tcPr>
            <w:tcW w:w="320" w:type="dxa"/>
            <w:vAlign w:val="bottom"/>
            <w:tcBorders>
              <w:bottom w:val="single" w:sz="8" w:color="2C6937"/>
            </w:tcBorders>
          </w:tcPr>
          <w:p>
            <w:pPr>
              <w:spacing w:after="0"/>
              <w:rPr>
                <w:sz w:val="16"/>
                <w:szCs w:val="16"/>
                <w:color w:val="auto"/>
              </w:rPr>
            </w:pPr>
          </w:p>
        </w:tc>
        <w:tc>
          <w:tcPr>
            <w:tcW w:w="1120" w:type="dxa"/>
            <w:vAlign w:val="bottom"/>
            <w:tcBorders>
              <w:bottom w:val="single" w:sz="8" w:color="2C6937"/>
            </w:tcBorders>
          </w:tcPr>
          <w:p>
            <w:pPr>
              <w:jc w:val="right"/>
              <w:ind w:right="503"/>
              <w:spacing w:after="0"/>
              <w:rPr>
                <w:sz w:val="20"/>
                <w:szCs w:val="20"/>
                <w:color w:val="auto"/>
              </w:rPr>
            </w:pPr>
            <w:r>
              <w:rPr>
                <w:rFonts w:ascii="Arial" w:cs="Arial" w:eastAsia="Arial" w:hAnsi="Arial"/>
                <w:sz w:val="14"/>
                <w:szCs w:val="14"/>
                <w:b w:val="1"/>
                <w:bCs w:val="1"/>
                <w:color w:val="auto"/>
              </w:rPr>
              <w:t>2024</w:t>
            </w:r>
          </w:p>
        </w:tc>
        <w:tc>
          <w:tcPr>
            <w:tcW w:w="380" w:type="dxa"/>
            <w:vAlign w:val="bottom"/>
            <w:tcBorders>
              <w:bottom w:val="single" w:sz="8" w:color="2C6937"/>
            </w:tcBorders>
          </w:tcPr>
          <w:p>
            <w:pPr>
              <w:spacing w:after="0"/>
              <w:rPr>
                <w:sz w:val="16"/>
                <w:szCs w:val="16"/>
                <w:color w:val="auto"/>
              </w:rPr>
            </w:pPr>
          </w:p>
        </w:tc>
        <w:tc>
          <w:tcPr>
            <w:tcW w:w="1080" w:type="dxa"/>
            <w:vAlign w:val="bottom"/>
            <w:tcBorders>
              <w:bottom w:val="single" w:sz="8" w:color="2C6937"/>
            </w:tcBorders>
          </w:tcPr>
          <w:p>
            <w:pPr>
              <w:jc w:val="right"/>
              <w:ind w:right="483"/>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85"/>
        </w:trPr>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0" w:type="dxa"/>
            <w:vAlign w:val="bottom"/>
            <w:gridSpan w:val="4"/>
          </w:tcPr>
          <w:p>
            <w:pPr>
              <w:jc w:val="right"/>
              <w:ind w:right="763"/>
              <w:spacing w:after="0"/>
              <w:rPr>
                <w:sz w:val="20"/>
                <w:szCs w:val="20"/>
                <w:color w:val="auto"/>
              </w:rPr>
            </w:pPr>
            <w:r>
              <w:rPr>
                <w:rFonts w:ascii="Arial" w:cs="Arial" w:eastAsia="Arial" w:hAnsi="Arial"/>
                <w:sz w:val="14"/>
                <w:szCs w:val="14"/>
                <w:b w:val="1"/>
                <w:bCs w:val="1"/>
                <w:color w:val="auto"/>
              </w:rPr>
              <w:t>(Dollars in millions)</w:t>
            </w: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360" w:type="dxa"/>
            <w:vAlign w:val="bottom"/>
            <w:tcBorders>
              <w:bottom w:val="single" w:sz="8" w:color="2C6937"/>
            </w:tcBorders>
          </w:tcPr>
          <w:p>
            <w:pPr>
              <w:ind w:left="20"/>
              <w:spacing w:after="0"/>
              <w:rPr>
                <w:sz w:val="20"/>
                <w:szCs w:val="20"/>
                <w:color w:val="auto"/>
              </w:rPr>
            </w:pPr>
            <w:r>
              <w:rPr>
                <w:rFonts w:ascii="Arial" w:cs="Arial" w:eastAsia="Arial" w:hAnsi="Arial"/>
                <w:sz w:val="15"/>
                <w:szCs w:val="15"/>
                <w:b w:val="1"/>
                <w:bCs w:val="1"/>
                <w:color w:val="auto"/>
              </w:rPr>
              <w:t>Issued during the period:</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360" w:type="dxa"/>
            <w:vAlign w:val="bottom"/>
          </w:tcPr>
          <w:p>
            <w:pPr>
              <w:ind w:left="160"/>
              <w:spacing w:after="0"/>
              <w:rPr>
                <w:sz w:val="20"/>
                <w:szCs w:val="20"/>
                <w:color w:val="auto"/>
              </w:rPr>
            </w:pPr>
            <w:r>
              <w:rPr>
                <w:rFonts w:ascii="Arial" w:cs="Arial" w:eastAsia="Arial" w:hAnsi="Arial"/>
                <w:sz w:val="15"/>
                <w:szCs w:val="15"/>
                <w:color w:val="auto"/>
              </w:rPr>
              <w:t>Short-term:</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360" w:type="dxa"/>
            <w:vAlign w:val="bottom"/>
          </w:tcPr>
          <w:p>
            <w:pPr>
              <w:ind w:left="320"/>
              <w:spacing w:after="0"/>
              <w:rPr>
                <w:sz w:val="20"/>
                <w:szCs w:val="20"/>
                <w:color w:val="auto"/>
              </w:rPr>
            </w:pPr>
            <w:r>
              <w:rPr>
                <w:rFonts w:ascii="Arial" w:cs="Arial" w:eastAsia="Arial" w:hAnsi="Arial"/>
                <w:sz w:val="15"/>
                <w:szCs w:val="15"/>
                <w:color w:val="auto"/>
              </w:rPr>
              <w:t>Amount</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320" w:type="dxa"/>
            <w:vAlign w:val="bottom"/>
          </w:tcPr>
          <w:p>
            <w:pPr>
              <w:jc w:val="right"/>
              <w:ind w:right="184"/>
              <w:spacing w:after="0"/>
              <w:rPr>
                <w:sz w:val="20"/>
                <w:szCs w:val="20"/>
                <w:color w:val="auto"/>
              </w:rPr>
            </w:pPr>
            <w:r>
              <w:rPr>
                <w:rFonts w:ascii="Arial" w:cs="Arial" w:eastAsia="Arial" w:hAnsi="Arial"/>
                <w:sz w:val="15"/>
                <w:szCs w:val="15"/>
                <w:b w:val="1"/>
                <w:bCs w:val="1"/>
                <w:color w:val="auto"/>
              </w:rPr>
              <w:t>54,196</w:t>
            </w:r>
          </w:p>
        </w:tc>
        <w:tc>
          <w:tcPr>
            <w:tcW w:w="36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124"/>
              <w:spacing w:after="0"/>
              <w:rPr>
                <w:sz w:val="20"/>
                <w:szCs w:val="20"/>
                <w:color w:val="auto"/>
              </w:rPr>
            </w:pPr>
            <w:r>
              <w:rPr>
                <w:rFonts w:ascii="Arial" w:cs="Arial" w:eastAsia="Arial" w:hAnsi="Arial"/>
                <w:sz w:val="15"/>
                <w:szCs w:val="15"/>
                <w:color w:val="auto"/>
              </w:rPr>
              <w:t>53,770</w:t>
            </w:r>
          </w:p>
        </w:tc>
        <w:tc>
          <w:tcPr>
            <w:tcW w:w="10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b w:val="1"/>
                <w:bCs w:val="1"/>
                <w:color w:val="auto"/>
                <w:w w:val="95"/>
              </w:rPr>
              <w:t>$</w:t>
            </w:r>
          </w:p>
        </w:tc>
        <w:tc>
          <w:tcPr>
            <w:tcW w:w="1120" w:type="dxa"/>
            <w:vAlign w:val="bottom"/>
          </w:tcPr>
          <w:p>
            <w:pPr>
              <w:jc w:val="right"/>
              <w:ind w:right="163"/>
              <w:spacing w:after="0"/>
              <w:rPr>
                <w:sz w:val="20"/>
                <w:szCs w:val="20"/>
                <w:color w:val="auto"/>
              </w:rPr>
            </w:pPr>
            <w:r>
              <w:rPr>
                <w:rFonts w:ascii="Arial" w:cs="Arial" w:eastAsia="Arial" w:hAnsi="Arial"/>
                <w:sz w:val="15"/>
                <w:szCs w:val="15"/>
                <w:b w:val="1"/>
                <w:bCs w:val="1"/>
                <w:color w:val="auto"/>
              </w:rPr>
              <w:t>195,354</w:t>
            </w:r>
          </w:p>
        </w:tc>
        <w:tc>
          <w:tcPr>
            <w:tcW w:w="3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123"/>
              <w:spacing w:after="0"/>
              <w:rPr>
                <w:sz w:val="20"/>
                <w:szCs w:val="20"/>
                <w:color w:val="auto"/>
              </w:rPr>
            </w:pPr>
            <w:r>
              <w:rPr>
                <w:rFonts w:ascii="Arial" w:cs="Arial" w:eastAsia="Arial" w:hAnsi="Arial"/>
                <w:sz w:val="15"/>
                <w:szCs w:val="15"/>
                <w:color w:val="auto"/>
              </w:rPr>
              <w:t>164,921</w:t>
            </w:r>
          </w:p>
        </w:tc>
        <w:tc>
          <w:tcPr>
            <w:tcW w:w="0" w:type="dxa"/>
            <w:vAlign w:val="bottom"/>
          </w:tcPr>
          <w:p>
            <w:pPr>
              <w:spacing w:after="0"/>
              <w:rPr>
                <w:sz w:val="1"/>
                <w:szCs w:val="1"/>
                <w:color w:val="auto"/>
              </w:rPr>
            </w:pPr>
          </w:p>
        </w:tc>
      </w:tr>
      <w:tr>
        <w:trPr>
          <w:trHeight w:val="208"/>
        </w:trPr>
        <w:tc>
          <w:tcPr>
            <w:tcW w:w="5360" w:type="dxa"/>
            <w:vAlign w:val="bottom"/>
          </w:tcPr>
          <w:p>
            <w:pPr>
              <w:ind w:left="320"/>
              <w:spacing w:after="0"/>
              <w:rPr>
                <w:sz w:val="20"/>
                <w:szCs w:val="20"/>
                <w:color w:val="auto"/>
              </w:rPr>
            </w:pPr>
            <w:r>
              <w:rPr>
                <w:rFonts w:ascii="Arial" w:cs="Arial" w:eastAsia="Arial" w:hAnsi="Arial"/>
                <w:sz w:val="15"/>
                <w:szCs w:val="15"/>
                <w:color w:val="auto"/>
              </w:rPr>
              <w:t>Weighted-average interest rate</w:t>
            </w:r>
          </w:p>
        </w:tc>
        <w:tc>
          <w:tcPr>
            <w:tcW w:w="120" w:type="dxa"/>
            <w:vAlign w:val="bottom"/>
          </w:tcPr>
          <w:p>
            <w:pPr>
              <w:spacing w:after="0"/>
              <w:rPr>
                <w:sz w:val="18"/>
                <w:szCs w:val="18"/>
                <w:color w:val="auto"/>
              </w:rPr>
            </w:pPr>
          </w:p>
        </w:tc>
        <w:tc>
          <w:tcPr>
            <w:tcW w:w="1320" w:type="dxa"/>
            <w:vAlign w:val="bottom"/>
          </w:tcPr>
          <w:p>
            <w:pPr>
              <w:jc w:val="right"/>
              <w:ind w:right="4"/>
              <w:spacing w:after="0"/>
              <w:rPr>
                <w:sz w:val="20"/>
                <w:szCs w:val="20"/>
                <w:color w:val="auto"/>
              </w:rPr>
            </w:pPr>
            <w:r>
              <w:rPr>
                <w:rFonts w:ascii="Arial" w:cs="Arial" w:eastAsia="Arial" w:hAnsi="Arial"/>
                <w:sz w:val="15"/>
                <w:szCs w:val="15"/>
                <w:b w:val="1"/>
                <w:bCs w:val="1"/>
                <w:color w:val="auto"/>
              </w:rPr>
              <w:t>5.21 %</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5.11 %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5.27 %</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4.72 %</w:t>
            </w:r>
          </w:p>
        </w:tc>
        <w:tc>
          <w:tcPr>
            <w:tcW w:w="0" w:type="dxa"/>
            <w:vAlign w:val="bottom"/>
          </w:tcPr>
          <w:p>
            <w:pPr>
              <w:spacing w:after="0"/>
              <w:rPr>
                <w:sz w:val="1"/>
                <w:szCs w:val="1"/>
                <w:color w:val="auto"/>
              </w:rPr>
            </w:pPr>
          </w:p>
        </w:tc>
      </w:tr>
      <w:tr>
        <w:trPr>
          <w:trHeight w:val="204"/>
        </w:trPr>
        <w:tc>
          <w:tcPr>
            <w:tcW w:w="5360" w:type="dxa"/>
            <w:vAlign w:val="bottom"/>
          </w:tcPr>
          <w:p>
            <w:pPr>
              <w:ind w:left="160"/>
              <w:spacing w:after="0"/>
              <w:rPr>
                <w:sz w:val="20"/>
                <w:szCs w:val="20"/>
                <w:color w:val="auto"/>
              </w:rPr>
            </w:pPr>
            <w:r>
              <w:rPr>
                <w:rFonts w:ascii="Arial" w:cs="Arial" w:eastAsia="Arial" w:hAnsi="Arial"/>
                <w:sz w:val="15"/>
                <w:szCs w:val="15"/>
                <w:color w:val="auto"/>
              </w:rPr>
              <w:t>Long-term:</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360" w:type="dxa"/>
            <w:vAlign w:val="bottom"/>
          </w:tcPr>
          <w:p>
            <w:pPr>
              <w:ind w:left="320"/>
              <w:spacing w:after="0"/>
              <w:rPr>
                <w:sz w:val="20"/>
                <w:szCs w:val="20"/>
                <w:color w:val="auto"/>
              </w:rPr>
            </w:pPr>
            <w:r>
              <w:rPr>
                <w:rFonts w:ascii="Arial" w:cs="Arial" w:eastAsia="Arial" w:hAnsi="Arial"/>
                <w:sz w:val="15"/>
                <w:szCs w:val="15"/>
                <w:color w:val="auto"/>
              </w:rPr>
              <w:t>Amount</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320" w:type="dxa"/>
            <w:vAlign w:val="bottom"/>
          </w:tcPr>
          <w:p>
            <w:pPr>
              <w:jc w:val="right"/>
              <w:ind w:right="184"/>
              <w:spacing w:after="0"/>
              <w:rPr>
                <w:sz w:val="20"/>
                <w:szCs w:val="20"/>
                <w:color w:val="auto"/>
              </w:rPr>
            </w:pPr>
            <w:r>
              <w:rPr>
                <w:rFonts w:ascii="Arial" w:cs="Arial" w:eastAsia="Arial" w:hAnsi="Arial"/>
                <w:sz w:val="15"/>
                <w:szCs w:val="15"/>
                <w:b w:val="1"/>
                <w:bCs w:val="1"/>
                <w:color w:val="auto"/>
              </w:rPr>
              <w:t>13,605</w:t>
            </w:r>
          </w:p>
        </w:tc>
        <w:tc>
          <w:tcPr>
            <w:tcW w:w="36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124"/>
              <w:spacing w:after="0"/>
              <w:rPr>
                <w:sz w:val="20"/>
                <w:szCs w:val="20"/>
                <w:color w:val="auto"/>
              </w:rPr>
            </w:pPr>
            <w:r>
              <w:rPr>
                <w:rFonts w:ascii="Arial" w:cs="Arial" w:eastAsia="Arial" w:hAnsi="Arial"/>
                <w:sz w:val="15"/>
                <w:szCs w:val="15"/>
                <w:color w:val="auto"/>
              </w:rPr>
              <w:t>1,515</w:t>
            </w:r>
          </w:p>
        </w:tc>
        <w:tc>
          <w:tcPr>
            <w:tcW w:w="10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b w:val="1"/>
                <w:bCs w:val="1"/>
                <w:color w:val="auto"/>
                <w:w w:val="95"/>
              </w:rPr>
              <w:t>$</w:t>
            </w:r>
          </w:p>
        </w:tc>
        <w:tc>
          <w:tcPr>
            <w:tcW w:w="1120" w:type="dxa"/>
            <w:vAlign w:val="bottom"/>
          </w:tcPr>
          <w:p>
            <w:pPr>
              <w:jc w:val="right"/>
              <w:ind w:right="163"/>
              <w:spacing w:after="0"/>
              <w:rPr>
                <w:sz w:val="20"/>
                <w:szCs w:val="20"/>
                <w:color w:val="auto"/>
              </w:rPr>
            </w:pPr>
            <w:r>
              <w:rPr>
                <w:rFonts w:ascii="Arial" w:cs="Arial" w:eastAsia="Arial" w:hAnsi="Arial"/>
                <w:sz w:val="15"/>
                <w:szCs w:val="15"/>
                <w:b w:val="1"/>
                <w:bCs w:val="1"/>
                <w:color w:val="auto"/>
              </w:rPr>
              <w:t>23,462</w:t>
            </w:r>
          </w:p>
        </w:tc>
        <w:tc>
          <w:tcPr>
            <w:tcW w:w="3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123"/>
              <w:spacing w:after="0"/>
              <w:rPr>
                <w:sz w:val="20"/>
                <w:szCs w:val="20"/>
                <w:color w:val="auto"/>
              </w:rPr>
            </w:pPr>
            <w:r>
              <w:rPr>
                <w:rFonts w:ascii="Arial" w:cs="Arial" w:eastAsia="Arial" w:hAnsi="Arial"/>
                <w:sz w:val="15"/>
                <w:szCs w:val="15"/>
                <w:color w:val="auto"/>
              </w:rPr>
              <w:t>7,476</w:t>
            </w:r>
          </w:p>
        </w:tc>
        <w:tc>
          <w:tcPr>
            <w:tcW w:w="0" w:type="dxa"/>
            <w:vAlign w:val="bottom"/>
          </w:tcPr>
          <w:p>
            <w:pPr>
              <w:spacing w:after="0"/>
              <w:rPr>
                <w:sz w:val="1"/>
                <w:szCs w:val="1"/>
                <w:color w:val="auto"/>
              </w:rPr>
            </w:pPr>
          </w:p>
        </w:tc>
      </w:tr>
      <w:tr>
        <w:trPr>
          <w:trHeight w:val="208"/>
        </w:trPr>
        <w:tc>
          <w:tcPr>
            <w:tcW w:w="5360" w:type="dxa"/>
            <w:vAlign w:val="bottom"/>
          </w:tcPr>
          <w:p>
            <w:pPr>
              <w:ind w:left="320"/>
              <w:spacing w:after="0"/>
              <w:rPr>
                <w:sz w:val="20"/>
                <w:szCs w:val="20"/>
                <w:color w:val="auto"/>
              </w:rPr>
            </w:pPr>
            <w:r>
              <w:rPr>
                <w:rFonts w:ascii="Arial" w:cs="Arial" w:eastAsia="Arial" w:hAnsi="Arial"/>
                <w:sz w:val="15"/>
                <w:szCs w:val="15"/>
                <w:color w:val="auto"/>
              </w:rPr>
              <w:t>Weighted-average interest rate</w:t>
            </w:r>
          </w:p>
        </w:tc>
        <w:tc>
          <w:tcPr>
            <w:tcW w:w="120" w:type="dxa"/>
            <w:vAlign w:val="bottom"/>
          </w:tcPr>
          <w:p>
            <w:pPr>
              <w:spacing w:after="0"/>
              <w:rPr>
                <w:sz w:val="18"/>
                <w:szCs w:val="18"/>
                <w:color w:val="auto"/>
              </w:rPr>
            </w:pPr>
          </w:p>
        </w:tc>
        <w:tc>
          <w:tcPr>
            <w:tcW w:w="1320" w:type="dxa"/>
            <w:vAlign w:val="bottom"/>
          </w:tcPr>
          <w:p>
            <w:pPr>
              <w:jc w:val="right"/>
              <w:ind w:right="4"/>
              <w:spacing w:after="0"/>
              <w:rPr>
                <w:sz w:val="20"/>
                <w:szCs w:val="20"/>
                <w:color w:val="auto"/>
              </w:rPr>
            </w:pPr>
            <w:r>
              <w:rPr>
                <w:rFonts w:ascii="Arial" w:cs="Arial" w:eastAsia="Arial" w:hAnsi="Arial"/>
                <w:sz w:val="15"/>
                <w:szCs w:val="15"/>
                <w:b w:val="1"/>
                <w:bCs w:val="1"/>
                <w:color w:val="auto"/>
              </w:rPr>
              <w:t>5.22 %</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5.22 %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5.19 %</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5.31 %</w:t>
            </w:r>
          </w:p>
        </w:tc>
        <w:tc>
          <w:tcPr>
            <w:tcW w:w="0" w:type="dxa"/>
            <w:vAlign w:val="bottom"/>
          </w:tcPr>
          <w:p>
            <w:pPr>
              <w:spacing w:after="0"/>
              <w:rPr>
                <w:sz w:val="1"/>
                <w:szCs w:val="1"/>
                <w:color w:val="auto"/>
              </w:rPr>
            </w:pPr>
          </w:p>
        </w:tc>
      </w:tr>
      <w:tr>
        <w:trPr>
          <w:trHeight w:val="204"/>
        </w:trPr>
        <w:tc>
          <w:tcPr>
            <w:tcW w:w="5360" w:type="dxa"/>
            <w:vAlign w:val="bottom"/>
          </w:tcPr>
          <w:p>
            <w:pPr>
              <w:ind w:left="160"/>
              <w:spacing w:after="0"/>
              <w:rPr>
                <w:sz w:val="20"/>
                <w:szCs w:val="20"/>
                <w:color w:val="auto"/>
              </w:rPr>
            </w:pPr>
            <w:r>
              <w:rPr>
                <w:rFonts w:ascii="Arial" w:cs="Arial" w:eastAsia="Arial" w:hAnsi="Arial"/>
                <w:sz w:val="15"/>
                <w:szCs w:val="15"/>
                <w:color w:val="auto"/>
              </w:rPr>
              <w:t>Total issued:</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360" w:type="dxa"/>
            <w:vAlign w:val="bottom"/>
          </w:tcPr>
          <w:p>
            <w:pPr>
              <w:ind w:left="320"/>
              <w:spacing w:after="0"/>
              <w:rPr>
                <w:sz w:val="20"/>
                <w:szCs w:val="20"/>
                <w:color w:val="auto"/>
              </w:rPr>
            </w:pPr>
            <w:r>
              <w:rPr>
                <w:rFonts w:ascii="Arial" w:cs="Arial" w:eastAsia="Arial" w:hAnsi="Arial"/>
                <w:sz w:val="15"/>
                <w:szCs w:val="15"/>
                <w:color w:val="auto"/>
              </w:rPr>
              <w:t>Amount</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320" w:type="dxa"/>
            <w:vAlign w:val="bottom"/>
          </w:tcPr>
          <w:p>
            <w:pPr>
              <w:jc w:val="right"/>
              <w:ind w:right="184"/>
              <w:spacing w:after="0"/>
              <w:rPr>
                <w:sz w:val="20"/>
                <w:szCs w:val="20"/>
                <w:color w:val="auto"/>
              </w:rPr>
            </w:pPr>
            <w:r>
              <w:rPr>
                <w:rFonts w:ascii="Arial" w:cs="Arial" w:eastAsia="Arial" w:hAnsi="Arial"/>
                <w:sz w:val="15"/>
                <w:szCs w:val="15"/>
                <w:b w:val="1"/>
                <w:bCs w:val="1"/>
                <w:color w:val="auto"/>
              </w:rPr>
              <w:t>67,801</w:t>
            </w:r>
          </w:p>
        </w:tc>
        <w:tc>
          <w:tcPr>
            <w:tcW w:w="36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124"/>
              <w:spacing w:after="0"/>
              <w:rPr>
                <w:sz w:val="20"/>
                <w:szCs w:val="20"/>
                <w:color w:val="auto"/>
              </w:rPr>
            </w:pPr>
            <w:r>
              <w:rPr>
                <w:rFonts w:ascii="Arial" w:cs="Arial" w:eastAsia="Arial" w:hAnsi="Arial"/>
                <w:sz w:val="15"/>
                <w:szCs w:val="15"/>
                <w:color w:val="auto"/>
              </w:rPr>
              <w:t>55,285</w:t>
            </w:r>
          </w:p>
        </w:tc>
        <w:tc>
          <w:tcPr>
            <w:tcW w:w="10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b w:val="1"/>
                <w:bCs w:val="1"/>
                <w:color w:val="auto"/>
                <w:w w:val="95"/>
              </w:rPr>
              <w:t>$</w:t>
            </w:r>
          </w:p>
        </w:tc>
        <w:tc>
          <w:tcPr>
            <w:tcW w:w="1120" w:type="dxa"/>
            <w:vAlign w:val="bottom"/>
          </w:tcPr>
          <w:p>
            <w:pPr>
              <w:jc w:val="right"/>
              <w:ind w:right="163"/>
              <w:spacing w:after="0"/>
              <w:rPr>
                <w:sz w:val="20"/>
                <w:szCs w:val="20"/>
                <w:color w:val="auto"/>
              </w:rPr>
            </w:pPr>
            <w:r>
              <w:rPr>
                <w:rFonts w:ascii="Arial" w:cs="Arial" w:eastAsia="Arial" w:hAnsi="Arial"/>
                <w:sz w:val="15"/>
                <w:szCs w:val="15"/>
                <w:b w:val="1"/>
                <w:bCs w:val="1"/>
                <w:color w:val="auto"/>
              </w:rPr>
              <w:t>218,816</w:t>
            </w:r>
          </w:p>
        </w:tc>
        <w:tc>
          <w:tcPr>
            <w:tcW w:w="3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123"/>
              <w:spacing w:after="0"/>
              <w:rPr>
                <w:sz w:val="20"/>
                <w:szCs w:val="20"/>
                <w:color w:val="auto"/>
              </w:rPr>
            </w:pPr>
            <w:r>
              <w:rPr>
                <w:rFonts w:ascii="Arial" w:cs="Arial" w:eastAsia="Arial" w:hAnsi="Arial"/>
                <w:sz w:val="15"/>
                <w:szCs w:val="15"/>
                <w:color w:val="auto"/>
              </w:rPr>
              <w:t>172,397</w:t>
            </w:r>
          </w:p>
        </w:tc>
        <w:tc>
          <w:tcPr>
            <w:tcW w:w="0" w:type="dxa"/>
            <w:vAlign w:val="bottom"/>
          </w:tcPr>
          <w:p>
            <w:pPr>
              <w:spacing w:after="0"/>
              <w:rPr>
                <w:sz w:val="1"/>
                <w:szCs w:val="1"/>
                <w:color w:val="auto"/>
              </w:rPr>
            </w:pPr>
          </w:p>
        </w:tc>
      </w:tr>
      <w:tr>
        <w:trPr>
          <w:trHeight w:val="206"/>
        </w:trPr>
        <w:tc>
          <w:tcPr>
            <w:tcW w:w="5360" w:type="dxa"/>
            <w:vAlign w:val="bottom"/>
          </w:tcPr>
          <w:p>
            <w:pPr>
              <w:ind w:left="320"/>
              <w:spacing w:after="0"/>
              <w:rPr>
                <w:sz w:val="20"/>
                <w:szCs w:val="20"/>
                <w:color w:val="auto"/>
              </w:rPr>
            </w:pPr>
            <w:r>
              <w:rPr>
                <w:rFonts w:ascii="Arial" w:cs="Arial" w:eastAsia="Arial" w:hAnsi="Arial"/>
                <w:sz w:val="15"/>
                <w:szCs w:val="15"/>
                <w:color w:val="auto"/>
              </w:rPr>
              <w:t>Weighted-average interest rate</w:t>
            </w:r>
          </w:p>
        </w:tc>
        <w:tc>
          <w:tcPr>
            <w:tcW w:w="120" w:type="dxa"/>
            <w:vAlign w:val="bottom"/>
          </w:tcPr>
          <w:p>
            <w:pPr>
              <w:spacing w:after="0"/>
              <w:rPr>
                <w:sz w:val="17"/>
                <w:szCs w:val="17"/>
                <w:color w:val="auto"/>
              </w:rPr>
            </w:pPr>
          </w:p>
        </w:tc>
        <w:tc>
          <w:tcPr>
            <w:tcW w:w="1320" w:type="dxa"/>
            <w:vAlign w:val="bottom"/>
          </w:tcPr>
          <w:p>
            <w:pPr>
              <w:jc w:val="right"/>
              <w:ind w:right="4"/>
              <w:spacing w:after="0"/>
              <w:rPr>
                <w:sz w:val="20"/>
                <w:szCs w:val="20"/>
                <w:color w:val="auto"/>
              </w:rPr>
            </w:pPr>
            <w:r>
              <w:rPr>
                <w:rFonts w:ascii="Arial" w:cs="Arial" w:eastAsia="Arial" w:hAnsi="Arial"/>
                <w:sz w:val="15"/>
                <w:szCs w:val="15"/>
                <w:b w:val="1"/>
                <w:bCs w:val="1"/>
                <w:color w:val="auto"/>
              </w:rPr>
              <w:t>5.21 %</w:t>
            </w: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5.12 %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5.26 %</w:t>
            </w:r>
          </w:p>
        </w:tc>
        <w:tc>
          <w:tcPr>
            <w:tcW w:w="3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4.74 %</w:t>
            </w:r>
          </w:p>
        </w:tc>
        <w:tc>
          <w:tcPr>
            <w:tcW w:w="0" w:type="dxa"/>
            <w:vAlign w:val="bottom"/>
          </w:tcPr>
          <w:p>
            <w:pPr>
              <w:spacing w:after="0"/>
              <w:rPr>
                <w:sz w:val="1"/>
                <w:szCs w:val="1"/>
                <w:color w:val="auto"/>
              </w:rPr>
            </w:pPr>
          </w:p>
        </w:tc>
      </w:tr>
      <w:tr>
        <w:trPr>
          <w:trHeight w:val="208"/>
        </w:trPr>
        <w:tc>
          <w:tcPr>
            <w:tcW w:w="5360" w:type="dxa"/>
            <w:vAlign w:val="bottom"/>
            <w:tcBorders>
              <w:bottom w:val="single" w:sz="8" w:color="2C6937"/>
            </w:tcBorders>
          </w:tcPr>
          <w:p>
            <w:pPr>
              <w:ind w:left="20"/>
              <w:spacing w:after="0" w:line="207" w:lineRule="exact"/>
              <w:rPr>
                <w:sz w:val="20"/>
                <w:szCs w:val="20"/>
                <w:color w:val="auto"/>
              </w:rPr>
            </w:pPr>
            <w:r>
              <w:rPr>
                <w:rFonts w:ascii="Arial" w:cs="Arial" w:eastAsia="Arial" w:hAnsi="Arial"/>
                <w:sz w:val="15"/>
                <w:szCs w:val="15"/>
                <w:b w:val="1"/>
                <w:bCs w:val="1"/>
                <w:color w:val="auto"/>
              </w:rPr>
              <w:t>Paid off during the period:</w:t>
            </w:r>
            <w:r>
              <w:rPr>
                <w:rFonts w:ascii="Arial" w:cs="Arial" w:eastAsia="Arial" w:hAnsi="Arial"/>
                <w:sz w:val="20"/>
                <w:szCs w:val="20"/>
                <w:color w:val="auto"/>
                <w:vertAlign w:val="superscript"/>
              </w:rPr>
              <w:t>(1)</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360" w:type="dxa"/>
            <w:vAlign w:val="bottom"/>
          </w:tcPr>
          <w:p>
            <w:pPr>
              <w:ind w:left="160"/>
              <w:spacing w:after="0"/>
              <w:rPr>
                <w:sz w:val="20"/>
                <w:szCs w:val="20"/>
                <w:color w:val="auto"/>
              </w:rPr>
            </w:pPr>
            <w:r>
              <w:rPr>
                <w:rFonts w:ascii="Arial" w:cs="Arial" w:eastAsia="Arial" w:hAnsi="Arial"/>
                <w:sz w:val="15"/>
                <w:szCs w:val="15"/>
                <w:color w:val="auto"/>
              </w:rPr>
              <w:t>Short-term:</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360" w:type="dxa"/>
            <w:vAlign w:val="bottom"/>
          </w:tcPr>
          <w:p>
            <w:pPr>
              <w:ind w:left="320"/>
              <w:spacing w:after="0"/>
              <w:rPr>
                <w:sz w:val="20"/>
                <w:szCs w:val="20"/>
                <w:color w:val="auto"/>
              </w:rPr>
            </w:pPr>
            <w:r>
              <w:rPr>
                <w:rFonts w:ascii="Arial" w:cs="Arial" w:eastAsia="Arial" w:hAnsi="Arial"/>
                <w:sz w:val="15"/>
                <w:szCs w:val="15"/>
                <w:color w:val="auto"/>
              </w:rPr>
              <w:t>Amount</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320" w:type="dxa"/>
            <w:vAlign w:val="bottom"/>
          </w:tcPr>
          <w:p>
            <w:pPr>
              <w:jc w:val="right"/>
              <w:ind w:right="184"/>
              <w:spacing w:after="0"/>
              <w:rPr>
                <w:sz w:val="20"/>
                <w:szCs w:val="20"/>
                <w:color w:val="auto"/>
              </w:rPr>
            </w:pPr>
            <w:r>
              <w:rPr>
                <w:rFonts w:ascii="Arial" w:cs="Arial" w:eastAsia="Arial" w:hAnsi="Arial"/>
                <w:sz w:val="15"/>
                <w:szCs w:val="15"/>
                <w:b w:val="1"/>
                <w:bCs w:val="1"/>
                <w:color w:val="auto"/>
              </w:rPr>
              <w:t>54,804</w:t>
            </w:r>
          </w:p>
        </w:tc>
        <w:tc>
          <w:tcPr>
            <w:tcW w:w="36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124"/>
              <w:spacing w:after="0"/>
              <w:rPr>
                <w:sz w:val="20"/>
                <w:szCs w:val="20"/>
                <w:color w:val="auto"/>
              </w:rPr>
            </w:pPr>
            <w:r>
              <w:rPr>
                <w:rFonts w:ascii="Arial" w:cs="Arial" w:eastAsia="Arial" w:hAnsi="Arial"/>
                <w:sz w:val="15"/>
                <w:szCs w:val="15"/>
                <w:color w:val="auto"/>
              </w:rPr>
              <w:t>55,156</w:t>
            </w:r>
          </w:p>
        </w:tc>
        <w:tc>
          <w:tcPr>
            <w:tcW w:w="10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b w:val="1"/>
                <w:bCs w:val="1"/>
                <w:color w:val="auto"/>
                <w:w w:val="95"/>
              </w:rPr>
              <w:t>$</w:t>
            </w:r>
          </w:p>
        </w:tc>
        <w:tc>
          <w:tcPr>
            <w:tcW w:w="1120" w:type="dxa"/>
            <w:vAlign w:val="bottom"/>
          </w:tcPr>
          <w:p>
            <w:pPr>
              <w:jc w:val="right"/>
              <w:ind w:right="163"/>
              <w:spacing w:after="0"/>
              <w:rPr>
                <w:sz w:val="20"/>
                <w:szCs w:val="20"/>
                <w:color w:val="auto"/>
              </w:rPr>
            </w:pPr>
            <w:r>
              <w:rPr>
                <w:rFonts w:ascii="Arial" w:cs="Arial" w:eastAsia="Arial" w:hAnsi="Arial"/>
                <w:sz w:val="15"/>
                <w:szCs w:val="15"/>
                <w:b w:val="1"/>
                <w:bCs w:val="1"/>
                <w:color w:val="auto"/>
              </w:rPr>
              <w:t>201,263</w:t>
            </w:r>
          </w:p>
        </w:tc>
        <w:tc>
          <w:tcPr>
            <w:tcW w:w="3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123"/>
              <w:spacing w:after="0"/>
              <w:rPr>
                <w:sz w:val="20"/>
                <w:szCs w:val="20"/>
                <w:color w:val="auto"/>
              </w:rPr>
            </w:pPr>
            <w:r>
              <w:rPr>
                <w:rFonts w:ascii="Arial" w:cs="Arial" w:eastAsia="Arial" w:hAnsi="Arial"/>
                <w:sz w:val="15"/>
                <w:szCs w:val="15"/>
                <w:color w:val="auto"/>
              </w:rPr>
              <w:t>160,867</w:t>
            </w:r>
          </w:p>
        </w:tc>
        <w:tc>
          <w:tcPr>
            <w:tcW w:w="0" w:type="dxa"/>
            <w:vAlign w:val="bottom"/>
          </w:tcPr>
          <w:p>
            <w:pPr>
              <w:spacing w:after="0"/>
              <w:rPr>
                <w:sz w:val="1"/>
                <w:szCs w:val="1"/>
                <w:color w:val="auto"/>
              </w:rPr>
            </w:pPr>
          </w:p>
        </w:tc>
      </w:tr>
      <w:tr>
        <w:trPr>
          <w:trHeight w:val="208"/>
        </w:trPr>
        <w:tc>
          <w:tcPr>
            <w:tcW w:w="5360" w:type="dxa"/>
            <w:vAlign w:val="bottom"/>
          </w:tcPr>
          <w:p>
            <w:pPr>
              <w:ind w:left="320"/>
              <w:spacing w:after="0"/>
              <w:rPr>
                <w:sz w:val="20"/>
                <w:szCs w:val="20"/>
                <w:color w:val="auto"/>
              </w:rPr>
            </w:pPr>
            <w:r>
              <w:rPr>
                <w:rFonts w:ascii="Arial" w:cs="Arial" w:eastAsia="Arial" w:hAnsi="Arial"/>
                <w:sz w:val="15"/>
                <w:szCs w:val="15"/>
                <w:color w:val="auto"/>
              </w:rPr>
              <w:t>Weighted-average interest rate</w:t>
            </w:r>
          </w:p>
        </w:tc>
        <w:tc>
          <w:tcPr>
            <w:tcW w:w="120" w:type="dxa"/>
            <w:vAlign w:val="bottom"/>
          </w:tcPr>
          <w:p>
            <w:pPr>
              <w:spacing w:after="0"/>
              <w:rPr>
                <w:sz w:val="18"/>
                <w:szCs w:val="18"/>
                <w:color w:val="auto"/>
              </w:rPr>
            </w:pPr>
          </w:p>
        </w:tc>
        <w:tc>
          <w:tcPr>
            <w:tcW w:w="1320" w:type="dxa"/>
            <w:vAlign w:val="bottom"/>
          </w:tcPr>
          <w:p>
            <w:pPr>
              <w:jc w:val="right"/>
              <w:ind w:right="4"/>
              <w:spacing w:after="0"/>
              <w:rPr>
                <w:sz w:val="20"/>
                <w:szCs w:val="20"/>
                <w:color w:val="auto"/>
              </w:rPr>
            </w:pPr>
            <w:r>
              <w:rPr>
                <w:rFonts w:ascii="Arial" w:cs="Arial" w:eastAsia="Arial" w:hAnsi="Arial"/>
                <w:sz w:val="15"/>
                <w:szCs w:val="15"/>
                <w:b w:val="1"/>
                <w:bCs w:val="1"/>
                <w:color w:val="auto"/>
              </w:rPr>
              <w:t>4.69 %</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4.36 %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4.73 %</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4.17 %</w:t>
            </w:r>
          </w:p>
        </w:tc>
        <w:tc>
          <w:tcPr>
            <w:tcW w:w="0" w:type="dxa"/>
            <w:vAlign w:val="bottom"/>
          </w:tcPr>
          <w:p>
            <w:pPr>
              <w:spacing w:after="0"/>
              <w:rPr>
                <w:sz w:val="1"/>
                <w:szCs w:val="1"/>
                <w:color w:val="auto"/>
              </w:rPr>
            </w:pPr>
          </w:p>
        </w:tc>
      </w:tr>
      <w:tr>
        <w:trPr>
          <w:trHeight w:val="204"/>
        </w:trPr>
        <w:tc>
          <w:tcPr>
            <w:tcW w:w="5360" w:type="dxa"/>
            <w:vAlign w:val="bottom"/>
          </w:tcPr>
          <w:p>
            <w:pPr>
              <w:ind w:left="160"/>
              <w:spacing w:after="0" w:line="205" w:lineRule="exact"/>
              <w:rPr>
                <w:sz w:val="20"/>
                <w:szCs w:val="20"/>
                <w:color w:val="auto"/>
              </w:rPr>
            </w:pPr>
            <w:r>
              <w:rPr>
                <w:rFonts w:ascii="Arial" w:cs="Arial" w:eastAsia="Arial" w:hAnsi="Arial"/>
                <w:sz w:val="15"/>
                <w:szCs w:val="15"/>
                <w:color w:val="auto"/>
              </w:rPr>
              <w:t>Long-term:</w:t>
            </w:r>
            <w:r>
              <w:rPr>
                <w:rFonts w:ascii="Arial" w:cs="Arial" w:eastAsia="Arial" w:hAnsi="Arial"/>
                <w:sz w:val="20"/>
                <w:szCs w:val="20"/>
                <w:color w:val="auto"/>
                <w:vertAlign w:val="superscript"/>
              </w:rPr>
              <w:t>(2)</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360" w:type="dxa"/>
            <w:vAlign w:val="bottom"/>
          </w:tcPr>
          <w:p>
            <w:pPr>
              <w:ind w:left="320"/>
              <w:spacing w:after="0"/>
              <w:rPr>
                <w:sz w:val="20"/>
                <w:szCs w:val="20"/>
                <w:color w:val="auto"/>
              </w:rPr>
            </w:pPr>
            <w:r>
              <w:rPr>
                <w:rFonts w:ascii="Arial" w:cs="Arial" w:eastAsia="Arial" w:hAnsi="Arial"/>
                <w:sz w:val="15"/>
                <w:szCs w:val="15"/>
                <w:color w:val="auto"/>
              </w:rPr>
              <w:t>Amount</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320" w:type="dxa"/>
            <w:vAlign w:val="bottom"/>
          </w:tcPr>
          <w:p>
            <w:pPr>
              <w:jc w:val="right"/>
              <w:ind w:right="184"/>
              <w:spacing w:after="0"/>
              <w:rPr>
                <w:sz w:val="20"/>
                <w:szCs w:val="20"/>
                <w:color w:val="auto"/>
              </w:rPr>
            </w:pPr>
            <w:r>
              <w:rPr>
                <w:rFonts w:ascii="Arial" w:cs="Arial" w:eastAsia="Arial" w:hAnsi="Arial"/>
                <w:sz w:val="15"/>
                <w:szCs w:val="15"/>
                <w:b w:val="1"/>
                <w:bCs w:val="1"/>
                <w:color w:val="auto"/>
              </w:rPr>
              <w:t>10,600</w:t>
            </w:r>
          </w:p>
        </w:tc>
        <w:tc>
          <w:tcPr>
            <w:tcW w:w="36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124"/>
              <w:spacing w:after="0"/>
              <w:rPr>
                <w:sz w:val="20"/>
                <w:szCs w:val="20"/>
                <w:color w:val="auto"/>
              </w:rPr>
            </w:pPr>
            <w:r>
              <w:rPr>
                <w:rFonts w:ascii="Arial" w:cs="Arial" w:eastAsia="Arial" w:hAnsi="Arial"/>
                <w:sz w:val="15"/>
                <w:szCs w:val="15"/>
                <w:color w:val="auto"/>
              </w:rPr>
              <w:t>12,207</w:t>
            </w:r>
          </w:p>
        </w:tc>
        <w:tc>
          <w:tcPr>
            <w:tcW w:w="10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b w:val="1"/>
                <w:bCs w:val="1"/>
                <w:color w:val="auto"/>
                <w:w w:val="95"/>
              </w:rPr>
              <w:t>$</w:t>
            </w:r>
          </w:p>
        </w:tc>
        <w:tc>
          <w:tcPr>
            <w:tcW w:w="1120" w:type="dxa"/>
            <w:vAlign w:val="bottom"/>
          </w:tcPr>
          <w:p>
            <w:pPr>
              <w:jc w:val="right"/>
              <w:ind w:right="163"/>
              <w:spacing w:after="0"/>
              <w:rPr>
                <w:sz w:val="20"/>
                <w:szCs w:val="20"/>
                <w:color w:val="auto"/>
              </w:rPr>
            </w:pPr>
            <w:r>
              <w:rPr>
                <w:rFonts w:ascii="Arial" w:cs="Arial" w:eastAsia="Arial" w:hAnsi="Arial"/>
                <w:sz w:val="15"/>
                <w:szCs w:val="15"/>
                <w:b w:val="1"/>
                <w:bCs w:val="1"/>
                <w:color w:val="auto"/>
              </w:rPr>
              <w:t>20,558</w:t>
            </w:r>
          </w:p>
        </w:tc>
        <w:tc>
          <w:tcPr>
            <w:tcW w:w="3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123"/>
              <w:spacing w:after="0"/>
              <w:rPr>
                <w:sz w:val="20"/>
                <w:szCs w:val="20"/>
                <w:color w:val="auto"/>
              </w:rPr>
            </w:pPr>
            <w:r>
              <w:rPr>
                <w:rFonts w:ascii="Arial" w:cs="Arial" w:eastAsia="Arial" w:hAnsi="Arial"/>
                <w:sz w:val="15"/>
                <w:szCs w:val="15"/>
                <w:color w:val="auto"/>
              </w:rPr>
              <w:t>20,094</w:t>
            </w:r>
          </w:p>
        </w:tc>
        <w:tc>
          <w:tcPr>
            <w:tcW w:w="0" w:type="dxa"/>
            <w:vAlign w:val="bottom"/>
          </w:tcPr>
          <w:p>
            <w:pPr>
              <w:spacing w:after="0"/>
              <w:rPr>
                <w:sz w:val="1"/>
                <w:szCs w:val="1"/>
                <w:color w:val="auto"/>
              </w:rPr>
            </w:pPr>
          </w:p>
        </w:tc>
      </w:tr>
      <w:tr>
        <w:trPr>
          <w:trHeight w:val="208"/>
        </w:trPr>
        <w:tc>
          <w:tcPr>
            <w:tcW w:w="5360" w:type="dxa"/>
            <w:vAlign w:val="bottom"/>
          </w:tcPr>
          <w:p>
            <w:pPr>
              <w:ind w:left="320"/>
              <w:spacing w:after="0"/>
              <w:rPr>
                <w:sz w:val="20"/>
                <w:szCs w:val="20"/>
                <w:color w:val="auto"/>
              </w:rPr>
            </w:pPr>
            <w:r>
              <w:rPr>
                <w:rFonts w:ascii="Arial" w:cs="Arial" w:eastAsia="Arial" w:hAnsi="Arial"/>
                <w:sz w:val="15"/>
                <w:szCs w:val="15"/>
                <w:color w:val="auto"/>
              </w:rPr>
              <w:t>Weighted-average interest rate</w:t>
            </w:r>
          </w:p>
        </w:tc>
        <w:tc>
          <w:tcPr>
            <w:tcW w:w="120" w:type="dxa"/>
            <w:vAlign w:val="bottom"/>
          </w:tcPr>
          <w:p>
            <w:pPr>
              <w:spacing w:after="0"/>
              <w:rPr>
                <w:sz w:val="18"/>
                <w:szCs w:val="18"/>
                <w:color w:val="auto"/>
              </w:rPr>
            </w:pPr>
          </w:p>
        </w:tc>
        <w:tc>
          <w:tcPr>
            <w:tcW w:w="1320" w:type="dxa"/>
            <w:vAlign w:val="bottom"/>
          </w:tcPr>
          <w:p>
            <w:pPr>
              <w:jc w:val="right"/>
              <w:ind w:right="4"/>
              <w:spacing w:after="0"/>
              <w:rPr>
                <w:sz w:val="20"/>
                <w:szCs w:val="20"/>
                <w:color w:val="auto"/>
              </w:rPr>
            </w:pPr>
            <w:r>
              <w:rPr>
                <w:rFonts w:ascii="Arial" w:cs="Arial" w:eastAsia="Arial" w:hAnsi="Arial"/>
                <w:sz w:val="15"/>
                <w:szCs w:val="15"/>
                <w:b w:val="1"/>
                <w:bCs w:val="1"/>
                <w:color w:val="auto"/>
              </w:rPr>
              <w:t>2.88 %</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0.87 %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3.20 %</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1.53 %</w:t>
            </w:r>
          </w:p>
        </w:tc>
        <w:tc>
          <w:tcPr>
            <w:tcW w:w="0" w:type="dxa"/>
            <w:vAlign w:val="bottom"/>
          </w:tcPr>
          <w:p>
            <w:pPr>
              <w:spacing w:after="0"/>
              <w:rPr>
                <w:sz w:val="1"/>
                <w:szCs w:val="1"/>
                <w:color w:val="auto"/>
              </w:rPr>
            </w:pPr>
          </w:p>
        </w:tc>
      </w:tr>
      <w:tr>
        <w:trPr>
          <w:trHeight w:val="204"/>
        </w:trPr>
        <w:tc>
          <w:tcPr>
            <w:tcW w:w="5360" w:type="dxa"/>
            <w:vAlign w:val="bottom"/>
          </w:tcPr>
          <w:p>
            <w:pPr>
              <w:ind w:left="160"/>
              <w:spacing w:after="0"/>
              <w:rPr>
                <w:sz w:val="20"/>
                <w:szCs w:val="20"/>
                <w:color w:val="auto"/>
              </w:rPr>
            </w:pPr>
            <w:r>
              <w:rPr>
                <w:rFonts w:ascii="Arial" w:cs="Arial" w:eastAsia="Arial" w:hAnsi="Arial"/>
                <w:sz w:val="15"/>
                <w:szCs w:val="15"/>
                <w:color w:val="auto"/>
              </w:rPr>
              <w:t>Total paid off:</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360" w:type="dxa"/>
            <w:vAlign w:val="bottom"/>
          </w:tcPr>
          <w:p>
            <w:pPr>
              <w:ind w:left="320"/>
              <w:spacing w:after="0"/>
              <w:rPr>
                <w:sz w:val="20"/>
                <w:szCs w:val="20"/>
                <w:color w:val="auto"/>
              </w:rPr>
            </w:pPr>
            <w:r>
              <w:rPr>
                <w:rFonts w:ascii="Arial" w:cs="Arial" w:eastAsia="Arial" w:hAnsi="Arial"/>
                <w:sz w:val="15"/>
                <w:szCs w:val="15"/>
                <w:color w:val="auto"/>
              </w:rPr>
              <w:t>Amount</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320" w:type="dxa"/>
            <w:vAlign w:val="bottom"/>
          </w:tcPr>
          <w:p>
            <w:pPr>
              <w:jc w:val="right"/>
              <w:ind w:right="184"/>
              <w:spacing w:after="0"/>
              <w:rPr>
                <w:sz w:val="20"/>
                <w:szCs w:val="20"/>
                <w:color w:val="auto"/>
              </w:rPr>
            </w:pPr>
            <w:r>
              <w:rPr>
                <w:rFonts w:ascii="Arial" w:cs="Arial" w:eastAsia="Arial" w:hAnsi="Arial"/>
                <w:sz w:val="15"/>
                <w:szCs w:val="15"/>
                <w:b w:val="1"/>
                <w:bCs w:val="1"/>
                <w:color w:val="auto"/>
              </w:rPr>
              <w:t>65,404</w:t>
            </w:r>
          </w:p>
        </w:tc>
        <w:tc>
          <w:tcPr>
            <w:tcW w:w="36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124"/>
              <w:spacing w:after="0"/>
              <w:rPr>
                <w:sz w:val="20"/>
                <w:szCs w:val="20"/>
                <w:color w:val="auto"/>
              </w:rPr>
            </w:pPr>
            <w:r>
              <w:rPr>
                <w:rFonts w:ascii="Arial" w:cs="Arial" w:eastAsia="Arial" w:hAnsi="Arial"/>
                <w:sz w:val="15"/>
                <w:szCs w:val="15"/>
                <w:color w:val="auto"/>
              </w:rPr>
              <w:t>67,363</w:t>
            </w:r>
          </w:p>
        </w:tc>
        <w:tc>
          <w:tcPr>
            <w:tcW w:w="10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b w:val="1"/>
                <w:bCs w:val="1"/>
                <w:color w:val="auto"/>
                <w:w w:val="95"/>
              </w:rPr>
              <w:t>$</w:t>
            </w:r>
          </w:p>
        </w:tc>
        <w:tc>
          <w:tcPr>
            <w:tcW w:w="1120" w:type="dxa"/>
            <w:vAlign w:val="bottom"/>
          </w:tcPr>
          <w:p>
            <w:pPr>
              <w:jc w:val="right"/>
              <w:ind w:right="163"/>
              <w:spacing w:after="0"/>
              <w:rPr>
                <w:sz w:val="20"/>
                <w:szCs w:val="20"/>
                <w:color w:val="auto"/>
              </w:rPr>
            </w:pPr>
            <w:r>
              <w:rPr>
                <w:rFonts w:ascii="Arial" w:cs="Arial" w:eastAsia="Arial" w:hAnsi="Arial"/>
                <w:sz w:val="15"/>
                <w:szCs w:val="15"/>
                <w:b w:val="1"/>
                <w:bCs w:val="1"/>
                <w:color w:val="auto"/>
              </w:rPr>
              <w:t>221,821</w:t>
            </w:r>
          </w:p>
        </w:tc>
        <w:tc>
          <w:tcPr>
            <w:tcW w:w="3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123"/>
              <w:spacing w:after="0"/>
              <w:rPr>
                <w:sz w:val="20"/>
                <w:szCs w:val="20"/>
                <w:color w:val="auto"/>
              </w:rPr>
            </w:pPr>
            <w:r>
              <w:rPr>
                <w:rFonts w:ascii="Arial" w:cs="Arial" w:eastAsia="Arial" w:hAnsi="Arial"/>
                <w:sz w:val="15"/>
                <w:szCs w:val="15"/>
                <w:color w:val="auto"/>
              </w:rPr>
              <w:t>180,961</w:t>
            </w:r>
          </w:p>
        </w:tc>
        <w:tc>
          <w:tcPr>
            <w:tcW w:w="0" w:type="dxa"/>
            <w:vAlign w:val="bottom"/>
          </w:tcPr>
          <w:p>
            <w:pPr>
              <w:spacing w:after="0"/>
              <w:rPr>
                <w:sz w:val="1"/>
                <w:szCs w:val="1"/>
                <w:color w:val="auto"/>
              </w:rPr>
            </w:pPr>
          </w:p>
        </w:tc>
      </w:tr>
      <w:tr>
        <w:trPr>
          <w:trHeight w:val="214"/>
        </w:trPr>
        <w:tc>
          <w:tcPr>
            <w:tcW w:w="5360" w:type="dxa"/>
            <w:vAlign w:val="bottom"/>
          </w:tcPr>
          <w:p>
            <w:pPr>
              <w:ind w:left="320"/>
              <w:spacing w:after="0"/>
              <w:rPr>
                <w:sz w:val="20"/>
                <w:szCs w:val="20"/>
                <w:color w:val="auto"/>
              </w:rPr>
            </w:pPr>
            <w:r>
              <w:rPr>
                <w:rFonts w:ascii="Arial" w:cs="Arial" w:eastAsia="Arial" w:hAnsi="Arial"/>
                <w:sz w:val="15"/>
                <w:szCs w:val="15"/>
                <w:color w:val="auto"/>
              </w:rPr>
              <w:t>Weighted-average interest rate</w:t>
            </w:r>
          </w:p>
        </w:tc>
        <w:tc>
          <w:tcPr>
            <w:tcW w:w="120" w:type="dxa"/>
            <w:vAlign w:val="bottom"/>
          </w:tcPr>
          <w:p>
            <w:pPr>
              <w:spacing w:after="0"/>
              <w:rPr>
                <w:sz w:val="18"/>
                <w:szCs w:val="18"/>
                <w:color w:val="auto"/>
              </w:rPr>
            </w:pPr>
          </w:p>
        </w:tc>
        <w:tc>
          <w:tcPr>
            <w:tcW w:w="1320" w:type="dxa"/>
            <w:vAlign w:val="bottom"/>
          </w:tcPr>
          <w:p>
            <w:pPr>
              <w:jc w:val="right"/>
              <w:ind w:right="4"/>
              <w:spacing w:after="0"/>
              <w:rPr>
                <w:sz w:val="20"/>
                <w:szCs w:val="20"/>
                <w:color w:val="auto"/>
              </w:rPr>
            </w:pPr>
            <w:r>
              <w:rPr>
                <w:rFonts w:ascii="Arial" w:cs="Arial" w:eastAsia="Arial" w:hAnsi="Arial"/>
                <w:sz w:val="15"/>
                <w:szCs w:val="15"/>
                <w:b w:val="1"/>
                <w:bCs w:val="1"/>
                <w:color w:val="auto"/>
              </w:rPr>
              <w:t>4.40 %</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3.73 %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4.59 %</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3.87 %</w:t>
            </w: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240" w:right="260" w:hanging="237"/>
        <w:spacing w:after="0" w:line="226" w:lineRule="auto"/>
        <w:tabs>
          <w:tab w:leader="none" w:pos="233" w:val="left"/>
        </w:tabs>
        <w:numPr>
          <w:ilvl w:val="0"/>
          <w:numId w:val="53"/>
        </w:numPr>
        <w:rPr>
          <w:rFonts w:ascii="Arial" w:cs="Arial" w:eastAsia="Arial" w:hAnsi="Arial"/>
          <w:sz w:val="18"/>
          <w:szCs w:val="18"/>
          <w:color w:val="auto"/>
          <w:vertAlign w:val="superscript"/>
        </w:rPr>
      </w:pPr>
      <w:r>
        <w:rPr>
          <w:rFonts w:ascii="Arial" w:cs="Arial" w:eastAsia="Arial" w:hAnsi="Arial"/>
          <w:sz w:val="14"/>
          <w:szCs w:val="14"/>
          <w:color w:val="auto"/>
        </w:rPr>
        <w:t>Consists of all payments on debt, including regularly scheduled principal payments, payments at maturity, payments resulting from calls and payments for any other repurchases. Repurchases of debt and early retirements of zero-coupon debt are reported at original face value, which does not equal the amount of actual cash payment.</w:t>
      </w:r>
    </w:p>
    <w:p>
      <w:pPr>
        <w:spacing w:after="0" w:line="27" w:lineRule="exact"/>
        <w:rPr>
          <w:rFonts w:ascii="Arial" w:cs="Arial" w:eastAsia="Arial" w:hAnsi="Arial"/>
          <w:sz w:val="18"/>
          <w:szCs w:val="18"/>
          <w:color w:val="auto"/>
          <w:vertAlign w:val="superscript"/>
        </w:rPr>
      </w:pPr>
    </w:p>
    <w:p>
      <w:pPr>
        <w:ind w:left="240" w:right="140" w:hanging="237"/>
        <w:spacing w:after="0" w:line="228" w:lineRule="auto"/>
        <w:tabs>
          <w:tab w:leader="none" w:pos="233" w:val="left"/>
        </w:tabs>
        <w:numPr>
          <w:ilvl w:val="0"/>
          <w:numId w:val="53"/>
        </w:numPr>
        <w:rPr>
          <w:rFonts w:ascii="Arial" w:cs="Arial" w:eastAsia="Arial" w:hAnsi="Arial"/>
          <w:sz w:val="18"/>
          <w:szCs w:val="18"/>
          <w:color w:val="auto"/>
          <w:vertAlign w:val="superscript"/>
        </w:rPr>
      </w:pPr>
      <w:r>
        <w:rPr>
          <w:rFonts w:ascii="Arial" w:cs="Arial" w:eastAsia="Arial" w:hAnsi="Arial"/>
          <w:sz w:val="14"/>
          <w:szCs w:val="14"/>
          <w:color w:val="auto"/>
        </w:rPr>
        <w:t>Includes credit risk-sharing securities issued as CAS debt prior to November 2018. For information on our credit risk transfer transactions, see “MD&amp;A—Single-Family Business— Single-Family Mortgage Credit Risk Management—Single-Family Credit Enhancement and Transfer of Mortgage Credit Risk—Credit Risk Transfer Transactions” in our 2023 Form 10-K.</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2024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50</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60" w:type="dxa"/>
            <w:vAlign w:val="bottom"/>
            <w:tcBorders>
              <w:bottom w:val="single" w:sz="8" w:color="9A9A9A"/>
            </w:tcBorders>
          </w:tcPr>
          <w:p>
            <w:pPr>
              <w:spacing w:after="0"/>
              <w:rPr>
                <w:sz w:val="17"/>
                <w:szCs w:val="17"/>
                <w:color w:val="auto"/>
              </w:rPr>
            </w:pPr>
          </w:p>
        </w:tc>
        <w:tc>
          <w:tcPr>
            <w:tcW w:w="42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53" w:name="page54"/>
    <w:bookmarkEnd w:id="53"/>
    <w:p>
      <w:pPr>
        <w:ind w:left="854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Corporate Liquidity Portfolio</w:t>
      </w:r>
    </w:p>
    <w:p>
      <w:pPr>
        <w:spacing w:after="0" w:line="8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chart below displays information on the composition of our corporate liquidity portfolio. The balance and composition of our corporate liquidity portfolio fluctuates as a result of changes in our cash flows, liquidity in the fixed-income markets, and our liquidity risk management framework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1115060</wp:posOffset>
            </wp:positionH>
            <wp:positionV relativeFrom="paragraph">
              <wp:posOffset>-25400</wp:posOffset>
            </wp:positionV>
            <wp:extent cx="4911725" cy="23495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911725" cy="2349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600"/>
        <w:spacing w:after="0"/>
        <w:rPr>
          <w:sz w:val="20"/>
          <w:szCs w:val="20"/>
          <w:color w:val="auto"/>
        </w:rPr>
      </w:pPr>
      <w:r>
        <w:rPr>
          <w:rFonts w:ascii="Arial" w:cs="Arial" w:eastAsia="Arial" w:hAnsi="Arial"/>
          <w:sz w:val="15"/>
          <w:szCs w:val="15"/>
          <w:color w:val="auto"/>
        </w:rPr>
        <w:t>U.S. Treasury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2081530</wp:posOffset>
            </wp:positionH>
            <wp:positionV relativeFrom="paragraph">
              <wp:posOffset>53975</wp:posOffset>
            </wp:positionV>
            <wp:extent cx="130810" cy="1308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65" w:lineRule="exact"/>
        <w:rPr>
          <w:sz w:val="20"/>
          <w:szCs w:val="20"/>
          <w:color w:val="auto"/>
        </w:rPr>
      </w:pPr>
    </w:p>
    <w:p>
      <w:pPr>
        <w:ind w:left="3600"/>
        <w:spacing w:after="0"/>
        <w:rPr>
          <w:sz w:val="20"/>
          <w:szCs w:val="20"/>
          <w:color w:val="auto"/>
        </w:rPr>
      </w:pPr>
      <w:r>
        <w:rPr>
          <w:rFonts w:ascii="Arial" w:cs="Arial" w:eastAsia="Arial" w:hAnsi="Arial"/>
          <w:sz w:val="15"/>
          <w:szCs w:val="15"/>
          <w:color w:val="auto"/>
        </w:rPr>
        <w:t>Securities purchased under agreements to resell</w:t>
      </w:r>
    </w:p>
    <w:p>
      <w:pPr>
        <w:spacing w:after="0" w:line="74" w:lineRule="exact"/>
        <w:rPr>
          <w:sz w:val="20"/>
          <w:szCs w:val="20"/>
          <w:color w:val="auto"/>
        </w:rPr>
      </w:pPr>
    </w:p>
    <w:p>
      <w:pPr>
        <w:ind w:left="3600"/>
        <w:spacing w:after="0"/>
        <w:rPr>
          <w:sz w:val="20"/>
          <w:szCs w:val="20"/>
          <w:color w:val="auto"/>
        </w:rPr>
      </w:pPr>
      <w:r>
        <w:rPr>
          <w:rFonts w:ascii="Arial" w:cs="Arial" w:eastAsia="Arial" w:hAnsi="Arial"/>
          <w:sz w:val="15"/>
          <w:szCs w:val="15"/>
          <w:color w:val="auto"/>
        </w:rPr>
        <w:t>Cash and cash equivalents</w:t>
      </w:r>
      <w:r>
        <w:rPr>
          <w:rFonts w:ascii="Arial" w:cs="Arial" w:eastAsia="Arial" w:hAnsi="Arial"/>
          <w:sz w:val="20"/>
          <w:szCs w:val="20"/>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2081530</wp:posOffset>
            </wp:positionH>
            <wp:positionV relativeFrom="paragraph">
              <wp:posOffset>-138430</wp:posOffset>
            </wp:positionV>
            <wp:extent cx="130810" cy="1308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76" w:lineRule="exact"/>
        <w:rPr>
          <w:sz w:val="20"/>
          <w:szCs w:val="20"/>
          <w:color w:val="auto"/>
        </w:rPr>
      </w:pPr>
    </w:p>
    <w:p>
      <w:pPr>
        <w:ind w:left="220" w:hanging="217"/>
        <w:spacing w:after="0"/>
        <w:tabs>
          <w:tab w:leader="none" w:pos="220" w:val="left"/>
        </w:tabs>
        <w:numPr>
          <w:ilvl w:val="0"/>
          <w:numId w:val="54"/>
        </w:numPr>
        <w:rPr>
          <w:rFonts w:ascii="Arial" w:cs="Arial" w:eastAsia="Arial" w:hAnsi="Arial"/>
          <w:sz w:val="9"/>
          <w:szCs w:val="9"/>
          <w:color w:val="auto"/>
        </w:rPr>
      </w:pPr>
      <w:r>
        <w:rPr>
          <w:rFonts w:ascii="Arial" w:cs="Arial" w:eastAsia="Arial" w:hAnsi="Arial"/>
          <w:sz w:val="14"/>
          <w:szCs w:val="14"/>
          <w:color w:val="auto"/>
        </w:rPr>
        <w:t>Cash equivalents are composed of overnight reverse repurchase agreements and U.S. Treasuries, if any, that have a maturity at the date of acquisition of three months or less.</w:t>
      </w:r>
    </w:p>
    <w:p>
      <w:pPr>
        <w:spacing w:after="0" w:line="109"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Off-Balance Sheet Arrangements</w:t>
      </w:r>
    </w:p>
    <w:p>
      <w:pPr>
        <w:spacing w:after="0" w:line="80" w:lineRule="exact"/>
        <w:rPr>
          <w:sz w:val="20"/>
          <w:szCs w:val="20"/>
          <w:color w:val="auto"/>
        </w:rPr>
      </w:pPr>
    </w:p>
    <w:p>
      <w:pPr>
        <w:ind w:right="140"/>
        <w:spacing w:after="0" w:line="262" w:lineRule="auto"/>
        <w:rPr>
          <w:sz w:val="20"/>
          <w:szCs w:val="20"/>
          <w:color w:val="auto"/>
        </w:rPr>
      </w:pPr>
      <w:r>
        <w:rPr>
          <w:rFonts w:ascii="Arial" w:cs="Arial" w:eastAsia="Arial" w:hAnsi="Arial"/>
          <w:sz w:val="16"/>
          <w:szCs w:val="16"/>
          <w:color w:val="auto"/>
        </w:rPr>
        <w:t>We enter into certain business arrangements to facilitate our statutory purpose of providing liquidity to the secondary mortgage market and to reduce our exposure to interest rate fluctuations. Some of these arrangements are not recorded in our condensed consolidated balance sheets or may be recorded in amounts different from the full contract or notional amount of the transaction, depending on the nature or structure of, and the accounting required to be applied to, the arrangement. These arrangements are commonly referred to as “off-balance sheet arrangements” and expose us to potential losses in excess of the amounts recorded in our condensed consolidated balance sheets.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Our off-balance sheet arrangements result primarily from the following:</w:t>
      </w:r>
    </w:p>
    <w:p>
      <w:pPr>
        <w:spacing w:after="0" w:line="87" w:lineRule="exact"/>
        <w:rPr>
          <w:sz w:val="20"/>
          <w:szCs w:val="20"/>
          <w:color w:val="auto"/>
        </w:rPr>
      </w:pPr>
    </w:p>
    <w:p>
      <w:pPr>
        <w:ind w:left="620" w:right="700" w:hanging="307"/>
        <w:spacing w:after="0" w:line="293" w:lineRule="auto"/>
        <w:tabs>
          <w:tab w:leader="none" w:pos="612" w:val="left"/>
        </w:tabs>
        <w:numPr>
          <w:ilvl w:val="0"/>
          <w:numId w:val="55"/>
        </w:numPr>
        <w:rPr>
          <w:rFonts w:ascii="Arial" w:cs="Arial" w:eastAsia="Arial" w:hAnsi="Arial"/>
          <w:sz w:val="16"/>
          <w:szCs w:val="16"/>
          <w:color w:val="auto"/>
        </w:rPr>
      </w:pPr>
      <w:r>
        <w:rPr>
          <w:rFonts w:ascii="Arial" w:cs="Arial" w:eastAsia="Arial" w:hAnsi="Arial"/>
          <w:sz w:val="16"/>
          <w:szCs w:val="16"/>
          <w:color w:val="auto"/>
        </w:rPr>
        <w:t>our guaranty of mortgage loan securitization and resecuritization transactions over which we have no control, which are reflected in our unconsolidated Fannie Mae MBS net of any beneficial ownership interest we retain, and other financial guarantees that we do not control;</w:t>
      </w:r>
    </w:p>
    <w:p>
      <w:pPr>
        <w:spacing w:after="0" w:line="14" w:lineRule="exact"/>
        <w:rPr>
          <w:rFonts w:ascii="Arial" w:cs="Arial" w:eastAsia="Arial" w:hAnsi="Arial"/>
          <w:sz w:val="16"/>
          <w:szCs w:val="16"/>
          <w:color w:val="auto"/>
        </w:rPr>
      </w:pPr>
    </w:p>
    <w:p>
      <w:pPr>
        <w:ind w:left="620" w:hanging="307"/>
        <w:spacing w:after="0"/>
        <w:tabs>
          <w:tab w:leader="none" w:pos="6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liquidity support transactions; and</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partnership interests.</w:t>
      </w:r>
    </w:p>
    <w:p>
      <w:pPr>
        <w:spacing w:after="0" w:line="100" w:lineRule="exact"/>
        <w:rPr>
          <w:sz w:val="20"/>
          <w:szCs w:val="20"/>
          <w:color w:val="auto"/>
        </w:rPr>
      </w:pPr>
    </w:p>
    <w:p>
      <w:pPr>
        <w:ind w:right="480"/>
        <w:spacing w:after="0" w:line="266" w:lineRule="auto"/>
        <w:rPr>
          <w:sz w:val="20"/>
          <w:szCs w:val="20"/>
          <w:color w:val="auto"/>
        </w:rPr>
      </w:pPr>
      <w:r>
        <w:rPr>
          <w:rFonts w:ascii="Arial" w:cs="Arial" w:eastAsia="Arial" w:hAnsi="Arial"/>
          <w:sz w:val="16"/>
          <w:szCs w:val="16"/>
          <w:color w:val="auto"/>
        </w:rPr>
        <w:t>The total amount of our off-balance sheet exposure related to unconsolidated Fannie Mae MBS net of any beneficial interest that we retain, and other financial guarantees was $215.2 billion as of September 30, 2024 and $227.5 billion as of December 31, 2023. The majority of the other financial guarantees consists of Freddie Mac securities backing Fannie Mae structured securities. See “Guaranty Book of Business” and “Note 7, Financial Guarantees” for more information regarding our maximum exposure to loss on unconsolidated Fannie Mae MBS and Freddie Mac securities.</w:t>
      </w:r>
    </w:p>
    <w:p>
      <w:pPr>
        <w:spacing w:after="0" w:line="35" w:lineRule="exact"/>
        <w:rPr>
          <w:sz w:val="20"/>
          <w:szCs w:val="20"/>
          <w:color w:val="auto"/>
        </w:rPr>
      </w:pPr>
    </w:p>
    <w:p>
      <w:pPr>
        <w:ind w:right="600"/>
        <w:spacing w:after="0" w:line="281" w:lineRule="auto"/>
        <w:rPr>
          <w:sz w:val="20"/>
          <w:szCs w:val="20"/>
          <w:color w:val="auto"/>
        </w:rPr>
      </w:pPr>
      <w:r>
        <w:rPr>
          <w:rFonts w:ascii="Arial" w:cs="Arial" w:eastAsia="Arial" w:hAnsi="Arial"/>
          <w:sz w:val="16"/>
          <w:szCs w:val="16"/>
          <w:color w:val="auto"/>
        </w:rPr>
        <w:t>Our total outstanding liquidity commitments to advance funds for securities backed by multifamily housing revenue bonds totaled $4.4 billion as of September 30, 2024 and $4.5 billion as of December 31, 2023. These commitments require us to advance funds to third parties that enable them to repurchase tendered bonds or securities that are unable to be remarketed.</w:t>
      </w:r>
    </w:p>
    <w:p>
      <w:pPr>
        <w:spacing w:after="0" w:line="24"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We have investments in various limited partnerships and similar legal entities, which consist of LIHTC investments, community investments and investments in other entities. When we do not have a controlling financial interest in those entities, our condensed consolidated balance sheets reflect only our investment rather than the full amount of the partnership’s assets and liabilities. See “Note 3, Consolidations and Transfers of Financial Assets— Unconsolidated VIEs” for information regarding our investments in limited partnerships and similar legal entities.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2024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51</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60" w:type="dxa"/>
            <w:vAlign w:val="bottom"/>
            <w:tcBorders>
              <w:bottom w:val="single" w:sz="8" w:color="9A9A9A"/>
            </w:tcBorders>
          </w:tcPr>
          <w:p>
            <w:pPr>
              <w:spacing w:after="0"/>
              <w:rPr>
                <w:sz w:val="17"/>
                <w:szCs w:val="17"/>
                <w:color w:val="auto"/>
              </w:rPr>
            </w:pPr>
          </w:p>
        </w:tc>
        <w:tc>
          <w:tcPr>
            <w:tcW w:w="42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54" w:name="page55"/>
    <w:bookmarkEnd w:id="54"/>
    <w:p>
      <w:pPr>
        <w:ind w:left="854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Cash Flows</w:t>
      </w:r>
    </w:p>
    <w:p>
      <w:pPr>
        <w:spacing w:after="0" w:line="80" w:lineRule="exact"/>
        <w:rPr>
          <w:sz w:val="20"/>
          <w:szCs w:val="20"/>
          <w:color w:val="auto"/>
        </w:rPr>
      </w:pPr>
    </w:p>
    <w:p>
      <w:pPr>
        <w:ind w:right="120"/>
        <w:spacing w:after="0" w:line="272" w:lineRule="auto"/>
        <w:rPr>
          <w:sz w:val="20"/>
          <w:szCs w:val="20"/>
          <w:color w:val="auto"/>
        </w:rPr>
      </w:pPr>
      <w:r>
        <w:rPr>
          <w:rFonts w:ascii="Arial" w:cs="Arial" w:eastAsia="Arial" w:hAnsi="Arial"/>
          <w:sz w:val="16"/>
          <w:szCs w:val="16"/>
          <w:i w:val="1"/>
          <w:iCs w:val="1"/>
          <w:u w:val="single" w:color="auto"/>
          <w:color w:val="auto"/>
        </w:rPr>
        <w:t>Nine Months Ended September 30, 2024</w:t>
      </w:r>
      <w:r>
        <w:rPr>
          <w:rFonts w:ascii="Arial" w:cs="Arial" w:eastAsia="Arial" w:hAnsi="Arial"/>
          <w:sz w:val="16"/>
          <w:szCs w:val="16"/>
          <w:i w:val="1"/>
          <w:iCs w:val="1"/>
          <w:color w:val="auto"/>
        </w:rPr>
        <w:t xml:space="preserve">. </w:t>
      </w:r>
      <w:r>
        <w:rPr>
          <w:rFonts w:ascii="Arial" w:cs="Arial" w:eastAsia="Arial" w:hAnsi="Arial"/>
          <w:sz w:val="16"/>
          <w:szCs w:val="16"/>
          <w:color w:val="auto"/>
        </w:rPr>
        <w:t>Cash, cash equivalents and restricted cash and cash equivalents increased from $68.7 billion as of December</w:t>
      </w:r>
      <w:r>
        <w:rPr>
          <w:rFonts w:ascii="Arial" w:cs="Arial" w:eastAsia="Arial" w:hAnsi="Arial"/>
          <w:sz w:val="16"/>
          <w:szCs w:val="16"/>
          <w:i w:val="1"/>
          <w:iCs w:val="1"/>
          <w:color w:val="auto"/>
        </w:rPr>
        <w:t xml:space="preserve"> </w:t>
      </w:r>
      <w:r>
        <w:rPr>
          <w:rFonts w:ascii="Arial" w:cs="Arial" w:eastAsia="Arial" w:hAnsi="Arial"/>
          <w:sz w:val="16"/>
          <w:szCs w:val="16"/>
          <w:color w:val="auto"/>
        </w:rPr>
        <w:t>31, 2023 to $76.8 billion as of September 30, 2024. The increase was primarily driven by cash inflows from (1) proceeds from repayments of loans, (2) the sale of Fannie Mae MBS to third parties, and (3) investments in securities purchased under agreements to resell.</w:t>
      </w:r>
    </w:p>
    <w:p>
      <w:pPr>
        <w:spacing w:after="0" w:line="32" w:lineRule="exact"/>
        <w:rPr>
          <w:sz w:val="20"/>
          <w:szCs w:val="20"/>
          <w:color w:val="auto"/>
        </w:rPr>
      </w:pPr>
    </w:p>
    <w:p>
      <w:pPr>
        <w:ind w:right="420"/>
        <w:spacing w:after="0" w:line="293" w:lineRule="auto"/>
        <w:rPr>
          <w:sz w:val="20"/>
          <w:szCs w:val="20"/>
          <w:color w:val="auto"/>
        </w:rPr>
      </w:pPr>
      <w:r>
        <w:rPr>
          <w:rFonts w:ascii="Arial" w:cs="Arial" w:eastAsia="Arial" w:hAnsi="Arial"/>
          <w:sz w:val="16"/>
          <w:szCs w:val="16"/>
          <w:color w:val="auto"/>
        </w:rPr>
        <w:t>Partially offsetting these cash inflows were cash outflows from (1) payments on outstanding debt of consolidated trusts, (2) purchases of loans held for investment, and (3) advances to lenders.</w:t>
      </w:r>
    </w:p>
    <w:p>
      <w:pPr>
        <w:spacing w:after="0" w:line="28" w:lineRule="exact"/>
        <w:rPr>
          <w:sz w:val="20"/>
          <w:szCs w:val="20"/>
          <w:color w:val="auto"/>
        </w:rPr>
      </w:pPr>
    </w:p>
    <w:p>
      <w:pPr>
        <w:ind w:right="200"/>
        <w:spacing w:after="0" w:line="272" w:lineRule="auto"/>
        <w:rPr>
          <w:sz w:val="20"/>
          <w:szCs w:val="20"/>
          <w:color w:val="auto"/>
        </w:rPr>
      </w:pPr>
      <w:r>
        <w:rPr>
          <w:rFonts w:ascii="Arial" w:cs="Arial" w:eastAsia="Arial" w:hAnsi="Arial"/>
          <w:sz w:val="16"/>
          <w:szCs w:val="16"/>
          <w:i w:val="1"/>
          <w:iCs w:val="1"/>
          <w:u w:val="single" w:color="auto"/>
          <w:color w:val="auto"/>
        </w:rPr>
        <w:t>Nine Months Ended September 30, 2023</w:t>
      </w:r>
      <w:r>
        <w:rPr>
          <w:rFonts w:ascii="Arial" w:cs="Arial" w:eastAsia="Arial" w:hAnsi="Arial"/>
          <w:sz w:val="16"/>
          <w:szCs w:val="16"/>
          <w:i w:val="1"/>
          <w:iCs w:val="1"/>
          <w:color w:val="auto"/>
        </w:rPr>
        <w:t xml:space="preserve">. </w:t>
      </w:r>
      <w:r>
        <w:rPr>
          <w:rFonts w:ascii="Arial" w:cs="Arial" w:eastAsia="Arial" w:hAnsi="Arial"/>
          <w:sz w:val="16"/>
          <w:szCs w:val="16"/>
          <w:color w:val="auto"/>
        </w:rPr>
        <w:t>Cash, cash equivalents and restricted cash and cash equivalents decreased from $87.8 billion as of December</w:t>
      </w:r>
      <w:r>
        <w:rPr>
          <w:rFonts w:ascii="Arial" w:cs="Arial" w:eastAsia="Arial" w:hAnsi="Arial"/>
          <w:sz w:val="16"/>
          <w:szCs w:val="16"/>
          <w:i w:val="1"/>
          <w:iCs w:val="1"/>
          <w:color w:val="auto"/>
        </w:rPr>
        <w:t xml:space="preserve"> </w:t>
      </w:r>
      <w:r>
        <w:rPr>
          <w:rFonts w:ascii="Arial" w:cs="Arial" w:eastAsia="Arial" w:hAnsi="Arial"/>
          <w:sz w:val="16"/>
          <w:szCs w:val="16"/>
          <w:color w:val="auto"/>
        </w:rPr>
        <w:t>31, 2022 to $81.8 billion as of September 30, 2023. The decrease was primarily driven by cash outflows from (1) payments on outstanding debt of consolidated trusts, (2) purchases of loans held for investment, and (3) advances to lenders.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Partially offsetting these cash outflows were cash inflows from (1) proceeds from repayments of loans and (2) the sale of Fannie Mae MBS to third parties.</w:t>
      </w:r>
    </w:p>
    <w:p>
      <w:pPr>
        <w:spacing w:after="0" w:line="126"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Credit Ratings</w:t>
      </w:r>
    </w:p>
    <w:p>
      <w:pPr>
        <w:spacing w:after="0" w:line="8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As of September 30, 2024, our credit ratings issued by the three major credit rating agencies have not changed since December 31, 2023. For information on these credit ratings, see “MD&amp;A—Liquidity and Capital Management—Liquidity Management—Credit Ratings” in our 2023 Form 10-K.</w:t>
      </w:r>
    </w:p>
    <w:p>
      <w:pPr>
        <w:spacing w:after="0" w:line="11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Capital Management</w:t>
      </w:r>
    </w:p>
    <w:p>
      <w:pPr>
        <w:spacing w:after="0" w:line="10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Capital Requirements</w:t>
      </w:r>
    </w:p>
    <w:p>
      <w:pPr>
        <w:spacing w:after="0" w:line="80"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FHFA published a final rule in November 2023 amending several provisions of the enterprise regulatory capital framework, with most of the amendments becoming effective in April 2024. For a description of our capital requirements under the enterprise regulatory capital framework, including the amended provisions, see “Business—Legislation and Regulation—Capital Requirements” in our 2023 Form 10-K. Although the enterprise regulatory capital framework went into effect in February 2021, we are not required to hold capital according to the framework’s requirements until the date of termination of our conservatorship, or such later date as may be ordered by FHFA.</w:t>
      </w:r>
    </w:p>
    <w:p>
      <w:pPr>
        <w:spacing w:after="0" w:line="38"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The table below sets forth information about our capital requirements under the standardized approach of the enterprise regulatory capital framework. Available capital under the enterprise regulatory capital framework excludes the stated value of the senior preferred stock of $120.8 billion and other specified amounts. As a result of these exclusions, we had a deficit in available capital as of September 30, 2024, despite having a positive net worth under accounting principles generally accepted in the United States of America (“GAAP”).</w:t>
      </w:r>
    </w:p>
    <w:p>
      <w:pPr>
        <w:spacing w:after="0" w:line="33"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We had a $228 billion shortfall of our available capital deficit of $41 billion to the adjusted total capital requirement (including buffers) of $187 billion under the standardized approach of the enterprise regulatory capital framework as of September 30, 2024. This capital shortfall (including buffers) declined by $15 billion from December 31, 2023 to September 30, 2024, primarily as a result of the increase in our retained earnings during the first nine months of</w:t>
      </w:r>
    </w:p>
    <w:p>
      <w:pPr>
        <w:spacing w:after="0" w:line="270" w:lineRule="auto"/>
        <w:rPr>
          <w:sz w:val="20"/>
          <w:szCs w:val="20"/>
          <w:color w:val="auto"/>
        </w:rPr>
      </w:pPr>
      <w:r>
        <w:rPr>
          <w:rFonts w:ascii="Arial" w:cs="Arial" w:eastAsia="Arial" w:hAnsi="Arial"/>
          <w:sz w:val="16"/>
          <w:szCs w:val="16"/>
          <w:color w:val="auto"/>
        </w:rPr>
        <w:t>2024 and the impact of the amendments to the enterprise regulatory capital framework that became effective in April 2024. We had a $147 billion shortfall of our available capital deficit of $41 billion to the minimum adjusted total capital requirement (excluding buffers) of $106 billion as of September 30, 2024. This capital shortfall (excluding buffers) declined by $17 billion from December 31, 2023 to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2024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52</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60" w:type="dxa"/>
            <w:vAlign w:val="bottom"/>
            <w:tcBorders>
              <w:bottom w:val="single" w:sz="8" w:color="9A9A9A"/>
            </w:tcBorders>
          </w:tcPr>
          <w:p>
            <w:pPr>
              <w:spacing w:after="0"/>
              <w:rPr>
                <w:sz w:val="17"/>
                <w:szCs w:val="17"/>
                <w:color w:val="auto"/>
              </w:rPr>
            </w:pPr>
          </w:p>
        </w:tc>
        <w:tc>
          <w:tcPr>
            <w:tcW w:w="42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55" w:name="page56"/>
    <w:bookmarkEnd w:id="55"/>
    <w:p>
      <w:pPr>
        <w:ind w:left="854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Capital Metrics under the Enterprise Regulatory Capital Framework as of September 30, 2024</w:t>
      </w:r>
      <w:r>
        <w:rPr>
          <w:rFonts w:ascii="Arial" w:cs="Arial" w:eastAsia="Arial" w:hAnsi="Arial"/>
          <w:sz w:val="24"/>
          <w:szCs w:val="24"/>
          <w:b w:val="1"/>
          <w:bCs w:val="1"/>
          <w:color w:val="05314D"/>
          <w:vertAlign w:val="superscript"/>
        </w:rPr>
        <w:t>(1)</w:t>
      </w:r>
    </w:p>
    <w:tbl>
      <w:tblPr>
        <w:tblLayout w:type="fixed"/>
        <w:tblInd w:w="0" w:type="dxa"/>
        <w:tblCellMar>
          <w:top w:w="0" w:type="dxa"/>
          <w:left w:w="0" w:type="dxa"/>
          <w:bottom w:w="0" w:type="dxa"/>
          <w:right w:w="0" w:type="dxa"/>
        </w:tblCellMar>
      </w:tblPr>
      <w:tr>
        <w:trPr>
          <w:trHeight w:val="198"/>
        </w:trPr>
        <w:tc>
          <w:tcPr>
            <w:tcW w:w="2960" w:type="dxa"/>
            <w:vAlign w:val="bottom"/>
            <w:tcBorders>
              <w:top w:val="single" w:sz="8" w:color="2C6937"/>
            </w:tcBorders>
          </w:tcPr>
          <w:p>
            <w:pPr>
              <w:spacing w:after="0"/>
              <w:rPr>
                <w:sz w:val="17"/>
                <w:szCs w:val="17"/>
                <w:color w:val="auto"/>
              </w:rPr>
            </w:pPr>
          </w:p>
        </w:tc>
        <w:tc>
          <w:tcPr>
            <w:tcW w:w="1500" w:type="dxa"/>
            <w:vAlign w:val="bottom"/>
            <w:tcBorders>
              <w:top w:val="single" w:sz="8" w:color="2C6937"/>
            </w:tcBorders>
          </w:tcPr>
          <w:p>
            <w:pPr>
              <w:spacing w:after="0"/>
              <w:rPr>
                <w:sz w:val="17"/>
                <w:szCs w:val="17"/>
                <w:color w:val="auto"/>
              </w:rPr>
            </w:pPr>
          </w:p>
        </w:tc>
        <w:tc>
          <w:tcPr>
            <w:tcW w:w="80" w:type="dxa"/>
            <w:vAlign w:val="bottom"/>
            <w:tcBorders>
              <w:top w:val="single" w:sz="8" w:color="2C6937"/>
            </w:tcBorders>
          </w:tcPr>
          <w:p>
            <w:pPr>
              <w:spacing w:after="0"/>
              <w:rPr>
                <w:sz w:val="17"/>
                <w:szCs w:val="17"/>
                <w:color w:val="auto"/>
              </w:rPr>
            </w:pPr>
          </w:p>
        </w:tc>
        <w:tc>
          <w:tcPr>
            <w:tcW w:w="60" w:type="dxa"/>
            <w:vAlign w:val="bottom"/>
            <w:tcBorders>
              <w:top w:val="single" w:sz="8" w:color="2C6937"/>
            </w:tcBorders>
          </w:tcPr>
          <w:p>
            <w:pPr>
              <w:spacing w:after="0"/>
              <w:rPr>
                <w:sz w:val="17"/>
                <w:szCs w:val="17"/>
                <w:color w:val="auto"/>
              </w:rPr>
            </w:pPr>
          </w:p>
        </w:tc>
        <w:tc>
          <w:tcPr>
            <w:tcW w:w="140" w:type="dxa"/>
            <w:vAlign w:val="bottom"/>
            <w:tcBorders>
              <w:top w:val="single" w:sz="8" w:color="2C6937"/>
            </w:tcBorders>
          </w:tcPr>
          <w:p>
            <w:pPr>
              <w:spacing w:after="0"/>
              <w:rPr>
                <w:sz w:val="17"/>
                <w:szCs w:val="17"/>
                <w:color w:val="auto"/>
              </w:rPr>
            </w:pPr>
          </w:p>
        </w:tc>
        <w:tc>
          <w:tcPr>
            <w:tcW w:w="180" w:type="dxa"/>
            <w:vAlign w:val="bottom"/>
            <w:tcBorders>
              <w:top w:val="single" w:sz="8" w:color="2C6937"/>
            </w:tcBorders>
          </w:tcPr>
          <w:p>
            <w:pPr>
              <w:spacing w:after="0"/>
              <w:rPr>
                <w:sz w:val="17"/>
                <w:szCs w:val="17"/>
                <w:color w:val="auto"/>
              </w:rPr>
            </w:pPr>
          </w:p>
        </w:tc>
        <w:tc>
          <w:tcPr>
            <w:tcW w:w="2320" w:type="dxa"/>
            <w:vAlign w:val="bottom"/>
            <w:tcBorders>
              <w:top w:val="single" w:sz="8" w:color="2C6937"/>
            </w:tcBorders>
            <w:gridSpan w:val="6"/>
          </w:tcPr>
          <w:p>
            <w:pPr>
              <w:ind w:left="80"/>
              <w:spacing w:after="0"/>
              <w:rPr>
                <w:sz w:val="20"/>
                <w:szCs w:val="20"/>
                <w:color w:val="auto"/>
              </w:rPr>
            </w:pPr>
            <w:r>
              <w:rPr>
                <w:rFonts w:ascii="Arial" w:cs="Arial" w:eastAsia="Arial" w:hAnsi="Arial"/>
                <w:sz w:val="14"/>
                <w:szCs w:val="14"/>
                <w:b w:val="1"/>
                <w:bCs w:val="1"/>
                <w:color w:val="auto"/>
              </w:rPr>
              <w:t>(Dollars in billions)</w:t>
            </w:r>
          </w:p>
        </w:tc>
        <w:tc>
          <w:tcPr>
            <w:tcW w:w="980" w:type="dxa"/>
            <w:vAlign w:val="bottom"/>
            <w:tcBorders>
              <w:top w:val="single" w:sz="8" w:color="2C6937"/>
            </w:tcBorders>
          </w:tcPr>
          <w:p>
            <w:pPr>
              <w:spacing w:after="0"/>
              <w:rPr>
                <w:sz w:val="17"/>
                <w:szCs w:val="17"/>
                <w:color w:val="auto"/>
              </w:rPr>
            </w:pPr>
          </w:p>
        </w:tc>
        <w:tc>
          <w:tcPr>
            <w:tcW w:w="340" w:type="dxa"/>
            <w:vAlign w:val="bottom"/>
            <w:tcBorders>
              <w:top w:val="single" w:sz="8" w:color="2C6937"/>
            </w:tcBorders>
          </w:tcPr>
          <w:p>
            <w:pPr>
              <w:spacing w:after="0"/>
              <w:rPr>
                <w:sz w:val="17"/>
                <w:szCs w:val="17"/>
                <w:color w:val="auto"/>
              </w:rPr>
            </w:pPr>
          </w:p>
        </w:tc>
        <w:tc>
          <w:tcPr>
            <w:tcW w:w="80" w:type="dxa"/>
            <w:vAlign w:val="bottom"/>
            <w:tcBorders>
              <w:top w:val="single" w:sz="8" w:color="2C6937"/>
            </w:tcBorders>
          </w:tcPr>
          <w:p>
            <w:pPr>
              <w:spacing w:after="0"/>
              <w:rPr>
                <w:sz w:val="17"/>
                <w:szCs w:val="17"/>
                <w:color w:val="auto"/>
              </w:rPr>
            </w:pPr>
          </w:p>
        </w:tc>
        <w:tc>
          <w:tcPr>
            <w:tcW w:w="240" w:type="dxa"/>
            <w:vAlign w:val="bottom"/>
            <w:tcBorders>
              <w:top w:val="single" w:sz="8" w:color="2C6937"/>
            </w:tcBorders>
          </w:tcPr>
          <w:p>
            <w:pPr>
              <w:spacing w:after="0"/>
              <w:rPr>
                <w:sz w:val="17"/>
                <w:szCs w:val="17"/>
                <w:color w:val="auto"/>
              </w:rPr>
            </w:pPr>
          </w:p>
        </w:tc>
        <w:tc>
          <w:tcPr>
            <w:tcW w:w="900" w:type="dxa"/>
            <w:vAlign w:val="bottom"/>
            <w:tcBorders>
              <w:top w:val="single" w:sz="8" w:color="2C6937"/>
            </w:tcBorders>
          </w:tcPr>
          <w:p>
            <w:pPr>
              <w:spacing w:after="0"/>
              <w:rPr>
                <w:sz w:val="17"/>
                <w:szCs w:val="17"/>
                <w:color w:val="auto"/>
              </w:rPr>
            </w:pPr>
          </w:p>
        </w:tc>
        <w:tc>
          <w:tcPr>
            <w:tcW w:w="120" w:type="dxa"/>
            <w:vAlign w:val="bottom"/>
            <w:tcBorders>
              <w:top w:val="single" w:sz="8" w:color="2C6937"/>
            </w:tcBorders>
          </w:tcPr>
          <w:p>
            <w:pPr>
              <w:spacing w:after="0"/>
              <w:rPr>
                <w:sz w:val="17"/>
                <w:szCs w:val="17"/>
                <w:color w:val="auto"/>
              </w:rPr>
            </w:pPr>
          </w:p>
        </w:tc>
        <w:tc>
          <w:tcPr>
            <w:tcW w:w="20" w:type="dxa"/>
            <w:vAlign w:val="bottom"/>
            <w:tcBorders>
              <w:top w:val="single" w:sz="8" w:color="2C6937"/>
            </w:tcBorders>
          </w:tcPr>
          <w:p>
            <w:pPr>
              <w:spacing w:after="0"/>
              <w:rPr>
                <w:sz w:val="17"/>
                <w:szCs w:val="17"/>
                <w:color w:val="auto"/>
              </w:rPr>
            </w:pPr>
          </w:p>
        </w:tc>
        <w:tc>
          <w:tcPr>
            <w:tcW w:w="80" w:type="dxa"/>
            <w:vAlign w:val="bottom"/>
            <w:tcBorders>
              <w:top w:val="single" w:sz="8" w:color="2C6937"/>
            </w:tcBorders>
          </w:tcPr>
          <w:p>
            <w:pPr>
              <w:spacing w:after="0"/>
              <w:rPr>
                <w:sz w:val="17"/>
                <w:szCs w:val="17"/>
                <w:color w:val="auto"/>
              </w:rPr>
            </w:pPr>
          </w:p>
        </w:tc>
        <w:tc>
          <w:tcPr>
            <w:tcW w:w="480" w:type="dxa"/>
            <w:vAlign w:val="bottom"/>
            <w:tcBorders>
              <w:top w:val="single" w:sz="8" w:color="2C6937"/>
            </w:tcBorders>
          </w:tcPr>
          <w:p>
            <w:pPr>
              <w:spacing w:after="0"/>
              <w:rPr>
                <w:sz w:val="17"/>
                <w:szCs w:val="17"/>
                <w:color w:val="auto"/>
              </w:rPr>
            </w:pPr>
          </w:p>
        </w:tc>
        <w:tc>
          <w:tcPr>
            <w:tcW w:w="760" w:type="dxa"/>
            <w:vAlign w:val="bottom"/>
            <w:tcBorders>
              <w:top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960" w:type="dxa"/>
            <w:vAlign w:val="bottom"/>
          </w:tcPr>
          <w:p>
            <w:pPr>
              <w:ind w:left="20"/>
              <w:spacing w:after="0"/>
              <w:rPr>
                <w:sz w:val="20"/>
                <w:szCs w:val="20"/>
                <w:color w:val="auto"/>
              </w:rPr>
            </w:pPr>
            <w:r>
              <w:rPr>
                <w:rFonts w:ascii="Arial" w:cs="Arial" w:eastAsia="Arial" w:hAnsi="Arial"/>
                <w:sz w:val="15"/>
                <w:szCs w:val="15"/>
                <w:color w:val="auto"/>
              </w:rPr>
              <w:t>Adjusted total assets</w:t>
            </w: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gridSpan w:val="3"/>
          </w:tcPr>
          <w:p>
            <w:pPr>
              <w:ind w:left="220"/>
              <w:spacing w:after="0"/>
              <w:rPr>
                <w:sz w:val="20"/>
                <w:szCs w:val="20"/>
                <w:color w:val="auto"/>
              </w:rPr>
            </w:pPr>
            <w:r>
              <w:rPr>
                <w:rFonts w:ascii="Arial" w:cs="Arial" w:eastAsia="Arial" w:hAnsi="Arial"/>
                <w:sz w:val="15"/>
                <w:szCs w:val="15"/>
                <w:color w:val="auto"/>
              </w:rPr>
              <w:t>$</w:t>
            </w:r>
          </w:p>
        </w:tc>
        <w:tc>
          <w:tcPr>
            <w:tcW w:w="1160" w:type="dxa"/>
            <w:vAlign w:val="bottom"/>
            <w:gridSpan w:val="3"/>
          </w:tcPr>
          <w:p>
            <w:pPr>
              <w:jc w:val="right"/>
              <w:ind w:right="80"/>
              <w:spacing w:after="0"/>
              <w:rPr>
                <w:sz w:val="20"/>
                <w:szCs w:val="20"/>
                <w:color w:val="auto"/>
              </w:rPr>
            </w:pPr>
            <w:r>
              <w:rPr>
                <w:rFonts w:ascii="Arial" w:cs="Arial" w:eastAsia="Arial" w:hAnsi="Arial"/>
                <w:sz w:val="15"/>
                <w:szCs w:val="15"/>
                <w:color w:val="auto"/>
              </w:rPr>
              <w:t>4,446</w:t>
            </w:r>
          </w:p>
        </w:tc>
        <w:tc>
          <w:tcPr>
            <w:tcW w:w="140" w:type="dxa"/>
            <w:vAlign w:val="bottom"/>
          </w:tcPr>
          <w:p>
            <w:pPr>
              <w:spacing w:after="0"/>
              <w:rPr>
                <w:sz w:val="17"/>
                <w:szCs w:val="17"/>
                <w:color w:val="auto"/>
              </w:rPr>
            </w:pPr>
          </w:p>
        </w:tc>
        <w:tc>
          <w:tcPr>
            <w:tcW w:w="2000" w:type="dxa"/>
            <w:vAlign w:val="bottom"/>
            <w:gridSpan w:val="3"/>
          </w:tcPr>
          <w:p>
            <w:pPr>
              <w:ind w:left="20"/>
              <w:spacing w:after="0"/>
              <w:rPr>
                <w:sz w:val="20"/>
                <w:szCs w:val="20"/>
                <w:color w:val="auto"/>
              </w:rPr>
            </w:pPr>
            <w:r>
              <w:rPr>
                <w:rFonts w:ascii="Arial" w:cs="Arial" w:eastAsia="Arial" w:hAnsi="Arial"/>
                <w:sz w:val="15"/>
                <w:szCs w:val="15"/>
                <w:color w:val="auto"/>
              </w:rPr>
              <w:t>Stress capital buffer</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gridSpan w:val="2"/>
          </w:tcPr>
          <w:p>
            <w:pPr>
              <w:jc w:val="right"/>
              <w:ind w:right="391"/>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206"/>
        </w:trPr>
        <w:tc>
          <w:tcPr>
            <w:tcW w:w="4540" w:type="dxa"/>
            <w:vAlign w:val="bottom"/>
            <w:gridSpan w:val="3"/>
          </w:tcPr>
          <w:p>
            <w:pPr>
              <w:ind w:left="20"/>
              <w:spacing w:after="0"/>
              <w:rPr>
                <w:sz w:val="20"/>
                <w:szCs w:val="20"/>
                <w:color w:val="auto"/>
              </w:rPr>
            </w:pPr>
            <w:r>
              <w:rPr>
                <w:rFonts w:ascii="Arial" w:cs="Arial" w:eastAsia="Arial" w:hAnsi="Arial"/>
                <w:sz w:val="15"/>
                <w:szCs w:val="15"/>
                <w:color w:val="auto"/>
              </w:rPr>
              <w:t>Risk-weighted assets (standardized approach):</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gridSpan w:val="3"/>
          </w:tcPr>
          <w:p>
            <w:pPr>
              <w:ind w:left="20"/>
              <w:spacing w:after="0"/>
              <w:rPr>
                <w:sz w:val="20"/>
                <w:szCs w:val="20"/>
                <w:color w:val="auto"/>
              </w:rPr>
            </w:pPr>
            <w:r>
              <w:rPr>
                <w:rFonts w:ascii="Arial" w:cs="Arial" w:eastAsia="Arial" w:hAnsi="Arial"/>
                <w:sz w:val="15"/>
                <w:szCs w:val="15"/>
                <w:color w:val="auto"/>
              </w:rPr>
              <w:t>Stability capital buffer</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48</w:t>
            </w:r>
          </w:p>
        </w:tc>
        <w:tc>
          <w:tcPr>
            <w:tcW w:w="0" w:type="dxa"/>
            <w:vAlign w:val="bottom"/>
          </w:tcPr>
          <w:p>
            <w:pPr>
              <w:spacing w:after="0"/>
              <w:rPr>
                <w:sz w:val="1"/>
                <w:szCs w:val="1"/>
                <w:color w:val="auto"/>
              </w:rPr>
            </w:pPr>
          </w:p>
        </w:tc>
      </w:tr>
      <w:tr>
        <w:trPr>
          <w:trHeight w:val="206"/>
        </w:trPr>
        <w:tc>
          <w:tcPr>
            <w:tcW w:w="2960" w:type="dxa"/>
            <w:vAlign w:val="bottom"/>
          </w:tcPr>
          <w:p>
            <w:pPr>
              <w:ind w:left="120"/>
              <w:spacing w:after="0"/>
              <w:rPr>
                <w:sz w:val="20"/>
                <w:szCs w:val="20"/>
                <w:color w:val="auto"/>
              </w:rPr>
            </w:pPr>
            <w:r>
              <w:rPr>
                <w:rFonts w:ascii="Arial" w:cs="Arial" w:eastAsia="Arial" w:hAnsi="Arial"/>
                <w:sz w:val="15"/>
                <w:szCs w:val="15"/>
                <w:color w:val="auto"/>
              </w:rPr>
              <w:t>Credit risk</w:t>
            </w: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gridSpan w:val="3"/>
          </w:tcPr>
          <w:p>
            <w:pPr>
              <w:ind w:left="220"/>
              <w:spacing w:after="0"/>
              <w:rPr>
                <w:sz w:val="20"/>
                <w:szCs w:val="20"/>
                <w:color w:val="auto"/>
              </w:rPr>
            </w:pPr>
            <w:r>
              <w:rPr>
                <w:rFonts w:ascii="Arial" w:cs="Arial" w:eastAsia="Arial" w:hAnsi="Arial"/>
                <w:sz w:val="15"/>
                <w:szCs w:val="15"/>
                <w:color w:val="auto"/>
              </w:rPr>
              <w:t>$</w:t>
            </w:r>
          </w:p>
        </w:tc>
        <w:tc>
          <w:tcPr>
            <w:tcW w:w="1160" w:type="dxa"/>
            <w:vAlign w:val="bottom"/>
            <w:gridSpan w:val="3"/>
          </w:tcPr>
          <w:p>
            <w:pPr>
              <w:jc w:val="right"/>
              <w:ind w:right="80"/>
              <w:spacing w:after="0"/>
              <w:rPr>
                <w:sz w:val="20"/>
                <w:szCs w:val="20"/>
                <w:color w:val="auto"/>
              </w:rPr>
            </w:pPr>
            <w:r>
              <w:rPr>
                <w:rFonts w:ascii="Arial" w:cs="Arial" w:eastAsia="Arial" w:hAnsi="Arial"/>
                <w:sz w:val="15"/>
                <w:szCs w:val="15"/>
                <w:color w:val="auto"/>
              </w:rPr>
              <w:t>1,220</w:t>
            </w:r>
          </w:p>
        </w:tc>
        <w:tc>
          <w:tcPr>
            <w:tcW w:w="140" w:type="dxa"/>
            <w:vAlign w:val="bottom"/>
          </w:tcPr>
          <w:p>
            <w:pPr>
              <w:spacing w:after="0"/>
              <w:rPr>
                <w:sz w:val="17"/>
                <w:szCs w:val="17"/>
                <w:color w:val="auto"/>
              </w:rPr>
            </w:pPr>
          </w:p>
        </w:tc>
        <w:tc>
          <w:tcPr>
            <w:tcW w:w="2000" w:type="dxa"/>
            <w:vAlign w:val="bottom"/>
            <w:tcBorders>
              <w:bottom w:val="single" w:sz="8" w:color="2C6937"/>
            </w:tcBorders>
            <w:gridSpan w:val="3"/>
          </w:tcPr>
          <w:p>
            <w:pPr>
              <w:ind w:left="20"/>
              <w:spacing w:after="0"/>
              <w:rPr>
                <w:sz w:val="20"/>
                <w:szCs w:val="20"/>
                <w:color w:val="auto"/>
              </w:rPr>
            </w:pPr>
            <w:r>
              <w:rPr>
                <w:rFonts w:ascii="Arial" w:cs="Arial" w:eastAsia="Arial" w:hAnsi="Arial"/>
                <w:sz w:val="15"/>
                <w:szCs w:val="15"/>
                <w:color w:val="auto"/>
              </w:rPr>
              <w:t>Countercyclical capital buffer</w:t>
            </w:r>
          </w:p>
        </w:tc>
        <w:tc>
          <w:tcPr>
            <w:tcW w:w="34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240" w:type="dxa"/>
            <w:vAlign w:val="bottom"/>
            <w:tcBorders>
              <w:bottom w:val="single" w:sz="8" w:color="2C6937"/>
            </w:tcBorders>
          </w:tcPr>
          <w:p>
            <w:pPr>
              <w:spacing w:after="0"/>
              <w:rPr>
                <w:sz w:val="17"/>
                <w:szCs w:val="17"/>
                <w:color w:val="auto"/>
              </w:rPr>
            </w:pPr>
          </w:p>
        </w:tc>
        <w:tc>
          <w:tcPr>
            <w:tcW w:w="900" w:type="dxa"/>
            <w:vAlign w:val="bottom"/>
            <w:tcBorders>
              <w:bottom w:val="single" w:sz="8" w:color="2C6937"/>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480" w:type="dxa"/>
            <w:vAlign w:val="bottom"/>
            <w:tcBorders>
              <w:bottom w:val="single" w:sz="8" w:color="2C6937"/>
            </w:tcBorders>
          </w:tcPr>
          <w:p>
            <w:pPr>
              <w:spacing w:after="0"/>
              <w:rPr>
                <w:sz w:val="17"/>
                <w:szCs w:val="17"/>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5"/>
        </w:trPr>
        <w:tc>
          <w:tcPr>
            <w:tcW w:w="2960" w:type="dxa"/>
            <w:vAlign w:val="bottom"/>
          </w:tcPr>
          <w:p>
            <w:pPr>
              <w:ind w:left="120"/>
              <w:spacing w:after="0"/>
              <w:rPr>
                <w:sz w:val="20"/>
                <w:szCs w:val="20"/>
                <w:color w:val="auto"/>
              </w:rPr>
            </w:pPr>
            <w:r>
              <w:rPr>
                <w:rFonts w:ascii="Arial" w:cs="Arial" w:eastAsia="Arial" w:hAnsi="Arial"/>
                <w:sz w:val="15"/>
                <w:szCs w:val="15"/>
                <w:color w:val="auto"/>
              </w:rPr>
              <w:t>Market risk</w:t>
            </w: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5"/>
                <w:szCs w:val="15"/>
                <w:color w:val="auto"/>
              </w:rPr>
              <w:t>28</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960" w:type="dxa"/>
            <w:vAlign w:val="bottom"/>
          </w:tcPr>
          <w:p>
            <w:pPr>
              <w:ind w:left="120"/>
              <w:spacing w:after="0"/>
              <w:rPr>
                <w:sz w:val="20"/>
                <w:szCs w:val="20"/>
                <w:color w:val="auto"/>
              </w:rPr>
            </w:pPr>
            <w:r>
              <w:rPr>
                <w:rFonts w:ascii="Arial" w:cs="Arial" w:eastAsia="Arial" w:hAnsi="Arial"/>
                <w:sz w:val="15"/>
                <w:szCs w:val="15"/>
                <w:color w:val="auto"/>
              </w:rPr>
              <w:t>Operational risk</w:t>
            </w: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5"/>
                <w:szCs w:val="15"/>
                <w:color w:val="auto"/>
              </w:rPr>
              <w:t>83</w:t>
            </w:r>
          </w:p>
        </w:tc>
        <w:tc>
          <w:tcPr>
            <w:tcW w:w="140" w:type="dxa"/>
            <w:vAlign w:val="bottom"/>
          </w:tcPr>
          <w:p>
            <w:pPr>
              <w:spacing w:after="0"/>
              <w:rPr>
                <w:sz w:val="19"/>
                <w:szCs w:val="19"/>
                <w:color w:val="auto"/>
              </w:rPr>
            </w:pPr>
          </w:p>
        </w:tc>
        <w:tc>
          <w:tcPr>
            <w:tcW w:w="3700" w:type="dxa"/>
            <w:vAlign w:val="bottom"/>
            <w:gridSpan w:val="9"/>
          </w:tcPr>
          <w:p>
            <w:pPr>
              <w:ind w:left="20"/>
              <w:spacing w:after="0"/>
              <w:rPr>
                <w:sz w:val="20"/>
                <w:szCs w:val="20"/>
                <w:color w:val="auto"/>
              </w:rPr>
            </w:pPr>
            <w:r>
              <w:rPr>
                <w:rFonts w:ascii="Arial" w:cs="Arial" w:eastAsia="Arial" w:hAnsi="Arial"/>
                <w:sz w:val="15"/>
                <w:szCs w:val="15"/>
                <w:b w:val="1"/>
                <w:bCs w:val="1"/>
                <w:color w:val="auto"/>
              </w:rPr>
              <w:t>Prescribed capital conservation buffer amount</w:t>
            </w:r>
          </w:p>
        </w:tc>
        <w:tc>
          <w:tcPr>
            <w:tcW w:w="560" w:type="dxa"/>
            <w:vAlign w:val="bottom"/>
            <w:gridSpan w:val="2"/>
          </w:tcPr>
          <w:p>
            <w:pPr>
              <w:jc w:val="right"/>
              <w:ind w:right="391"/>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81</w:t>
            </w:r>
          </w:p>
        </w:tc>
        <w:tc>
          <w:tcPr>
            <w:tcW w:w="0" w:type="dxa"/>
            <w:vAlign w:val="bottom"/>
          </w:tcPr>
          <w:p>
            <w:pPr>
              <w:spacing w:after="0"/>
              <w:rPr>
                <w:sz w:val="1"/>
                <w:szCs w:val="1"/>
                <w:color w:val="auto"/>
              </w:rPr>
            </w:pPr>
          </w:p>
        </w:tc>
      </w:tr>
      <w:tr>
        <w:trPr>
          <w:trHeight w:val="40"/>
        </w:trPr>
        <w:tc>
          <w:tcPr>
            <w:tcW w:w="2960" w:type="dxa"/>
            <w:vAlign w:val="bottom"/>
            <w:tcBorders>
              <w:bottom w:val="single" w:sz="8" w:color="2C6937"/>
            </w:tcBorders>
          </w:tcPr>
          <w:p>
            <w:pPr>
              <w:spacing w:after="0"/>
              <w:rPr>
                <w:sz w:val="3"/>
                <w:szCs w:val="3"/>
                <w:color w:val="auto"/>
              </w:rPr>
            </w:pPr>
          </w:p>
        </w:tc>
        <w:tc>
          <w:tcPr>
            <w:tcW w:w="1500" w:type="dxa"/>
            <w:vAlign w:val="bottom"/>
            <w:tcBorders>
              <w:bottom w:val="single" w:sz="8" w:color="2C6937"/>
            </w:tcBorders>
          </w:tcPr>
          <w:p>
            <w:pPr>
              <w:spacing w:after="0"/>
              <w:rPr>
                <w:sz w:val="3"/>
                <w:szCs w:val="3"/>
                <w:color w:val="auto"/>
              </w:rPr>
            </w:pPr>
          </w:p>
        </w:tc>
        <w:tc>
          <w:tcPr>
            <w:tcW w:w="80" w:type="dxa"/>
            <w:vAlign w:val="bottom"/>
            <w:tcBorders>
              <w:bottom w:val="single" w:sz="8" w:color="2C6937"/>
            </w:tcBorders>
          </w:tcPr>
          <w:p>
            <w:pPr>
              <w:spacing w:after="0"/>
              <w:rPr>
                <w:sz w:val="3"/>
                <w:szCs w:val="3"/>
                <w:color w:val="auto"/>
              </w:rPr>
            </w:pPr>
          </w:p>
        </w:tc>
        <w:tc>
          <w:tcPr>
            <w:tcW w:w="60" w:type="dxa"/>
            <w:vAlign w:val="bottom"/>
            <w:tcBorders>
              <w:bottom w:val="single" w:sz="8" w:color="2C6937"/>
            </w:tcBorders>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Borders>
              <w:bottom w:val="single" w:sz="8" w:color="2C6937"/>
            </w:tcBorders>
          </w:tcPr>
          <w:p>
            <w:pPr>
              <w:spacing w:after="0"/>
              <w:rPr>
                <w:sz w:val="3"/>
                <w:szCs w:val="3"/>
                <w:color w:val="auto"/>
              </w:rPr>
            </w:pPr>
          </w:p>
        </w:tc>
        <w:tc>
          <w:tcPr>
            <w:tcW w:w="880" w:type="dxa"/>
            <w:vAlign w:val="bottom"/>
            <w:tcBorders>
              <w:bottom w:val="single" w:sz="8" w:color="2C6937"/>
            </w:tcBorders>
          </w:tcPr>
          <w:p>
            <w:pPr>
              <w:spacing w:after="0"/>
              <w:rPr>
                <w:sz w:val="3"/>
                <w:szCs w:val="3"/>
                <w:color w:val="auto"/>
              </w:rPr>
            </w:pPr>
          </w:p>
        </w:tc>
        <w:tc>
          <w:tcPr>
            <w:tcW w:w="100" w:type="dxa"/>
            <w:vAlign w:val="bottom"/>
            <w:tcBorders>
              <w:bottom w:val="single" w:sz="8" w:color="2C6937"/>
            </w:tcBorders>
          </w:tcPr>
          <w:p>
            <w:pPr>
              <w:spacing w:after="0"/>
              <w:rPr>
                <w:sz w:val="3"/>
                <w:szCs w:val="3"/>
                <w:color w:val="auto"/>
              </w:rPr>
            </w:pPr>
          </w:p>
        </w:tc>
        <w:tc>
          <w:tcPr>
            <w:tcW w:w="180" w:type="dxa"/>
            <w:vAlign w:val="bottom"/>
            <w:tcBorders>
              <w:bottom w:val="single" w:sz="8" w:color="2C6937"/>
            </w:tcBorders>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Borders>
              <w:top w:val="single" w:sz="8" w:color="2C6937"/>
              <w:bottom w:val="single" w:sz="8" w:color="2C6937"/>
            </w:tcBorders>
          </w:tcPr>
          <w:p>
            <w:pPr>
              <w:spacing w:after="0"/>
              <w:rPr>
                <w:sz w:val="3"/>
                <w:szCs w:val="3"/>
                <w:color w:val="auto"/>
              </w:rPr>
            </w:pPr>
          </w:p>
        </w:tc>
        <w:tc>
          <w:tcPr>
            <w:tcW w:w="80" w:type="dxa"/>
            <w:vAlign w:val="bottom"/>
            <w:tcBorders>
              <w:top w:val="single" w:sz="8" w:color="2C6937"/>
              <w:bottom w:val="single" w:sz="8" w:color="2C6937"/>
            </w:tcBorders>
          </w:tcPr>
          <w:p>
            <w:pPr>
              <w:spacing w:after="0"/>
              <w:rPr>
                <w:sz w:val="3"/>
                <w:szCs w:val="3"/>
                <w:color w:val="auto"/>
              </w:rPr>
            </w:pPr>
          </w:p>
        </w:tc>
        <w:tc>
          <w:tcPr>
            <w:tcW w:w="980" w:type="dxa"/>
            <w:vAlign w:val="bottom"/>
            <w:tcBorders>
              <w:top w:val="single" w:sz="8" w:color="2C6937"/>
              <w:bottom w:val="single" w:sz="8" w:color="2C6937"/>
            </w:tcBorders>
          </w:tcPr>
          <w:p>
            <w:pPr>
              <w:spacing w:after="0"/>
              <w:rPr>
                <w:sz w:val="3"/>
                <w:szCs w:val="3"/>
                <w:color w:val="auto"/>
              </w:rPr>
            </w:pPr>
          </w:p>
        </w:tc>
        <w:tc>
          <w:tcPr>
            <w:tcW w:w="340" w:type="dxa"/>
            <w:vAlign w:val="bottom"/>
            <w:tcBorders>
              <w:top w:val="single" w:sz="8" w:color="2C6937"/>
              <w:bottom w:val="single" w:sz="8" w:color="2C6937"/>
            </w:tcBorders>
          </w:tcPr>
          <w:p>
            <w:pPr>
              <w:spacing w:after="0"/>
              <w:rPr>
                <w:sz w:val="3"/>
                <w:szCs w:val="3"/>
                <w:color w:val="auto"/>
              </w:rPr>
            </w:pPr>
          </w:p>
        </w:tc>
        <w:tc>
          <w:tcPr>
            <w:tcW w:w="80" w:type="dxa"/>
            <w:vAlign w:val="bottom"/>
            <w:tcBorders>
              <w:top w:val="single" w:sz="8" w:color="2C6937"/>
              <w:bottom w:val="single" w:sz="8" w:color="2C6937"/>
            </w:tcBorders>
          </w:tcPr>
          <w:p>
            <w:pPr>
              <w:spacing w:after="0"/>
              <w:rPr>
                <w:sz w:val="3"/>
                <w:szCs w:val="3"/>
                <w:color w:val="auto"/>
              </w:rPr>
            </w:pPr>
          </w:p>
        </w:tc>
        <w:tc>
          <w:tcPr>
            <w:tcW w:w="240" w:type="dxa"/>
            <w:vAlign w:val="bottom"/>
            <w:tcBorders>
              <w:top w:val="single" w:sz="8" w:color="2C6937"/>
              <w:bottom w:val="single" w:sz="8" w:color="2C6937"/>
            </w:tcBorders>
          </w:tcPr>
          <w:p>
            <w:pPr>
              <w:spacing w:after="0"/>
              <w:rPr>
                <w:sz w:val="3"/>
                <w:szCs w:val="3"/>
                <w:color w:val="auto"/>
              </w:rPr>
            </w:pPr>
          </w:p>
        </w:tc>
        <w:tc>
          <w:tcPr>
            <w:tcW w:w="900" w:type="dxa"/>
            <w:vAlign w:val="bottom"/>
            <w:tcBorders>
              <w:top w:val="single" w:sz="8" w:color="2C6937"/>
              <w:bottom w:val="single" w:sz="8" w:color="2C6937"/>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top w:val="single" w:sz="8" w:color="2C6937"/>
              <w:bottom w:val="single" w:sz="8" w:color="2C6937"/>
            </w:tcBorders>
          </w:tcPr>
          <w:p>
            <w:pPr>
              <w:spacing w:after="0"/>
              <w:rPr>
                <w:sz w:val="3"/>
                <w:szCs w:val="3"/>
                <w:color w:val="auto"/>
              </w:rPr>
            </w:pPr>
          </w:p>
        </w:tc>
        <w:tc>
          <w:tcPr>
            <w:tcW w:w="480" w:type="dxa"/>
            <w:vAlign w:val="bottom"/>
            <w:tcBorders>
              <w:top w:val="single" w:sz="8" w:color="2C6937"/>
              <w:bottom w:val="single" w:sz="8" w:color="2C6937"/>
            </w:tcBorders>
          </w:tcPr>
          <w:p>
            <w:pPr>
              <w:spacing w:after="0"/>
              <w:rPr>
                <w:sz w:val="3"/>
                <w:szCs w:val="3"/>
                <w:color w:val="auto"/>
              </w:rPr>
            </w:pPr>
          </w:p>
        </w:tc>
        <w:tc>
          <w:tcPr>
            <w:tcW w:w="760" w:type="dxa"/>
            <w:vAlign w:val="bottom"/>
            <w:tcBorders>
              <w:top w:val="single" w:sz="8" w:color="2C6937"/>
              <w:bottom w:val="single" w:sz="8" w:color="2C6937"/>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96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Total risk-weighted assets</w:t>
            </w: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gridSpan w:val="3"/>
          </w:tcPr>
          <w:p>
            <w:pPr>
              <w:ind w:left="220"/>
              <w:spacing w:after="0" w:line="165" w:lineRule="exact"/>
              <w:rPr>
                <w:sz w:val="20"/>
                <w:szCs w:val="20"/>
                <w:color w:val="auto"/>
              </w:rPr>
            </w:pPr>
            <w:r>
              <w:rPr>
                <w:rFonts w:ascii="Arial" w:cs="Arial" w:eastAsia="Arial" w:hAnsi="Arial"/>
                <w:sz w:val="15"/>
                <w:szCs w:val="15"/>
                <w:color w:val="auto"/>
              </w:rPr>
              <w:t>$</w:t>
            </w:r>
          </w:p>
        </w:tc>
        <w:tc>
          <w:tcPr>
            <w:tcW w:w="1160" w:type="dxa"/>
            <w:vAlign w:val="bottom"/>
            <w:gridSpan w:val="3"/>
          </w:tcPr>
          <w:p>
            <w:pPr>
              <w:jc w:val="right"/>
              <w:ind w:right="80"/>
              <w:spacing w:after="0" w:line="165" w:lineRule="exact"/>
              <w:rPr>
                <w:sz w:val="20"/>
                <w:szCs w:val="20"/>
                <w:color w:val="auto"/>
              </w:rPr>
            </w:pPr>
            <w:r>
              <w:rPr>
                <w:rFonts w:ascii="Arial" w:cs="Arial" w:eastAsia="Arial" w:hAnsi="Arial"/>
                <w:sz w:val="15"/>
                <w:szCs w:val="15"/>
                <w:color w:val="auto"/>
              </w:rPr>
              <w:t>1,331</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5"/>
              </w:rPr>
              <w:t>Total Capital</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60" w:type="dxa"/>
            <w:vAlign w:val="bottom"/>
            <w:tcBorders>
              <w:top w:val="single" w:sz="8" w:color="2C6937"/>
              <w:bottom w:val="single" w:sz="8" w:color="2C6937"/>
            </w:tcBorders>
          </w:tcPr>
          <w:p>
            <w:pPr>
              <w:spacing w:after="0" w:line="20" w:lineRule="exact"/>
              <w:rPr>
                <w:sz w:val="1"/>
                <w:szCs w:val="1"/>
                <w:color w:val="auto"/>
              </w:rPr>
            </w:pPr>
          </w:p>
        </w:tc>
        <w:tc>
          <w:tcPr>
            <w:tcW w:w="150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gridSpan w:val="3"/>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29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960" w:type="dxa"/>
            <w:vAlign w:val="bottom"/>
          </w:tcPr>
          <w:p>
            <w:pPr>
              <w:spacing w:after="0"/>
              <w:rPr>
                <w:sz w:val="13"/>
                <w:szCs w:val="13"/>
                <w:color w:val="auto"/>
              </w:rPr>
            </w:pPr>
          </w:p>
        </w:tc>
        <w:tc>
          <w:tcPr>
            <w:tcW w:w="158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Minimum Capital</w:t>
            </w:r>
          </w:p>
        </w:tc>
        <w:tc>
          <w:tcPr>
            <w:tcW w:w="60" w:type="dxa"/>
            <w:vAlign w:val="bottom"/>
          </w:tcPr>
          <w:p>
            <w:pPr>
              <w:spacing w:after="0"/>
              <w:rPr>
                <w:sz w:val="13"/>
                <w:szCs w:val="13"/>
                <w:color w:val="auto"/>
              </w:rPr>
            </w:pPr>
          </w:p>
        </w:tc>
        <w:tc>
          <w:tcPr>
            <w:tcW w:w="1200" w:type="dxa"/>
            <w:vAlign w:val="bottom"/>
            <w:gridSpan w:val="3"/>
          </w:tcPr>
          <w:p>
            <w:pPr>
              <w:jc w:val="right"/>
              <w:ind w:right="4"/>
              <w:spacing w:after="0" w:line="155" w:lineRule="exact"/>
              <w:rPr>
                <w:sz w:val="20"/>
                <w:szCs w:val="20"/>
                <w:color w:val="auto"/>
              </w:rPr>
            </w:pPr>
            <w:r>
              <w:rPr>
                <w:rFonts w:ascii="Arial" w:cs="Arial" w:eastAsia="Arial" w:hAnsi="Arial"/>
                <w:sz w:val="14"/>
                <w:szCs w:val="14"/>
                <w:b w:val="1"/>
                <w:bCs w:val="1"/>
                <w:color w:val="auto"/>
                <w:w w:val="98"/>
              </w:rPr>
              <w:t>Minimum Capital</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3"/>
          </w:tcPr>
          <w:p>
            <w:pPr>
              <w:ind w:left="100"/>
              <w:spacing w:after="0" w:line="155" w:lineRule="exact"/>
              <w:rPr>
                <w:sz w:val="20"/>
                <w:szCs w:val="20"/>
                <w:color w:val="auto"/>
              </w:rPr>
            </w:pPr>
            <w:r>
              <w:rPr>
                <w:rFonts w:ascii="Arial" w:cs="Arial" w:eastAsia="Arial" w:hAnsi="Arial"/>
                <w:sz w:val="14"/>
                <w:szCs w:val="14"/>
                <w:b w:val="1"/>
                <w:bCs w:val="1"/>
                <w:color w:val="auto"/>
              </w:rPr>
              <w:t>Applicable</w:t>
            </w:r>
          </w:p>
        </w:tc>
        <w:tc>
          <w:tcPr>
            <w:tcW w:w="1400" w:type="dxa"/>
            <w:vAlign w:val="bottom"/>
            <w:gridSpan w:val="3"/>
          </w:tcPr>
          <w:p>
            <w:pPr>
              <w:jc w:val="center"/>
              <w:ind w:right="80"/>
              <w:spacing w:after="0" w:line="155" w:lineRule="exact"/>
              <w:rPr>
                <w:sz w:val="20"/>
                <w:szCs w:val="20"/>
                <w:color w:val="auto"/>
              </w:rPr>
            </w:pPr>
            <w:r>
              <w:rPr>
                <w:rFonts w:ascii="Arial" w:cs="Arial" w:eastAsia="Arial" w:hAnsi="Arial"/>
                <w:sz w:val="14"/>
                <w:szCs w:val="14"/>
                <w:b w:val="1"/>
                <w:bCs w:val="1"/>
                <w:color w:val="auto"/>
                <w:w w:val="98"/>
              </w:rPr>
              <w:t>Requirement</w:t>
            </w:r>
          </w:p>
        </w:tc>
        <w:tc>
          <w:tcPr>
            <w:tcW w:w="1280" w:type="dxa"/>
            <w:vAlign w:val="bottom"/>
            <w:gridSpan w:val="4"/>
          </w:tcPr>
          <w:p>
            <w:pPr>
              <w:jc w:val="center"/>
              <w:ind w:right="20"/>
              <w:spacing w:after="0" w:line="155" w:lineRule="exact"/>
              <w:rPr>
                <w:sz w:val="20"/>
                <w:szCs w:val="20"/>
                <w:color w:val="auto"/>
              </w:rPr>
            </w:pPr>
            <w:r>
              <w:rPr>
                <w:rFonts w:ascii="Arial" w:cs="Arial" w:eastAsia="Arial" w:hAnsi="Arial"/>
                <w:sz w:val="14"/>
                <w:szCs w:val="14"/>
                <w:b w:val="1"/>
                <w:bCs w:val="1"/>
                <w:color w:val="auto"/>
                <w:w w:val="98"/>
              </w:rPr>
              <w:t>Available Capital</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960" w:type="dxa"/>
            <w:vAlign w:val="bottom"/>
          </w:tcPr>
          <w:p>
            <w:pPr>
              <w:spacing w:after="0"/>
              <w:rPr>
                <w:sz w:val="18"/>
                <w:szCs w:val="18"/>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Ratio Requirement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Requirement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Buffers</w:t>
            </w:r>
            <w:r>
              <w:rPr>
                <w:rFonts w:ascii="Arial" w:cs="Arial" w:eastAsia="Arial" w:hAnsi="Arial"/>
                <w:sz w:val="8"/>
                <w:szCs w:val="8"/>
                <w:b w:val="1"/>
                <w:bCs w:val="1"/>
                <w:color w:val="auto"/>
              </w:rPr>
              <w:t>(2)</w:t>
            </w:r>
          </w:p>
        </w:tc>
        <w:tc>
          <w:tcPr>
            <w:tcW w:w="14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9"/>
              </w:rPr>
              <w:t>(including Buffers)</w:t>
            </w:r>
          </w:p>
        </w:tc>
        <w:tc>
          <w:tcPr>
            <w:tcW w:w="240" w:type="dxa"/>
            <w:vAlign w:val="bottom"/>
          </w:tcPr>
          <w:p>
            <w:pPr>
              <w:spacing w:after="0"/>
              <w:rPr>
                <w:sz w:val="18"/>
                <w:szCs w:val="18"/>
                <w:color w:val="auto"/>
              </w:rPr>
            </w:pPr>
          </w:p>
        </w:tc>
        <w:tc>
          <w:tcPr>
            <w:tcW w:w="10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(Deficit)</w:t>
            </w:r>
          </w:p>
        </w:tc>
        <w:tc>
          <w:tcPr>
            <w:tcW w:w="80" w:type="dxa"/>
            <w:vAlign w:val="bottom"/>
          </w:tcPr>
          <w:p>
            <w:pPr>
              <w:spacing w:after="0"/>
              <w:rPr>
                <w:sz w:val="18"/>
                <w:szCs w:val="18"/>
                <w:color w:val="auto"/>
              </w:rPr>
            </w:pPr>
          </w:p>
        </w:tc>
        <w:tc>
          <w:tcPr>
            <w:tcW w:w="1240" w:type="dxa"/>
            <w:vAlign w:val="bottom"/>
            <w:gridSpan w:val="2"/>
          </w:tcPr>
          <w:p>
            <w:pPr>
              <w:jc w:val="right"/>
              <w:ind w:right="23"/>
              <w:spacing w:after="0"/>
              <w:rPr>
                <w:sz w:val="20"/>
                <w:szCs w:val="20"/>
                <w:color w:val="auto"/>
              </w:rPr>
            </w:pPr>
            <w:r>
              <w:rPr>
                <w:rFonts w:ascii="Arial" w:cs="Arial" w:eastAsia="Arial" w:hAnsi="Arial"/>
                <w:sz w:val="14"/>
                <w:szCs w:val="14"/>
                <w:b w:val="1"/>
                <w:bCs w:val="1"/>
                <w:color w:val="auto"/>
              </w:rPr>
              <w:t>Capital Shortfall</w:t>
            </w:r>
          </w:p>
        </w:tc>
        <w:tc>
          <w:tcPr>
            <w:tcW w:w="0" w:type="dxa"/>
            <w:vAlign w:val="bottom"/>
          </w:tcPr>
          <w:p>
            <w:pPr>
              <w:spacing w:after="0"/>
              <w:rPr>
                <w:sz w:val="1"/>
                <w:szCs w:val="1"/>
                <w:color w:val="auto"/>
              </w:rPr>
            </w:pPr>
          </w:p>
        </w:tc>
      </w:tr>
      <w:tr>
        <w:trPr>
          <w:trHeight w:val="194"/>
        </w:trPr>
        <w:tc>
          <w:tcPr>
            <w:tcW w:w="2960" w:type="dxa"/>
            <w:vAlign w:val="bottom"/>
          </w:tcPr>
          <w:p>
            <w:pPr>
              <w:ind w:left="20"/>
              <w:spacing w:after="0"/>
              <w:rPr>
                <w:sz w:val="20"/>
                <w:szCs w:val="20"/>
                <w:color w:val="auto"/>
              </w:rPr>
            </w:pPr>
            <w:r>
              <w:rPr>
                <w:rFonts w:ascii="Arial" w:cs="Arial" w:eastAsia="Arial" w:hAnsi="Arial"/>
                <w:sz w:val="15"/>
                <w:szCs w:val="15"/>
                <w:b w:val="1"/>
                <w:bCs w:val="1"/>
                <w:color w:val="auto"/>
              </w:rPr>
              <w:t>Risk-based capital:</w:t>
            </w:r>
          </w:p>
        </w:tc>
        <w:tc>
          <w:tcPr>
            <w:tcW w:w="1500" w:type="dxa"/>
            <w:vAlign w:val="bottom"/>
            <w:tcBorders>
              <w:top w:val="single" w:sz="8" w:color="2C6937"/>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top w:val="single" w:sz="8" w:color="2C6937"/>
            </w:tcBorders>
          </w:tcPr>
          <w:p>
            <w:pPr>
              <w:spacing w:after="0"/>
              <w:rPr>
                <w:sz w:val="16"/>
                <w:szCs w:val="16"/>
                <w:color w:val="auto"/>
              </w:rPr>
            </w:pPr>
          </w:p>
        </w:tc>
        <w:tc>
          <w:tcPr>
            <w:tcW w:w="140" w:type="dxa"/>
            <w:vAlign w:val="bottom"/>
            <w:tcBorders>
              <w:top w:val="single" w:sz="8" w:color="2C6937"/>
            </w:tcBorders>
          </w:tcPr>
          <w:p>
            <w:pPr>
              <w:spacing w:after="0"/>
              <w:rPr>
                <w:sz w:val="16"/>
                <w:szCs w:val="16"/>
                <w:color w:val="auto"/>
              </w:rPr>
            </w:pPr>
          </w:p>
        </w:tc>
        <w:tc>
          <w:tcPr>
            <w:tcW w:w="180" w:type="dxa"/>
            <w:vAlign w:val="bottom"/>
            <w:tcBorders>
              <w:top w:val="single" w:sz="8" w:color="2C6937"/>
            </w:tcBorders>
          </w:tcPr>
          <w:p>
            <w:pPr>
              <w:spacing w:after="0"/>
              <w:rPr>
                <w:sz w:val="16"/>
                <w:szCs w:val="16"/>
                <w:color w:val="auto"/>
              </w:rPr>
            </w:pPr>
          </w:p>
        </w:tc>
        <w:tc>
          <w:tcPr>
            <w:tcW w:w="880" w:type="dxa"/>
            <w:vAlign w:val="bottom"/>
            <w:tcBorders>
              <w:top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2C6937"/>
            </w:tcBorders>
          </w:tcPr>
          <w:p>
            <w:pPr>
              <w:spacing w:after="0"/>
              <w:rPr>
                <w:sz w:val="16"/>
                <w:szCs w:val="16"/>
                <w:color w:val="auto"/>
              </w:rPr>
            </w:pPr>
          </w:p>
        </w:tc>
        <w:tc>
          <w:tcPr>
            <w:tcW w:w="140" w:type="dxa"/>
            <w:vAlign w:val="bottom"/>
            <w:tcBorders>
              <w:top w:val="single" w:sz="8" w:color="2C6937"/>
            </w:tcBorders>
          </w:tcPr>
          <w:p>
            <w:pPr>
              <w:spacing w:after="0"/>
              <w:rPr>
                <w:sz w:val="16"/>
                <w:szCs w:val="16"/>
                <w:color w:val="auto"/>
              </w:rPr>
            </w:pPr>
          </w:p>
        </w:tc>
        <w:tc>
          <w:tcPr>
            <w:tcW w:w="940" w:type="dxa"/>
            <w:vAlign w:val="bottom"/>
            <w:tcBorders>
              <w:top w:val="single" w:sz="8" w:color="2C6937"/>
            </w:tcBorders>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Borders>
              <w:top w:val="single" w:sz="8" w:color="2C6937"/>
            </w:tcBorders>
          </w:tcPr>
          <w:p>
            <w:pPr>
              <w:spacing w:after="0"/>
              <w:rPr>
                <w:sz w:val="16"/>
                <w:szCs w:val="16"/>
                <w:color w:val="auto"/>
              </w:rPr>
            </w:pPr>
          </w:p>
        </w:tc>
        <w:tc>
          <w:tcPr>
            <w:tcW w:w="340" w:type="dxa"/>
            <w:vAlign w:val="bottom"/>
            <w:tcBorders>
              <w:top w:val="single" w:sz="8" w:color="2C6937"/>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top w:val="single" w:sz="8" w:color="2C6937"/>
            </w:tcBorders>
          </w:tcPr>
          <w:p>
            <w:pPr>
              <w:spacing w:after="0"/>
              <w:rPr>
                <w:sz w:val="16"/>
                <w:szCs w:val="16"/>
                <w:color w:val="auto"/>
              </w:rPr>
            </w:pPr>
          </w:p>
        </w:tc>
        <w:tc>
          <w:tcPr>
            <w:tcW w:w="900" w:type="dxa"/>
            <w:vAlign w:val="bottom"/>
            <w:tcBorders>
              <w:top w:val="single" w:sz="8" w:color="2C6937"/>
            </w:tcBorders>
          </w:tcPr>
          <w:p>
            <w:pPr>
              <w:spacing w:after="0"/>
              <w:rPr>
                <w:sz w:val="16"/>
                <w:szCs w:val="16"/>
                <w:color w:val="auto"/>
              </w:rPr>
            </w:pPr>
          </w:p>
        </w:tc>
        <w:tc>
          <w:tcPr>
            <w:tcW w:w="120" w:type="dxa"/>
            <w:vAlign w:val="bottom"/>
            <w:tcBorders>
              <w:top w:val="single" w:sz="8" w:color="2C6937"/>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Borders>
              <w:top w:val="single" w:sz="8" w:color="2C6937"/>
            </w:tcBorders>
          </w:tcPr>
          <w:p>
            <w:pPr>
              <w:spacing w:after="0"/>
              <w:rPr>
                <w:sz w:val="16"/>
                <w:szCs w:val="16"/>
                <w:color w:val="auto"/>
              </w:rPr>
            </w:pPr>
          </w:p>
        </w:tc>
        <w:tc>
          <w:tcPr>
            <w:tcW w:w="760" w:type="dxa"/>
            <w:vAlign w:val="bottom"/>
            <w:tcBorders>
              <w:top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960" w:type="dxa"/>
            <w:vAlign w:val="bottom"/>
          </w:tcPr>
          <w:p>
            <w:pPr>
              <w:ind w:left="240"/>
              <w:spacing w:after="0"/>
              <w:rPr>
                <w:sz w:val="20"/>
                <w:szCs w:val="20"/>
                <w:color w:val="auto"/>
              </w:rPr>
            </w:pPr>
            <w:r>
              <w:rPr>
                <w:rFonts w:ascii="Arial" w:cs="Arial" w:eastAsia="Arial" w:hAnsi="Arial"/>
                <w:sz w:val="15"/>
                <w:szCs w:val="15"/>
                <w:color w:val="auto"/>
              </w:rPr>
              <w:t>Total capital (statutory)</w:t>
            </w:r>
          </w:p>
        </w:tc>
        <w:tc>
          <w:tcPr>
            <w:tcW w:w="1500" w:type="dxa"/>
            <w:vAlign w:val="bottom"/>
          </w:tcPr>
          <w:p>
            <w:pPr>
              <w:ind w:left="1080"/>
              <w:spacing w:after="0"/>
              <w:rPr>
                <w:sz w:val="20"/>
                <w:szCs w:val="20"/>
                <w:color w:val="auto"/>
              </w:rPr>
            </w:pPr>
            <w:r>
              <w:rPr>
                <w:rFonts w:ascii="Arial" w:cs="Arial" w:eastAsia="Arial" w:hAnsi="Arial"/>
                <w:sz w:val="15"/>
                <w:szCs w:val="15"/>
                <w:color w:val="auto"/>
              </w:rPr>
              <w:t>8.0 %</w:t>
            </w:r>
          </w:p>
        </w:tc>
        <w:tc>
          <w:tcPr>
            <w:tcW w:w="80" w:type="dxa"/>
            <w:vAlign w:val="bottom"/>
          </w:tcPr>
          <w:p>
            <w:pPr>
              <w:spacing w:after="0"/>
              <w:rPr>
                <w:sz w:val="17"/>
                <w:szCs w:val="17"/>
                <w:color w:val="auto"/>
              </w:rPr>
            </w:pPr>
          </w:p>
        </w:tc>
        <w:tc>
          <w:tcPr>
            <w:tcW w:w="200" w:type="dxa"/>
            <w:vAlign w:val="bottom"/>
            <w:gridSpan w:val="2"/>
          </w:tcPr>
          <w:p>
            <w:pPr>
              <w:jc w:val="right"/>
              <w:ind w:right="31"/>
              <w:spacing w:after="0"/>
              <w:rPr>
                <w:sz w:val="20"/>
                <w:szCs w:val="20"/>
                <w:color w:val="auto"/>
              </w:rPr>
            </w:pPr>
            <w:r>
              <w:rPr>
                <w:rFonts w:ascii="Arial" w:cs="Arial" w:eastAsia="Arial" w:hAnsi="Arial"/>
                <w:sz w:val="15"/>
                <w:szCs w:val="15"/>
                <w:color w:val="auto"/>
                <w:w w:val="95"/>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106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left="484"/>
              <w:spacing w:after="0"/>
              <w:rPr>
                <w:sz w:val="20"/>
                <w:szCs w:val="20"/>
                <w:color w:val="auto"/>
              </w:rPr>
            </w:pPr>
            <w:r>
              <w:rPr>
                <w:rFonts w:ascii="Arial" w:cs="Arial" w:eastAsia="Arial" w:hAnsi="Arial"/>
                <w:sz w:val="15"/>
                <w:szCs w:val="15"/>
                <w:color w:val="auto"/>
              </w:rPr>
              <w:t>N/A</w:t>
            </w:r>
          </w:p>
        </w:tc>
        <w:tc>
          <w:tcPr>
            <w:tcW w:w="980" w:type="dxa"/>
            <w:vAlign w:val="bottom"/>
          </w:tcPr>
          <w:p>
            <w:pPr>
              <w:jc w:val="right"/>
              <w:ind w:right="789"/>
              <w:spacing w:after="0"/>
              <w:rPr>
                <w:sz w:val="20"/>
                <w:szCs w:val="20"/>
                <w:color w:val="auto"/>
              </w:rPr>
            </w:pPr>
            <w:r>
              <w:rPr>
                <w:rFonts w:ascii="Arial" w:cs="Arial" w:eastAsia="Arial" w:hAnsi="Arial"/>
                <w:sz w:val="15"/>
                <w:szCs w:val="15"/>
                <w:color w:val="auto"/>
              </w:rPr>
              <w:t>$</w:t>
            </w:r>
          </w:p>
        </w:tc>
        <w:tc>
          <w:tcPr>
            <w:tcW w:w="340" w:type="dxa"/>
            <w:vAlign w:val="bottom"/>
          </w:tcPr>
          <w:p>
            <w:pPr>
              <w:jc w:val="right"/>
              <w:ind w:right="3"/>
              <w:spacing w:after="0"/>
              <w:rPr>
                <w:sz w:val="20"/>
                <w:szCs w:val="20"/>
                <w:color w:val="auto"/>
              </w:rPr>
            </w:pPr>
            <w:r>
              <w:rPr>
                <w:rFonts w:ascii="Arial" w:cs="Arial" w:eastAsia="Arial" w:hAnsi="Arial"/>
                <w:sz w:val="15"/>
                <w:szCs w:val="15"/>
                <w:color w:val="auto"/>
                <w:w w:val="95"/>
              </w:rPr>
              <w:t>106</w:t>
            </w:r>
          </w:p>
        </w:tc>
        <w:tc>
          <w:tcPr>
            <w:tcW w:w="80" w:type="dxa"/>
            <w:vAlign w:val="bottom"/>
          </w:tcPr>
          <w:p>
            <w:pPr>
              <w:spacing w:after="0"/>
              <w:rPr>
                <w:sz w:val="17"/>
                <w:szCs w:val="17"/>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(23)</w:t>
            </w:r>
          </w:p>
        </w:tc>
        <w:tc>
          <w:tcPr>
            <w:tcW w:w="20" w:type="dxa"/>
            <w:vAlign w:val="bottom"/>
          </w:tcPr>
          <w:p>
            <w:pPr>
              <w:spacing w:after="0"/>
              <w:rPr>
                <w:sz w:val="17"/>
                <w:szCs w:val="17"/>
                <w:color w:val="auto"/>
              </w:rPr>
            </w:pPr>
          </w:p>
        </w:tc>
        <w:tc>
          <w:tcPr>
            <w:tcW w:w="560" w:type="dxa"/>
            <w:vAlign w:val="bottom"/>
            <w:gridSpan w:val="2"/>
          </w:tcPr>
          <w:p>
            <w:pPr>
              <w:jc w:val="right"/>
              <w:ind w:right="311"/>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(129)</w:t>
            </w:r>
          </w:p>
        </w:tc>
        <w:tc>
          <w:tcPr>
            <w:tcW w:w="0" w:type="dxa"/>
            <w:vAlign w:val="bottom"/>
          </w:tcPr>
          <w:p>
            <w:pPr>
              <w:spacing w:after="0"/>
              <w:rPr>
                <w:sz w:val="1"/>
                <w:szCs w:val="1"/>
                <w:color w:val="auto"/>
              </w:rPr>
            </w:pPr>
          </w:p>
        </w:tc>
      </w:tr>
      <w:tr>
        <w:trPr>
          <w:trHeight w:val="206"/>
        </w:trPr>
        <w:tc>
          <w:tcPr>
            <w:tcW w:w="2960" w:type="dxa"/>
            <w:vAlign w:val="bottom"/>
          </w:tcPr>
          <w:p>
            <w:pPr>
              <w:ind w:left="240"/>
              <w:spacing w:after="0"/>
              <w:rPr>
                <w:sz w:val="20"/>
                <w:szCs w:val="20"/>
                <w:color w:val="auto"/>
              </w:rPr>
            </w:pPr>
            <w:r>
              <w:rPr>
                <w:rFonts w:ascii="Arial" w:cs="Arial" w:eastAsia="Arial" w:hAnsi="Arial"/>
                <w:sz w:val="15"/>
                <w:szCs w:val="15"/>
                <w:color w:val="auto"/>
              </w:rPr>
              <w:t>Common equity tier 1 capital</w:t>
            </w:r>
          </w:p>
        </w:tc>
        <w:tc>
          <w:tcPr>
            <w:tcW w:w="1500" w:type="dxa"/>
            <w:vAlign w:val="bottom"/>
          </w:tcPr>
          <w:p>
            <w:pPr>
              <w:ind w:left="1080"/>
              <w:spacing w:after="0"/>
              <w:rPr>
                <w:sz w:val="20"/>
                <w:szCs w:val="20"/>
                <w:color w:val="auto"/>
              </w:rPr>
            </w:pPr>
            <w:r>
              <w:rPr>
                <w:rFonts w:ascii="Arial" w:cs="Arial" w:eastAsia="Arial" w:hAnsi="Arial"/>
                <w:sz w:val="15"/>
                <w:szCs w:val="15"/>
                <w:color w:val="auto"/>
              </w:rPr>
              <w:t>4.5</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60</w:t>
            </w:r>
          </w:p>
        </w:tc>
        <w:tc>
          <w:tcPr>
            <w:tcW w:w="2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center"/>
              <w:ind w:left="684"/>
              <w:spacing w:after="0"/>
              <w:rPr>
                <w:sz w:val="20"/>
                <w:szCs w:val="20"/>
                <w:color w:val="auto"/>
              </w:rPr>
            </w:pPr>
            <w:r>
              <w:rPr>
                <w:rFonts w:ascii="Arial" w:cs="Arial" w:eastAsia="Arial" w:hAnsi="Arial"/>
                <w:sz w:val="15"/>
                <w:szCs w:val="15"/>
                <w:color w:val="auto"/>
                <w:w w:val="95"/>
              </w:rPr>
              <w:t>81</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jc w:val="right"/>
              <w:ind w:right="3"/>
              <w:spacing w:after="0"/>
              <w:rPr>
                <w:sz w:val="20"/>
                <w:szCs w:val="20"/>
                <w:color w:val="auto"/>
              </w:rPr>
            </w:pPr>
            <w:r>
              <w:rPr>
                <w:rFonts w:ascii="Arial" w:cs="Arial" w:eastAsia="Arial" w:hAnsi="Arial"/>
                <w:sz w:val="15"/>
                <w:szCs w:val="15"/>
                <w:color w:val="auto"/>
                <w:w w:val="95"/>
              </w:rPr>
              <w:t>141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(60)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(201)</w:t>
            </w:r>
          </w:p>
        </w:tc>
        <w:tc>
          <w:tcPr>
            <w:tcW w:w="0" w:type="dxa"/>
            <w:vAlign w:val="bottom"/>
          </w:tcPr>
          <w:p>
            <w:pPr>
              <w:spacing w:after="0"/>
              <w:rPr>
                <w:sz w:val="1"/>
                <w:szCs w:val="1"/>
                <w:color w:val="auto"/>
              </w:rPr>
            </w:pPr>
          </w:p>
        </w:tc>
      </w:tr>
      <w:tr>
        <w:trPr>
          <w:trHeight w:val="206"/>
        </w:trPr>
        <w:tc>
          <w:tcPr>
            <w:tcW w:w="2960" w:type="dxa"/>
            <w:vAlign w:val="bottom"/>
          </w:tcPr>
          <w:p>
            <w:pPr>
              <w:ind w:left="240"/>
              <w:spacing w:after="0"/>
              <w:rPr>
                <w:sz w:val="20"/>
                <w:szCs w:val="20"/>
                <w:color w:val="auto"/>
              </w:rPr>
            </w:pPr>
            <w:r>
              <w:rPr>
                <w:rFonts w:ascii="Arial" w:cs="Arial" w:eastAsia="Arial" w:hAnsi="Arial"/>
                <w:sz w:val="15"/>
                <w:szCs w:val="15"/>
                <w:color w:val="auto"/>
              </w:rPr>
              <w:t>Tier 1 capital</w:t>
            </w:r>
          </w:p>
        </w:tc>
        <w:tc>
          <w:tcPr>
            <w:tcW w:w="1500" w:type="dxa"/>
            <w:vAlign w:val="bottom"/>
          </w:tcPr>
          <w:p>
            <w:pPr>
              <w:ind w:left="1080"/>
              <w:spacing w:after="0"/>
              <w:rPr>
                <w:sz w:val="20"/>
                <w:szCs w:val="20"/>
                <w:color w:val="auto"/>
              </w:rPr>
            </w:pPr>
            <w:r>
              <w:rPr>
                <w:rFonts w:ascii="Arial" w:cs="Arial" w:eastAsia="Arial" w:hAnsi="Arial"/>
                <w:sz w:val="15"/>
                <w:szCs w:val="15"/>
                <w:color w:val="auto"/>
              </w:rPr>
              <w:t>6.0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80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left="684"/>
              <w:spacing w:after="0"/>
              <w:rPr>
                <w:sz w:val="20"/>
                <w:szCs w:val="20"/>
                <w:color w:val="auto"/>
              </w:rPr>
            </w:pPr>
            <w:r>
              <w:rPr>
                <w:rFonts w:ascii="Arial" w:cs="Arial" w:eastAsia="Arial" w:hAnsi="Arial"/>
                <w:sz w:val="15"/>
                <w:szCs w:val="15"/>
                <w:color w:val="auto"/>
                <w:w w:val="95"/>
              </w:rPr>
              <w:t>81</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jc w:val="right"/>
              <w:ind w:right="3"/>
              <w:spacing w:after="0"/>
              <w:rPr>
                <w:sz w:val="20"/>
                <w:szCs w:val="20"/>
                <w:color w:val="auto"/>
              </w:rPr>
            </w:pPr>
            <w:r>
              <w:rPr>
                <w:rFonts w:ascii="Arial" w:cs="Arial" w:eastAsia="Arial" w:hAnsi="Arial"/>
                <w:sz w:val="15"/>
                <w:szCs w:val="15"/>
                <w:color w:val="auto"/>
                <w:w w:val="95"/>
              </w:rPr>
              <w:t>161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(41)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(202)</w:t>
            </w:r>
          </w:p>
        </w:tc>
        <w:tc>
          <w:tcPr>
            <w:tcW w:w="0" w:type="dxa"/>
            <w:vAlign w:val="bottom"/>
          </w:tcPr>
          <w:p>
            <w:pPr>
              <w:spacing w:after="0"/>
              <w:rPr>
                <w:sz w:val="1"/>
                <w:szCs w:val="1"/>
                <w:color w:val="auto"/>
              </w:rPr>
            </w:pPr>
          </w:p>
        </w:tc>
      </w:tr>
      <w:tr>
        <w:trPr>
          <w:trHeight w:val="206"/>
        </w:trPr>
        <w:tc>
          <w:tcPr>
            <w:tcW w:w="2960" w:type="dxa"/>
            <w:vAlign w:val="bottom"/>
          </w:tcPr>
          <w:p>
            <w:pPr>
              <w:ind w:left="240"/>
              <w:spacing w:after="0"/>
              <w:rPr>
                <w:sz w:val="20"/>
                <w:szCs w:val="20"/>
                <w:color w:val="auto"/>
              </w:rPr>
            </w:pPr>
            <w:r>
              <w:rPr>
                <w:rFonts w:ascii="Arial" w:cs="Arial" w:eastAsia="Arial" w:hAnsi="Arial"/>
                <w:sz w:val="15"/>
                <w:szCs w:val="15"/>
                <w:color w:val="auto"/>
              </w:rPr>
              <w:t>Adjusted total capital</w:t>
            </w:r>
          </w:p>
        </w:tc>
        <w:tc>
          <w:tcPr>
            <w:tcW w:w="1500" w:type="dxa"/>
            <w:vAlign w:val="bottom"/>
          </w:tcPr>
          <w:p>
            <w:pPr>
              <w:ind w:left="1080"/>
              <w:spacing w:after="0"/>
              <w:rPr>
                <w:sz w:val="20"/>
                <w:szCs w:val="20"/>
                <w:color w:val="auto"/>
              </w:rPr>
            </w:pPr>
            <w:r>
              <w:rPr>
                <w:rFonts w:ascii="Arial" w:cs="Arial" w:eastAsia="Arial" w:hAnsi="Arial"/>
                <w:sz w:val="15"/>
                <w:szCs w:val="15"/>
                <w:color w:val="auto"/>
              </w:rPr>
              <w:t>8.0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106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left="684"/>
              <w:spacing w:after="0"/>
              <w:rPr>
                <w:sz w:val="20"/>
                <w:szCs w:val="20"/>
                <w:color w:val="auto"/>
              </w:rPr>
            </w:pPr>
            <w:r>
              <w:rPr>
                <w:rFonts w:ascii="Arial" w:cs="Arial" w:eastAsia="Arial" w:hAnsi="Arial"/>
                <w:sz w:val="15"/>
                <w:szCs w:val="15"/>
                <w:color w:val="auto"/>
                <w:w w:val="95"/>
              </w:rPr>
              <w:t>81</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jc w:val="right"/>
              <w:ind w:right="3"/>
              <w:spacing w:after="0"/>
              <w:rPr>
                <w:sz w:val="20"/>
                <w:szCs w:val="20"/>
                <w:color w:val="auto"/>
              </w:rPr>
            </w:pPr>
            <w:r>
              <w:rPr>
                <w:rFonts w:ascii="Arial" w:cs="Arial" w:eastAsia="Arial" w:hAnsi="Arial"/>
                <w:sz w:val="15"/>
                <w:szCs w:val="15"/>
                <w:color w:val="auto"/>
                <w:w w:val="95"/>
              </w:rPr>
              <w:t>187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(41)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(228)</w:t>
            </w:r>
          </w:p>
        </w:tc>
        <w:tc>
          <w:tcPr>
            <w:tcW w:w="0" w:type="dxa"/>
            <w:vAlign w:val="bottom"/>
          </w:tcPr>
          <w:p>
            <w:pPr>
              <w:spacing w:after="0"/>
              <w:rPr>
                <w:sz w:val="1"/>
                <w:szCs w:val="1"/>
                <w:color w:val="auto"/>
              </w:rPr>
            </w:pPr>
          </w:p>
        </w:tc>
      </w:tr>
      <w:tr>
        <w:trPr>
          <w:trHeight w:val="209"/>
        </w:trPr>
        <w:tc>
          <w:tcPr>
            <w:tcW w:w="2960" w:type="dxa"/>
            <w:vAlign w:val="bottom"/>
          </w:tcPr>
          <w:p>
            <w:pPr>
              <w:ind w:left="20"/>
              <w:spacing w:after="0"/>
              <w:rPr>
                <w:sz w:val="20"/>
                <w:szCs w:val="20"/>
                <w:color w:val="auto"/>
              </w:rPr>
            </w:pPr>
            <w:r>
              <w:rPr>
                <w:rFonts w:ascii="Arial" w:cs="Arial" w:eastAsia="Arial" w:hAnsi="Arial"/>
                <w:sz w:val="15"/>
                <w:szCs w:val="15"/>
                <w:b w:val="1"/>
                <w:bCs w:val="1"/>
                <w:color w:val="auto"/>
              </w:rPr>
              <w:t>Leverage capital:</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960" w:type="dxa"/>
            <w:vAlign w:val="bottom"/>
          </w:tcPr>
          <w:p>
            <w:pPr>
              <w:ind w:left="240"/>
              <w:spacing w:after="0"/>
              <w:rPr>
                <w:sz w:val="20"/>
                <w:szCs w:val="20"/>
                <w:color w:val="auto"/>
              </w:rPr>
            </w:pPr>
            <w:r>
              <w:rPr>
                <w:rFonts w:ascii="Arial" w:cs="Arial" w:eastAsia="Arial" w:hAnsi="Arial"/>
                <w:sz w:val="15"/>
                <w:szCs w:val="15"/>
                <w:color w:val="auto"/>
              </w:rPr>
              <w:t>Core capital (statutory)</w:t>
            </w:r>
          </w:p>
        </w:tc>
        <w:tc>
          <w:tcPr>
            <w:tcW w:w="1500" w:type="dxa"/>
            <w:vAlign w:val="bottom"/>
          </w:tcPr>
          <w:p>
            <w:pPr>
              <w:ind w:left="1080"/>
              <w:spacing w:after="0"/>
              <w:rPr>
                <w:sz w:val="20"/>
                <w:szCs w:val="20"/>
                <w:color w:val="auto"/>
              </w:rPr>
            </w:pPr>
            <w:r>
              <w:rPr>
                <w:rFonts w:ascii="Arial" w:cs="Arial" w:eastAsia="Arial" w:hAnsi="Arial"/>
                <w:sz w:val="15"/>
                <w:szCs w:val="15"/>
                <w:color w:val="auto"/>
              </w:rPr>
              <w:t>2.5</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111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left="484"/>
              <w:spacing w:after="0"/>
              <w:rPr>
                <w:sz w:val="20"/>
                <w:szCs w:val="20"/>
                <w:color w:val="auto"/>
              </w:rPr>
            </w:pPr>
            <w:r>
              <w:rPr>
                <w:rFonts w:ascii="Arial" w:cs="Arial" w:eastAsia="Arial" w:hAnsi="Arial"/>
                <w:sz w:val="15"/>
                <w:szCs w:val="15"/>
                <w:color w:val="auto"/>
              </w:rPr>
              <w:t>N/A</w:t>
            </w:r>
          </w:p>
        </w:tc>
        <w:tc>
          <w:tcPr>
            <w:tcW w:w="980" w:type="dxa"/>
            <w:vAlign w:val="bottom"/>
          </w:tcPr>
          <w:p>
            <w:pPr>
              <w:spacing w:after="0"/>
              <w:rPr>
                <w:sz w:val="17"/>
                <w:szCs w:val="17"/>
                <w:color w:val="auto"/>
              </w:rPr>
            </w:pPr>
          </w:p>
        </w:tc>
        <w:tc>
          <w:tcPr>
            <w:tcW w:w="340" w:type="dxa"/>
            <w:vAlign w:val="bottom"/>
          </w:tcPr>
          <w:p>
            <w:pPr>
              <w:jc w:val="right"/>
              <w:ind w:right="3"/>
              <w:spacing w:after="0"/>
              <w:rPr>
                <w:sz w:val="20"/>
                <w:szCs w:val="20"/>
                <w:color w:val="auto"/>
              </w:rPr>
            </w:pPr>
            <w:r>
              <w:rPr>
                <w:rFonts w:ascii="Arial" w:cs="Arial" w:eastAsia="Arial" w:hAnsi="Arial"/>
                <w:sz w:val="15"/>
                <w:szCs w:val="15"/>
                <w:color w:val="auto"/>
                <w:w w:val="95"/>
              </w:rPr>
              <w:t>111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(30)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(141)</w:t>
            </w:r>
          </w:p>
        </w:tc>
        <w:tc>
          <w:tcPr>
            <w:tcW w:w="0" w:type="dxa"/>
            <w:vAlign w:val="bottom"/>
          </w:tcPr>
          <w:p>
            <w:pPr>
              <w:spacing w:after="0"/>
              <w:rPr>
                <w:sz w:val="1"/>
                <w:szCs w:val="1"/>
                <w:color w:val="auto"/>
              </w:rPr>
            </w:pPr>
          </w:p>
        </w:tc>
      </w:tr>
      <w:tr>
        <w:trPr>
          <w:trHeight w:val="206"/>
        </w:trPr>
        <w:tc>
          <w:tcPr>
            <w:tcW w:w="2960" w:type="dxa"/>
            <w:vAlign w:val="bottom"/>
          </w:tcPr>
          <w:p>
            <w:pPr>
              <w:ind w:left="240"/>
              <w:spacing w:after="0"/>
              <w:rPr>
                <w:sz w:val="20"/>
                <w:szCs w:val="20"/>
                <w:color w:val="auto"/>
              </w:rPr>
            </w:pPr>
            <w:r>
              <w:rPr>
                <w:rFonts w:ascii="Arial" w:cs="Arial" w:eastAsia="Arial" w:hAnsi="Arial"/>
                <w:sz w:val="15"/>
                <w:szCs w:val="15"/>
                <w:color w:val="auto"/>
              </w:rPr>
              <w:t>Tier 1 capital</w:t>
            </w:r>
          </w:p>
        </w:tc>
        <w:tc>
          <w:tcPr>
            <w:tcW w:w="1500" w:type="dxa"/>
            <w:vAlign w:val="bottom"/>
          </w:tcPr>
          <w:p>
            <w:pPr>
              <w:ind w:left="1080"/>
              <w:spacing w:after="0"/>
              <w:rPr>
                <w:sz w:val="20"/>
                <w:szCs w:val="20"/>
                <w:color w:val="auto"/>
              </w:rPr>
            </w:pPr>
            <w:r>
              <w:rPr>
                <w:rFonts w:ascii="Arial" w:cs="Arial" w:eastAsia="Arial" w:hAnsi="Arial"/>
                <w:sz w:val="15"/>
                <w:szCs w:val="15"/>
                <w:color w:val="auto"/>
              </w:rPr>
              <w:t>2.5</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111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left="684"/>
              <w:spacing w:after="0"/>
              <w:rPr>
                <w:sz w:val="20"/>
                <w:szCs w:val="20"/>
                <w:color w:val="auto"/>
              </w:rPr>
            </w:pPr>
            <w:r>
              <w:rPr>
                <w:rFonts w:ascii="Arial" w:cs="Arial" w:eastAsia="Arial" w:hAnsi="Arial"/>
                <w:sz w:val="15"/>
                <w:szCs w:val="15"/>
                <w:color w:val="auto"/>
                <w:w w:val="95"/>
              </w:rPr>
              <w:t>24</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jc w:val="right"/>
              <w:ind w:right="3"/>
              <w:spacing w:after="0"/>
              <w:rPr>
                <w:sz w:val="20"/>
                <w:szCs w:val="20"/>
                <w:color w:val="auto"/>
              </w:rPr>
            </w:pPr>
            <w:r>
              <w:rPr>
                <w:rFonts w:ascii="Arial" w:cs="Arial" w:eastAsia="Arial" w:hAnsi="Arial"/>
                <w:sz w:val="15"/>
                <w:szCs w:val="15"/>
                <w:color w:val="auto"/>
                <w:w w:val="95"/>
              </w:rPr>
              <w:t>135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(41)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(176)</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Capital Metrics under the Enterprise Regulatory Capital Framework as of December 31, 2023</w:t>
      </w:r>
      <w:r>
        <w:rPr>
          <w:rFonts w:ascii="Arial" w:cs="Arial" w:eastAsia="Arial" w:hAnsi="Arial"/>
          <w:sz w:val="24"/>
          <w:szCs w:val="24"/>
          <w:b w:val="1"/>
          <w:bCs w:val="1"/>
          <w:color w:val="05314D"/>
          <w:vertAlign w:val="superscript"/>
        </w:rPr>
        <w:t>(1)</w:t>
      </w:r>
    </w:p>
    <w:tbl>
      <w:tblPr>
        <w:tblLayout w:type="fixed"/>
        <w:tblInd w:w="0" w:type="dxa"/>
        <w:tblCellMar>
          <w:top w:w="0" w:type="dxa"/>
          <w:left w:w="0" w:type="dxa"/>
          <w:bottom w:w="0" w:type="dxa"/>
          <w:right w:w="0" w:type="dxa"/>
        </w:tblCellMar>
      </w:tblPr>
      <w:tr>
        <w:trPr>
          <w:trHeight w:val="198"/>
        </w:trPr>
        <w:tc>
          <w:tcPr>
            <w:tcW w:w="2760" w:type="dxa"/>
            <w:vAlign w:val="bottom"/>
            <w:tcBorders>
              <w:top w:val="single" w:sz="8" w:color="2C6937"/>
            </w:tcBorders>
          </w:tcPr>
          <w:p>
            <w:pPr>
              <w:spacing w:after="0"/>
              <w:rPr>
                <w:sz w:val="17"/>
                <w:szCs w:val="17"/>
                <w:color w:val="auto"/>
              </w:rPr>
            </w:pPr>
          </w:p>
        </w:tc>
        <w:tc>
          <w:tcPr>
            <w:tcW w:w="1380" w:type="dxa"/>
            <w:vAlign w:val="bottom"/>
            <w:tcBorders>
              <w:top w:val="single" w:sz="8" w:color="2C6937"/>
            </w:tcBorders>
          </w:tcPr>
          <w:p>
            <w:pPr>
              <w:spacing w:after="0"/>
              <w:rPr>
                <w:sz w:val="17"/>
                <w:szCs w:val="17"/>
                <w:color w:val="auto"/>
              </w:rPr>
            </w:pPr>
          </w:p>
        </w:tc>
        <w:tc>
          <w:tcPr>
            <w:tcW w:w="100" w:type="dxa"/>
            <w:vAlign w:val="bottom"/>
            <w:tcBorders>
              <w:top w:val="single" w:sz="8" w:color="2C6937"/>
            </w:tcBorders>
          </w:tcPr>
          <w:p>
            <w:pPr>
              <w:spacing w:after="0"/>
              <w:rPr>
                <w:sz w:val="17"/>
                <w:szCs w:val="17"/>
                <w:color w:val="auto"/>
              </w:rPr>
            </w:pPr>
          </w:p>
        </w:tc>
        <w:tc>
          <w:tcPr>
            <w:tcW w:w="140" w:type="dxa"/>
            <w:vAlign w:val="bottom"/>
            <w:tcBorders>
              <w:top w:val="single" w:sz="8" w:color="2C6937"/>
            </w:tcBorders>
          </w:tcPr>
          <w:p>
            <w:pPr>
              <w:spacing w:after="0"/>
              <w:rPr>
                <w:sz w:val="17"/>
                <w:szCs w:val="17"/>
                <w:color w:val="auto"/>
              </w:rPr>
            </w:pPr>
          </w:p>
        </w:tc>
        <w:tc>
          <w:tcPr>
            <w:tcW w:w="220" w:type="dxa"/>
            <w:vAlign w:val="bottom"/>
            <w:tcBorders>
              <w:top w:val="single" w:sz="8" w:color="2C6937"/>
            </w:tcBorders>
          </w:tcPr>
          <w:p>
            <w:pPr>
              <w:spacing w:after="0"/>
              <w:rPr>
                <w:sz w:val="17"/>
                <w:szCs w:val="17"/>
                <w:color w:val="auto"/>
              </w:rPr>
            </w:pPr>
          </w:p>
        </w:tc>
        <w:tc>
          <w:tcPr>
            <w:tcW w:w="140" w:type="dxa"/>
            <w:vAlign w:val="bottom"/>
            <w:tcBorders>
              <w:top w:val="single" w:sz="8" w:color="2C6937"/>
            </w:tcBorders>
          </w:tcPr>
          <w:p>
            <w:pPr>
              <w:spacing w:after="0"/>
              <w:rPr>
                <w:sz w:val="17"/>
                <w:szCs w:val="17"/>
                <w:color w:val="auto"/>
              </w:rPr>
            </w:pPr>
          </w:p>
        </w:tc>
        <w:tc>
          <w:tcPr>
            <w:tcW w:w="2200" w:type="dxa"/>
            <w:vAlign w:val="bottom"/>
            <w:tcBorders>
              <w:top w:val="single" w:sz="8" w:color="2C6937"/>
            </w:tcBorders>
            <w:gridSpan w:val="6"/>
          </w:tcPr>
          <w:p>
            <w:pPr>
              <w:ind w:left="260"/>
              <w:spacing w:after="0"/>
              <w:rPr>
                <w:sz w:val="20"/>
                <w:szCs w:val="20"/>
                <w:color w:val="auto"/>
              </w:rPr>
            </w:pPr>
            <w:r>
              <w:rPr>
                <w:rFonts w:ascii="Arial" w:cs="Arial" w:eastAsia="Arial" w:hAnsi="Arial"/>
                <w:sz w:val="14"/>
                <w:szCs w:val="14"/>
                <w:b w:val="1"/>
                <w:bCs w:val="1"/>
                <w:color w:val="auto"/>
              </w:rPr>
              <w:t>(Dollars in billions)</w:t>
            </w:r>
          </w:p>
        </w:tc>
        <w:tc>
          <w:tcPr>
            <w:tcW w:w="1280" w:type="dxa"/>
            <w:vAlign w:val="bottom"/>
            <w:tcBorders>
              <w:top w:val="single" w:sz="8" w:color="2C6937"/>
            </w:tcBorders>
          </w:tcPr>
          <w:p>
            <w:pPr>
              <w:spacing w:after="0"/>
              <w:rPr>
                <w:sz w:val="17"/>
                <w:szCs w:val="17"/>
                <w:color w:val="auto"/>
              </w:rPr>
            </w:pPr>
          </w:p>
        </w:tc>
        <w:tc>
          <w:tcPr>
            <w:tcW w:w="340" w:type="dxa"/>
            <w:vAlign w:val="bottom"/>
            <w:tcBorders>
              <w:top w:val="single" w:sz="8" w:color="2C6937"/>
            </w:tcBorders>
          </w:tcPr>
          <w:p>
            <w:pPr>
              <w:spacing w:after="0"/>
              <w:rPr>
                <w:sz w:val="17"/>
                <w:szCs w:val="17"/>
                <w:color w:val="auto"/>
              </w:rPr>
            </w:pPr>
          </w:p>
        </w:tc>
        <w:tc>
          <w:tcPr>
            <w:tcW w:w="100" w:type="dxa"/>
            <w:vAlign w:val="bottom"/>
            <w:tcBorders>
              <w:top w:val="single" w:sz="8" w:color="2C6937"/>
            </w:tcBorders>
          </w:tcPr>
          <w:p>
            <w:pPr>
              <w:spacing w:after="0"/>
              <w:rPr>
                <w:sz w:val="17"/>
                <w:szCs w:val="17"/>
                <w:color w:val="auto"/>
              </w:rPr>
            </w:pPr>
          </w:p>
        </w:tc>
        <w:tc>
          <w:tcPr>
            <w:tcW w:w="760" w:type="dxa"/>
            <w:vAlign w:val="bottom"/>
            <w:tcBorders>
              <w:top w:val="single" w:sz="8" w:color="2C6937"/>
            </w:tcBorders>
          </w:tcPr>
          <w:p>
            <w:pPr>
              <w:spacing w:after="0"/>
              <w:rPr>
                <w:sz w:val="17"/>
                <w:szCs w:val="17"/>
                <w:color w:val="auto"/>
              </w:rPr>
            </w:pPr>
          </w:p>
        </w:tc>
        <w:tc>
          <w:tcPr>
            <w:tcW w:w="140" w:type="dxa"/>
            <w:vAlign w:val="bottom"/>
            <w:tcBorders>
              <w:top w:val="single" w:sz="8" w:color="2C6937"/>
            </w:tcBorders>
          </w:tcPr>
          <w:p>
            <w:pPr>
              <w:spacing w:after="0"/>
              <w:rPr>
                <w:sz w:val="17"/>
                <w:szCs w:val="17"/>
                <w:color w:val="auto"/>
              </w:rPr>
            </w:pPr>
          </w:p>
        </w:tc>
        <w:tc>
          <w:tcPr>
            <w:tcW w:w="340" w:type="dxa"/>
            <w:vAlign w:val="bottom"/>
            <w:tcBorders>
              <w:top w:val="single" w:sz="8" w:color="2C6937"/>
            </w:tcBorders>
          </w:tcPr>
          <w:p>
            <w:pPr>
              <w:spacing w:after="0"/>
              <w:rPr>
                <w:sz w:val="17"/>
                <w:szCs w:val="17"/>
                <w:color w:val="auto"/>
              </w:rPr>
            </w:pPr>
          </w:p>
        </w:tc>
        <w:tc>
          <w:tcPr>
            <w:tcW w:w="100" w:type="dxa"/>
            <w:vAlign w:val="bottom"/>
            <w:tcBorders>
              <w:top w:val="single" w:sz="8" w:color="2C6937"/>
            </w:tcBorders>
          </w:tcPr>
          <w:p>
            <w:pPr>
              <w:spacing w:after="0"/>
              <w:rPr>
                <w:sz w:val="17"/>
                <w:szCs w:val="17"/>
                <w:color w:val="auto"/>
              </w:rPr>
            </w:pPr>
          </w:p>
        </w:tc>
        <w:tc>
          <w:tcPr>
            <w:tcW w:w="480" w:type="dxa"/>
            <w:vAlign w:val="bottom"/>
            <w:tcBorders>
              <w:top w:val="single" w:sz="8" w:color="2C6937"/>
            </w:tcBorders>
          </w:tcPr>
          <w:p>
            <w:pPr>
              <w:spacing w:after="0"/>
              <w:rPr>
                <w:sz w:val="17"/>
                <w:szCs w:val="17"/>
                <w:color w:val="auto"/>
              </w:rPr>
            </w:pPr>
          </w:p>
        </w:tc>
        <w:tc>
          <w:tcPr>
            <w:tcW w:w="760" w:type="dxa"/>
            <w:vAlign w:val="bottom"/>
            <w:tcBorders>
              <w:top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60" w:type="dxa"/>
            <w:vAlign w:val="bottom"/>
          </w:tcPr>
          <w:p>
            <w:pPr>
              <w:ind w:left="20"/>
              <w:spacing w:after="0"/>
              <w:rPr>
                <w:sz w:val="20"/>
                <w:szCs w:val="20"/>
                <w:color w:val="auto"/>
              </w:rPr>
            </w:pPr>
            <w:r>
              <w:rPr>
                <w:rFonts w:ascii="Arial" w:cs="Arial" w:eastAsia="Arial" w:hAnsi="Arial"/>
                <w:sz w:val="15"/>
                <w:szCs w:val="15"/>
                <w:color w:val="auto"/>
              </w:rPr>
              <w:t>Adjusted total assets</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3"/>
          </w:tcPr>
          <w:p>
            <w:pPr>
              <w:jc w:val="right"/>
              <w:ind w:right="571"/>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500" w:type="dxa"/>
            <w:vAlign w:val="bottom"/>
          </w:tcPr>
          <w:p>
            <w:pPr>
              <w:jc w:val="right"/>
              <w:ind w:right="5"/>
              <w:spacing w:after="0"/>
              <w:rPr>
                <w:sz w:val="20"/>
                <w:szCs w:val="20"/>
                <w:color w:val="auto"/>
              </w:rPr>
            </w:pPr>
            <w:r>
              <w:rPr>
                <w:rFonts w:ascii="Arial" w:cs="Arial" w:eastAsia="Arial" w:hAnsi="Arial"/>
                <w:sz w:val="15"/>
                <w:szCs w:val="15"/>
                <w:color w:val="auto"/>
              </w:rPr>
              <w:t>4,552</w:t>
            </w:r>
          </w:p>
        </w:tc>
        <w:tc>
          <w:tcPr>
            <w:tcW w:w="140" w:type="dxa"/>
            <w:vAlign w:val="bottom"/>
          </w:tcPr>
          <w:p>
            <w:pPr>
              <w:spacing w:after="0"/>
              <w:rPr>
                <w:sz w:val="17"/>
                <w:szCs w:val="17"/>
                <w:color w:val="auto"/>
              </w:rPr>
            </w:pPr>
          </w:p>
        </w:tc>
        <w:tc>
          <w:tcPr>
            <w:tcW w:w="2000" w:type="dxa"/>
            <w:vAlign w:val="bottom"/>
            <w:gridSpan w:val="3"/>
          </w:tcPr>
          <w:p>
            <w:pPr>
              <w:ind w:left="20"/>
              <w:spacing w:after="0"/>
              <w:rPr>
                <w:sz w:val="20"/>
                <w:szCs w:val="20"/>
                <w:color w:val="auto"/>
              </w:rPr>
            </w:pPr>
            <w:r>
              <w:rPr>
                <w:rFonts w:ascii="Arial" w:cs="Arial" w:eastAsia="Arial" w:hAnsi="Arial"/>
                <w:sz w:val="15"/>
                <w:szCs w:val="15"/>
                <w:color w:val="auto"/>
              </w:rPr>
              <w:t>Stress capital buffer</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ind w:left="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34</w:t>
            </w:r>
          </w:p>
        </w:tc>
        <w:tc>
          <w:tcPr>
            <w:tcW w:w="0" w:type="dxa"/>
            <w:vAlign w:val="bottom"/>
          </w:tcPr>
          <w:p>
            <w:pPr>
              <w:spacing w:after="0"/>
              <w:rPr>
                <w:sz w:val="1"/>
                <w:szCs w:val="1"/>
                <w:color w:val="auto"/>
              </w:rPr>
            </w:pPr>
          </w:p>
        </w:tc>
      </w:tr>
      <w:tr>
        <w:trPr>
          <w:trHeight w:val="206"/>
        </w:trPr>
        <w:tc>
          <w:tcPr>
            <w:tcW w:w="4240" w:type="dxa"/>
            <w:vAlign w:val="bottom"/>
            <w:gridSpan w:val="3"/>
          </w:tcPr>
          <w:p>
            <w:pPr>
              <w:ind w:left="20"/>
              <w:spacing w:after="0"/>
              <w:rPr>
                <w:sz w:val="20"/>
                <w:szCs w:val="20"/>
                <w:color w:val="auto"/>
              </w:rPr>
            </w:pPr>
            <w:r>
              <w:rPr>
                <w:rFonts w:ascii="Arial" w:cs="Arial" w:eastAsia="Arial" w:hAnsi="Arial"/>
                <w:sz w:val="15"/>
                <w:szCs w:val="15"/>
                <w:color w:val="auto"/>
              </w:rPr>
              <w:t>Risk-weighted assets (standardized approach):</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gridSpan w:val="3"/>
          </w:tcPr>
          <w:p>
            <w:pPr>
              <w:ind w:left="20"/>
              <w:spacing w:after="0"/>
              <w:rPr>
                <w:sz w:val="20"/>
                <w:szCs w:val="20"/>
                <w:color w:val="auto"/>
              </w:rPr>
            </w:pPr>
            <w:r>
              <w:rPr>
                <w:rFonts w:ascii="Arial" w:cs="Arial" w:eastAsia="Arial" w:hAnsi="Arial"/>
                <w:sz w:val="15"/>
                <w:szCs w:val="15"/>
                <w:color w:val="auto"/>
              </w:rPr>
              <w:t>Stability capital buffer</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206"/>
        </w:trPr>
        <w:tc>
          <w:tcPr>
            <w:tcW w:w="2760" w:type="dxa"/>
            <w:vAlign w:val="bottom"/>
          </w:tcPr>
          <w:p>
            <w:pPr>
              <w:ind w:left="120"/>
              <w:spacing w:after="0"/>
              <w:rPr>
                <w:sz w:val="20"/>
                <w:szCs w:val="20"/>
                <w:color w:val="auto"/>
              </w:rPr>
            </w:pPr>
            <w:r>
              <w:rPr>
                <w:rFonts w:ascii="Arial" w:cs="Arial" w:eastAsia="Arial" w:hAnsi="Arial"/>
                <w:sz w:val="15"/>
                <w:szCs w:val="15"/>
                <w:color w:val="auto"/>
              </w:rPr>
              <w:t>Credit risk</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3"/>
          </w:tcPr>
          <w:p>
            <w:pPr>
              <w:jc w:val="right"/>
              <w:ind w:right="571"/>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500" w:type="dxa"/>
            <w:vAlign w:val="bottom"/>
          </w:tcPr>
          <w:p>
            <w:pPr>
              <w:jc w:val="right"/>
              <w:ind w:right="5"/>
              <w:spacing w:after="0"/>
              <w:rPr>
                <w:sz w:val="20"/>
                <w:szCs w:val="20"/>
                <w:color w:val="auto"/>
              </w:rPr>
            </w:pPr>
            <w:r>
              <w:rPr>
                <w:rFonts w:ascii="Arial" w:cs="Arial" w:eastAsia="Arial" w:hAnsi="Arial"/>
                <w:sz w:val="15"/>
                <w:szCs w:val="15"/>
                <w:color w:val="auto"/>
              </w:rPr>
              <w:t>1,241</w:t>
            </w:r>
          </w:p>
        </w:tc>
        <w:tc>
          <w:tcPr>
            <w:tcW w:w="140" w:type="dxa"/>
            <w:vAlign w:val="bottom"/>
          </w:tcPr>
          <w:p>
            <w:pPr>
              <w:spacing w:after="0"/>
              <w:rPr>
                <w:sz w:val="17"/>
                <w:szCs w:val="17"/>
                <w:color w:val="auto"/>
              </w:rPr>
            </w:pPr>
          </w:p>
        </w:tc>
        <w:tc>
          <w:tcPr>
            <w:tcW w:w="2000" w:type="dxa"/>
            <w:vAlign w:val="bottom"/>
            <w:tcBorders>
              <w:bottom w:val="single" w:sz="8" w:color="2C6937"/>
            </w:tcBorders>
            <w:gridSpan w:val="3"/>
          </w:tcPr>
          <w:p>
            <w:pPr>
              <w:ind w:left="20"/>
              <w:spacing w:after="0"/>
              <w:rPr>
                <w:sz w:val="20"/>
                <w:szCs w:val="20"/>
                <w:color w:val="auto"/>
              </w:rPr>
            </w:pPr>
            <w:r>
              <w:rPr>
                <w:rFonts w:ascii="Arial" w:cs="Arial" w:eastAsia="Arial" w:hAnsi="Arial"/>
                <w:sz w:val="15"/>
                <w:szCs w:val="15"/>
                <w:color w:val="auto"/>
              </w:rPr>
              <w:t>Countercyclical capital buffer</w:t>
            </w:r>
          </w:p>
        </w:tc>
        <w:tc>
          <w:tcPr>
            <w:tcW w:w="34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760" w:type="dxa"/>
            <w:vAlign w:val="bottom"/>
            <w:tcBorders>
              <w:bottom w:val="single" w:sz="8" w:color="2C6937"/>
            </w:tcBorders>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480" w:type="dxa"/>
            <w:vAlign w:val="bottom"/>
            <w:tcBorders>
              <w:bottom w:val="single" w:sz="8" w:color="2C6937"/>
            </w:tcBorders>
          </w:tcPr>
          <w:p>
            <w:pPr>
              <w:spacing w:after="0"/>
              <w:rPr>
                <w:sz w:val="17"/>
                <w:szCs w:val="17"/>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8"/>
        </w:trPr>
        <w:tc>
          <w:tcPr>
            <w:tcW w:w="2760" w:type="dxa"/>
            <w:vAlign w:val="bottom"/>
          </w:tcPr>
          <w:p>
            <w:pPr>
              <w:ind w:left="120"/>
              <w:spacing w:after="0"/>
              <w:rPr>
                <w:sz w:val="20"/>
                <w:szCs w:val="20"/>
                <w:color w:val="auto"/>
              </w:rPr>
            </w:pPr>
            <w:r>
              <w:rPr>
                <w:rFonts w:ascii="Arial" w:cs="Arial" w:eastAsia="Arial" w:hAnsi="Arial"/>
                <w:sz w:val="15"/>
                <w:szCs w:val="15"/>
                <w:color w:val="auto"/>
              </w:rPr>
              <w:t>Market risk</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ind w:right="5"/>
              <w:spacing w:after="0"/>
              <w:rPr>
                <w:sz w:val="20"/>
                <w:szCs w:val="20"/>
                <w:color w:val="auto"/>
              </w:rPr>
            </w:pPr>
            <w:r>
              <w:rPr>
                <w:rFonts w:ascii="Arial" w:cs="Arial" w:eastAsia="Arial" w:hAnsi="Arial"/>
                <w:sz w:val="15"/>
                <w:szCs w:val="15"/>
                <w:color w:val="auto"/>
              </w:rPr>
              <w:t>31</w:t>
            </w:r>
          </w:p>
        </w:tc>
        <w:tc>
          <w:tcPr>
            <w:tcW w:w="140" w:type="dxa"/>
            <w:vAlign w:val="bottom"/>
          </w:tcPr>
          <w:p>
            <w:pPr>
              <w:spacing w:after="0"/>
              <w:rPr>
                <w:sz w:val="20"/>
                <w:szCs w:val="20"/>
                <w:color w:val="auto"/>
              </w:rPr>
            </w:pPr>
          </w:p>
        </w:tc>
        <w:tc>
          <w:tcPr>
            <w:tcW w:w="3340" w:type="dxa"/>
            <w:vAlign w:val="bottom"/>
            <w:gridSpan w:val="7"/>
            <w:vMerge w:val="restart"/>
          </w:tcPr>
          <w:p>
            <w:pPr>
              <w:ind w:left="20"/>
              <w:spacing w:after="0"/>
              <w:rPr>
                <w:sz w:val="20"/>
                <w:szCs w:val="20"/>
                <w:color w:val="auto"/>
              </w:rPr>
            </w:pPr>
            <w:r>
              <w:rPr>
                <w:rFonts w:ascii="Arial" w:cs="Arial" w:eastAsia="Arial" w:hAnsi="Arial"/>
                <w:sz w:val="15"/>
                <w:szCs w:val="15"/>
                <w:b w:val="1"/>
                <w:bCs w:val="1"/>
                <w:color w:val="auto"/>
              </w:rPr>
              <w:t>Prescribed capital conservation buffer</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340" w:type="dxa"/>
            <w:vAlign w:val="bottom"/>
            <w:gridSpan w:val="7"/>
            <w:vMerge w:val="continue"/>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760" w:type="dxa"/>
            <w:vAlign w:val="bottom"/>
          </w:tcPr>
          <w:p>
            <w:pPr>
              <w:ind w:left="120"/>
              <w:spacing w:after="0"/>
              <w:rPr>
                <w:sz w:val="20"/>
                <w:szCs w:val="20"/>
                <w:color w:val="auto"/>
              </w:rPr>
            </w:pPr>
            <w:r>
              <w:rPr>
                <w:rFonts w:ascii="Arial" w:cs="Arial" w:eastAsia="Arial" w:hAnsi="Arial"/>
                <w:sz w:val="15"/>
                <w:szCs w:val="15"/>
                <w:color w:val="auto"/>
              </w:rPr>
              <w:t>Operational risk</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ind w:right="5"/>
              <w:spacing w:after="0"/>
              <w:rPr>
                <w:sz w:val="20"/>
                <w:szCs w:val="20"/>
                <w:color w:val="auto"/>
              </w:rPr>
            </w:pPr>
            <w:r>
              <w:rPr>
                <w:rFonts w:ascii="Arial" w:cs="Arial" w:eastAsia="Arial" w:hAnsi="Arial"/>
                <w:sz w:val="15"/>
                <w:szCs w:val="15"/>
                <w:color w:val="auto"/>
              </w:rPr>
              <w:t>85</w:t>
            </w:r>
          </w:p>
        </w:tc>
        <w:tc>
          <w:tcPr>
            <w:tcW w:w="140" w:type="dxa"/>
            <w:vAlign w:val="bottom"/>
          </w:tcPr>
          <w:p>
            <w:pPr>
              <w:spacing w:after="0"/>
              <w:rPr>
                <w:sz w:val="17"/>
                <w:szCs w:val="17"/>
                <w:color w:val="auto"/>
              </w:rPr>
            </w:pPr>
          </w:p>
        </w:tc>
        <w:tc>
          <w:tcPr>
            <w:tcW w:w="720" w:type="dxa"/>
            <w:vAlign w:val="bottom"/>
            <w:tcBorders>
              <w:bottom w:val="single" w:sz="8" w:color="2C6937"/>
            </w:tcBorders>
            <w:gridSpan w:val="2"/>
          </w:tcPr>
          <w:p>
            <w:pPr>
              <w:ind w:left="20"/>
              <w:spacing w:after="0"/>
              <w:rPr>
                <w:sz w:val="20"/>
                <w:szCs w:val="20"/>
                <w:color w:val="auto"/>
              </w:rPr>
            </w:pPr>
            <w:r>
              <w:rPr>
                <w:rFonts w:ascii="Arial" w:cs="Arial" w:eastAsia="Arial" w:hAnsi="Arial"/>
                <w:sz w:val="15"/>
                <w:szCs w:val="15"/>
                <w:b w:val="1"/>
                <w:bCs w:val="1"/>
                <w:color w:val="auto"/>
              </w:rPr>
              <w:t>amount</w:t>
            </w:r>
          </w:p>
        </w:tc>
        <w:tc>
          <w:tcPr>
            <w:tcW w:w="1280" w:type="dxa"/>
            <w:vAlign w:val="bottom"/>
            <w:tcBorders>
              <w:bottom w:val="single" w:sz="8" w:color="2C6937"/>
            </w:tcBorders>
          </w:tcPr>
          <w:p>
            <w:pPr>
              <w:spacing w:after="0"/>
              <w:rPr>
                <w:sz w:val="17"/>
                <w:szCs w:val="17"/>
                <w:color w:val="auto"/>
              </w:rPr>
            </w:pPr>
          </w:p>
        </w:tc>
        <w:tc>
          <w:tcPr>
            <w:tcW w:w="34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760" w:type="dxa"/>
            <w:vAlign w:val="bottom"/>
            <w:tcBorders>
              <w:bottom w:val="single" w:sz="8" w:color="2C6937"/>
            </w:tcBorders>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2C6937"/>
            </w:tcBorders>
          </w:tcPr>
          <w:p>
            <w:pPr>
              <w:spacing w:after="0"/>
              <w:rPr>
                <w:sz w:val="17"/>
                <w:szCs w:val="17"/>
                <w:color w:val="auto"/>
              </w:rPr>
            </w:pPr>
          </w:p>
        </w:tc>
        <w:tc>
          <w:tcPr>
            <w:tcW w:w="480" w:type="dxa"/>
            <w:vAlign w:val="bottom"/>
            <w:tcBorders>
              <w:bottom w:val="single" w:sz="8" w:color="2C6937"/>
            </w:tcBorders>
          </w:tcPr>
          <w:p>
            <w:pPr>
              <w:spacing w:after="0"/>
              <w:rPr>
                <w:sz w:val="17"/>
                <w:szCs w:val="17"/>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79</w:t>
            </w:r>
          </w:p>
        </w:tc>
        <w:tc>
          <w:tcPr>
            <w:tcW w:w="0" w:type="dxa"/>
            <w:vAlign w:val="bottom"/>
          </w:tcPr>
          <w:p>
            <w:pPr>
              <w:spacing w:after="0"/>
              <w:rPr>
                <w:sz w:val="1"/>
                <w:szCs w:val="1"/>
                <w:color w:val="auto"/>
              </w:rPr>
            </w:pPr>
          </w:p>
        </w:tc>
      </w:tr>
      <w:tr>
        <w:trPr>
          <w:trHeight w:val="40"/>
        </w:trPr>
        <w:tc>
          <w:tcPr>
            <w:tcW w:w="2760" w:type="dxa"/>
            <w:vAlign w:val="bottom"/>
            <w:tcBorders>
              <w:bottom w:val="single" w:sz="8" w:color="2C6937"/>
            </w:tcBorders>
          </w:tcPr>
          <w:p>
            <w:pPr>
              <w:spacing w:after="0"/>
              <w:rPr>
                <w:sz w:val="3"/>
                <w:szCs w:val="3"/>
                <w:color w:val="auto"/>
              </w:rPr>
            </w:pPr>
          </w:p>
        </w:tc>
        <w:tc>
          <w:tcPr>
            <w:tcW w:w="1380" w:type="dxa"/>
            <w:vAlign w:val="bottom"/>
            <w:tcBorders>
              <w:bottom w:val="single" w:sz="8" w:color="2C6937"/>
            </w:tcBorders>
          </w:tcPr>
          <w:p>
            <w:pPr>
              <w:spacing w:after="0"/>
              <w:rPr>
                <w:sz w:val="3"/>
                <w:szCs w:val="3"/>
                <w:color w:val="auto"/>
              </w:rPr>
            </w:pPr>
          </w:p>
        </w:tc>
        <w:tc>
          <w:tcPr>
            <w:tcW w:w="100" w:type="dxa"/>
            <w:vAlign w:val="bottom"/>
            <w:tcBorders>
              <w:bottom w:val="single" w:sz="8" w:color="2C6937"/>
            </w:tcBorders>
          </w:tcPr>
          <w:p>
            <w:pPr>
              <w:spacing w:after="0"/>
              <w:rPr>
                <w:sz w:val="3"/>
                <w:szCs w:val="3"/>
                <w:color w:val="auto"/>
              </w:rPr>
            </w:pPr>
          </w:p>
        </w:tc>
        <w:tc>
          <w:tcPr>
            <w:tcW w:w="140" w:type="dxa"/>
            <w:vAlign w:val="bottom"/>
            <w:tcBorders>
              <w:bottom w:val="single" w:sz="8" w:color="2C6937"/>
            </w:tcBorders>
          </w:tcPr>
          <w:p>
            <w:pPr>
              <w:spacing w:after="0"/>
              <w:rPr>
                <w:sz w:val="3"/>
                <w:szCs w:val="3"/>
                <w:color w:val="auto"/>
              </w:rPr>
            </w:pPr>
          </w:p>
        </w:tc>
        <w:tc>
          <w:tcPr>
            <w:tcW w:w="220" w:type="dxa"/>
            <w:vAlign w:val="bottom"/>
            <w:tcBorders>
              <w:bottom w:val="single" w:sz="8" w:color="2C6937"/>
            </w:tcBorders>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Borders>
              <w:bottom w:val="single" w:sz="8" w:color="2C6937"/>
            </w:tcBorders>
          </w:tcPr>
          <w:p>
            <w:pPr>
              <w:spacing w:after="0"/>
              <w:rPr>
                <w:sz w:val="3"/>
                <w:szCs w:val="3"/>
                <w:color w:val="auto"/>
              </w:rPr>
            </w:pPr>
          </w:p>
        </w:tc>
        <w:tc>
          <w:tcPr>
            <w:tcW w:w="80" w:type="dxa"/>
            <w:vAlign w:val="bottom"/>
            <w:tcBorders>
              <w:bottom w:val="single" w:sz="8" w:color="2C6937"/>
            </w:tcBorders>
          </w:tcPr>
          <w:p>
            <w:pPr>
              <w:spacing w:after="0"/>
              <w:rPr>
                <w:sz w:val="3"/>
                <w:szCs w:val="3"/>
                <w:color w:val="auto"/>
              </w:rPr>
            </w:pPr>
          </w:p>
        </w:tc>
        <w:tc>
          <w:tcPr>
            <w:tcW w:w="500" w:type="dxa"/>
            <w:vAlign w:val="bottom"/>
            <w:tcBorders>
              <w:bottom w:val="single" w:sz="8" w:color="2C6937"/>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Borders>
              <w:bottom w:val="single" w:sz="8" w:color="2C6937"/>
            </w:tcBorders>
          </w:tcPr>
          <w:p>
            <w:pPr>
              <w:spacing w:after="0"/>
              <w:rPr>
                <w:sz w:val="3"/>
                <w:szCs w:val="3"/>
                <w:color w:val="auto"/>
              </w:rPr>
            </w:pPr>
          </w:p>
        </w:tc>
        <w:tc>
          <w:tcPr>
            <w:tcW w:w="100" w:type="dxa"/>
            <w:vAlign w:val="bottom"/>
            <w:tcBorders>
              <w:bottom w:val="single" w:sz="8" w:color="2C6937"/>
            </w:tcBorders>
          </w:tcPr>
          <w:p>
            <w:pPr>
              <w:spacing w:after="0"/>
              <w:rPr>
                <w:sz w:val="3"/>
                <w:szCs w:val="3"/>
                <w:color w:val="auto"/>
              </w:rPr>
            </w:pPr>
          </w:p>
        </w:tc>
        <w:tc>
          <w:tcPr>
            <w:tcW w:w="1280" w:type="dxa"/>
            <w:vAlign w:val="bottom"/>
            <w:tcBorders>
              <w:bottom w:val="single" w:sz="8" w:color="2C6937"/>
            </w:tcBorders>
          </w:tcPr>
          <w:p>
            <w:pPr>
              <w:spacing w:after="0"/>
              <w:rPr>
                <w:sz w:val="3"/>
                <w:szCs w:val="3"/>
                <w:color w:val="auto"/>
              </w:rPr>
            </w:pPr>
          </w:p>
        </w:tc>
        <w:tc>
          <w:tcPr>
            <w:tcW w:w="340" w:type="dxa"/>
            <w:vAlign w:val="bottom"/>
            <w:tcBorders>
              <w:bottom w:val="single" w:sz="8" w:color="2C6937"/>
            </w:tcBorders>
          </w:tcPr>
          <w:p>
            <w:pPr>
              <w:spacing w:after="0"/>
              <w:rPr>
                <w:sz w:val="3"/>
                <w:szCs w:val="3"/>
                <w:color w:val="auto"/>
              </w:rPr>
            </w:pPr>
          </w:p>
        </w:tc>
        <w:tc>
          <w:tcPr>
            <w:tcW w:w="100" w:type="dxa"/>
            <w:vAlign w:val="bottom"/>
            <w:tcBorders>
              <w:bottom w:val="single" w:sz="8" w:color="2C6937"/>
            </w:tcBorders>
          </w:tcPr>
          <w:p>
            <w:pPr>
              <w:spacing w:after="0"/>
              <w:rPr>
                <w:sz w:val="3"/>
                <w:szCs w:val="3"/>
                <w:color w:val="auto"/>
              </w:rPr>
            </w:pPr>
          </w:p>
        </w:tc>
        <w:tc>
          <w:tcPr>
            <w:tcW w:w="760" w:type="dxa"/>
            <w:vAlign w:val="bottom"/>
            <w:tcBorders>
              <w:bottom w:val="single" w:sz="8" w:color="2C6937"/>
            </w:tcBorders>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Borders>
              <w:bottom w:val="single" w:sz="8" w:color="2C6937"/>
            </w:tcBorders>
          </w:tcPr>
          <w:p>
            <w:pPr>
              <w:spacing w:after="0"/>
              <w:rPr>
                <w:sz w:val="3"/>
                <w:szCs w:val="3"/>
                <w:color w:val="auto"/>
              </w:rPr>
            </w:pPr>
          </w:p>
        </w:tc>
        <w:tc>
          <w:tcPr>
            <w:tcW w:w="100" w:type="dxa"/>
            <w:vAlign w:val="bottom"/>
            <w:tcBorders>
              <w:bottom w:val="single" w:sz="8" w:color="2C6937"/>
            </w:tcBorders>
          </w:tcPr>
          <w:p>
            <w:pPr>
              <w:spacing w:after="0"/>
              <w:rPr>
                <w:sz w:val="3"/>
                <w:szCs w:val="3"/>
                <w:color w:val="auto"/>
              </w:rPr>
            </w:pPr>
          </w:p>
        </w:tc>
        <w:tc>
          <w:tcPr>
            <w:tcW w:w="480" w:type="dxa"/>
            <w:vAlign w:val="bottom"/>
            <w:tcBorders>
              <w:bottom w:val="single" w:sz="8" w:color="2C6937"/>
            </w:tcBorders>
          </w:tcPr>
          <w:p>
            <w:pPr>
              <w:spacing w:after="0"/>
              <w:rPr>
                <w:sz w:val="3"/>
                <w:szCs w:val="3"/>
                <w:color w:val="auto"/>
              </w:rPr>
            </w:pPr>
          </w:p>
        </w:tc>
        <w:tc>
          <w:tcPr>
            <w:tcW w:w="760" w:type="dxa"/>
            <w:vAlign w:val="bottom"/>
            <w:tcBorders>
              <w:bottom w:val="single" w:sz="8" w:color="2C6937"/>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76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Total risk-weighted assets</w:t>
            </w: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3"/>
          </w:tcPr>
          <w:p>
            <w:pPr>
              <w:jc w:val="right"/>
              <w:ind w:right="571"/>
              <w:spacing w:after="0" w:line="165"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500" w:type="dxa"/>
            <w:vAlign w:val="bottom"/>
          </w:tcPr>
          <w:p>
            <w:pPr>
              <w:jc w:val="right"/>
              <w:ind w:right="5"/>
              <w:spacing w:after="0" w:line="165" w:lineRule="exact"/>
              <w:rPr>
                <w:sz w:val="20"/>
                <w:szCs w:val="20"/>
                <w:color w:val="auto"/>
              </w:rPr>
            </w:pPr>
            <w:r>
              <w:rPr>
                <w:rFonts w:ascii="Arial" w:cs="Arial" w:eastAsia="Arial" w:hAnsi="Arial"/>
                <w:sz w:val="15"/>
                <w:szCs w:val="15"/>
                <w:color w:val="auto"/>
              </w:rPr>
              <w:t>1,357</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vMerge w:val="restart"/>
          </w:tcPr>
          <w:p>
            <w:pPr>
              <w:jc w:val="center"/>
              <w:ind w:left="269"/>
              <w:spacing w:after="0"/>
              <w:rPr>
                <w:sz w:val="20"/>
                <w:szCs w:val="20"/>
                <w:color w:val="auto"/>
              </w:rPr>
            </w:pPr>
            <w:r>
              <w:rPr>
                <w:rFonts w:ascii="Arial" w:cs="Arial" w:eastAsia="Arial" w:hAnsi="Arial"/>
                <w:sz w:val="14"/>
                <w:szCs w:val="14"/>
                <w:b w:val="1"/>
                <w:bCs w:val="1"/>
                <w:color w:val="auto"/>
                <w:w w:val="97"/>
              </w:rPr>
              <w:t>Total Capital</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60" w:type="dxa"/>
            <w:vAlign w:val="bottom"/>
            <w:tcBorders>
              <w:top w:val="single" w:sz="8" w:color="2C6937"/>
              <w:bottom w:val="single" w:sz="8" w:color="2C6937"/>
            </w:tcBorders>
          </w:tcPr>
          <w:p>
            <w:pPr>
              <w:spacing w:after="0" w:line="20" w:lineRule="exact"/>
              <w:rPr>
                <w:sz w:val="1"/>
                <w:szCs w:val="1"/>
                <w:color w:val="auto"/>
              </w:rPr>
            </w:pPr>
          </w:p>
        </w:tc>
        <w:tc>
          <w:tcPr>
            <w:tcW w:w="13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Borders>
              <w:top w:val="single" w:sz="8" w:color="2C6937"/>
              <w:bottom w:val="single" w:sz="8" w:color="2C6937"/>
            </w:tcBorders>
          </w:tcPr>
          <w:p>
            <w:pPr>
              <w:spacing w:after="0" w:line="20" w:lineRule="exact"/>
              <w:rPr>
                <w:sz w:val="1"/>
                <w:szCs w:val="1"/>
                <w:color w:val="auto"/>
              </w:rPr>
            </w:pPr>
          </w:p>
        </w:tc>
        <w:tc>
          <w:tcPr>
            <w:tcW w:w="50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2760" w:type="dxa"/>
            <w:vAlign w:val="bottom"/>
          </w:tcPr>
          <w:p>
            <w:pPr>
              <w:spacing w:after="0"/>
              <w:rPr>
                <w:sz w:val="24"/>
                <w:szCs w:val="24"/>
                <w:color w:val="auto"/>
              </w:rPr>
            </w:pPr>
          </w:p>
        </w:tc>
        <w:tc>
          <w:tcPr>
            <w:tcW w:w="14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Minimum Capital</w:t>
            </w:r>
          </w:p>
        </w:tc>
        <w:tc>
          <w:tcPr>
            <w:tcW w:w="134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98"/>
              </w:rPr>
              <w:t>Minimum Capital</w:t>
            </w:r>
          </w:p>
        </w:tc>
        <w:tc>
          <w:tcPr>
            <w:tcW w:w="136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8"/>
              </w:rPr>
              <w:t>Applicable</w:t>
            </w:r>
          </w:p>
        </w:tc>
        <w:tc>
          <w:tcPr>
            <w:tcW w:w="12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6"/>
              </w:rPr>
              <w:t>Available Capital</w:t>
            </w: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76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1340" w:type="dxa"/>
            <w:vAlign w:val="bottom"/>
            <w:gridSpan w:val="5"/>
            <w:vMerge w:val="continue"/>
          </w:tcPr>
          <w:p>
            <w:pPr>
              <w:spacing w:after="0"/>
              <w:rPr>
                <w:sz w:val="13"/>
                <w:szCs w:val="13"/>
                <w:color w:val="auto"/>
              </w:rPr>
            </w:pPr>
          </w:p>
        </w:tc>
        <w:tc>
          <w:tcPr>
            <w:tcW w:w="1360" w:type="dxa"/>
            <w:vAlign w:val="bottom"/>
            <w:gridSpan w:val="4"/>
            <w:vMerge w:val="continue"/>
          </w:tcPr>
          <w:p>
            <w:pPr>
              <w:spacing w:after="0"/>
              <w:rPr>
                <w:sz w:val="13"/>
                <w:szCs w:val="13"/>
                <w:color w:val="auto"/>
              </w:rPr>
            </w:pPr>
          </w:p>
        </w:tc>
        <w:tc>
          <w:tcPr>
            <w:tcW w:w="172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8"/>
              </w:rPr>
              <w:t>Requirement (including</w:t>
            </w:r>
          </w:p>
        </w:tc>
        <w:tc>
          <w:tcPr>
            <w:tcW w:w="1340" w:type="dxa"/>
            <w:vAlign w:val="bottom"/>
            <w:gridSpan w:val="4"/>
            <w:vMerge w:val="continue"/>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760" w:type="dxa"/>
            <w:vAlign w:val="bottom"/>
          </w:tcPr>
          <w:p>
            <w:pPr>
              <w:spacing w:after="0"/>
              <w:rPr>
                <w:sz w:val="17"/>
                <w:szCs w:val="17"/>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Ratio Requirement</w:t>
            </w:r>
          </w:p>
        </w:tc>
        <w:tc>
          <w:tcPr>
            <w:tcW w:w="140" w:type="dxa"/>
            <w:vAlign w:val="bottom"/>
          </w:tcPr>
          <w:p>
            <w:pPr>
              <w:spacing w:after="0"/>
              <w:rPr>
                <w:sz w:val="17"/>
                <w:szCs w:val="17"/>
                <w:color w:val="auto"/>
              </w:rPr>
            </w:pPr>
          </w:p>
        </w:tc>
        <w:tc>
          <w:tcPr>
            <w:tcW w:w="12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8"/>
              </w:rPr>
              <w:t>Requirement</w:t>
            </w:r>
          </w:p>
        </w:tc>
        <w:tc>
          <w:tcPr>
            <w:tcW w:w="13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5"/>
              </w:rPr>
              <w:t>Buffers</w:t>
            </w:r>
            <w:r>
              <w:rPr>
                <w:rFonts w:ascii="Arial" w:cs="Arial" w:eastAsia="Arial" w:hAnsi="Arial"/>
                <w:sz w:val="17"/>
                <w:szCs w:val="17"/>
                <w:b w:val="1"/>
                <w:bCs w:val="1"/>
                <w:color w:val="auto"/>
                <w:w w:val="95"/>
                <w:vertAlign w:val="superscript"/>
              </w:rPr>
              <w:t>(2)</w:t>
            </w:r>
          </w:p>
        </w:tc>
        <w:tc>
          <w:tcPr>
            <w:tcW w:w="1280" w:type="dxa"/>
            <w:vAlign w:val="bottom"/>
          </w:tcPr>
          <w:p>
            <w:pPr>
              <w:jc w:val="center"/>
              <w:ind w:left="269"/>
              <w:spacing w:after="0"/>
              <w:rPr>
                <w:sz w:val="20"/>
                <w:szCs w:val="20"/>
                <w:color w:val="auto"/>
              </w:rPr>
            </w:pPr>
            <w:r>
              <w:rPr>
                <w:rFonts w:ascii="Arial" w:cs="Arial" w:eastAsia="Arial" w:hAnsi="Arial"/>
                <w:sz w:val="14"/>
                <w:szCs w:val="14"/>
                <w:b w:val="1"/>
                <w:bCs w:val="1"/>
                <w:color w:val="auto"/>
              </w:rPr>
              <w:t>Buffers)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left="268"/>
              <w:spacing w:after="0"/>
              <w:rPr>
                <w:sz w:val="20"/>
                <w:szCs w:val="20"/>
                <w:color w:val="auto"/>
              </w:rPr>
            </w:pPr>
            <w:r>
              <w:rPr>
                <w:rFonts w:ascii="Arial" w:cs="Arial" w:eastAsia="Arial" w:hAnsi="Arial"/>
                <w:sz w:val="14"/>
                <w:szCs w:val="14"/>
                <w:b w:val="1"/>
                <w:bCs w:val="1"/>
                <w:color w:val="auto"/>
                <w:w w:val="99"/>
              </w:rPr>
              <w:t>(Deficit)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3"/>
              <w:spacing w:after="0"/>
              <w:rPr>
                <w:sz w:val="20"/>
                <w:szCs w:val="20"/>
                <w:color w:val="auto"/>
              </w:rPr>
            </w:pPr>
            <w:r>
              <w:rPr>
                <w:rFonts w:ascii="Arial" w:cs="Arial" w:eastAsia="Arial" w:hAnsi="Arial"/>
                <w:sz w:val="14"/>
                <w:szCs w:val="14"/>
                <w:b w:val="1"/>
                <w:bCs w:val="1"/>
                <w:color w:val="auto"/>
              </w:rPr>
              <w:t>Capital Shortfall</w:t>
            </w:r>
          </w:p>
        </w:tc>
        <w:tc>
          <w:tcPr>
            <w:tcW w:w="0" w:type="dxa"/>
            <w:vAlign w:val="bottom"/>
          </w:tcPr>
          <w:p>
            <w:pPr>
              <w:spacing w:after="0"/>
              <w:rPr>
                <w:sz w:val="1"/>
                <w:szCs w:val="1"/>
                <w:color w:val="auto"/>
              </w:rPr>
            </w:pPr>
          </w:p>
        </w:tc>
      </w:tr>
      <w:tr>
        <w:trPr>
          <w:trHeight w:val="187"/>
        </w:trPr>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Risk-based capital:</w:t>
            </w:r>
          </w:p>
        </w:tc>
        <w:tc>
          <w:tcPr>
            <w:tcW w:w="1380" w:type="dxa"/>
            <w:vAlign w:val="bottom"/>
            <w:tcBorders>
              <w:top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2C6937"/>
            </w:tcBorders>
          </w:tcPr>
          <w:p>
            <w:pPr>
              <w:spacing w:after="0"/>
              <w:rPr>
                <w:sz w:val="16"/>
                <w:szCs w:val="16"/>
                <w:color w:val="auto"/>
              </w:rPr>
            </w:pPr>
          </w:p>
        </w:tc>
        <w:tc>
          <w:tcPr>
            <w:tcW w:w="220" w:type="dxa"/>
            <w:vAlign w:val="bottom"/>
            <w:tcBorders>
              <w:top w:val="single" w:sz="8" w:color="2C6937"/>
            </w:tcBorders>
          </w:tcPr>
          <w:p>
            <w:pPr>
              <w:spacing w:after="0"/>
              <w:rPr>
                <w:sz w:val="16"/>
                <w:szCs w:val="16"/>
                <w:color w:val="auto"/>
              </w:rPr>
            </w:pPr>
          </w:p>
        </w:tc>
        <w:tc>
          <w:tcPr>
            <w:tcW w:w="140" w:type="dxa"/>
            <w:vAlign w:val="bottom"/>
            <w:tcBorders>
              <w:top w:val="single" w:sz="8" w:color="2C6937"/>
            </w:tcBorders>
          </w:tcPr>
          <w:p>
            <w:pPr>
              <w:spacing w:after="0"/>
              <w:rPr>
                <w:sz w:val="16"/>
                <w:szCs w:val="16"/>
                <w:color w:val="auto"/>
              </w:rPr>
            </w:pPr>
          </w:p>
        </w:tc>
        <w:tc>
          <w:tcPr>
            <w:tcW w:w="760" w:type="dxa"/>
            <w:vAlign w:val="bottom"/>
            <w:tcBorders>
              <w:top w:val="single" w:sz="8" w:color="2C6937"/>
            </w:tcBorders>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Borders>
              <w:top w:val="single" w:sz="8" w:color="2C6937"/>
            </w:tcBorders>
          </w:tcPr>
          <w:p>
            <w:pPr>
              <w:spacing w:after="0"/>
              <w:rPr>
                <w:sz w:val="16"/>
                <w:szCs w:val="16"/>
                <w:color w:val="auto"/>
              </w:rPr>
            </w:pPr>
          </w:p>
        </w:tc>
        <w:tc>
          <w:tcPr>
            <w:tcW w:w="140" w:type="dxa"/>
            <w:vAlign w:val="bottom"/>
            <w:tcBorders>
              <w:top w:val="single" w:sz="8" w:color="2C6937"/>
            </w:tcBorders>
          </w:tcPr>
          <w:p>
            <w:pPr>
              <w:spacing w:after="0"/>
              <w:rPr>
                <w:sz w:val="16"/>
                <w:szCs w:val="16"/>
                <w:color w:val="auto"/>
              </w:rPr>
            </w:pPr>
          </w:p>
        </w:tc>
        <w:tc>
          <w:tcPr>
            <w:tcW w:w="620" w:type="dxa"/>
            <w:vAlign w:val="bottom"/>
            <w:tcBorders>
              <w:top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top w:val="single" w:sz="8" w:color="2C6937"/>
            </w:tcBorders>
          </w:tcPr>
          <w:p>
            <w:pPr>
              <w:spacing w:after="0"/>
              <w:rPr>
                <w:sz w:val="16"/>
                <w:szCs w:val="16"/>
                <w:color w:val="auto"/>
              </w:rPr>
            </w:pPr>
          </w:p>
        </w:tc>
        <w:tc>
          <w:tcPr>
            <w:tcW w:w="340" w:type="dxa"/>
            <w:vAlign w:val="bottom"/>
            <w:tcBorders>
              <w:top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top w:val="single" w:sz="8" w:color="2C6937"/>
            </w:tcBorders>
          </w:tcPr>
          <w:p>
            <w:pPr>
              <w:spacing w:after="0"/>
              <w:rPr>
                <w:sz w:val="16"/>
                <w:szCs w:val="16"/>
                <w:color w:val="auto"/>
              </w:rPr>
            </w:pPr>
          </w:p>
        </w:tc>
        <w:tc>
          <w:tcPr>
            <w:tcW w:w="140" w:type="dxa"/>
            <w:vAlign w:val="bottom"/>
            <w:tcBorders>
              <w:top w:val="single" w:sz="8" w:color="2C6937"/>
            </w:tcBorders>
          </w:tcPr>
          <w:p>
            <w:pPr>
              <w:spacing w:after="0"/>
              <w:rPr>
                <w:sz w:val="16"/>
                <w:szCs w:val="16"/>
                <w:color w:val="auto"/>
              </w:rPr>
            </w:pPr>
          </w:p>
        </w:tc>
        <w:tc>
          <w:tcPr>
            <w:tcW w:w="340" w:type="dxa"/>
            <w:vAlign w:val="bottom"/>
            <w:tcBorders>
              <w:top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top w:val="single" w:sz="8" w:color="2C6937"/>
            </w:tcBorders>
          </w:tcPr>
          <w:p>
            <w:pPr>
              <w:spacing w:after="0"/>
              <w:rPr>
                <w:sz w:val="16"/>
                <w:szCs w:val="16"/>
                <w:color w:val="auto"/>
              </w:rPr>
            </w:pPr>
          </w:p>
        </w:tc>
        <w:tc>
          <w:tcPr>
            <w:tcW w:w="760" w:type="dxa"/>
            <w:vAlign w:val="bottom"/>
            <w:tcBorders>
              <w:top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760" w:type="dxa"/>
            <w:vAlign w:val="bottom"/>
          </w:tcPr>
          <w:p>
            <w:pPr>
              <w:ind w:left="240"/>
              <w:spacing w:after="0"/>
              <w:rPr>
                <w:sz w:val="20"/>
                <w:szCs w:val="20"/>
                <w:color w:val="auto"/>
              </w:rPr>
            </w:pPr>
            <w:r>
              <w:rPr>
                <w:rFonts w:ascii="Arial" w:cs="Arial" w:eastAsia="Arial" w:hAnsi="Arial"/>
                <w:sz w:val="15"/>
                <w:szCs w:val="15"/>
                <w:color w:val="auto"/>
              </w:rPr>
              <w:t>Total capital (statutory)</w:t>
            </w:r>
          </w:p>
        </w:tc>
        <w:tc>
          <w:tcPr>
            <w:tcW w:w="1380" w:type="dxa"/>
            <w:vAlign w:val="bottom"/>
          </w:tcPr>
          <w:p>
            <w:pPr>
              <w:ind w:left="960"/>
              <w:spacing w:after="0"/>
              <w:rPr>
                <w:sz w:val="20"/>
                <w:szCs w:val="20"/>
                <w:color w:val="auto"/>
              </w:rPr>
            </w:pPr>
            <w:r>
              <w:rPr>
                <w:rFonts w:ascii="Arial" w:cs="Arial" w:eastAsia="Arial" w:hAnsi="Arial"/>
                <w:sz w:val="15"/>
                <w:szCs w:val="15"/>
                <w:color w:val="auto"/>
              </w:rPr>
              <w:t>8.0 %</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gridSpan w:val="3"/>
          </w:tcPr>
          <w:p>
            <w:pPr>
              <w:jc w:val="right"/>
              <w:ind w:right="11"/>
              <w:spacing w:after="0"/>
              <w:rPr>
                <w:sz w:val="20"/>
                <w:szCs w:val="20"/>
                <w:color w:val="auto"/>
              </w:rPr>
            </w:pPr>
            <w:r>
              <w:rPr>
                <w:rFonts w:ascii="Arial" w:cs="Arial" w:eastAsia="Arial" w:hAnsi="Arial"/>
                <w:sz w:val="15"/>
                <w:szCs w:val="15"/>
                <w:color w:val="auto"/>
              </w:rPr>
              <w:t>109</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center"/>
              <w:ind w:left="183"/>
              <w:spacing w:after="0"/>
              <w:rPr>
                <w:sz w:val="20"/>
                <w:szCs w:val="20"/>
                <w:color w:val="auto"/>
              </w:rPr>
            </w:pPr>
            <w:r>
              <w:rPr>
                <w:rFonts w:ascii="Arial" w:cs="Arial" w:eastAsia="Arial" w:hAnsi="Arial"/>
                <w:sz w:val="15"/>
                <w:szCs w:val="15"/>
                <w:color w:val="auto"/>
              </w:rPr>
              <w:t>N/A</w:t>
            </w:r>
          </w:p>
        </w:tc>
        <w:tc>
          <w:tcPr>
            <w:tcW w:w="1280" w:type="dxa"/>
            <w:vAlign w:val="bottom"/>
          </w:tcPr>
          <w:p>
            <w:pPr>
              <w:jc w:val="right"/>
              <w:ind w:right="1109"/>
              <w:spacing w:after="0"/>
              <w:rPr>
                <w:sz w:val="20"/>
                <w:szCs w:val="20"/>
                <w:color w:val="auto"/>
              </w:rPr>
            </w:pPr>
            <w:r>
              <w:rPr>
                <w:rFonts w:ascii="Arial" w:cs="Arial" w:eastAsia="Arial" w:hAnsi="Arial"/>
                <w:sz w:val="15"/>
                <w:szCs w:val="15"/>
                <w:color w:val="auto"/>
                <w:w w:val="95"/>
              </w:rPr>
              <w:t>$</w:t>
            </w:r>
          </w:p>
        </w:tc>
        <w:tc>
          <w:tcPr>
            <w:tcW w:w="340" w:type="dxa"/>
            <w:vAlign w:val="bottom"/>
          </w:tcPr>
          <w:p>
            <w:pPr>
              <w:jc w:val="right"/>
              <w:spacing w:after="0"/>
              <w:rPr>
                <w:sz w:val="20"/>
                <w:szCs w:val="20"/>
                <w:color w:val="auto"/>
              </w:rPr>
            </w:pPr>
            <w:r>
              <w:rPr>
                <w:rFonts w:ascii="Arial" w:cs="Arial" w:eastAsia="Arial" w:hAnsi="Arial"/>
                <w:sz w:val="15"/>
                <w:szCs w:val="15"/>
                <w:color w:val="auto"/>
              </w:rPr>
              <w:t>109</w:t>
            </w:r>
          </w:p>
        </w:tc>
        <w:tc>
          <w:tcPr>
            <w:tcW w:w="100" w:type="dxa"/>
            <w:vAlign w:val="bottom"/>
          </w:tcPr>
          <w:p>
            <w:pPr>
              <w:spacing w:after="0"/>
              <w:rPr>
                <w:sz w:val="17"/>
                <w:szCs w:val="17"/>
                <w:color w:val="auto"/>
              </w:rPr>
            </w:pPr>
          </w:p>
        </w:tc>
        <w:tc>
          <w:tcPr>
            <w:tcW w:w="760" w:type="dxa"/>
            <w:vAlign w:val="bottom"/>
          </w:tcPr>
          <w:p>
            <w:pPr>
              <w:jc w:val="right"/>
              <w:ind w:right="588"/>
              <w:spacing w:after="0"/>
              <w:rPr>
                <w:sz w:val="20"/>
                <w:szCs w:val="20"/>
                <w:color w:val="auto"/>
              </w:rPr>
            </w:pPr>
            <w:r>
              <w:rPr>
                <w:rFonts w:ascii="Arial" w:cs="Arial" w:eastAsia="Arial" w:hAnsi="Arial"/>
                <w:sz w:val="15"/>
                <w:szCs w:val="15"/>
                <w:color w:val="auto"/>
                <w:w w:val="95"/>
              </w:rPr>
              <w:t>$</w:t>
            </w:r>
          </w:p>
        </w:tc>
        <w:tc>
          <w:tcPr>
            <w:tcW w:w="140" w:type="dxa"/>
            <w:vAlign w:val="bottom"/>
          </w:tcPr>
          <w:p>
            <w:pPr>
              <w:spacing w:after="0"/>
              <w:rPr>
                <w:sz w:val="17"/>
                <w:szCs w:val="17"/>
                <w:color w:val="auto"/>
              </w:rPr>
            </w:pPr>
          </w:p>
        </w:tc>
        <w:tc>
          <w:tcPr>
            <w:tcW w:w="340" w:type="dxa"/>
            <w:vAlign w:val="bottom"/>
          </w:tcPr>
          <w:p>
            <w:pPr>
              <w:ind w:left="40"/>
              <w:spacing w:after="0"/>
              <w:rPr>
                <w:sz w:val="20"/>
                <w:szCs w:val="20"/>
                <w:color w:val="auto"/>
              </w:rPr>
            </w:pPr>
            <w:r>
              <w:rPr>
                <w:rFonts w:ascii="Arial" w:cs="Arial" w:eastAsia="Arial" w:hAnsi="Arial"/>
                <w:sz w:val="15"/>
                <w:szCs w:val="15"/>
                <w:color w:val="auto"/>
              </w:rPr>
              <w:t>(34)</w:t>
            </w:r>
          </w:p>
        </w:tc>
        <w:tc>
          <w:tcPr>
            <w:tcW w:w="100" w:type="dxa"/>
            <w:vAlign w:val="bottom"/>
          </w:tcPr>
          <w:p>
            <w:pPr>
              <w:spacing w:after="0"/>
              <w:rPr>
                <w:sz w:val="17"/>
                <w:szCs w:val="17"/>
                <w:color w:val="auto"/>
              </w:rPr>
            </w:pPr>
          </w:p>
        </w:tc>
        <w:tc>
          <w:tcPr>
            <w:tcW w:w="480" w:type="dxa"/>
            <w:vAlign w:val="bottom"/>
          </w:tcPr>
          <w:p>
            <w:pPr>
              <w:jc w:val="right"/>
              <w:ind w:right="307"/>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(143)</w:t>
            </w:r>
          </w:p>
        </w:tc>
        <w:tc>
          <w:tcPr>
            <w:tcW w:w="0" w:type="dxa"/>
            <w:vAlign w:val="bottom"/>
          </w:tcPr>
          <w:p>
            <w:pPr>
              <w:spacing w:after="0"/>
              <w:rPr>
                <w:sz w:val="1"/>
                <w:szCs w:val="1"/>
                <w:color w:val="auto"/>
              </w:rPr>
            </w:pPr>
          </w:p>
        </w:tc>
      </w:tr>
      <w:tr>
        <w:trPr>
          <w:trHeight w:val="206"/>
        </w:trPr>
        <w:tc>
          <w:tcPr>
            <w:tcW w:w="2760" w:type="dxa"/>
            <w:vAlign w:val="bottom"/>
          </w:tcPr>
          <w:p>
            <w:pPr>
              <w:ind w:left="240"/>
              <w:spacing w:after="0"/>
              <w:rPr>
                <w:sz w:val="20"/>
                <w:szCs w:val="20"/>
                <w:color w:val="auto"/>
              </w:rPr>
            </w:pPr>
            <w:r>
              <w:rPr>
                <w:rFonts w:ascii="Arial" w:cs="Arial" w:eastAsia="Arial" w:hAnsi="Arial"/>
                <w:sz w:val="15"/>
                <w:szCs w:val="15"/>
                <w:color w:val="auto"/>
              </w:rPr>
              <w:t>Common equity tier 1 capital</w:t>
            </w:r>
          </w:p>
        </w:tc>
        <w:tc>
          <w:tcPr>
            <w:tcW w:w="1380" w:type="dxa"/>
            <w:vAlign w:val="bottom"/>
          </w:tcPr>
          <w:p>
            <w:pPr>
              <w:ind w:left="960"/>
              <w:spacing w:after="0"/>
              <w:rPr>
                <w:sz w:val="20"/>
                <w:szCs w:val="20"/>
                <w:color w:val="auto"/>
              </w:rPr>
            </w:pPr>
            <w:r>
              <w:rPr>
                <w:rFonts w:ascii="Arial" w:cs="Arial" w:eastAsia="Arial" w:hAnsi="Arial"/>
                <w:sz w:val="15"/>
                <w:szCs w:val="15"/>
                <w:color w:val="auto"/>
              </w:rPr>
              <w:t>4.5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3"/>
          </w:tcPr>
          <w:p>
            <w:pPr>
              <w:jc w:val="right"/>
              <w:ind w:right="11"/>
              <w:spacing w:after="0"/>
              <w:rPr>
                <w:sz w:val="20"/>
                <w:szCs w:val="20"/>
                <w:color w:val="auto"/>
              </w:rPr>
            </w:pPr>
            <w:r>
              <w:rPr>
                <w:rFonts w:ascii="Arial" w:cs="Arial" w:eastAsia="Arial" w:hAnsi="Arial"/>
                <w:sz w:val="15"/>
                <w:szCs w:val="15"/>
                <w:color w:val="auto"/>
              </w:rPr>
              <w:t>61</w:t>
            </w:r>
          </w:p>
        </w:tc>
        <w:tc>
          <w:tcPr>
            <w:tcW w:w="80" w:type="dxa"/>
            <w:vAlign w:val="bottom"/>
          </w:tcPr>
          <w:p>
            <w:pPr>
              <w:spacing w:after="0"/>
              <w:rPr>
                <w:sz w:val="17"/>
                <w:szCs w:val="17"/>
                <w:color w:val="auto"/>
              </w:rPr>
            </w:pPr>
          </w:p>
        </w:tc>
        <w:tc>
          <w:tcPr>
            <w:tcW w:w="500" w:type="dxa"/>
            <w:vAlign w:val="bottom"/>
          </w:tcPr>
          <w:p>
            <w:pPr>
              <w:jc w:val="right"/>
              <w:ind w:right="325"/>
              <w:spacing w:after="0"/>
              <w:rPr>
                <w:sz w:val="20"/>
                <w:szCs w:val="20"/>
                <w:color w:val="auto"/>
              </w:rPr>
            </w:pPr>
            <w:r>
              <w:rPr>
                <w:rFonts w:ascii="Arial" w:cs="Arial" w:eastAsia="Arial" w:hAnsi="Arial"/>
                <w:sz w:val="15"/>
                <w:szCs w:val="15"/>
                <w:color w:val="auto"/>
                <w:w w:val="95"/>
              </w:rPr>
              <w:t>$</w:t>
            </w:r>
          </w:p>
        </w:tc>
        <w:tc>
          <w:tcPr>
            <w:tcW w:w="760" w:type="dxa"/>
            <w:vAlign w:val="bottom"/>
            <w:gridSpan w:val="2"/>
          </w:tcPr>
          <w:p>
            <w:pPr>
              <w:jc w:val="center"/>
              <w:ind w:left="383"/>
              <w:spacing w:after="0"/>
              <w:rPr>
                <w:sz w:val="20"/>
                <w:szCs w:val="20"/>
                <w:color w:val="auto"/>
              </w:rPr>
            </w:pPr>
            <w:r>
              <w:rPr>
                <w:rFonts w:ascii="Arial" w:cs="Arial" w:eastAsia="Arial" w:hAnsi="Arial"/>
                <w:sz w:val="15"/>
                <w:szCs w:val="15"/>
                <w:color w:val="auto"/>
              </w:rPr>
              <w:t>79</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140</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ind w:left="40"/>
              <w:spacing w:after="0"/>
              <w:rPr>
                <w:sz w:val="20"/>
                <w:szCs w:val="20"/>
                <w:color w:val="auto"/>
              </w:rPr>
            </w:pPr>
            <w:r>
              <w:rPr>
                <w:rFonts w:ascii="Arial" w:cs="Arial" w:eastAsia="Arial" w:hAnsi="Arial"/>
                <w:sz w:val="15"/>
                <w:szCs w:val="15"/>
                <w:color w:val="auto"/>
              </w:rPr>
              <w:t>(74)</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(214)</w:t>
            </w:r>
          </w:p>
        </w:tc>
        <w:tc>
          <w:tcPr>
            <w:tcW w:w="0" w:type="dxa"/>
            <w:vAlign w:val="bottom"/>
          </w:tcPr>
          <w:p>
            <w:pPr>
              <w:spacing w:after="0"/>
              <w:rPr>
                <w:sz w:val="1"/>
                <w:szCs w:val="1"/>
                <w:color w:val="auto"/>
              </w:rPr>
            </w:pPr>
          </w:p>
        </w:tc>
      </w:tr>
      <w:tr>
        <w:trPr>
          <w:trHeight w:val="206"/>
        </w:trPr>
        <w:tc>
          <w:tcPr>
            <w:tcW w:w="2760" w:type="dxa"/>
            <w:vAlign w:val="bottom"/>
          </w:tcPr>
          <w:p>
            <w:pPr>
              <w:ind w:left="240"/>
              <w:spacing w:after="0"/>
              <w:rPr>
                <w:sz w:val="20"/>
                <w:szCs w:val="20"/>
                <w:color w:val="auto"/>
              </w:rPr>
            </w:pPr>
            <w:r>
              <w:rPr>
                <w:rFonts w:ascii="Arial" w:cs="Arial" w:eastAsia="Arial" w:hAnsi="Arial"/>
                <w:sz w:val="15"/>
                <w:szCs w:val="15"/>
                <w:color w:val="auto"/>
              </w:rPr>
              <w:t>Tier 1 capital</w:t>
            </w:r>
          </w:p>
        </w:tc>
        <w:tc>
          <w:tcPr>
            <w:tcW w:w="1380" w:type="dxa"/>
            <w:vAlign w:val="bottom"/>
          </w:tcPr>
          <w:p>
            <w:pPr>
              <w:ind w:left="960"/>
              <w:spacing w:after="0"/>
              <w:rPr>
                <w:sz w:val="20"/>
                <w:szCs w:val="20"/>
                <w:color w:val="auto"/>
              </w:rPr>
            </w:pPr>
            <w:r>
              <w:rPr>
                <w:rFonts w:ascii="Arial" w:cs="Arial" w:eastAsia="Arial" w:hAnsi="Arial"/>
                <w:sz w:val="15"/>
                <w:szCs w:val="15"/>
                <w:color w:val="auto"/>
              </w:rPr>
              <w:t>6.0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3"/>
          </w:tcPr>
          <w:p>
            <w:pPr>
              <w:jc w:val="right"/>
              <w:ind w:right="11"/>
              <w:spacing w:after="0"/>
              <w:rPr>
                <w:sz w:val="20"/>
                <w:szCs w:val="20"/>
                <w:color w:val="auto"/>
              </w:rPr>
            </w:pPr>
            <w:r>
              <w:rPr>
                <w:rFonts w:ascii="Arial" w:cs="Arial" w:eastAsia="Arial" w:hAnsi="Arial"/>
                <w:sz w:val="15"/>
                <w:szCs w:val="15"/>
                <w:color w:val="auto"/>
              </w:rPr>
              <w:t>81</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gridSpan w:val="2"/>
          </w:tcPr>
          <w:p>
            <w:pPr>
              <w:jc w:val="center"/>
              <w:ind w:left="383"/>
              <w:spacing w:after="0"/>
              <w:rPr>
                <w:sz w:val="20"/>
                <w:szCs w:val="20"/>
                <w:color w:val="auto"/>
              </w:rPr>
            </w:pPr>
            <w:r>
              <w:rPr>
                <w:rFonts w:ascii="Arial" w:cs="Arial" w:eastAsia="Arial" w:hAnsi="Arial"/>
                <w:sz w:val="15"/>
                <w:szCs w:val="15"/>
                <w:color w:val="auto"/>
              </w:rPr>
              <w:t>79</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160</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ind w:left="40"/>
              <w:spacing w:after="0"/>
              <w:rPr>
                <w:sz w:val="20"/>
                <w:szCs w:val="20"/>
                <w:color w:val="auto"/>
              </w:rPr>
            </w:pPr>
            <w:r>
              <w:rPr>
                <w:rFonts w:ascii="Arial" w:cs="Arial" w:eastAsia="Arial" w:hAnsi="Arial"/>
                <w:sz w:val="15"/>
                <w:szCs w:val="15"/>
                <w:color w:val="auto"/>
              </w:rPr>
              <w:t>(55)</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(215)</w:t>
            </w:r>
          </w:p>
        </w:tc>
        <w:tc>
          <w:tcPr>
            <w:tcW w:w="0" w:type="dxa"/>
            <w:vAlign w:val="bottom"/>
          </w:tcPr>
          <w:p>
            <w:pPr>
              <w:spacing w:after="0"/>
              <w:rPr>
                <w:sz w:val="1"/>
                <w:szCs w:val="1"/>
                <w:color w:val="auto"/>
              </w:rPr>
            </w:pPr>
          </w:p>
        </w:tc>
      </w:tr>
      <w:tr>
        <w:trPr>
          <w:trHeight w:val="206"/>
        </w:trPr>
        <w:tc>
          <w:tcPr>
            <w:tcW w:w="2760" w:type="dxa"/>
            <w:vAlign w:val="bottom"/>
          </w:tcPr>
          <w:p>
            <w:pPr>
              <w:ind w:left="240"/>
              <w:spacing w:after="0"/>
              <w:rPr>
                <w:sz w:val="20"/>
                <w:szCs w:val="20"/>
                <w:color w:val="auto"/>
              </w:rPr>
            </w:pPr>
            <w:r>
              <w:rPr>
                <w:rFonts w:ascii="Arial" w:cs="Arial" w:eastAsia="Arial" w:hAnsi="Arial"/>
                <w:sz w:val="15"/>
                <w:szCs w:val="15"/>
                <w:color w:val="auto"/>
              </w:rPr>
              <w:t>Adjusted total capital</w:t>
            </w:r>
          </w:p>
        </w:tc>
        <w:tc>
          <w:tcPr>
            <w:tcW w:w="1380" w:type="dxa"/>
            <w:vAlign w:val="bottom"/>
          </w:tcPr>
          <w:p>
            <w:pPr>
              <w:ind w:left="960"/>
              <w:spacing w:after="0"/>
              <w:rPr>
                <w:sz w:val="20"/>
                <w:szCs w:val="20"/>
                <w:color w:val="auto"/>
              </w:rPr>
            </w:pPr>
            <w:r>
              <w:rPr>
                <w:rFonts w:ascii="Arial" w:cs="Arial" w:eastAsia="Arial" w:hAnsi="Arial"/>
                <w:sz w:val="15"/>
                <w:szCs w:val="15"/>
                <w:color w:val="auto"/>
              </w:rPr>
              <w:t>8.0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3"/>
          </w:tcPr>
          <w:p>
            <w:pPr>
              <w:jc w:val="right"/>
              <w:ind w:right="11"/>
              <w:spacing w:after="0"/>
              <w:rPr>
                <w:sz w:val="20"/>
                <w:szCs w:val="20"/>
                <w:color w:val="auto"/>
              </w:rPr>
            </w:pPr>
            <w:r>
              <w:rPr>
                <w:rFonts w:ascii="Arial" w:cs="Arial" w:eastAsia="Arial" w:hAnsi="Arial"/>
                <w:sz w:val="15"/>
                <w:szCs w:val="15"/>
                <w:color w:val="auto"/>
              </w:rPr>
              <w:t>109</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gridSpan w:val="2"/>
          </w:tcPr>
          <w:p>
            <w:pPr>
              <w:jc w:val="center"/>
              <w:ind w:left="383"/>
              <w:spacing w:after="0"/>
              <w:rPr>
                <w:sz w:val="20"/>
                <w:szCs w:val="20"/>
                <w:color w:val="auto"/>
              </w:rPr>
            </w:pPr>
            <w:r>
              <w:rPr>
                <w:rFonts w:ascii="Arial" w:cs="Arial" w:eastAsia="Arial" w:hAnsi="Arial"/>
                <w:sz w:val="15"/>
                <w:szCs w:val="15"/>
                <w:color w:val="auto"/>
              </w:rPr>
              <w:t>79</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188</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ind w:left="40"/>
              <w:spacing w:after="0"/>
              <w:rPr>
                <w:sz w:val="20"/>
                <w:szCs w:val="20"/>
                <w:color w:val="auto"/>
              </w:rPr>
            </w:pPr>
            <w:r>
              <w:rPr>
                <w:rFonts w:ascii="Arial" w:cs="Arial" w:eastAsia="Arial" w:hAnsi="Arial"/>
                <w:sz w:val="15"/>
                <w:szCs w:val="15"/>
                <w:color w:val="auto"/>
              </w:rPr>
              <w:t>(55)</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(243)</w:t>
            </w:r>
          </w:p>
        </w:tc>
        <w:tc>
          <w:tcPr>
            <w:tcW w:w="0" w:type="dxa"/>
            <w:vAlign w:val="bottom"/>
          </w:tcPr>
          <w:p>
            <w:pPr>
              <w:spacing w:after="0"/>
              <w:rPr>
                <w:sz w:val="1"/>
                <w:szCs w:val="1"/>
                <w:color w:val="auto"/>
              </w:rPr>
            </w:pPr>
          </w:p>
        </w:tc>
      </w:tr>
      <w:tr>
        <w:trPr>
          <w:trHeight w:val="209"/>
        </w:trPr>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Leverage capital:</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760" w:type="dxa"/>
            <w:vAlign w:val="bottom"/>
          </w:tcPr>
          <w:p>
            <w:pPr>
              <w:ind w:left="240"/>
              <w:spacing w:after="0"/>
              <w:rPr>
                <w:sz w:val="20"/>
                <w:szCs w:val="20"/>
                <w:color w:val="auto"/>
              </w:rPr>
            </w:pPr>
            <w:r>
              <w:rPr>
                <w:rFonts w:ascii="Arial" w:cs="Arial" w:eastAsia="Arial" w:hAnsi="Arial"/>
                <w:sz w:val="15"/>
                <w:szCs w:val="15"/>
                <w:color w:val="auto"/>
              </w:rPr>
              <w:t>Core capital (statutory)</w:t>
            </w:r>
          </w:p>
        </w:tc>
        <w:tc>
          <w:tcPr>
            <w:tcW w:w="1380" w:type="dxa"/>
            <w:vAlign w:val="bottom"/>
          </w:tcPr>
          <w:p>
            <w:pPr>
              <w:ind w:left="960"/>
              <w:spacing w:after="0"/>
              <w:rPr>
                <w:sz w:val="20"/>
                <w:szCs w:val="20"/>
                <w:color w:val="auto"/>
              </w:rPr>
            </w:pPr>
            <w:r>
              <w:rPr>
                <w:rFonts w:ascii="Arial" w:cs="Arial" w:eastAsia="Arial" w:hAnsi="Arial"/>
                <w:sz w:val="15"/>
                <w:szCs w:val="15"/>
                <w:color w:val="auto"/>
              </w:rPr>
              <w:t>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3"/>
          </w:tcPr>
          <w:p>
            <w:pPr>
              <w:jc w:val="right"/>
              <w:ind w:right="11"/>
              <w:spacing w:after="0"/>
              <w:rPr>
                <w:sz w:val="20"/>
                <w:szCs w:val="20"/>
                <w:color w:val="auto"/>
              </w:rPr>
            </w:pPr>
            <w:r>
              <w:rPr>
                <w:rFonts w:ascii="Arial" w:cs="Arial" w:eastAsia="Arial" w:hAnsi="Arial"/>
                <w:sz w:val="15"/>
                <w:szCs w:val="15"/>
                <w:color w:val="auto"/>
              </w:rPr>
              <w:t>114</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center"/>
              <w:ind w:left="183"/>
              <w:spacing w:after="0"/>
              <w:rPr>
                <w:sz w:val="20"/>
                <w:szCs w:val="20"/>
                <w:color w:val="auto"/>
              </w:rPr>
            </w:pPr>
            <w:r>
              <w:rPr>
                <w:rFonts w:ascii="Arial" w:cs="Arial" w:eastAsia="Arial" w:hAnsi="Arial"/>
                <w:sz w:val="15"/>
                <w:szCs w:val="15"/>
                <w:color w:val="auto"/>
              </w:rPr>
              <w:t>N/A</w:t>
            </w:r>
          </w:p>
        </w:tc>
        <w:tc>
          <w:tcPr>
            <w:tcW w:w="12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114</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ind w:left="40"/>
              <w:spacing w:after="0"/>
              <w:rPr>
                <w:sz w:val="20"/>
                <w:szCs w:val="20"/>
                <w:color w:val="auto"/>
              </w:rPr>
            </w:pPr>
            <w:r>
              <w:rPr>
                <w:rFonts w:ascii="Arial" w:cs="Arial" w:eastAsia="Arial" w:hAnsi="Arial"/>
                <w:sz w:val="15"/>
                <w:szCs w:val="15"/>
                <w:color w:val="auto"/>
              </w:rPr>
              <w:t>(43)</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(157)</w:t>
            </w:r>
          </w:p>
        </w:tc>
        <w:tc>
          <w:tcPr>
            <w:tcW w:w="0" w:type="dxa"/>
            <w:vAlign w:val="bottom"/>
          </w:tcPr>
          <w:p>
            <w:pPr>
              <w:spacing w:after="0"/>
              <w:rPr>
                <w:sz w:val="1"/>
                <w:szCs w:val="1"/>
                <w:color w:val="auto"/>
              </w:rPr>
            </w:pPr>
          </w:p>
        </w:tc>
      </w:tr>
      <w:tr>
        <w:trPr>
          <w:trHeight w:val="206"/>
        </w:trPr>
        <w:tc>
          <w:tcPr>
            <w:tcW w:w="2760" w:type="dxa"/>
            <w:vAlign w:val="bottom"/>
          </w:tcPr>
          <w:p>
            <w:pPr>
              <w:ind w:left="240"/>
              <w:spacing w:after="0"/>
              <w:rPr>
                <w:sz w:val="20"/>
                <w:szCs w:val="20"/>
                <w:color w:val="auto"/>
              </w:rPr>
            </w:pPr>
            <w:r>
              <w:rPr>
                <w:rFonts w:ascii="Arial" w:cs="Arial" w:eastAsia="Arial" w:hAnsi="Arial"/>
                <w:sz w:val="15"/>
                <w:szCs w:val="15"/>
                <w:color w:val="auto"/>
              </w:rPr>
              <w:t>Tier 1 capital</w:t>
            </w:r>
          </w:p>
        </w:tc>
        <w:tc>
          <w:tcPr>
            <w:tcW w:w="1380" w:type="dxa"/>
            <w:vAlign w:val="bottom"/>
          </w:tcPr>
          <w:p>
            <w:pPr>
              <w:ind w:left="960"/>
              <w:spacing w:after="0"/>
              <w:rPr>
                <w:sz w:val="20"/>
                <w:szCs w:val="20"/>
                <w:color w:val="auto"/>
              </w:rPr>
            </w:pPr>
            <w:r>
              <w:rPr>
                <w:rFonts w:ascii="Arial" w:cs="Arial" w:eastAsia="Arial" w:hAnsi="Arial"/>
                <w:sz w:val="15"/>
                <w:szCs w:val="15"/>
                <w:color w:val="auto"/>
              </w:rPr>
              <w:t>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3"/>
          </w:tcPr>
          <w:p>
            <w:pPr>
              <w:jc w:val="right"/>
              <w:ind w:right="11"/>
              <w:spacing w:after="0"/>
              <w:rPr>
                <w:sz w:val="20"/>
                <w:szCs w:val="20"/>
                <w:color w:val="auto"/>
              </w:rPr>
            </w:pPr>
            <w:r>
              <w:rPr>
                <w:rFonts w:ascii="Arial" w:cs="Arial" w:eastAsia="Arial" w:hAnsi="Arial"/>
                <w:sz w:val="15"/>
                <w:szCs w:val="15"/>
                <w:color w:val="auto"/>
              </w:rPr>
              <w:t>114</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gridSpan w:val="2"/>
          </w:tcPr>
          <w:p>
            <w:pPr>
              <w:jc w:val="center"/>
              <w:ind w:left="383"/>
              <w:spacing w:after="0"/>
              <w:rPr>
                <w:sz w:val="20"/>
                <w:szCs w:val="20"/>
                <w:color w:val="auto"/>
              </w:rPr>
            </w:pPr>
            <w:r>
              <w:rPr>
                <w:rFonts w:ascii="Arial" w:cs="Arial" w:eastAsia="Arial" w:hAnsi="Arial"/>
                <w:sz w:val="15"/>
                <w:szCs w:val="15"/>
                <w:color w:val="auto"/>
              </w:rPr>
              <w:t>23</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137</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ind w:left="40"/>
              <w:spacing w:after="0"/>
              <w:rPr>
                <w:sz w:val="20"/>
                <w:szCs w:val="20"/>
                <w:color w:val="auto"/>
              </w:rPr>
            </w:pPr>
            <w:r>
              <w:rPr>
                <w:rFonts w:ascii="Arial" w:cs="Arial" w:eastAsia="Arial" w:hAnsi="Arial"/>
                <w:sz w:val="15"/>
                <w:szCs w:val="15"/>
                <w:color w:val="auto"/>
              </w:rPr>
              <w:t>(55)</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(192)</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220" w:hanging="217"/>
        <w:spacing w:after="0"/>
        <w:tabs>
          <w:tab w:leader="none" w:pos="220" w:val="left"/>
        </w:tabs>
        <w:numPr>
          <w:ilvl w:val="0"/>
          <w:numId w:val="56"/>
        </w:numPr>
        <w:rPr>
          <w:rFonts w:ascii="Arial" w:cs="Arial" w:eastAsia="Arial" w:hAnsi="Arial"/>
          <w:sz w:val="18"/>
          <w:szCs w:val="18"/>
          <w:color w:val="auto"/>
          <w:vertAlign w:val="superscript"/>
        </w:rPr>
      </w:pPr>
      <w:r>
        <w:rPr>
          <w:rFonts w:ascii="Arial" w:cs="Arial" w:eastAsia="Arial" w:hAnsi="Arial"/>
          <w:sz w:val="14"/>
          <w:szCs w:val="14"/>
          <w:color w:val="auto"/>
        </w:rPr>
        <w:t>Ratios are calculated as a percentage of risk-weighted assets for risk-based capital metrics and as a percentage of adjusted total assets for leverage capital metrics.</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56"/>
        </w:numPr>
        <w:rPr>
          <w:rFonts w:ascii="Arial" w:cs="Arial" w:eastAsia="Arial" w:hAnsi="Arial"/>
          <w:sz w:val="18"/>
          <w:szCs w:val="18"/>
          <w:color w:val="auto"/>
          <w:vertAlign w:val="superscript"/>
        </w:rPr>
      </w:pPr>
      <w:r>
        <w:rPr>
          <w:rFonts w:ascii="Arial" w:cs="Arial" w:eastAsia="Arial" w:hAnsi="Arial"/>
          <w:sz w:val="14"/>
          <w:szCs w:val="14"/>
          <w:color w:val="auto"/>
        </w:rPr>
        <w:t>Prescribed capital conservation buffer amount, or PCCBA, for risk-based capital and prescribed leverage buffer amount, or PLBA, for leverage capital.</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2024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53</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60" w:type="dxa"/>
            <w:vAlign w:val="bottom"/>
            <w:tcBorders>
              <w:bottom w:val="single" w:sz="8" w:color="9A9A9A"/>
            </w:tcBorders>
          </w:tcPr>
          <w:p>
            <w:pPr>
              <w:spacing w:after="0"/>
              <w:rPr>
                <w:sz w:val="16"/>
                <w:szCs w:val="16"/>
                <w:color w:val="auto"/>
              </w:rPr>
            </w:pPr>
          </w:p>
        </w:tc>
        <w:tc>
          <w:tcPr>
            <w:tcW w:w="428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56" w:name="page57"/>
    <w:bookmarkEnd w:id="56"/>
    <w:p>
      <w:pPr>
        <w:ind w:left="854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At September 30, 2024, our maximum payout ratio under the enterprise regulatory capital framework was 0%. See “Note 15, Regulatory Capital Requirements” for information on our capital ratios as of September 30, 2024 and December 31, 2023 under the enterprise regulatory capital framework.</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certain components of our regulatory capital.</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Regulatory Capital Components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460" w:type="dxa"/>
            <w:vAlign w:val="bottom"/>
            <w:tcBorders>
              <w:top w:val="single" w:sz="8" w:color="2C6937"/>
            </w:tcBorders>
          </w:tcPr>
          <w:p>
            <w:pPr>
              <w:spacing w:after="0"/>
              <w:rPr>
                <w:sz w:val="17"/>
                <w:szCs w:val="17"/>
                <w:color w:val="auto"/>
              </w:rPr>
            </w:pPr>
          </w:p>
        </w:tc>
        <w:tc>
          <w:tcPr>
            <w:tcW w:w="80" w:type="dxa"/>
            <w:vAlign w:val="bottom"/>
            <w:tcBorders>
              <w:top w:val="single" w:sz="8" w:color="2C6937"/>
            </w:tcBorders>
          </w:tcPr>
          <w:p>
            <w:pPr>
              <w:spacing w:after="0"/>
              <w:rPr>
                <w:sz w:val="17"/>
                <w:szCs w:val="17"/>
                <w:color w:val="auto"/>
              </w:rPr>
            </w:pPr>
          </w:p>
        </w:tc>
        <w:tc>
          <w:tcPr>
            <w:tcW w:w="180" w:type="dxa"/>
            <w:vAlign w:val="bottom"/>
            <w:tcBorders>
              <w:top w:val="single" w:sz="8" w:color="2C6937"/>
              <w:bottom w:val="single" w:sz="8" w:color="2C6937"/>
            </w:tcBorders>
          </w:tcPr>
          <w:p>
            <w:pPr>
              <w:spacing w:after="0"/>
              <w:rPr>
                <w:sz w:val="17"/>
                <w:szCs w:val="17"/>
                <w:color w:val="auto"/>
              </w:rPr>
            </w:pPr>
          </w:p>
        </w:tc>
        <w:tc>
          <w:tcPr>
            <w:tcW w:w="1920" w:type="dxa"/>
            <w:vAlign w:val="bottom"/>
            <w:tcBorders>
              <w:top w:val="single" w:sz="8" w:color="2C6937"/>
              <w:bottom w:val="single" w:sz="8" w:color="2C6937"/>
            </w:tcBorders>
            <w:gridSpan w:val="3"/>
          </w:tcPr>
          <w:p>
            <w:pPr>
              <w:jc w:val="right"/>
              <w:ind w:right="3"/>
              <w:spacing w:after="0"/>
              <w:rPr>
                <w:sz w:val="20"/>
                <w:szCs w:val="20"/>
                <w:color w:val="auto"/>
              </w:rPr>
            </w:pPr>
            <w:r>
              <w:rPr>
                <w:rFonts w:ascii="Arial" w:cs="Arial" w:eastAsia="Arial" w:hAnsi="Arial"/>
                <w:sz w:val="14"/>
                <w:szCs w:val="14"/>
                <w:b w:val="1"/>
                <w:bCs w:val="1"/>
                <w:color w:val="auto"/>
              </w:rPr>
              <w:t>As of</w:t>
            </w:r>
          </w:p>
        </w:tc>
        <w:tc>
          <w:tcPr>
            <w:tcW w:w="1600" w:type="dxa"/>
            <w:vAlign w:val="bottom"/>
            <w:tcBorders>
              <w:top w:val="single" w:sz="8" w:color="2C6937"/>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315"/>
        </w:trPr>
        <w:tc>
          <w:tcPr>
            <w:tcW w:w="7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1720" w:type="dxa"/>
            <w:vAlign w:val="bottom"/>
            <w:tcBorders>
              <w:bottom w:val="single" w:sz="8" w:color="2C6937"/>
            </w:tcBorders>
            <w:gridSpan w:val="2"/>
          </w:tcPr>
          <w:p>
            <w:pPr>
              <w:ind w:left="80"/>
              <w:spacing w:after="0"/>
              <w:rPr>
                <w:sz w:val="20"/>
                <w:szCs w:val="20"/>
                <w:color w:val="auto"/>
              </w:rPr>
            </w:pPr>
            <w:r>
              <w:rPr>
                <w:rFonts w:ascii="Arial" w:cs="Arial" w:eastAsia="Arial" w:hAnsi="Arial"/>
                <w:sz w:val="14"/>
                <w:szCs w:val="14"/>
                <w:b w:val="1"/>
                <w:bCs w:val="1"/>
                <w:color w:val="auto"/>
              </w:rPr>
              <w:t>September 30, 2024</w:t>
            </w:r>
          </w:p>
        </w:tc>
        <w:tc>
          <w:tcPr>
            <w:tcW w:w="200" w:type="dxa"/>
            <w:vAlign w:val="bottom"/>
            <w:tcBorders>
              <w:bottom w:val="single" w:sz="8" w:color="2C6937"/>
            </w:tcBorders>
          </w:tcPr>
          <w:p>
            <w:pPr>
              <w:spacing w:after="0"/>
              <w:rPr>
                <w:sz w:val="24"/>
                <w:szCs w:val="24"/>
                <w:color w:val="auto"/>
              </w:rPr>
            </w:pPr>
          </w:p>
        </w:tc>
        <w:tc>
          <w:tcPr>
            <w:tcW w:w="1600" w:type="dxa"/>
            <w:vAlign w:val="bottom"/>
            <w:tcBorders>
              <w:bottom w:val="single" w:sz="8" w:color="2C6937"/>
            </w:tcBorders>
          </w:tcPr>
          <w:p>
            <w:pPr>
              <w:jc w:val="right"/>
              <w:ind w:right="203"/>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185"/>
        </w:trPr>
        <w:tc>
          <w:tcPr>
            <w:tcW w:w="7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20" w:type="dxa"/>
            <w:vAlign w:val="bottom"/>
            <w:gridSpan w:val="4"/>
          </w:tcPr>
          <w:p>
            <w:pPr>
              <w:jc w:val="right"/>
              <w:ind w:right="1123"/>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209"/>
        </w:trPr>
        <w:tc>
          <w:tcPr>
            <w:tcW w:w="7540" w:type="dxa"/>
            <w:vAlign w:val="bottom"/>
            <w:gridSpan w:val="2"/>
          </w:tcPr>
          <w:p>
            <w:pPr>
              <w:ind w:left="20"/>
              <w:spacing w:after="0"/>
              <w:rPr>
                <w:sz w:val="20"/>
                <w:szCs w:val="20"/>
                <w:color w:val="auto"/>
              </w:rPr>
            </w:pPr>
            <w:r>
              <w:rPr>
                <w:rFonts w:ascii="Arial" w:cs="Arial" w:eastAsia="Arial" w:hAnsi="Arial"/>
                <w:sz w:val="15"/>
                <w:szCs w:val="15"/>
                <w:color w:val="auto"/>
              </w:rPr>
              <w:t>Total equity</w:t>
            </w:r>
          </w:p>
        </w:tc>
        <w:tc>
          <w:tcPr>
            <w:tcW w:w="180" w:type="dxa"/>
            <w:vAlign w:val="bottom"/>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1620" w:type="dxa"/>
            <w:vAlign w:val="bottom"/>
          </w:tcPr>
          <w:p>
            <w:pPr>
              <w:jc w:val="right"/>
              <w:spacing w:after="0"/>
              <w:rPr>
                <w:sz w:val="20"/>
                <w:szCs w:val="20"/>
                <w:color w:val="auto"/>
              </w:rPr>
            </w:pPr>
            <w:r>
              <w:rPr>
                <w:rFonts w:ascii="Arial" w:cs="Arial" w:eastAsia="Arial" w:hAnsi="Arial"/>
                <w:sz w:val="15"/>
                <w:szCs w:val="15"/>
                <w:b w:val="1"/>
                <w:bCs w:val="1"/>
                <w:color w:val="auto"/>
              </w:rPr>
              <w:t>90,530</w:t>
            </w:r>
          </w:p>
        </w:tc>
        <w:tc>
          <w:tcPr>
            <w:tcW w:w="100" w:type="dxa"/>
            <w:vAlign w:val="bottom"/>
          </w:tcPr>
          <w:p>
            <w:pPr>
              <w:spacing w:after="0"/>
              <w:rPr>
                <w:sz w:val="18"/>
                <w:szCs w:val="18"/>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spacing w:after="0"/>
              <w:rPr>
                <w:sz w:val="20"/>
                <w:szCs w:val="20"/>
                <w:color w:val="auto"/>
              </w:rPr>
            </w:pPr>
            <w:r>
              <w:rPr>
                <w:rFonts w:ascii="Arial" w:cs="Arial" w:eastAsia="Arial" w:hAnsi="Arial"/>
                <w:sz w:val="15"/>
                <w:szCs w:val="15"/>
                <w:color w:val="auto"/>
              </w:rPr>
              <w:t>77,682</w:t>
            </w:r>
          </w:p>
        </w:tc>
        <w:tc>
          <w:tcPr>
            <w:tcW w:w="0" w:type="dxa"/>
            <w:vAlign w:val="bottom"/>
          </w:tcPr>
          <w:p>
            <w:pPr>
              <w:spacing w:after="0"/>
              <w:rPr>
                <w:sz w:val="1"/>
                <w:szCs w:val="1"/>
                <w:color w:val="auto"/>
              </w:rPr>
            </w:pPr>
          </w:p>
        </w:tc>
      </w:tr>
      <w:tr>
        <w:trPr>
          <w:trHeight w:val="204"/>
        </w:trPr>
        <w:tc>
          <w:tcPr>
            <w:tcW w:w="7540" w:type="dxa"/>
            <w:vAlign w:val="bottom"/>
            <w:gridSpan w:val="2"/>
          </w:tcPr>
          <w:p>
            <w:pPr>
              <w:ind w:left="20"/>
              <w:spacing w:after="0"/>
              <w:rPr>
                <w:sz w:val="20"/>
                <w:szCs w:val="20"/>
                <w:color w:val="auto"/>
              </w:rPr>
            </w:pPr>
            <w:r>
              <w:rPr>
                <w:rFonts w:ascii="Arial" w:cs="Arial" w:eastAsia="Arial" w:hAnsi="Arial"/>
                <w:sz w:val="15"/>
                <w:szCs w:val="15"/>
                <w:color w:val="auto"/>
              </w:rPr>
              <w:t>Less:</w:t>
            </w: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540" w:type="dxa"/>
            <w:vAlign w:val="bottom"/>
            <w:gridSpan w:val="2"/>
          </w:tcPr>
          <w:p>
            <w:pPr>
              <w:ind w:left="340"/>
              <w:spacing w:after="0"/>
              <w:rPr>
                <w:sz w:val="20"/>
                <w:szCs w:val="20"/>
                <w:color w:val="auto"/>
              </w:rPr>
            </w:pPr>
            <w:r>
              <w:rPr>
                <w:rFonts w:ascii="Arial" w:cs="Arial" w:eastAsia="Arial" w:hAnsi="Arial"/>
                <w:sz w:val="15"/>
                <w:szCs w:val="15"/>
                <w:color w:val="auto"/>
              </w:rPr>
              <w:t>Senior preferred stock</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5"/>
                <w:szCs w:val="15"/>
                <w:b w:val="1"/>
                <w:bCs w:val="1"/>
                <w:color w:val="auto"/>
              </w:rPr>
              <w:t>120,836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120,836</w:t>
            </w:r>
          </w:p>
        </w:tc>
        <w:tc>
          <w:tcPr>
            <w:tcW w:w="0" w:type="dxa"/>
            <w:vAlign w:val="bottom"/>
          </w:tcPr>
          <w:p>
            <w:pPr>
              <w:spacing w:after="0"/>
              <w:rPr>
                <w:sz w:val="1"/>
                <w:szCs w:val="1"/>
                <w:color w:val="auto"/>
              </w:rPr>
            </w:pPr>
          </w:p>
        </w:tc>
      </w:tr>
      <w:tr>
        <w:trPr>
          <w:trHeight w:val="239"/>
        </w:trPr>
        <w:tc>
          <w:tcPr>
            <w:tcW w:w="7460" w:type="dxa"/>
            <w:vAlign w:val="bottom"/>
            <w:tcBorders>
              <w:bottom w:val="single" w:sz="8" w:color="2C6937"/>
            </w:tcBorders>
          </w:tcPr>
          <w:p>
            <w:pPr>
              <w:ind w:left="340"/>
              <w:spacing w:after="0"/>
              <w:rPr>
                <w:sz w:val="20"/>
                <w:szCs w:val="20"/>
                <w:color w:val="auto"/>
              </w:rPr>
            </w:pPr>
            <w:r>
              <w:rPr>
                <w:rFonts w:ascii="Arial" w:cs="Arial" w:eastAsia="Arial" w:hAnsi="Arial"/>
                <w:sz w:val="15"/>
                <w:szCs w:val="15"/>
                <w:color w:val="auto"/>
              </w:rPr>
              <w:t>Preferred stock</w:t>
            </w:r>
          </w:p>
        </w:tc>
        <w:tc>
          <w:tcPr>
            <w:tcW w:w="8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1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19,130</w:t>
            </w:r>
          </w:p>
        </w:tc>
        <w:tc>
          <w:tcPr>
            <w:tcW w:w="10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16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19,130</w:t>
            </w:r>
          </w:p>
        </w:tc>
        <w:tc>
          <w:tcPr>
            <w:tcW w:w="0" w:type="dxa"/>
            <w:vAlign w:val="bottom"/>
          </w:tcPr>
          <w:p>
            <w:pPr>
              <w:spacing w:after="0"/>
              <w:rPr>
                <w:sz w:val="1"/>
                <w:szCs w:val="1"/>
                <w:color w:val="auto"/>
              </w:rPr>
            </w:pPr>
          </w:p>
        </w:tc>
      </w:tr>
      <w:tr>
        <w:trPr>
          <w:trHeight w:val="199"/>
        </w:trPr>
        <w:tc>
          <w:tcPr>
            <w:tcW w:w="74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Common equity</w:t>
            </w:r>
          </w:p>
        </w:tc>
        <w:tc>
          <w:tcPr>
            <w:tcW w:w="8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1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(49,436)</w:t>
            </w: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6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(62,284)</w:t>
            </w:r>
          </w:p>
        </w:tc>
        <w:tc>
          <w:tcPr>
            <w:tcW w:w="0" w:type="dxa"/>
            <w:vAlign w:val="bottom"/>
          </w:tcPr>
          <w:p>
            <w:pPr>
              <w:spacing w:after="0"/>
              <w:rPr>
                <w:sz w:val="1"/>
                <w:szCs w:val="1"/>
                <w:color w:val="auto"/>
              </w:rPr>
            </w:pPr>
          </w:p>
        </w:tc>
      </w:tr>
      <w:tr>
        <w:trPr>
          <w:trHeight w:val="148"/>
        </w:trPr>
        <w:tc>
          <w:tcPr>
            <w:tcW w:w="7540" w:type="dxa"/>
            <w:vAlign w:val="bottom"/>
            <w:gridSpan w:val="2"/>
          </w:tcPr>
          <w:p>
            <w:pPr>
              <w:ind w:left="340"/>
              <w:spacing w:after="0" w:line="149" w:lineRule="exact"/>
              <w:rPr>
                <w:sz w:val="20"/>
                <w:szCs w:val="20"/>
                <w:color w:val="auto"/>
              </w:rPr>
            </w:pPr>
            <w:r>
              <w:rPr>
                <w:rFonts w:ascii="Arial" w:cs="Arial" w:eastAsia="Arial" w:hAnsi="Arial"/>
                <w:sz w:val="15"/>
                <w:szCs w:val="15"/>
                <w:color w:val="auto"/>
              </w:rPr>
              <w:t>Less: deferred tax assets arising from temporary differences that exceed 10% of common equity tier 1</w:t>
            </w:r>
          </w:p>
        </w:tc>
        <w:tc>
          <w:tcPr>
            <w:tcW w:w="180" w:type="dxa"/>
            <w:vAlign w:val="bottom"/>
          </w:tcPr>
          <w:p>
            <w:pPr>
              <w:spacing w:after="0"/>
              <w:rPr>
                <w:sz w:val="12"/>
                <w:szCs w:val="12"/>
                <w:color w:val="auto"/>
              </w:rPr>
            </w:pPr>
          </w:p>
        </w:tc>
        <w:tc>
          <w:tcPr>
            <w:tcW w:w="16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10,968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vMerge w:val="restart"/>
          </w:tcPr>
          <w:p>
            <w:pPr>
              <w:jc w:val="right"/>
              <w:spacing w:after="0"/>
              <w:rPr>
                <w:sz w:val="20"/>
                <w:szCs w:val="20"/>
                <w:color w:val="auto"/>
              </w:rPr>
            </w:pPr>
            <w:r>
              <w:rPr>
                <w:rFonts w:ascii="Arial" w:cs="Arial" w:eastAsia="Arial" w:hAnsi="Arial"/>
                <w:sz w:val="15"/>
                <w:szCs w:val="15"/>
                <w:color w:val="auto"/>
              </w:rPr>
              <w:t>11,681</w:t>
            </w:r>
          </w:p>
        </w:tc>
        <w:tc>
          <w:tcPr>
            <w:tcW w:w="0" w:type="dxa"/>
            <w:vAlign w:val="bottom"/>
          </w:tcPr>
          <w:p>
            <w:pPr>
              <w:spacing w:after="0"/>
              <w:rPr>
                <w:sz w:val="1"/>
                <w:szCs w:val="1"/>
                <w:color w:val="auto"/>
              </w:rPr>
            </w:pPr>
          </w:p>
        </w:tc>
      </w:tr>
      <w:tr>
        <w:trPr>
          <w:trHeight w:val="206"/>
        </w:trPr>
        <w:tc>
          <w:tcPr>
            <w:tcW w:w="7460" w:type="dxa"/>
            <w:vAlign w:val="bottom"/>
            <w:tcBorders>
              <w:bottom w:val="single" w:sz="8" w:color="2C6937"/>
            </w:tcBorders>
          </w:tcPr>
          <w:p>
            <w:pPr>
              <w:ind w:left="500"/>
              <w:spacing w:after="0"/>
              <w:rPr>
                <w:sz w:val="20"/>
                <w:szCs w:val="20"/>
                <w:color w:val="auto"/>
              </w:rPr>
            </w:pPr>
            <w:r>
              <w:rPr>
                <w:rFonts w:ascii="Arial" w:cs="Arial" w:eastAsia="Arial" w:hAnsi="Arial"/>
                <w:sz w:val="15"/>
                <w:szCs w:val="15"/>
                <w:color w:val="auto"/>
              </w:rPr>
              <w:t>capital and other regulatory adjustments</w:t>
            </w:r>
          </w:p>
        </w:tc>
        <w:tc>
          <w:tcPr>
            <w:tcW w:w="8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1620" w:type="dxa"/>
            <w:vAlign w:val="bottom"/>
            <w:tcBorders>
              <w:bottom w:val="single" w:sz="8" w:color="2C6937"/>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600" w:type="dxa"/>
            <w:vAlign w:val="bottom"/>
            <w:tcBorders>
              <w:bottom w:val="single" w:sz="8" w:color="2C6937"/>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4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Common equity tier 1 capital (deficit)</w:t>
            </w:r>
          </w:p>
        </w:tc>
        <w:tc>
          <w:tcPr>
            <w:tcW w:w="8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1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(60,404)</w:t>
            </w: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6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(73,965)</w:t>
            </w:r>
          </w:p>
        </w:tc>
        <w:tc>
          <w:tcPr>
            <w:tcW w:w="0" w:type="dxa"/>
            <w:vAlign w:val="bottom"/>
          </w:tcPr>
          <w:p>
            <w:pPr>
              <w:spacing w:after="0"/>
              <w:rPr>
                <w:sz w:val="1"/>
                <w:szCs w:val="1"/>
                <w:color w:val="auto"/>
              </w:rPr>
            </w:pPr>
          </w:p>
        </w:tc>
      </w:tr>
      <w:tr>
        <w:trPr>
          <w:trHeight w:val="199"/>
        </w:trPr>
        <w:tc>
          <w:tcPr>
            <w:tcW w:w="7460" w:type="dxa"/>
            <w:vAlign w:val="bottom"/>
            <w:tcBorders>
              <w:bottom w:val="single" w:sz="8" w:color="2C6937"/>
            </w:tcBorders>
          </w:tcPr>
          <w:p>
            <w:pPr>
              <w:ind w:left="340"/>
              <w:spacing w:after="0"/>
              <w:rPr>
                <w:sz w:val="20"/>
                <w:szCs w:val="20"/>
                <w:color w:val="auto"/>
              </w:rPr>
            </w:pPr>
            <w:r>
              <w:rPr>
                <w:rFonts w:ascii="Arial" w:cs="Arial" w:eastAsia="Arial" w:hAnsi="Arial"/>
                <w:sz w:val="15"/>
                <w:szCs w:val="15"/>
                <w:color w:val="auto"/>
              </w:rPr>
              <w:t>Add: perpetual, noncumulative preferred stock</w:t>
            </w:r>
          </w:p>
        </w:tc>
        <w:tc>
          <w:tcPr>
            <w:tcW w:w="8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1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19,130</w:t>
            </w: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6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19,130</w:t>
            </w:r>
          </w:p>
        </w:tc>
        <w:tc>
          <w:tcPr>
            <w:tcW w:w="0" w:type="dxa"/>
            <w:vAlign w:val="bottom"/>
          </w:tcPr>
          <w:p>
            <w:pPr>
              <w:spacing w:after="0"/>
              <w:rPr>
                <w:sz w:val="1"/>
                <w:szCs w:val="1"/>
                <w:color w:val="auto"/>
              </w:rPr>
            </w:pPr>
          </w:p>
        </w:tc>
      </w:tr>
      <w:tr>
        <w:trPr>
          <w:trHeight w:val="199"/>
        </w:trPr>
        <w:tc>
          <w:tcPr>
            <w:tcW w:w="74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Tier 1 capital (deficit)</w:t>
            </w:r>
          </w:p>
        </w:tc>
        <w:tc>
          <w:tcPr>
            <w:tcW w:w="8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1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(41,274)</w:t>
            </w: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6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(54,835)</w:t>
            </w:r>
          </w:p>
        </w:tc>
        <w:tc>
          <w:tcPr>
            <w:tcW w:w="0" w:type="dxa"/>
            <w:vAlign w:val="bottom"/>
          </w:tcPr>
          <w:p>
            <w:pPr>
              <w:spacing w:after="0"/>
              <w:rPr>
                <w:sz w:val="1"/>
                <w:szCs w:val="1"/>
                <w:color w:val="auto"/>
              </w:rPr>
            </w:pPr>
          </w:p>
        </w:tc>
      </w:tr>
      <w:tr>
        <w:trPr>
          <w:trHeight w:val="199"/>
        </w:trPr>
        <w:tc>
          <w:tcPr>
            <w:tcW w:w="74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Tier 2 capital adjustments</w:t>
            </w:r>
          </w:p>
        </w:tc>
        <w:tc>
          <w:tcPr>
            <w:tcW w:w="8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1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6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7540" w:type="dxa"/>
            <w:vAlign w:val="bottom"/>
            <w:gridSpan w:val="2"/>
          </w:tcPr>
          <w:p>
            <w:pPr>
              <w:ind w:left="20"/>
              <w:spacing w:after="0"/>
              <w:rPr>
                <w:sz w:val="20"/>
                <w:szCs w:val="20"/>
                <w:color w:val="auto"/>
              </w:rPr>
            </w:pPr>
            <w:r>
              <w:rPr>
                <w:rFonts w:ascii="Arial" w:cs="Arial" w:eastAsia="Arial" w:hAnsi="Arial"/>
                <w:sz w:val="15"/>
                <w:szCs w:val="15"/>
                <w:color w:val="auto"/>
              </w:rPr>
              <w:t>Adjusted total capital (deficit)</w:t>
            </w:r>
          </w:p>
        </w:tc>
        <w:tc>
          <w:tcPr>
            <w:tcW w:w="180" w:type="dxa"/>
            <w:vAlign w:val="bottom"/>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1620" w:type="dxa"/>
            <w:vAlign w:val="bottom"/>
          </w:tcPr>
          <w:p>
            <w:pPr>
              <w:jc w:val="right"/>
              <w:spacing w:after="0"/>
              <w:rPr>
                <w:sz w:val="20"/>
                <w:szCs w:val="20"/>
                <w:color w:val="auto"/>
              </w:rPr>
            </w:pPr>
            <w:r>
              <w:rPr>
                <w:rFonts w:ascii="Arial" w:cs="Arial" w:eastAsia="Arial" w:hAnsi="Arial"/>
                <w:sz w:val="15"/>
                <w:szCs w:val="15"/>
                <w:b w:val="1"/>
                <w:bCs w:val="1"/>
                <w:color w:val="auto"/>
              </w:rPr>
              <w:t>(41,274)</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spacing w:after="0"/>
              <w:rPr>
                <w:sz w:val="20"/>
                <w:szCs w:val="20"/>
                <w:color w:val="auto"/>
              </w:rPr>
            </w:pPr>
            <w:r>
              <w:rPr>
                <w:rFonts w:ascii="Arial" w:cs="Arial" w:eastAsia="Arial" w:hAnsi="Arial"/>
                <w:sz w:val="15"/>
                <w:szCs w:val="15"/>
                <w:color w:val="auto"/>
              </w:rPr>
              <w:t>(54,835)</w:t>
            </w:r>
          </w:p>
        </w:tc>
        <w:tc>
          <w:tcPr>
            <w:tcW w:w="0" w:type="dxa"/>
            <w:vAlign w:val="bottom"/>
          </w:tcPr>
          <w:p>
            <w:pPr>
              <w:spacing w:after="0"/>
              <w:rPr>
                <w:sz w:val="1"/>
                <w:szCs w:val="1"/>
                <w:color w:val="auto"/>
              </w:rPr>
            </w:pPr>
          </w:p>
        </w:tc>
      </w:tr>
      <w:tr>
        <w:trPr>
          <w:trHeight w:val="20"/>
        </w:trPr>
        <w:tc>
          <w:tcPr>
            <w:tcW w:w="746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16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60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certain components of our core capital.</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Statutory Capital Components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400" w:type="dxa"/>
            <w:vAlign w:val="bottom"/>
            <w:tcBorders>
              <w:top w:val="single" w:sz="8" w:color="2C6937"/>
            </w:tcBorders>
          </w:tcPr>
          <w:p>
            <w:pPr>
              <w:spacing w:after="0"/>
              <w:rPr>
                <w:sz w:val="17"/>
                <w:szCs w:val="17"/>
                <w:color w:val="auto"/>
              </w:rPr>
            </w:pPr>
          </w:p>
        </w:tc>
        <w:tc>
          <w:tcPr>
            <w:tcW w:w="100" w:type="dxa"/>
            <w:vAlign w:val="bottom"/>
            <w:tcBorders>
              <w:top w:val="single" w:sz="8" w:color="2C6937"/>
            </w:tcBorders>
          </w:tcPr>
          <w:p>
            <w:pPr>
              <w:spacing w:after="0"/>
              <w:rPr>
                <w:sz w:val="17"/>
                <w:szCs w:val="17"/>
                <w:color w:val="auto"/>
              </w:rPr>
            </w:pPr>
          </w:p>
        </w:tc>
        <w:tc>
          <w:tcPr>
            <w:tcW w:w="180" w:type="dxa"/>
            <w:vAlign w:val="bottom"/>
            <w:tcBorders>
              <w:top w:val="single" w:sz="8" w:color="2C6937"/>
              <w:bottom w:val="single" w:sz="8" w:color="2C6937"/>
            </w:tcBorders>
          </w:tcPr>
          <w:p>
            <w:pPr>
              <w:spacing w:after="0"/>
              <w:rPr>
                <w:sz w:val="17"/>
                <w:szCs w:val="17"/>
                <w:color w:val="auto"/>
              </w:rPr>
            </w:pPr>
          </w:p>
        </w:tc>
        <w:tc>
          <w:tcPr>
            <w:tcW w:w="1920" w:type="dxa"/>
            <w:vAlign w:val="bottom"/>
            <w:tcBorders>
              <w:top w:val="single" w:sz="8" w:color="2C6937"/>
              <w:bottom w:val="single" w:sz="8" w:color="2C6937"/>
            </w:tcBorders>
            <w:gridSpan w:val="3"/>
          </w:tcPr>
          <w:p>
            <w:pPr>
              <w:jc w:val="right"/>
              <w:ind w:right="3"/>
              <w:spacing w:after="0"/>
              <w:rPr>
                <w:sz w:val="20"/>
                <w:szCs w:val="20"/>
                <w:color w:val="auto"/>
              </w:rPr>
            </w:pPr>
            <w:r>
              <w:rPr>
                <w:rFonts w:ascii="Arial" w:cs="Arial" w:eastAsia="Arial" w:hAnsi="Arial"/>
                <w:sz w:val="14"/>
                <w:szCs w:val="14"/>
                <w:b w:val="1"/>
                <w:bCs w:val="1"/>
                <w:color w:val="auto"/>
              </w:rPr>
              <w:t>As of</w:t>
            </w:r>
          </w:p>
        </w:tc>
        <w:tc>
          <w:tcPr>
            <w:tcW w:w="1620" w:type="dxa"/>
            <w:vAlign w:val="bottom"/>
            <w:tcBorders>
              <w:top w:val="single" w:sz="8" w:color="2C6937"/>
              <w:bottom w:val="single" w:sz="8" w:color="2C6937"/>
            </w:tcBorders>
          </w:tcPr>
          <w:p>
            <w:pPr>
              <w:spacing w:after="0"/>
              <w:rPr>
                <w:sz w:val="17"/>
                <w:szCs w:val="17"/>
                <w:color w:val="auto"/>
              </w:rPr>
            </w:pPr>
          </w:p>
        </w:tc>
      </w:tr>
      <w:tr>
        <w:trPr>
          <w:trHeight w:val="186"/>
        </w:trPr>
        <w:tc>
          <w:tcPr>
            <w:tcW w:w="7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1720" w:type="dxa"/>
            <w:vAlign w:val="bottom"/>
            <w:tcBorders>
              <w:bottom w:val="single" w:sz="8" w:color="2C6937"/>
            </w:tcBorders>
            <w:gridSpan w:val="2"/>
          </w:tcPr>
          <w:p>
            <w:pPr>
              <w:ind w:left="80"/>
              <w:spacing w:after="0"/>
              <w:rPr>
                <w:sz w:val="20"/>
                <w:szCs w:val="20"/>
                <w:color w:val="auto"/>
              </w:rPr>
            </w:pPr>
            <w:r>
              <w:rPr>
                <w:rFonts w:ascii="Arial" w:cs="Arial" w:eastAsia="Arial" w:hAnsi="Arial"/>
                <w:sz w:val="14"/>
                <w:szCs w:val="14"/>
                <w:b w:val="1"/>
                <w:bCs w:val="1"/>
                <w:color w:val="auto"/>
              </w:rPr>
              <w:t>September 30, 2024</w:t>
            </w:r>
          </w:p>
        </w:tc>
        <w:tc>
          <w:tcPr>
            <w:tcW w:w="200" w:type="dxa"/>
            <w:vAlign w:val="bottom"/>
            <w:tcBorders>
              <w:bottom w:val="single" w:sz="8" w:color="2C6937"/>
            </w:tcBorders>
          </w:tcPr>
          <w:p>
            <w:pPr>
              <w:spacing w:after="0"/>
              <w:rPr>
                <w:sz w:val="16"/>
                <w:szCs w:val="16"/>
                <w:color w:val="auto"/>
              </w:rPr>
            </w:pPr>
          </w:p>
        </w:tc>
        <w:tc>
          <w:tcPr>
            <w:tcW w:w="1620" w:type="dxa"/>
            <w:vAlign w:val="bottom"/>
            <w:tcBorders>
              <w:bottom w:val="single" w:sz="8" w:color="2C6937"/>
            </w:tcBorders>
          </w:tcPr>
          <w:p>
            <w:pPr>
              <w:jc w:val="right"/>
              <w:ind w:right="224"/>
              <w:spacing w:after="0"/>
              <w:rPr>
                <w:sz w:val="20"/>
                <w:szCs w:val="20"/>
                <w:color w:val="auto"/>
              </w:rPr>
            </w:pPr>
            <w:r>
              <w:rPr>
                <w:rFonts w:ascii="Arial" w:cs="Arial" w:eastAsia="Arial" w:hAnsi="Arial"/>
                <w:sz w:val="14"/>
                <w:szCs w:val="14"/>
                <w:b w:val="1"/>
                <w:bCs w:val="1"/>
                <w:color w:val="auto"/>
              </w:rPr>
              <w:t>December 31, 2023</w:t>
            </w:r>
          </w:p>
        </w:tc>
      </w:tr>
      <w:tr>
        <w:trPr>
          <w:trHeight w:val="185"/>
        </w:trPr>
        <w:tc>
          <w:tcPr>
            <w:tcW w:w="7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40" w:type="dxa"/>
            <w:vAlign w:val="bottom"/>
            <w:gridSpan w:val="4"/>
          </w:tcPr>
          <w:p>
            <w:pPr>
              <w:jc w:val="right"/>
              <w:ind w:right="1144"/>
              <w:spacing w:after="0"/>
              <w:rPr>
                <w:sz w:val="20"/>
                <w:szCs w:val="20"/>
                <w:color w:val="auto"/>
              </w:rPr>
            </w:pPr>
            <w:r>
              <w:rPr>
                <w:rFonts w:ascii="Arial" w:cs="Arial" w:eastAsia="Arial" w:hAnsi="Arial"/>
                <w:sz w:val="14"/>
                <w:szCs w:val="14"/>
                <w:b w:val="1"/>
                <w:bCs w:val="1"/>
                <w:color w:val="auto"/>
              </w:rPr>
              <w:t>(Dollars in millions)</w:t>
            </w:r>
          </w:p>
        </w:tc>
      </w:tr>
      <w:tr>
        <w:trPr>
          <w:trHeight w:val="209"/>
        </w:trPr>
        <w:tc>
          <w:tcPr>
            <w:tcW w:w="7500" w:type="dxa"/>
            <w:vAlign w:val="bottom"/>
            <w:gridSpan w:val="2"/>
          </w:tcPr>
          <w:p>
            <w:pPr>
              <w:ind w:left="20"/>
              <w:spacing w:after="0"/>
              <w:rPr>
                <w:sz w:val="20"/>
                <w:szCs w:val="20"/>
                <w:color w:val="auto"/>
              </w:rPr>
            </w:pPr>
            <w:r>
              <w:rPr>
                <w:rFonts w:ascii="Arial" w:cs="Arial" w:eastAsia="Arial" w:hAnsi="Arial"/>
                <w:sz w:val="15"/>
                <w:szCs w:val="15"/>
                <w:color w:val="auto"/>
              </w:rPr>
              <w:t>Total equity</w:t>
            </w:r>
          </w:p>
        </w:tc>
        <w:tc>
          <w:tcPr>
            <w:tcW w:w="180" w:type="dxa"/>
            <w:vAlign w:val="bottom"/>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1640" w:type="dxa"/>
            <w:vAlign w:val="bottom"/>
          </w:tcPr>
          <w:p>
            <w:pPr>
              <w:jc w:val="right"/>
              <w:ind w:right="6"/>
              <w:spacing w:after="0"/>
              <w:rPr>
                <w:sz w:val="20"/>
                <w:szCs w:val="20"/>
                <w:color w:val="auto"/>
              </w:rPr>
            </w:pPr>
            <w:r>
              <w:rPr>
                <w:rFonts w:ascii="Arial" w:cs="Arial" w:eastAsia="Arial" w:hAnsi="Arial"/>
                <w:sz w:val="15"/>
                <w:szCs w:val="15"/>
                <w:b w:val="1"/>
                <w:bCs w:val="1"/>
                <w:color w:val="auto"/>
              </w:rPr>
              <w:t>90,530</w:t>
            </w:r>
          </w:p>
        </w:tc>
        <w:tc>
          <w:tcPr>
            <w:tcW w:w="80" w:type="dxa"/>
            <w:vAlign w:val="bottom"/>
          </w:tcPr>
          <w:p>
            <w:pPr>
              <w:spacing w:after="0"/>
              <w:rPr>
                <w:sz w:val="18"/>
                <w:szCs w:val="18"/>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620" w:type="dxa"/>
            <w:vAlign w:val="bottom"/>
          </w:tcPr>
          <w:p>
            <w:pPr>
              <w:jc w:val="right"/>
              <w:spacing w:after="0"/>
              <w:rPr>
                <w:sz w:val="20"/>
                <w:szCs w:val="20"/>
                <w:color w:val="auto"/>
              </w:rPr>
            </w:pPr>
            <w:r>
              <w:rPr>
                <w:rFonts w:ascii="Arial" w:cs="Arial" w:eastAsia="Arial" w:hAnsi="Arial"/>
                <w:sz w:val="15"/>
                <w:szCs w:val="15"/>
                <w:color w:val="auto"/>
              </w:rPr>
              <w:t>77,682</w:t>
            </w:r>
          </w:p>
        </w:tc>
      </w:tr>
      <w:tr>
        <w:trPr>
          <w:trHeight w:val="204"/>
        </w:trPr>
        <w:tc>
          <w:tcPr>
            <w:tcW w:w="7500" w:type="dxa"/>
            <w:vAlign w:val="bottom"/>
            <w:gridSpan w:val="2"/>
          </w:tcPr>
          <w:p>
            <w:pPr>
              <w:ind w:left="20"/>
              <w:spacing w:after="0"/>
              <w:rPr>
                <w:sz w:val="20"/>
                <w:szCs w:val="20"/>
                <w:color w:val="auto"/>
              </w:rPr>
            </w:pPr>
            <w:r>
              <w:rPr>
                <w:rFonts w:ascii="Arial" w:cs="Arial" w:eastAsia="Arial" w:hAnsi="Arial"/>
                <w:sz w:val="15"/>
                <w:szCs w:val="15"/>
                <w:color w:val="auto"/>
              </w:rPr>
              <w:t>Less:</w:t>
            </w: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14"/>
        </w:trPr>
        <w:tc>
          <w:tcPr>
            <w:tcW w:w="7500" w:type="dxa"/>
            <w:vAlign w:val="bottom"/>
            <w:gridSpan w:val="2"/>
          </w:tcPr>
          <w:p>
            <w:pPr>
              <w:ind w:left="340"/>
              <w:spacing w:after="0"/>
              <w:rPr>
                <w:sz w:val="20"/>
                <w:szCs w:val="20"/>
                <w:color w:val="auto"/>
              </w:rPr>
            </w:pPr>
            <w:r>
              <w:rPr>
                <w:rFonts w:ascii="Arial" w:cs="Arial" w:eastAsia="Arial" w:hAnsi="Arial"/>
                <w:sz w:val="15"/>
                <w:szCs w:val="15"/>
                <w:color w:val="auto"/>
              </w:rPr>
              <w:t>Senior preferred stock</w:t>
            </w:r>
          </w:p>
        </w:tc>
        <w:tc>
          <w:tcPr>
            <w:tcW w:w="180" w:type="dxa"/>
            <w:vAlign w:val="bottom"/>
          </w:tcPr>
          <w:p>
            <w:pPr>
              <w:spacing w:after="0"/>
              <w:rPr>
                <w:sz w:val="18"/>
                <w:szCs w:val="18"/>
                <w:color w:val="auto"/>
              </w:rPr>
            </w:pPr>
          </w:p>
        </w:tc>
        <w:tc>
          <w:tcPr>
            <w:tcW w:w="1640" w:type="dxa"/>
            <w:vAlign w:val="bottom"/>
          </w:tcPr>
          <w:p>
            <w:pPr>
              <w:jc w:val="right"/>
              <w:ind w:right="6"/>
              <w:spacing w:after="0"/>
              <w:rPr>
                <w:sz w:val="20"/>
                <w:szCs w:val="20"/>
                <w:color w:val="auto"/>
              </w:rPr>
            </w:pPr>
            <w:r>
              <w:rPr>
                <w:rFonts w:ascii="Arial" w:cs="Arial" w:eastAsia="Arial" w:hAnsi="Arial"/>
                <w:sz w:val="15"/>
                <w:szCs w:val="15"/>
                <w:b w:val="1"/>
                <w:bCs w:val="1"/>
                <w:color w:val="auto"/>
              </w:rPr>
              <w:t>120,836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120,836</w:t>
            </w:r>
          </w:p>
        </w:tc>
      </w:tr>
      <w:tr>
        <w:trPr>
          <w:trHeight w:val="251"/>
        </w:trPr>
        <w:tc>
          <w:tcPr>
            <w:tcW w:w="7400" w:type="dxa"/>
            <w:vAlign w:val="bottom"/>
            <w:tcBorders>
              <w:bottom w:val="single" w:sz="8" w:color="2C6937"/>
            </w:tcBorders>
          </w:tcPr>
          <w:p>
            <w:pPr>
              <w:ind w:left="340"/>
              <w:spacing w:after="0"/>
              <w:rPr>
                <w:sz w:val="20"/>
                <w:szCs w:val="20"/>
                <w:color w:val="auto"/>
              </w:rPr>
            </w:pPr>
            <w:r>
              <w:rPr>
                <w:rFonts w:ascii="Arial" w:cs="Arial" w:eastAsia="Arial" w:hAnsi="Arial"/>
                <w:sz w:val="15"/>
                <w:szCs w:val="15"/>
                <w:color w:val="auto"/>
              </w:rPr>
              <w:t>Accumulated other comprehensive income (loss), net of taxes</w:t>
            </w:r>
          </w:p>
        </w:tc>
        <w:tc>
          <w:tcPr>
            <w:tcW w:w="100" w:type="dxa"/>
            <w:vAlign w:val="bottom"/>
          </w:tcPr>
          <w:p>
            <w:pPr>
              <w:spacing w:after="0"/>
              <w:rPr>
                <w:sz w:val="21"/>
                <w:szCs w:val="21"/>
                <w:color w:val="auto"/>
              </w:rPr>
            </w:pPr>
          </w:p>
        </w:tc>
        <w:tc>
          <w:tcPr>
            <w:tcW w:w="180" w:type="dxa"/>
            <w:vAlign w:val="bottom"/>
            <w:tcBorders>
              <w:bottom w:val="single" w:sz="8" w:color="2C6937"/>
            </w:tcBorders>
          </w:tcPr>
          <w:p>
            <w:pPr>
              <w:spacing w:after="0"/>
              <w:rPr>
                <w:sz w:val="21"/>
                <w:szCs w:val="21"/>
                <w:color w:val="auto"/>
              </w:rPr>
            </w:pPr>
          </w:p>
        </w:tc>
        <w:tc>
          <w:tcPr>
            <w:tcW w:w="164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b w:val="1"/>
                <w:bCs w:val="1"/>
                <w:color w:val="auto"/>
              </w:rPr>
              <w:t>32</w:t>
            </w:r>
          </w:p>
        </w:tc>
        <w:tc>
          <w:tcPr>
            <w:tcW w:w="80" w:type="dxa"/>
            <w:vAlign w:val="bottom"/>
          </w:tcPr>
          <w:p>
            <w:pPr>
              <w:spacing w:after="0"/>
              <w:rPr>
                <w:sz w:val="21"/>
                <w:szCs w:val="21"/>
                <w:color w:val="auto"/>
              </w:rPr>
            </w:pPr>
          </w:p>
        </w:tc>
        <w:tc>
          <w:tcPr>
            <w:tcW w:w="200" w:type="dxa"/>
            <w:vAlign w:val="bottom"/>
            <w:tcBorders>
              <w:bottom w:val="single" w:sz="8" w:color="2C6937"/>
            </w:tcBorders>
          </w:tcPr>
          <w:p>
            <w:pPr>
              <w:spacing w:after="0"/>
              <w:rPr>
                <w:sz w:val="21"/>
                <w:szCs w:val="21"/>
                <w:color w:val="auto"/>
              </w:rPr>
            </w:pPr>
          </w:p>
        </w:tc>
        <w:tc>
          <w:tcPr>
            <w:tcW w:w="1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32</w:t>
            </w:r>
          </w:p>
        </w:tc>
      </w:tr>
      <w:tr>
        <w:trPr>
          <w:trHeight w:val="199"/>
        </w:trPr>
        <w:tc>
          <w:tcPr>
            <w:tcW w:w="74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Core capital (deficit)</w:t>
            </w:r>
          </w:p>
        </w:tc>
        <w:tc>
          <w:tcPr>
            <w:tcW w:w="100" w:type="dxa"/>
            <w:vAlign w:val="bottom"/>
          </w:tcPr>
          <w:p>
            <w:pPr>
              <w:spacing w:after="0"/>
              <w:rPr>
                <w:sz w:val="17"/>
                <w:szCs w:val="17"/>
                <w:color w:val="auto"/>
              </w:rPr>
            </w:pPr>
          </w:p>
        </w:tc>
        <w:tc>
          <w:tcPr>
            <w:tcW w:w="1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16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(30,338)</w:t>
            </w:r>
          </w:p>
        </w:tc>
        <w:tc>
          <w:tcPr>
            <w:tcW w:w="80" w:type="dxa"/>
            <w:vAlign w:val="bottom"/>
          </w:tcPr>
          <w:p>
            <w:pPr>
              <w:spacing w:after="0"/>
              <w:rPr>
                <w:sz w:val="17"/>
                <w:szCs w:val="17"/>
                <w:color w:val="auto"/>
              </w:rPr>
            </w:pPr>
          </w:p>
        </w:tc>
        <w:tc>
          <w:tcPr>
            <w:tcW w:w="200" w:type="dxa"/>
            <w:vAlign w:val="bottom"/>
            <w:tcBorders>
              <w:bottom w:val="single" w:sz="8" w:color="2C6937"/>
            </w:tcBorders>
          </w:tcPr>
          <w:p>
            <w:pPr>
              <w:jc w:val="right"/>
              <w:ind w:right="23"/>
              <w:spacing w:after="0"/>
              <w:rPr>
                <w:sz w:val="20"/>
                <w:szCs w:val="20"/>
                <w:color w:val="auto"/>
              </w:rPr>
            </w:pPr>
            <w:r>
              <w:rPr>
                <w:rFonts w:ascii="Arial" w:cs="Arial" w:eastAsia="Arial" w:hAnsi="Arial"/>
                <w:sz w:val="15"/>
                <w:szCs w:val="15"/>
                <w:color w:val="auto"/>
                <w:w w:val="95"/>
              </w:rPr>
              <w:t>$</w:t>
            </w:r>
          </w:p>
        </w:tc>
        <w:tc>
          <w:tcPr>
            <w:tcW w:w="1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(43,186)</w:t>
            </w:r>
          </w:p>
        </w:tc>
      </w:tr>
      <w:tr>
        <w:trPr>
          <w:trHeight w:val="20"/>
        </w:trPr>
        <w:tc>
          <w:tcPr>
            <w:tcW w:w="74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164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1620" w:type="dxa"/>
            <w:vAlign w:val="bottom"/>
            <w:tcBorders>
              <w:bottom w:val="single" w:sz="8" w:color="2C6937"/>
            </w:tcBorders>
          </w:tcPr>
          <w:p>
            <w:pPr>
              <w:spacing w:after="0" w:line="20" w:lineRule="exact"/>
              <w:rPr>
                <w:sz w:val="1"/>
                <w:szCs w:val="1"/>
                <w:color w:val="auto"/>
              </w:rPr>
            </w:pPr>
          </w:p>
        </w:tc>
      </w:tr>
      <w:tr>
        <w:trPr>
          <w:trHeight w:val="198"/>
        </w:trPr>
        <w:tc>
          <w:tcPr>
            <w:tcW w:w="7400" w:type="dxa"/>
            <w:vAlign w:val="bottom"/>
            <w:tcBorders>
              <w:bottom w:val="single" w:sz="8" w:color="2C6937"/>
            </w:tcBorders>
          </w:tcPr>
          <w:p>
            <w:pPr>
              <w:ind w:left="340"/>
              <w:spacing w:after="0"/>
              <w:rPr>
                <w:sz w:val="20"/>
                <w:szCs w:val="20"/>
                <w:color w:val="auto"/>
              </w:rPr>
            </w:pPr>
            <w:r>
              <w:rPr>
                <w:rFonts w:ascii="Arial" w:cs="Arial" w:eastAsia="Arial" w:hAnsi="Arial"/>
                <w:sz w:val="15"/>
                <w:szCs w:val="15"/>
                <w:color w:val="auto"/>
              </w:rPr>
              <w:t>Less: general allowance for foreclosure losses</w:t>
            </w:r>
          </w:p>
        </w:tc>
        <w:tc>
          <w:tcPr>
            <w:tcW w:w="10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16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(7,818)</w:t>
            </w:r>
          </w:p>
        </w:tc>
        <w:tc>
          <w:tcPr>
            <w:tcW w:w="8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(8,934)</w:t>
            </w:r>
          </w:p>
        </w:tc>
      </w:tr>
      <w:tr>
        <w:trPr>
          <w:trHeight w:val="199"/>
        </w:trPr>
        <w:tc>
          <w:tcPr>
            <w:tcW w:w="7500" w:type="dxa"/>
            <w:vAlign w:val="bottom"/>
            <w:gridSpan w:val="2"/>
          </w:tcPr>
          <w:p>
            <w:pPr>
              <w:ind w:left="20"/>
              <w:spacing w:after="0"/>
              <w:rPr>
                <w:sz w:val="20"/>
                <w:szCs w:val="20"/>
                <w:color w:val="auto"/>
              </w:rPr>
            </w:pPr>
            <w:r>
              <w:rPr>
                <w:rFonts w:ascii="Arial" w:cs="Arial" w:eastAsia="Arial" w:hAnsi="Arial"/>
                <w:sz w:val="15"/>
                <w:szCs w:val="15"/>
                <w:color w:val="auto"/>
              </w:rPr>
              <w:t>Total capital (deficit)</w:t>
            </w:r>
          </w:p>
        </w:tc>
        <w:tc>
          <w:tcPr>
            <w:tcW w:w="180" w:type="dxa"/>
            <w:vAlign w:val="bottom"/>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1640" w:type="dxa"/>
            <w:vAlign w:val="bottom"/>
          </w:tcPr>
          <w:p>
            <w:pPr>
              <w:jc w:val="right"/>
              <w:spacing w:after="0"/>
              <w:rPr>
                <w:sz w:val="20"/>
                <w:szCs w:val="20"/>
                <w:color w:val="auto"/>
              </w:rPr>
            </w:pPr>
            <w:r>
              <w:rPr>
                <w:rFonts w:ascii="Arial" w:cs="Arial" w:eastAsia="Arial" w:hAnsi="Arial"/>
                <w:sz w:val="15"/>
                <w:szCs w:val="15"/>
                <w:b w:val="1"/>
                <w:bCs w:val="1"/>
                <w:color w:val="auto"/>
              </w:rPr>
              <w:t>(22,520)</w:t>
            </w:r>
          </w:p>
        </w:tc>
        <w:tc>
          <w:tcPr>
            <w:tcW w:w="8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620" w:type="dxa"/>
            <w:vAlign w:val="bottom"/>
          </w:tcPr>
          <w:p>
            <w:pPr>
              <w:jc w:val="right"/>
              <w:spacing w:after="0"/>
              <w:rPr>
                <w:sz w:val="20"/>
                <w:szCs w:val="20"/>
                <w:color w:val="auto"/>
              </w:rPr>
            </w:pPr>
            <w:r>
              <w:rPr>
                <w:rFonts w:ascii="Arial" w:cs="Arial" w:eastAsia="Arial" w:hAnsi="Arial"/>
                <w:sz w:val="15"/>
                <w:szCs w:val="15"/>
                <w:color w:val="auto"/>
              </w:rPr>
              <w:t>(34,252)</w:t>
            </w:r>
          </w:p>
        </w:tc>
      </w:tr>
      <w:tr>
        <w:trPr>
          <w:trHeight w:val="20"/>
        </w:trPr>
        <w:tc>
          <w:tcPr>
            <w:tcW w:w="74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16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620" w:type="dxa"/>
            <w:vAlign w:val="bottom"/>
            <w:tcBorders>
              <w:top w:val="single" w:sz="8" w:color="2C6937"/>
              <w:bottom w:val="single" w:sz="8" w:color="2C6937"/>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Capital Activity</w:t>
      </w:r>
    </w:p>
    <w:p>
      <w:pPr>
        <w:spacing w:after="0" w:line="80" w:lineRule="exact"/>
        <w:rPr>
          <w:sz w:val="20"/>
          <w:szCs w:val="20"/>
          <w:color w:val="auto"/>
        </w:rPr>
      </w:pPr>
    </w:p>
    <w:p>
      <w:pPr>
        <w:ind w:right="360"/>
        <w:spacing w:after="0" w:line="293" w:lineRule="auto"/>
        <w:rPr>
          <w:sz w:val="20"/>
          <w:szCs w:val="20"/>
          <w:color w:val="auto"/>
        </w:rPr>
      </w:pPr>
      <w:r>
        <w:rPr>
          <w:rFonts w:ascii="Arial" w:cs="Arial" w:eastAsia="Arial" w:hAnsi="Arial"/>
          <w:sz w:val="16"/>
          <w:szCs w:val="16"/>
          <w:color w:val="auto"/>
        </w:rPr>
        <w:t>Under the terms governing the senior preferred stock, no dividends were payable to Treasury for the third quarter of 2024 and none are payable for the fourth quarter of 2024.</w:t>
      </w:r>
    </w:p>
    <w:p>
      <w:pPr>
        <w:spacing w:after="0" w:line="15"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Under the terms governing the senior preferred stock, through and including the capital reserve end date, any increase in our net worth during a fiscal quarter results in an increase of the same amount in the aggregate liquidation preference of the senior preferred stock in the following quarter. The capital reserve end date is defined as the last day of the second consecutive fiscal quarter during which we have had and maintained capital equal to, or in excess of, all of the capital requirements and buffers under the enterprise regulatory capital framework.</w:t>
      </w:r>
    </w:p>
    <w:p>
      <w:pPr>
        <w:spacing w:after="0" w:line="59"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As a result of these terms governing the senior preferred stock, the aggregate liquidation preference of the senior preferred stock increased to $208.0 billion as of September 30, 2024 from $203.5 billion as of June 30, 2024, due to the $4.5 billion increase in our net worth in the second quarter of 2024. The aggregate liquidation preference of the senior preferred stock will further increase to $212.0 billion as of December 31, 2024, due to the $4.0 billion increase in our net worth in the third quarter of 2024. See “Business—Conservatorship and Treasury Agreements—Treasury Agreements” in our 2023 Form 10-K for more information on the terms of our senior preferred stock, including how the aggregate liquidation preference is determined.</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2024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54</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60" w:type="dxa"/>
            <w:vAlign w:val="bottom"/>
            <w:tcBorders>
              <w:bottom w:val="single" w:sz="8" w:color="9A9A9A"/>
            </w:tcBorders>
          </w:tcPr>
          <w:p>
            <w:pPr>
              <w:spacing w:after="0"/>
              <w:rPr>
                <w:sz w:val="17"/>
                <w:szCs w:val="17"/>
                <w:color w:val="auto"/>
              </w:rPr>
            </w:pPr>
          </w:p>
        </w:tc>
        <w:tc>
          <w:tcPr>
            <w:tcW w:w="42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57" w:name="page58"/>
    <w:bookmarkEnd w:id="57"/>
    <w:p>
      <w:pPr>
        <w:ind w:left="854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Increases in our net worth improve our capital position and our ability to absorb losses; however, increases in our net worth also increase the aggregate liquidation preference of the senior preferred stock by the same amount until the capital reserve end date as discussed above.</w:t>
      </w:r>
    </w:p>
    <w:p>
      <w:pPr>
        <w:spacing w:after="0" w:line="54"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Treasury Funding Commitment</w:t>
      </w:r>
    </w:p>
    <w:p>
      <w:pPr>
        <w:spacing w:after="0" w:line="80" w:lineRule="exact"/>
        <w:rPr>
          <w:sz w:val="20"/>
          <w:szCs w:val="20"/>
          <w:color w:val="auto"/>
        </w:rPr>
      </w:pPr>
    </w:p>
    <w:p>
      <w:pPr>
        <w:jc w:val="both"/>
        <w:ind w:right="160"/>
        <w:spacing w:after="0" w:line="271" w:lineRule="auto"/>
        <w:rPr>
          <w:sz w:val="20"/>
          <w:szCs w:val="20"/>
          <w:color w:val="auto"/>
        </w:rPr>
      </w:pPr>
      <w:r>
        <w:rPr>
          <w:rFonts w:ascii="Arial" w:cs="Arial" w:eastAsia="Arial" w:hAnsi="Arial"/>
          <w:sz w:val="16"/>
          <w:szCs w:val="16"/>
          <w:color w:val="auto"/>
        </w:rPr>
        <w:t>Treasury made a commitment under the senior preferred stock purchase agreement to provide funding to us under certain circumstances if we have a net worth deficit. As of September 30, 2024, the remaining amount of Treasury’s funding commitment to us was $113.9 billion. See “Note 2, Conservatorship, Senior Preferred Stock Purchase Agreement and Related Matters” in our 2023 Form 10-K for more information on Treasury’s funding commitment under the senior preferred stock purchase agreement.</w:t>
      </w:r>
    </w:p>
    <w:p>
      <w:pPr>
        <w:spacing w:after="0" w:line="130"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Our business activities expose us to the following major categories of risk: credit risk (including mortgage credit risk and institutional counterparty credit risk), market risk (including interest-rate risk), liquidity and funding risk, operational risk (including cyber/information security risk and third-party risk) and model risk, as well as strategic risk, compliance risk and reputational risk. We are also exposed to climate risk, which we view as a cross-cutting risk that can impact a variety of our existing risk categories, particularly credit risk. See “MD&amp;A—Risk Management” in our 2023 Form 10-K for a discussion of our management of these risks. This section supplements and updates that discussion but does not address all of the risk management categories described in our 2023 Form 10-K.</w:t>
      </w:r>
    </w:p>
    <w:p>
      <w:pPr>
        <w:spacing w:after="0" w:line="87"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Institutional Counterparty Credit Risk Management</w:t>
      </w:r>
    </w:p>
    <w:p>
      <w:pPr>
        <w:spacing w:after="0" w:line="10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Mortgage Insurers</w:t>
      </w:r>
    </w:p>
    <w:p>
      <w:pPr>
        <w:spacing w:after="0" w:line="80"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In August 2024, FHFA announced that Fannie Mae and Freddie Mac are issuing updates to the Private Mortgage Insurer Eligibility Requirements (“PMIERs”), which are the financial and operational standards that private mortgage insurance companies must meet to provide insurance on the mortgage loans that we and Freddie Mac acquire. The updated standards primarily are designed to address the risk management associated with the quality of a mortgage insurer’s investment portfolio and the potential for that portfolio to lose value. FHFA stated that the updated standards will improve Fannie Mae and Freddie Mac’s counterparty risk management and better prepare them to withstand a future stress situation while fulfilling their mission to serve as a reliable source of liquidity for equitable and sustainable housing finance throughout the economic cycle. The updated standards will be implemented through a 24-month phased-in approach, with a fully effective date of September 30, 2026.</w:t>
      </w:r>
    </w:p>
    <w:p>
      <w:pPr>
        <w:spacing w:after="0" w:line="90"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Market Risk Management, including Interest-Rate Risk Management</w:t>
      </w:r>
    </w:p>
    <w:p>
      <w:pPr>
        <w:spacing w:after="0" w:line="63"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We are subject to market risk, which includes interest-rate risk and spread risk. These risks arise primarily from our mortgage asset investments. Interest-rate risk is the risk that movements in interest rates will adversely affect the value of our assets or liabilities or our future earnings or capital. Spread risk is the risk from changes in an instrument’s value that relate to factors other than changes in interest rates. We do not currently actively manage or hedge, on an economic basis, our spread risk, or the interest-rate risk arising from cost basis adjustments and float income associated with mortgage assets held by our consolidated MBS trusts. See “MD&amp;A—Risk Management—Market Risk Management, including Interest-Rate Risk Management” and “Risk Factors— Market and Industry Risk” in our 2023 Form 10-K for additional information, including our sources of interest-rate risk exposure, business risks posed by changes in interest rates, and our strategy for managing interest-rate risk. For additional information on the impact of interest-rate risk on our earnings, see “Earnings Exposure to Interest-Rate Risk” below.</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2024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55</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60" w:type="dxa"/>
            <w:vAlign w:val="bottom"/>
            <w:tcBorders>
              <w:bottom w:val="single" w:sz="8" w:color="9A9A9A"/>
            </w:tcBorders>
          </w:tcPr>
          <w:p>
            <w:pPr>
              <w:spacing w:after="0"/>
              <w:rPr>
                <w:sz w:val="17"/>
                <w:szCs w:val="17"/>
                <w:color w:val="auto"/>
              </w:rPr>
            </w:pPr>
          </w:p>
        </w:tc>
        <w:tc>
          <w:tcPr>
            <w:tcW w:w="42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58" w:name="page59"/>
    <w:bookmarkEnd w:id="58"/>
    <w:p>
      <w:pPr>
        <w:ind w:left="5220"/>
        <w:spacing w:after="0"/>
        <w:rPr>
          <w:sz w:val="20"/>
          <w:szCs w:val="20"/>
          <w:color w:val="auto"/>
        </w:rPr>
      </w:pPr>
      <w:r>
        <w:rPr>
          <w:rFonts w:ascii="Arial" w:cs="Arial" w:eastAsia="Arial" w:hAnsi="Arial"/>
          <w:sz w:val="14"/>
          <w:szCs w:val="14"/>
          <w:color w:val="05314D"/>
        </w:rPr>
        <w:t>MD&amp;A | Risk Management | Market Risk Management, including Interest-Rate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Measurement of Interest-Rate Risk</w:t>
      </w:r>
    </w:p>
    <w:p>
      <w:pPr>
        <w:spacing w:after="0" w:line="80"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The table below displays the pre-tax market value sensitivity of our net portfolio to changes in the level of interest rates and the slope of the applicable yield curve as measured on the last day of each period presented. We collectively define our net portfolio as: our retained mortgage portfolio assets; our corporate liquidity portfolio; outstanding debt of Fannie Mae used to fund the retained mortgage portfolio assets and corporate liquidity portfolio; mortgage commitments; and risk management derivatives. The table below also provides the daily average, minimum, maximum and standard deviation values for duration gap and for the most adverse market value impact on the net portfolio to changes in the level of interest rates and the slope of the applicable yield curve for the three months ended September 30, 2024 and 2023. Our practice is to allow interest rates to go below zero in the downward shock models unless otherwise prevented through contractual floors.</w:t>
      </w:r>
    </w:p>
    <w:p>
      <w:pPr>
        <w:spacing w:after="0" w:line="43" w:lineRule="exact"/>
        <w:rPr>
          <w:sz w:val="20"/>
          <w:szCs w:val="20"/>
          <w:color w:val="auto"/>
        </w:rPr>
      </w:pPr>
    </w:p>
    <w:p>
      <w:pPr>
        <w:ind w:right="620"/>
        <w:spacing w:after="0" w:line="293" w:lineRule="auto"/>
        <w:rPr>
          <w:sz w:val="20"/>
          <w:szCs w:val="20"/>
          <w:color w:val="auto"/>
        </w:rPr>
      </w:pPr>
      <w:r>
        <w:rPr>
          <w:rFonts w:ascii="Arial" w:cs="Arial" w:eastAsia="Arial" w:hAnsi="Arial"/>
          <w:sz w:val="16"/>
          <w:szCs w:val="16"/>
          <w:color w:val="auto"/>
        </w:rPr>
        <w:t>For information on how we measure our interest-rate risk, see “MD&amp;A—Risk Management—Market Risk Management, including Interest-Rate Risk Management” in our 2023 Form 10-K.</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Interest-Rate Sensitivity of Net Portfolio to Changes in Interest-Rate Level and Slope of Yield Curve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960" w:type="dxa"/>
            <w:vAlign w:val="bottom"/>
            <w:tcBorders>
              <w:top w:val="single" w:sz="8" w:color="2C6937"/>
            </w:tcBorders>
          </w:tcPr>
          <w:p>
            <w:pPr>
              <w:spacing w:after="0"/>
              <w:rPr>
                <w:sz w:val="19"/>
                <w:szCs w:val="19"/>
                <w:color w:val="auto"/>
              </w:rPr>
            </w:pPr>
          </w:p>
        </w:tc>
        <w:tc>
          <w:tcPr>
            <w:tcW w:w="1100" w:type="dxa"/>
            <w:vAlign w:val="bottom"/>
            <w:tcBorders>
              <w:top w:val="single" w:sz="8" w:color="2C6937"/>
            </w:tcBorders>
          </w:tcPr>
          <w:p>
            <w:pPr>
              <w:spacing w:after="0"/>
              <w:rPr>
                <w:sz w:val="19"/>
                <w:szCs w:val="19"/>
                <w:color w:val="auto"/>
              </w:rPr>
            </w:pPr>
          </w:p>
        </w:tc>
        <w:tc>
          <w:tcPr>
            <w:tcW w:w="100" w:type="dxa"/>
            <w:vAlign w:val="bottom"/>
            <w:tcBorders>
              <w:top w:val="single" w:sz="8" w:color="2C6937"/>
            </w:tcBorders>
          </w:tcPr>
          <w:p>
            <w:pPr>
              <w:spacing w:after="0"/>
              <w:rPr>
                <w:sz w:val="19"/>
                <w:szCs w:val="19"/>
                <w:color w:val="auto"/>
              </w:rPr>
            </w:pPr>
          </w:p>
        </w:tc>
        <w:tc>
          <w:tcPr>
            <w:tcW w:w="460" w:type="dxa"/>
            <w:vAlign w:val="bottom"/>
            <w:tcBorders>
              <w:top w:val="single" w:sz="8" w:color="2C6937"/>
            </w:tcBorders>
          </w:tcPr>
          <w:p>
            <w:pPr>
              <w:spacing w:after="0"/>
              <w:rPr>
                <w:sz w:val="19"/>
                <w:szCs w:val="19"/>
                <w:color w:val="auto"/>
              </w:rPr>
            </w:pPr>
          </w:p>
        </w:tc>
        <w:tc>
          <w:tcPr>
            <w:tcW w:w="880" w:type="dxa"/>
            <w:vAlign w:val="bottom"/>
            <w:tcBorders>
              <w:top w:val="single" w:sz="8" w:color="2C6937"/>
            </w:tcBorders>
          </w:tcPr>
          <w:p>
            <w:pPr>
              <w:spacing w:after="0"/>
              <w:rPr>
                <w:sz w:val="19"/>
                <w:szCs w:val="19"/>
                <w:color w:val="auto"/>
              </w:rPr>
            </w:pPr>
          </w:p>
        </w:tc>
        <w:tc>
          <w:tcPr>
            <w:tcW w:w="900" w:type="dxa"/>
            <w:vAlign w:val="bottom"/>
            <w:tcBorders>
              <w:top w:val="single" w:sz="8" w:color="2C6937"/>
            </w:tcBorders>
          </w:tcPr>
          <w:p>
            <w:pPr>
              <w:spacing w:after="0"/>
              <w:rPr>
                <w:sz w:val="19"/>
                <w:szCs w:val="19"/>
                <w:color w:val="auto"/>
              </w:rPr>
            </w:pPr>
          </w:p>
        </w:tc>
        <w:tc>
          <w:tcPr>
            <w:tcW w:w="640" w:type="dxa"/>
            <w:vAlign w:val="bottom"/>
            <w:tcBorders>
              <w:top w:val="single" w:sz="8" w:color="2C6937"/>
            </w:tcBorders>
          </w:tcPr>
          <w:p>
            <w:pPr>
              <w:spacing w:after="0"/>
              <w:rPr>
                <w:sz w:val="19"/>
                <w:szCs w:val="19"/>
                <w:color w:val="auto"/>
              </w:rPr>
            </w:pPr>
          </w:p>
        </w:tc>
        <w:tc>
          <w:tcPr>
            <w:tcW w:w="140" w:type="dxa"/>
            <w:vAlign w:val="bottom"/>
            <w:tcBorders>
              <w:top w:val="single" w:sz="8" w:color="2C6937"/>
            </w:tcBorders>
          </w:tcPr>
          <w:p>
            <w:pPr>
              <w:spacing w:after="0"/>
              <w:rPr>
                <w:sz w:val="19"/>
                <w:szCs w:val="19"/>
                <w:color w:val="auto"/>
              </w:rPr>
            </w:pPr>
          </w:p>
        </w:tc>
        <w:tc>
          <w:tcPr>
            <w:tcW w:w="180" w:type="dxa"/>
            <w:vAlign w:val="bottom"/>
            <w:tcBorders>
              <w:top w:val="single" w:sz="8" w:color="2C6937"/>
            </w:tcBorders>
          </w:tcPr>
          <w:p>
            <w:pPr>
              <w:spacing w:after="0"/>
              <w:rPr>
                <w:sz w:val="19"/>
                <w:szCs w:val="19"/>
                <w:color w:val="auto"/>
              </w:rPr>
            </w:pPr>
          </w:p>
        </w:tc>
        <w:tc>
          <w:tcPr>
            <w:tcW w:w="940" w:type="dxa"/>
            <w:vAlign w:val="bottom"/>
            <w:tcBorders>
              <w:top w:val="single" w:sz="8" w:color="2C6937"/>
              <w:bottom w:val="single" w:sz="8" w:color="2C6937"/>
            </w:tcBorders>
          </w:tcPr>
          <w:p>
            <w:pPr>
              <w:spacing w:after="0"/>
              <w:rPr>
                <w:sz w:val="19"/>
                <w:szCs w:val="19"/>
                <w:color w:val="auto"/>
              </w:rPr>
            </w:pPr>
          </w:p>
        </w:tc>
        <w:tc>
          <w:tcPr>
            <w:tcW w:w="100" w:type="dxa"/>
            <w:vAlign w:val="bottom"/>
            <w:tcBorders>
              <w:top w:val="single" w:sz="8" w:color="2C6937"/>
              <w:bottom w:val="single" w:sz="8" w:color="2C6937"/>
            </w:tcBorders>
          </w:tcPr>
          <w:p>
            <w:pPr>
              <w:spacing w:after="0"/>
              <w:rPr>
                <w:sz w:val="19"/>
                <w:szCs w:val="19"/>
                <w:color w:val="auto"/>
              </w:rPr>
            </w:pPr>
          </w:p>
        </w:tc>
        <w:tc>
          <w:tcPr>
            <w:tcW w:w="460" w:type="dxa"/>
            <w:vAlign w:val="bottom"/>
            <w:tcBorders>
              <w:top w:val="single" w:sz="8" w:color="2C6937"/>
              <w:bottom w:val="single" w:sz="8" w:color="2C6937"/>
            </w:tcBorders>
          </w:tcPr>
          <w:p>
            <w:pPr>
              <w:spacing w:after="0"/>
              <w:rPr>
                <w:sz w:val="19"/>
                <w:szCs w:val="19"/>
                <w:color w:val="auto"/>
              </w:rPr>
            </w:pPr>
          </w:p>
        </w:tc>
        <w:tc>
          <w:tcPr>
            <w:tcW w:w="820" w:type="dxa"/>
            <w:vAlign w:val="bottom"/>
            <w:tcBorders>
              <w:top w:val="single" w:sz="8" w:color="2C6937"/>
              <w:bottom w:val="single" w:sz="8" w:color="2C6937"/>
            </w:tcBorders>
          </w:tcPr>
          <w:p>
            <w:pPr>
              <w:jc w:val="center"/>
              <w:spacing w:after="0" w:line="218" w:lineRule="exact"/>
              <w:rPr>
                <w:sz w:val="20"/>
                <w:szCs w:val="20"/>
                <w:color w:val="auto"/>
              </w:rPr>
            </w:pPr>
            <w:r>
              <w:rPr>
                <w:rFonts w:ascii="Arial" w:cs="Arial" w:eastAsia="Arial" w:hAnsi="Arial"/>
                <w:sz w:val="25"/>
                <w:szCs w:val="25"/>
                <w:b w:val="1"/>
                <w:bCs w:val="1"/>
                <w:color w:val="auto"/>
                <w:w w:val="87"/>
                <w:vertAlign w:val="subscript"/>
              </w:rPr>
              <w:t>As of</w:t>
            </w:r>
            <w:r>
              <w:rPr>
                <w:rFonts w:ascii="Arial" w:cs="Arial" w:eastAsia="Arial" w:hAnsi="Arial"/>
                <w:sz w:val="9"/>
                <w:szCs w:val="9"/>
                <w:b w:val="1"/>
                <w:bCs w:val="1"/>
                <w:color w:val="auto"/>
                <w:w w:val="87"/>
              </w:rPr>
              <w:t>(1)(2)</w:t>
            </w:r>
          </w:p>
        </w:tc>
        <w:tc>
          <w:tcPr>
            <w:tcW w:w="700" w:type="dxa"/>
            <w:vAlign w:val="bottom"/>
            <w:tcBorders>
              <w:top w:val="single" w:sz="8" w:color="2C6937"/>
              <w:bottom w:val="single" w:sz="8" w:color="2C6937"/>
            </w:tcBorders>
          </w:tcPr>
          <w:p>
            <w:pPr>
              <w:spacing w:after="0"/>
              <w:rPr>
                <w:sz w:val="19"/>
                <w:szCs w:val="19"/>
                <w:color w:val="auto"/>
              </w:rPr>
            </w:pPr>
          </w:p>
        </w:tc>
        <w:tc>
          <w:tcPr>
            <w:tcW w:w="860" w:type="dxa"/>
            <w:vAlign w:val="bottom"/>
            <w:tcBorders>
              <w:top w:val="single" w:sz="8" w:color="2C6937"/>
              <w:bottom w:val="single" w:sz="8" w:color="2C6937"/>
            </w:tcBorders>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20" w:type="dxa"/>
            <w:vAlign w:val="bottom"/>
            <w:tcBorders>
              <w:bottom w:val="single" w:sz="8" w:color="2C6937"/>
            </w:tcBorders>
            <w:gridSpan w:val="4"/>
          </w:tcPr>
          <w:p>
            <w:pPr>
              <w:jc w:val="right"/>
              <w:ind w:right="670"/>
              <w:spacing w:after="0"/>
              <w:rPr>
                <w:sz w:val="20"/>
                <w:szCs w:val="20"/>
                <w:color w:val="auto"/>
              </w:rPr>
            </w:pPr>
            <w:r>
              <w:rPr>
                <w:rFonts w:ascii="Arial" w:cs="Arial" w:eastAsia="Arial" w:hAnsi="Arial"/>
                <w:sz w:val="14"/>
                <w:szCs w:val="14"/>
                <w:b w:val="1"/>
                <w:bCs w:val="1"/>
                <w:color w:val="auto"/>
              </w:rPr>
              <w:t>September 30, 2024</w:t>
            </w:r>
          </w:p>
        </w:tc>
        <w:tc>
          <w:tcPr>
            <w:tcW w:w="1560" w:type="dxa"/>
            <w:vAlign w:val="bottom"/>
            <w:tcBorders>
              <w:bottom w:val="single" w:sz="8" w:color="2C6937"/>
            </w:tcBorders>
            <w:gridSpan w:val="2"/>
          </w:tcPr>
          <w:p>
            <w:pPr>
              <w:jc w:val="right"/>
              <w:ind w:right="243"/>
              <w:spacing w:after="0"/>
              <w:rPr>
                <w:sz w:val="20"/>
                <w:szCs w:val="20"/>
                <w:color w:val="auto"/>
              </w:rPr>
            </w:pPr>
            <w:r>
              <w:rPr>
                <w:rFonts w:ascii="Arial" w:cs="Arial" w:eastAsia="Arial" w:hAnsi="Arial"/>
                <w:sz w:val="14"/>
                <w:szCs w:val="14"/>
                <w:b w:val="1"/>
                <w:bCs w:val="1"/>
                <w:color w:val="auto"/>
                <w:w w:val="96"/>
              </w:rPr>
              <w:t>December 31, 2023</w:t>
            </w:r>
          </w:p>
        </w:tc>
        <w:tc>
          <w:tcPr>
            <w:tcW w:w="0" w:type="dxa"/>
            <w:vAlign w:val="bottom"/>
          </w:tcPr>
          <w:p>
            <w:pPr>
              <w:spacing w:after="0"/>
              <w:rPr>
                <w:sz w:val="1"/>
                <w:szCs w:val="1"/>
                <w:color w:val="auto"/>
              </w:rPr>
            </w:pPr>
          </w:p>
        </w:tc>
      </w:tr>
      <w:tr>
        <w:trPr>
          <w:trHeight w:val="185"/>
        </w:trPr>
        <w:tc>
          <w:tcPr>
            <w:tcW w:w="2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gridSpan w:val="3"/>
          </w:tcPr>
          <w:p>
            <w:pPr>
              <w:jc w:val="center"/>
              <w:ind w:right="107"/>
              <w:spacing w:after="0"/>
              <w:rPr>
                <w:sz w:val="20"/>
                <w:szCs w:val="20"/>
                <w:color w:val="auto"/>
              </w:rPr>
            </w:pPr>
            <w:r>
              <w:rPr>
                <w:rFonts w:ascii="Arial" w:cs="Arial" w:eastAsia="Arial" w:hAnsi="Arial"/>
                <w:sz w:val="14"/>
                <w:szCs w:val="14"/>
                <w:b w:val="1"/>
                <w:bCs w:val="1"/>
                <w:color w:val="auto"/>
                <w:w w:val="98"/>
              </w:rPr>
              <w:t>(Dollars in millions)</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9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Rate level shock:</w:t>
            </w:r>
          </w:p>
        </w:tc>
        <w:tc>
          <w:tcPr>
            <w:tcW w:w="110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46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spacing w:after="0"/>
              <w:rPr>
                <w:sz w:val="17"/>
                <w:szCs w:val="17"/>
                <w:color w:val="auto"/>
              </w:rPr>
            </w:pPr>
          </w:p>
        </w:tc>
        <w:tc>
          <w:tcPr>
            <w:tcW w:w="900" w:type="dxa"/>
            <w:vAlign w:val="bottom"/>
            <w:tcBorders>
              <w:bottom w:val="single" w:sz="8" w:color="2C6937"/>
            </w:tcBorders>
          </w:tcPr>
          <w:p>
            <w:pPr>
              <w:spacing w:after="0"/>
              <w:rPr>
                <w:sz w:val="17"/>
                <w:szCs w:val="17"/>
                <w:color w:val="auto"/>
              </w:rPr>
            </w:pPr>
          </w:p>
        </w:tc>
        <w:tc>
          <w:tcPr>
            <w:tcW w:w="64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960" w:type="dxa"/>
            <w:vAlign w:val="bottom"/>
          </w:tcPr>
          <w:p>
            <w:pPr>
              <w:ind w:left="180"/>
              <w:spacing w:after="0"/>
              <w:rPr>
                <w:sz w:val="20"/>
                <w:szCs w:val="20"/>
                <w:color w:val="auto"/>
              </w:rPr>
            </w:pPr>
            <w:r>
              <w:rPr>
                <w:rFonts w:ascii="Arial" w:cs="Arial" w:eastAsia="Arial" w:hAnsi="Arial"/>
                <w:sz w:val="15"/>
                <w:szCs w:val="15"/>
                <w:color w:val="auto"/>
              </w:rPr>
              <w:t>-100 basis points</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308"/>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7"/>
                <w:szCs w:val="17"/>
                <w:color w:val="auto"/>
              </w:rPr>
            </w:pPr>
          </w:p>
        </w:tc>
        <w:tc>
          <w:tcPr>
            <w:tcW w:w="460" w:type="dxa"/>
            <w:vAlign w:val="bottom"/>
          </w:tcPr>
          <w:p>
            <w:pPr>
              <w:jc w:val="right"/>
              <w:ind w:right="65"/>
              <w:spacing w:after="0"/>
              <w:rPr>
                <w:sz w:val="20"/>
                <w:szCs w:val="20"/>
                <w:color w:val="auto"/>
              </w:rPr>
            </w:pPr>
            <w:r>
              <w:rPr>
                <w:rFonts w:ascii="Arial" w:cs="Arial" w:eastAsia="Arial" w:hAnsi="Arial"/>
                <w:sz w:val="15"/>
                <w:szCs w:val="15"/>
                <w:b w:val="1"/>
                <w:bCs w:val="1"/>
                <w:color w:val="auto"/>
              </w:rPr>
              <w:t>7</w:t>
            </w:r>
          </w:p>
        </w:tc>
        <w:tc>
          <w:tcPr>
            <w:tcW w:w="820" w:type="dxa"/>
            <w:vAlign w:val="bottom"/>
          </w:tcPr>
          <w:p>
            <w:pPr>
              <w:spacing w:after="0"/>
              <w:rPr>
                <w:sz w:val="17"/>
                <w:szCs w:val="17"/>
                <w:color w:val="auto"/>
              </w:rPr>
            </w:pPr>
          </w:p>
        </w:tc>
        <w:tc>
          <w:tcPr>
            <w:tcW w:w="700" w:type="dxa"/>
            <w:vAlign w:val="bottom"/>
          </w:tcPr>
          <w:p>
            <w:pPr>
              <w:jc w:val="right"/>
              <w:ind w:right="387"/>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443"/>
              <w:spacing w:after="0"/>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206"/>
        </w:trPr>
        <w:tc>
          <w:tcPr>
            <w:tcW w:w="2960" w:type="dxa"/>
            <w:vAlign w:val="bottom"/>
          </w:tcPr>
          <w:p>
            <w:pPr>
              <w:ind w:left="180"/>
              <w:spacing w:after="0"/>
              <w:rPr>
                <w:sz w:val="20"/>
                <w:szCs w:val="20"/>
                <w:color w:val="auto"/>
              </w:rPr>
            </w:pPr>
            <w:r>
              <w:rPr>
                <w:rFonts w:ascii="Arial" w:cs="Arial" w:eastAsia="Arial" w:hAnsi="Arial"/>
                <w:sz w:val="15"/>
                <w:szCs w:val="15"/>
                <w:color w:val="auto"/>
              </w:rPr>
              <w:t>-50 basis points</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ind w:right="65"/>
              <w:spacing w:after="0"/>
              <w:rPr>
                <w:sz w:val="20"/>
                <w:szCs w:val="20"/>
                <w:color w:val="auto"/>
              </w:rPr>
            </w:pPr>
            <w:r>
              <w:rPr>
                <w:rFonts w:ascii="Arial" w:cs="Arial" w:eastAsia="Arial" w:hAnsi="Arial"/>
                <w:sz w:val="15"/>
                <w:szCs w:val="15"/>
                <w:b w:val="1"/>
                <w:bCs w:val="1"/>
                <w:color w:val="auto"/>
              </w:rPr>
              <w:t>7</w:t>
            </w: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tcPr>
          <w:p>
            <w:pPr>
              <w:jc w:val="right"/>
              <w:ind w:right="443"/>
              <w:spacing w:after="0"/>
              <w:rPr>
                <w:sz w:val="20"/>
                <w:szCs w:val="20"/>
                <w:color w:val="auto"/>
              </w:rPr>
            </w:pPr>
            <w:r>
              <w:rPr>
                <w:rFonts w:ascii="Arial" w:cs="Arial" w:eastAsia="Arial" w:hAnsi="Arial"/>
                <w:sz w:val="15"/>
                <w:szCs w:val="15"/>
                <w:color w:val="auto"/>
              </w:rPr>
              <w:t>39</w:t>
            </w:r>
          </w:p>
        </w:tc>
        <w:tc>
          <w:tcPr>
            <w:tcW w:w="0" w:type="dxa"/>
            <w:vAlign w:val="bottom"/>
          </w:tcPr>
          <w:p>
            <w:pPr>
              <w:spacing w:after="0"/>
              <w:rPr>
                <w:sz w:val="1"/>
                <w:szCs w:val="1"/>
                <w:color w:val="auto"/>
              </w:rPr>
            </w:pPr>
          </w:p>
        </w:tc>
      </w:tr>
      <w:tr>
        <w:trPr>
          <w:trHeight w:val="206"/>
        </w:trPr>
        <w:tc>
          <w:tcPr>
            <w:tcW w:w="2960" w:type="dxa"/>
            <w:vAlign w:val="bottom"/>
          </w:tcPr>
          <w:p>
            <w:pPr>
              <w:ind w:left="180"/>
              <w:spacing w:after="0"/>
              <w:rPr>
                <w:sz w:val="20"/>
                <w:szCs w:val="20"/>
                <w:color w:val="auto"/>
              </w:rPr>
            </w:pPr>
            <w:r>
              <w:rPr>
                <w:rFonts w:ascii="Arial" w:cs="Arial" w:eastAsia="Arial" w:hAnsi="Arial"/>
                <w:sz w:val="15"/>
                <w:szCs w:val="15"/>
                <w:color w:val="auto"/>
              </w:rPr>
              <w:t>+50 basis points</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ind w:right="65"/>
              <w:spacing w:after="0"/>
              <w:rPr>
                <w:sz w:val="20"/>
                <w:szCs w:val="20"/>
                <w:color w:val="auto"/>
              </w:rPr>
            </w:pPr>
            <w:r>
              <w:rPr>
                <w:rFonts w:ascii="Arial" w:cs="Arial" w:eastAsia="Arial" w:hAnsi="Arial"/>
                <w:sz w:val="15"/>
                <w:szCs w:val="15"/>
                <w:b w:val="1"/>
                <w:bCs w:val="1"/>
                <w:color w:val="auto"/>
              </w:rPr>
              <w:t>4</w:t>
            </w: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tcPr>
          <w:p>
            <w:pPr>
              <w:jc w:val="right"/>
              <w:ind w:right="403"/>
              <w:spacing w:after="0"/>
              <w:rPr>
                <w:sz w:val="20"/>
                <w:szCs w:val="20"/>
                <w:color w:val="auto"/>
              </w:rPr>
            </w:pPr>
            <w:r>
              <w:rPr>
                <w:rFonts w:ascii="Arial" w:cs="Arial" w:eastAsia="Arial" w:hAnsi="Arial"/>
                <w:sz w:val="15"/>
                <w:szCs w:val="15"/>
                <w:color w:val="auto"/>
              </w:rPr>
              <w:t>(47)</w:t>
            </w:r>
          </w:p>
        </w:tc>
        <w:tc>
          <w:tcPr>
            <w:tcW w:w="0" w:type="dxa"/>
            <w:vAlign w:val="bottom"/>
          </w:tcPr>
          <w:p>
            <w:pPr>
              <w:spacing w:after="0"/>
              <w:rPr>
                <w:sz w:val="1"/>
                <w:szCs w:val="1"/>
                <w:color w:val="auto"/>
              </w:rPr>
            </w:pPr>
          </w:p>
        </w:tc>
      </w:tr>
      <w:tr>
        <w:trPr>
          <w:trHeight w:val="208"/>
        </w:trPr>
        <w:tc>
          <w:tcPr>
            <w:tcW w:w="2960" w:type="dxa"/>
            <w:vAlign w:val="bottom"/>
          </w:tcPr>
          <w:p>
            <w:pPr>
              <w:ind w:left="180"/>
              <w:spacing w:after="0"/>
              <w:rPr>
                <w:sz w:val="20"/>
                <w:szCs w:val="20"/>
                <w:color w:val="auto"/>
              </w:rPr>
            </w:pPr>
            <w:r>
              <w:rPr>
                <w:rFonts w:ascii="Arial" w:cs="Arial" w:eastAsia="Arial" w:hAnsi="Arial"/>
                <w:sz w:val="15"/>
                <w:szCs w:val="15"/>
                <w:color w:val="auto"/>
              </w:rPr>
              <w:t>+100 basis points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ind w:right="65"/>
              <w:spacing w:after="0"/>
              <w:rPr>
                <w:sz w:val="20"/>
                <w:szCs w:val="20"/>
                <w:color w:val="auto"/>
              </w:rPr>
            </w:pPr>
            <w:r>
              <w:rPr>
                <w:rFonts w:ascii="Arial" w:cs="Arial" w:eastAsia="Arial" w:hAnsi="Arial"/>
                <w:sz w:val="15"/>
                <w:szCs w:val="15"/>
                <w:b w:val="1"/>
                <w:bCs w:val="1"/>
                <w:color w:val="auto"/>
              </w:rPr>
              <w:t>23</w:t>
            </w: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jc w:val="right"/>
              <w:ind w:right="403"/>
              <w:spacing w:after="0"/>
              <w:rPr>
                <w:sz w:val="20"/>
                <w:szCs w:val="20"/>
                <w:color w:val="auto"/>
              </w:rPr>
            </w:pPr>
            <w:r>
              <w:rPr>
                <w:rFonts w:ascii="Arial" w:cs="Arial" w:eastAsia="Arial" w:hAnsi="Arial"/>
                <w:sz w:val="15"/>
                <w:szCs w:val="15"/>
                <w:color w:val="auto"/>
              </w:rPr>
              <w:t>(93)</w:t>
            </w:r>
          </w:p>
        </w:tc>
        <w:tc>
          <w:tcPr>
            <w:tcW w:w="0" w:type="dxa"/>
            <w:vAlign w:val="bottom"/>
          </w:tcPr>
          <w:p>
            <w:pPr>
              <w:spacing w:after="0"/>
              <w:rPr>
                <w:sz w:val="1"/>
                <w:szCs w:val="1"/>
                <w:color w:val="auto"/>
              </w:rPr>
            </w:pPr>
          </w:p>
        </w:tc>
      </w:tr>
      <w:tr>
        <w:trPr>
          <w:trHeight w:val="204"/>
        </w:trPr>
        <w:tc>
          <w:tcPr>
            <w:tcW w:w="29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Rate slope shock:</w:t>
            </w:r>
          </w:p>
        </w:tc>
        <w:tc>
          <w:tcPr>
            <w:tcW w:w="110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46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spacing w:after="0"/>
              <w:rPr>
                <w:sz w:val="17"/>
                <w:szCs w:val="17"/>
                <w:color w:val="auto"/>
              </w:rPr>
            </w:pPr>
          </w:p>
        </w:tc>
        <w:tc>
          <w:tcPr>
            <w:tcW w:w="900" w:type="dxa"/>
            <w:vAlign w:val="bottom"/>
            <w:tcBorders>
              <w:bottom w:val="single" w:sz="8" w:color="2C6937"/>
            </w:tcBorders>
          </w:tcPr>
          <w:p>
            <w:pPr>
              <w:spacing w:after="0"/>
              <w:rPr>
                <w:sz w:val="17"/>
                <w:szCs w:val="17"/>
                <w:color w:val="auto"/>
              </w:rPr>
            </w:pPr>
          </w:p>
        </w:tc>
        <w:tc>
          <w:tcPr>
            <w:tcW w:w="64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960" w:type="dxa"/>
            <w:vAlign w:val="bottom"/>
          </w:tcPr>
          <w:p>
            <w:pPr>
              <w:ind w:left="180"/>
              <w:spacing w:after="0"/>
              <w:rPr>
                <w:sz w:val="20"/>
                <w:szCs w:val="20"/>
                <w:color w:val="auto"/>
              </w:rPr>
            </w:pPr>
            <w:r>
              <w:rPr>
                <w:rFonts w:ascii="Arial" w:cs="Arial" w:eastAsia="Arial" w:hAnsi="Arial"/>
                <w:sz w:val="15"/>
                <w:szCs w:val="15"/>
                <w:color w:val="auto"/>
              </w:rPr>
              <w:t>-25 basis points (flattening)</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ind w:right="25"/>
              <w:spacing w:after="0"/>
              <w:rPr>
                <w:sz w:val="20"/>
                <w:szCs w:val="20"/>
                <w:color w:val="auto"/>
              </w:rPr>
            </w:pPr>
            <w:r>
              <w:rPr>
                <w:rFonts w:ascii="Arial" w:cs="Arial" w:eastAsia="Arial" w:hAnsi="Arial"/>
                <w:sz w:val="15"/>
                <w:szCs w:val="15"/>
                <w:b w:val="1"/>
                <w:bCs w:val="1"/>
                <w:color w:val="auto"/>
              </w:rPr>
              <w:t>(3)</w:t>
            </w: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tcPr>
          <w:p>
            <w:pPr>
              <w:jc w:val="right"/>
              <w:ind w:right="403"/>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14"/>
        </w:trPr>
        <w:tc>
          <w:tcPr>
            <w:tcW w:w="2960" w:type="dxa"/>
            <w:vAlign w:val="bottom"/>
          </w:tcPr>
          <w:p>
            <w:pPr>
              <w:ind w:left="180"/>
              <w:spacing w:after="0"/>
              <w:rPr>
                <w:sz w:val="20"/>
                <w:szCs w:val="20"/>
                <w:color w:val="auto"/>
              </w:rPr>
            </w:pPr>
            <w:r>
              <w:rPr>
                <w:rFonts w:ascii="Arial" w:cs="Arial" w:eastAsia="Arial" w:hAnsi="Arial"/>
                <w:sz w:val="15"/>
                <w:szCs w:val="15"/>
                <w:color w:val="auto"/>
              </w:rPr>
              <w:t>+25 basis points (steepening)</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ind w:right="65"/>
              <w:spacing w:after="0"/>
              <w:rPr>
                <w:sz w:val="20"/>
                <w:szCs w:val="20"/>
                <w:color w:val="auto"/>
              </w:rPr>
            </w:pPr>
            <w:r>
              <w:rPr>
                <w:rFonts w:ascii="Arial" w:cs="Arial" w:eastAsia="Arial" w:hAnsi="Arial"/>
                <w:sz w:val="15"/>
                <w:szCs w:val="15"/>
                <w:b w:val="1"/>
                <w:bCs w:val="1"/>
                <w:color w:val="auto"/>
              </w:rPr>
              <w:t>4</w:t>
            </w: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jc w:val="right"/>
              <w:ind w:right="443"/>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406"/>
        </w:trPr>
        <w:tc>
          <w:tcPr>
            <w:tcW w:w="2960" w:type="dxa"/>
            <w:vAlign w:val="bottom"/>
          </w:tcPr>
          <w:p>
            <w:pPr>
              <w:spacing w:after="0"/>
              <w:rPr>
                <w:sz w:val="24"/>
                <w:szCs w:val="24"/>
                <w:color w:val="auto"/>
              </w:rPr>
            </w:pPr>
          </w:p>
        </w:tc>
        <w:tc>
          <w:tcPr>
            <w:tcW w:w="110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460" w:type="dxa"/>
            <w:vAlign w:val="bottom"/>
            <w:tcBorders>
              <w:bottom w:val="single" w:sz="8" w:color="2C6937"/>
            </w:tcBorders>
          </w:tcPr>
          <w:p>
            <w:pPr>
              <w:spacing w:after="0"/>
              <w:rPr>
                <w:sz w:val="24"/>
                <w:szCs w:val="24"/>
                <w:color w:val="auto"/>
              </w:rPr>
            </w:pPr>
          </w:p>
        </w:tc>
        <w:tc>
          <w:tcPr>
            <w:tcW w:w="880" w:type="dxa"/>
            <w:vAlign w:val="bottom"/>
            <w:tcBorders>
              <w:bottom w:val="single" w:sz="8" w:color="2C6937"/>
            </w:tcBorders>
          </w:tcPr>
          <w:p>
            <w:pPr>
              <w:spacing w:after="0"/>
              <w:rPr>
                <w:sz w:val="24"/>
                <w:szCs w:val="24"/>
                <w:color w:val="auto"/>
              </w:rPr>
            </w:pPr>
          </w:p>
        </w:tc>
        <w:tc>
          <w:tcPr>
            <w:tcW w:w="3360" w:type="dxa"/>
            <w:vAlign w:val="bottom"/>
            <w:tcBorders>
              <w:bottom w:val="single" w:sz="8" w:color="2C6937"/>
            </w:tcBorders>
            <w:gridSpan w:val="7"/>
          </w:tcPr>
          <w:p>
            <w:pPr>
              <w:jc w:val="right"/>
              <w:ind w:right="165"/>
              <w:spacing w:after="0"/>
              <w:rPr>
                <w:sz w:val="20"/>
                <w:szCs w:val="20"/>
                <w:color w:val="auto"/>
              </w:rPr>
            </w:pPr>
            <w:r>
              <w:rPr>
                <w:rFonts w:ascii="Arial" w:cs="Arial" w:eastAsia="Arial" w:hAnsi="Arial"/>
                <w:sz w:val="14"/>
                <w:szCs w:val="14"/>
                <w:b w:val="1"/>
                <w:bCs w:val="1"/>
                <w:color w:val="auto"/>
                <w:w w:val="97"/>
              </w:rPr>
              <w:t>For the Three Months Ended September 30,</w:t>
            </w:r>
            <w:r>
              <w:rPr>
                <w:rFonts w:ascii="Arial" w:cs="Arial" w:eastAsia="Arial" w:hAnsi="Arial"/>
                <w:sz w:val="17"/>
                <w:szCs w:val="17"/>
                <w:b w:val="1"/>
                <w:bCs w:val="1"/>
                <w:color w:val="auto"/>
                <w:w w:val="97"/>
                <w:vertAlign w:val="superscript"/>
              </w:rPr>
              <w:t>(1)(3)</w:t>
            </w:r>
          </w:p>
        </w:tc>
        <w:tc>
          <w:tcPr>
            <w:tcW w:w="82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spacing w:after="0"/>
              <w:rPr>
                <w:sz w:val="24"/>
                <w:szCs w:val="24"/>
                <w:color w:val="auto"/>
              </w:rPr>
            </w:pPr>
          </w:p>
        </w:tc>
        <w:tc>
          <w:tcPr>
            <w:tcW w:w="86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960" w:type="dxa"/>
            <w:vAlign w:val="bottom"/>
          </w:tcPr>
          <w:p>
            <w:pPr>
              <w:spacing w:after="0"/>
              <w:rPr>
                <w:sz w:val="16"/>
                <w:szCs w:val="16"/>
                <w:color w:val="auto"/>
              </w:rPr>
            </w:pPr>
          </w:p>
        </w:tc>
        <w:tc>
          <w:tcPr>
            <w:tcW w:w="110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46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jc w:val="right"/>
              <w:ind w:right="267"/>
              <w:spacing w:after="0"/>
              <w:rPr>
                <w:sz w:val="20"/>
                <w:szCs w:val="20"/>
                <w:color w:val="auto"/>
              </w:rPr>
            </w:pPr>
            <w:r>
              <w:rPr>
                <w:rFonts w:ascii="Arial" w:cs="Arial" w:eastAsia="Arial" w:hAnsi="Arial"/>
                <w:sz w:val="14"/>
                <w:szCs w:val="14"/>
                <w:b w:val="1"/>
                <w:bCs w:val="1"/>
                <w:color w:val="auto"/>
              </w:rPr>
              <w:t>2024</w:t>
            </w:r>
          </w:p>
        </w:tc>
        <w:tc>
          <w:tcPr>
            <w:tcW w:w="900" w:type="dxa"/>
            <w:vAlign w:val="bottom"/>
            <w:tcBorders>
              <w:bottom w:val="single" w:sz="8" w:color="2C6937"/>
            </w:tcBorders>
          </w:tcPr>
          <w:p>
            <w:pPr>
              <w:spacing w:after="0"/>
              <w:rPr>
                <w:sz w:val="16"/>
                <w:szCs w:val="16"/>
                <w:color w:val="auto"/>
              </w:rPr>
            </w:pPr>
          </w:p>
        </w:tc>
        <w:tc>
          <w:tcPr>
            <w:tcW w:w="640" w:type="dxa"/>
            <w:vAlign w:val="bottom"/>
            <w:tcBorders>
              <w:bottom w:val="single" w:sz="8" w:color="2C6937"/>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460" w:type="dxa"/>
            <w:vAlign w:val="bottom"/>
            <w:tcBorders>
              <w:bottom w:val="single" w:sz="8" w:color="2C6937"/>
            </w:tcBorders>
          </w:tcPr>
          <w:p>
            <w:pPr>
              <w:spacing w:after="0"/>
              <w:rPr>
                <w:sz w:val="16"/>
                <w:szCs w:val="16"/>
                <w:color w:val="auto"/>
              </w:rPr>
            </w:pPr>
          </w:p>
        </w:tc>
        <w:tc>
          <w:tcPr>
            <w:tcW w:w="820" w:type="dxa"/>
            <w:vAlign w:val="bottom"/>
            <w:tcBorders>
              <w:bottom w:val="single" w:sz="8" w:color="2C6937"/>
            </w:tcBorders>
          </w:tcPr>
          <w:p>
            <w:pPr>
              <w:jc w:val="right"/>
              <w:ind w:right="250"/>
              <w:spacing w:after="0"/>
              <w:rPr>
                <w:sz w:val="20"/>
                <w:szCs w:val="20"/>
                <w:color w:val="auto"/>
              </w:rPr>
            </w:pPr>
            <w:r>
              <w:rPr>
                <w:rFonts w:ascii="Arial" w:cs="Arial" w:eastAsia="Arial" w:hAnsi="Arial"/>
                <w:sz w:val="14"/>
                <w:szCs w:val="14"/>
                <w:b w:val="1"/>
                <w:bCs w:val="1"/>
                <w:color w:val="auto"/>
              </w:rPr>
              <w:t>2023</w:t>
            </w:r>
          </w:p>
        </w:tc>
        <w:tc>
          <w:tcPr>
            <w:tcW w:w="70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960" w:type="dxa"/>
            <w:vAlign w:val="bottom"/>
          </w:tcPr>
          <w:p>
            <w:pPr>
              <w:spacing w:after="0"/>
              <w:rPr>
                <w:sz w:val="12"/>
                <w:szCs w:val="12"/>
                <w:color w:val="auto"/>
              </w:rPr>
            </w:pP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Duration Gap</w:t>
            </w:r>
          </w:p>
        </w:tc>
        <w:tc>
          <w:tcPr>
            <w:tcW w:w="1340" w:type="dxa"/>
            <w:vAlign w:val="bottom"/>
            <w:gridSpan w:val="2"/>
          </w:tcPr>
          <w:p>
            <w:pPr>
              <w:jc w:val="right"/>
              <w:ind w:right="7"/>
              <w:spacing w:after="0" w:line="139" w:lineRule="exact"/>
              <w:rPr>
                <w:sz w:val="20"/>
                <w:szCs w:val="20"/>
                <w:color w:val="auto"/>
              </w:rPr>
            </w:pPr>
            <w:r>
              <w:rPr>
                <w:rFonts w:ascii="Arial" w:cs="Arial" w:eastAsia="Arial" w:hAnsi="Arial"/>
                <w:sz w:val="14"/>
                <w:szCs w:val="14"/>
                <w:b w:val="1"/>
                <w:bCs w:val="1"/>
                <w:color w:val="auto"/>
              </w:rPr>
              <w:t>Rate Slope Shock</w:t>
            </w:r>
          </w:p>
        </w:tc>
        <w:tc>
          <w:tcPr>
            <w:tcW w:w="1540" w:type="dxa"/>
            <w:vAlign w:val="bottom"/>
            <w:gridSpan w:val="2"/>
          </w:tcPr>
          <w:p>
            <w:pPr>
              <w:jc w:val="right"/>
              <w:spacing w:after="0" w:line="139" w:lineRule="exact"/>
              <w:rPr>
                <w:sz w:val="20"/>
                <w:szCs w:val="20"/>
                <w:color w:val="auto"/>
              </w:rPr>
            </w:pPr>
            <w:r>
              <w:rPr>
                <w:rFonts w:ascii="Arial" w:cs="Arial" w:eastAsia="Arial" w:hAnsi="Arial"/>
                <w:sz w:val="14"/>
                <w:szCs w:val="14"/>
                <w:b w:val="1"/>
                <w:bCs w:val="1"/>
                <w:color w:val="auto"/>
              </w:rPr>
              <w:t>Rate Level Shock 50</w:t>
            </w:r>
          </w:p>
        </w:tc>
        <w:tc>
          <w:tcPr>
            <w:tcW w:w="140" w:type="dxa"/>
            <w:vAlign w:val="bottom"/>
          </w:tcPr>
          <w:p>
            <w:pPr>
              <w:spacing w:after="0"/>
              <w:rPr>
                <w:sz w:val="12"/>
                <w:szCs w:val="12"/>
                <w:color w:val="auto"/>
              </w:rPr>
            </w:pPr>
          </w:p>
        </w:tc>
        <w:tc>
          <w:tcPr>
            <w:tcW w:w="12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9"/>
              </w:rPr>
              <w:t>Duration Gap</w:t>
            </w:r>
          </w:p>
        </w:tc>
        <w:tc>
          <w:tcPr>
            <w:tcW w:w="1280" w:type="dxa"/>
            <w:vAlign w:val="bottom"/>
            <w:gridSpan w:val="2"/>
          </w:tcPr>
          <w:p>
            <w:pPr>
              <w:jc w:val="right"/>
              <w:spacing w:after="0" w:line="139" w:lineRule="exact"/>
              <w:rPr>
                <w:sz w:val="20"/>
                <w:szCs w:val="20"/>
                <w:color w:val="auto"/>
              </w:rPr>
            </w:pPr>
            <w:r>
              <w:rPr>
                <w:rFonts w:ascii="Arial" w:cs="Arial" w:eastAsia="Arial" w:hAnsi="Arial"/>
                <w:sz w:val="14"/>
                <w:szCs w:val="14"/>
                <w:b w:val="1"/>
                <w:bCs w:val="1"/>
                <w:color w:val="auto"/>
              </w:rPr>
              <w:t>Rate Slope Shock</w:t>
            </w:r>
          </w:p>
        </w:tc>
        <w:tc>
          <w:tcPr>
            <w:tcW w:w="1560" w:type="dxa"/>
            <w:vAlign w:val="bottom"/>
            <w:gridSpan w:val="2"/>
          </w:tcPr>
          <w:p>
            <w:pPr>
              <w:jc w:val="right"/>
              <w:spacing w:after="0" w:line="139" w:lineRule="exact"/>
              <w:rPr>
                <w:sz w:val="20"/>
                <w:szCs w:val="20"/>
                <w:color w:val="auto"/>
              </w:rPr>
            </w:pPr>
            <w:r>
              <w:rPr>
                <w:rFonts w:ascii="Arial" w:cs="Arial" w:eastAsia="Arial" w:hAnsi="Arial"/>
                <w:sz w:val="14"/>
                <w:szCs w:val="14"/>
                <w:b w:val="1"/>
                <w:bCs w:val="1"/>
                <w:color w:val="auto"/>
              </w:rPr>
              <w:t>Rate Level Shock 50</w:t>
            </w:r>
          </w:p>
        </w:tc>
        <w:tc>
          <w:tcPr>
            <w:tcW w:w="0" w:type="dxa"/>
            <w:vAlign w:val="bottom"/>
          </w:tcPr>
          <w:p>
            <w:pPr>
              <w:spacing w:after="0"/>
              <w:rPr>
                <w:sz w:val="1"/>
                <w:szCs w:val="1"/>
                <w:color w:val="auto"/>
              </w:rPr>
            </w:pPr>
          </w:p>
        </w:tc>
      </w:tr>
      <w:tr>
        <w:trPr>
          <w:trHeight w:val="177"/>
        </w:trPr>
        <w:tc>
          <w:tcPr>
            <w:tcW w:w="29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jc w:val="right"/>
              <w:ind w:right="367"/>
              <w:spacing w:after="0"/>
              <w:rPr>
                <w:sz w:val="20"/>
                <w:szCs w:val="20"/>
                <w:color w:val="auto"/>
              </w:rPr>
            </w:pPr>
            <w:r>
              <w:rPr>
                <w:rFonts w:ascii="Arial" w:cs="Arial" w:eastAsia="Arial" w:hAnsi="Arial"/>
                <w:sz w:val="14"/>
                <w:szCs w:val="14"/>
                <w:b w:val="1"/>
                <w:bCs w:val="1"/>
                <w:color w:val="auto"/>
                <w:w w:val="94"/>
              </w:rPr>
              <w:t>25 bps</w:t>
            </w:r>
          </w:p>
        </w:tc>
        <w:tc>
          <w:tcPr>
            <w:tcW w:w="1540" w:type="dxa"/>
            <w:vAlign w:val="bottom"/>
            <w:gridSpan w:val="2"/>
          </w:tcPr>
          <w:p>
            <w:pPr>
              <w:jc w:val="right"/>
              <w:ind w:right="503"/>
              <w:spacing w:after="0"/>
              <w:rPr>
                <w:sz w:val="20"/>
                <w:szCs w:val="20"/>
                <w:color w:val="auto"/>
              </w:rPr>
            </w:pPr>
            <w:r>
              <w:rPr>
                <w:rFonts w:ascii="Arial" w:cs="Arial" w:eastAsia="Arial" w:hAnsi="Arial"/>
                <w:sz w:val="14"/>
                <w:szCs w:val="14"/>
                <w:b w:val="1"/>
                <w:bCs w:val="1"/>
                <w:color w:val="auto"/>
              </w:rPr>
              <w:t>bps</w:t>
            </w:r>
          </w:p>
        </w:tc>
        <w:tc>
          <w:tcPr>
            <w:tcW w:w="140" w:type="dxa"/>
            <w:vAlign w:val="bottom"/>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jc w:val="right"/>
              <w:ind w:right="310"/>
              <w:spacing w:after="0"/>
              <w:rPr>
                <w:sz w:val="20"/>
                <w:szCs w:val="20"/>
                <w:color w:val="auto"/>
              </w:rPr>
            </w:pPr>
            <w:r>
              <w:rPr>
                <w:rFonts w:ascii="Arial" w:cs="Arial" w:eastAsia="Arial" w:hAnsi="Arial"/>
                <w:sz w:val="14"/>
                <w:szCs w:val="14"/>
                <w:b w:val="1"/>
                <w:bCs w:val="1"/>
                <w:color w:val="auto"/>
                <w:w w:val="94"/>
              </w:rPr>
              <w:t>25 bps</w:t>
            </w:r>
          </w:p>
        </w:tc>
        <w:tc>
          <w:tcPr>
            <w:tcW w:w="700" w:type="dxa"/>
            <w:vAlign w:val="bottom"/>
          </w:tcPr>
          <w:p>
            <w:pPr>
              <w:spacing w:after="0"/>
              <w:rPr>
                <w:sz w:val="15"/>
                <w:szCs w:val="15"/>
                <w:color w:val="auto"/>
              </w:rPr>
            </w:pPr>
          </w:p>
        </w:tc>
        <w:tc>
          <w:tcPr>
            <w:tcW w:w="860" w:type="dxa"/>
            <w:vAlign w:val="bottom"/>
          </w:tcPr>
          <w:p>
            <w:pPr>
              <w:jc w:val="right"/>
              <w:ind w:right="483"/>
              <w:spacing w:after="0"/>
              <w:rPr>
                <w:sz w:val="20"/>
                <w:szCs w:val="20"/>
                <w:color w:val="auto"/>
              </w:rPr>
            </w:pPr>
            <w:r>
              <w:rPr>
                <w:rFonts w:ascii="Arial" w:cs="Arial" w:eastAsia="Arial" w:hAnsi="Arial"/>
                <w:sz w:val="14"/>
                <w:szCs w:val="14"/>
                <w:b w:val="1"/>
                <w:bCs w:val="1"/>
                <w:color w:val="auto"/>
              </w:rPr>
              <w:t>bps</w:t>
            </w:r>
          </w:p>
        </w:tc>
        <w:tc>
          <w:tcPr>
            <w:tcW w:w="0" w:type="dxa"/>
            <w:vAlign w:val="bottom"/>
          </w:tcPr>
          <w:p>
            <w:pPr>
              <w:spacing w:after="0"/>
              <w:rPr>
                <w:sz w:val="1"/>
                <w:szCs w:val="1"/>
                <w:color w:val="auto"/>
              </w:rPr>
            </w:pPr>
          </w:p>
        </w:tc>
      </w:tr>
      <w:tr>
        <w:trPr>
          <w:trHeight w:val="185"/>
        </w:trPr>
        <w:tc>
          <w:tcPr>
            <w:tcW w:w="2960" w:type="dxa"/>
            <w:vAlign w:val="bottom"/>
          </w:tcPr>
          <w:p>
            <w:pPr>
              <w:spacing w:after="0"/>
              <w:rPr>
                <w:sz w:val="16"/>
                <w:szCs w:val="16"/>
                <w:color w:val="auto"/>
              </w:rPr>
            </w:pPr>
          </w:p>
        </w:tc>
        <w:tc>
          <w:tcPr>
            <w:tcW w:w="1100" w:type="dxa"/>
            <w:vAlign w:val="bottom"/>
            <w:tcBorders>
              <w:top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top w:val="single" w:sz="8" w:color="2C6937"/>
              <w:bottom w:val="single" w:sz="8" w:color="2C6937"/>
            </w:tcBorders>
          </w:tcPr>
          <w:p>
            <w:pPr>
              <w:spacing w:after="0"/>
              <w:rPr>
                <w:sz w:val="16"/>
                <w:szCs w:val="16"/>
                <w:color w:val="auto"/>
              </w:rPr>
            </w:pPr>
          </w:p>
        </w:tc>
        <w:tc>
          <w:tcPr>
            <w:tcW w:w="1780" w:type="dxa"/>
            <w:vAlign w:val="bottom"/>
            <w:tcBorders>
              <w:top w:val="single" w:sz="8" w:color="2C6937"/>
              <w:bottom w:val="single" w:sz="8" w:color="2C6937"/>
            </w:tcBorders>
            <w:gridSpan w:val="2"/>
          </w:tcPr>
          <w:p>
            <w:pPr>
              <w:jc w:val="center"/>
              <w:ind w:left="107"/>
              <w:spacing w:after="0"/>
              <w:rPr>
                <w:sz w:val="20"/>
                <w:szCs w:val="20"/>
                <w:color w:val="auto"/>
              </w:rPr>
            </w:pPr>
            <w:r>
              <w:rPr>
                <w:rFonts w:ascii="Arial" w:cs="Arial" w:eastAsia="Arial" w:hAnsi="Arial"/>
                <w:sz w:val="14"/>
                <w:szCs w:val="14"/>
                <w:b w:val="1"/>
                <w:bCs w:val="1"/>
                <w:color w:val="auto"/>
                <w:w w:val="97"/>
              </w:rPr>
              <w:t>Market Value Sensitivity</w:t>
            </w:r>
          </w:p>
        </w:tc>
        <w:tc>
          <w:tcPr>
            <w:tcW w:w="640" w:type="dxa"/>
            <w:vAlign w:val="bottom"/>
            <w:tcBorders>
              <w:top w:val="single" w:sz="8" w:color="2C6937"/>
              <w:bottom w:val="single" w:sz="8" w:color="2C6937"/>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top w:val="single" w:sz="8" w:color="2C6937"/>
            </w:tcBorders>
          </w:tcPr>
          <w:p>
            <w:pPr>
              <w:spacing w:after="0"/>
              <w:rPr>
                <w:sz w:val="16"/>
                <w:szCs w:val="16"/>
                <w:color w:val="auto"/>
              </w:rPr>
            </w:pPr>
          </w:p>
        </w:tc>
        <w:tc>
          <w:tcPr>
            <w:tcW w:w="940" w:type="dxa"/>
            <w:vAlign w:val="bottom"/>
            <w:tcBorders>
              <w:top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top w:val="single" w:sz="8" w:color="2C6937"/>
              <w:bottom w:val="single" w:sz="8" w:color="2C6937"/>
            </w:tcBorders>
          </w:tcPr>
          <w:p>
            <w:pPr>
              <w:spacing w:after="0"/>
              <w:rPr>
                <w:sz w:val="16"/>
                <w:szCs w:val="16"/>
                <w:color w:val="auto"/>
              </w:rPr>
            </w:pPr>
          </w:p>
        </w:tc>
        <w:tc>
          <w:tcPr>
            <w:tcW w:w="2380" w:type="dxa"/>
            <w:vAlign w:val="bottom"/>
            <w:tcBorders>
              <w:top w:val="single" w:sz="8" w:color="2C6937"/>
              <w:bottom w:val="single" w:sz="8" w:color="2C6937"/>
            </w:tcBorders>
            <w:gridSpan w:val="3"/>
          </w:tcPr>
          <w:p>
            <w:pPr>
              <w:jc w:val="right"/>
              <w:ind w:right="563"/>
              <w:spacing w:after="0"/>
              <w:rPr>
                <w:sz w:val="20"/>
                <w:szCs w:val="20"/>
                <w:color w:val="auto"/>
              </w:rPr>
            </w:pPr>
            <w:r>
              <w:rPr>
                <w:rFonts w:ascii="Arial" w:cs="Arial" w:eastAsia="Arial" w:hAnsi="Arial"/>
                <w:sz w:val="14"/>
                <w:szCs w:val="14"/>
                <w:b w:val="1"/>
                <w:bCs w:val="1"/>
                <w:color w:val="auto"/>
              </w:rPr>
              <w:t>Market Value Sensitivity</w:t>
            </w:r>
          </w:p>
        </w:tc>
        <w:tc>
          <w:tcPr>
            <w:tcW w:w="0" w:type="dxa"/>
            <w:vAlign w:val="bottom"/>
          </w:tcPr>
          <w:p>
            <w:pPr>
              <w:spacing w:after="0"/>
              <w:rPr>
                <w:sz w:val="1"/>
                <w:szCs w:val="1"/>
                <w:color w:val="auto"/>
              </w:rPr>
            </w:pPr>
          </w:p>
        </w:tc>
      </w:tr>
      <w:tr>
        <w:trPr>
          <w:trHeight w:val="186"/>
        </w:trPr>
        <w:tc>
          <w:tcPr>
            <w:tcW w:w="296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(In years)</w:t>
            </w:r>
          </w:p>
        </w:tc>
        <w:tc>
          <w:tcPr>
            <w:tcW w:w="460" w:type="dxa"/>
            <w:vAlign w:val="bottom"/>
          </w:tcPr>
          <w:p>
            <w:pPr>
              <w:spacing w:after="0"/>
              <w:rPr>
                <w:sz w:val="16"/>
                <w:szCs w:val="16"/>
                <w:color w:val="auto"/>
              </w:rPr>
            </w:pPr>
          </w:p>
        </w:tc>
        <w:tc>
          <w:tcPr>
            <w:tcW w:w="1780" w:type="dxa"/>
            <w:vAlign w:val="bottom"/>
            <w:gridSpan w:val="2"/>
          </w:tcPr>
          <w:p>
            <w:pPr>
              <w:jc w:val="center"/>
              <w:ind w:left="107"/>
              <w:spacing w:after="0"/>
              <w:rPr>
                <w:sz w:val="20"/>
                <w:szCs w:val="20"/>
                <w:color w:val="auto"/>
              </w:rPr>
            </w:pPr>
            <w:r>
              <w:rPr>
                <w:rFonts w:ascii="Arial" w:cs="Arial" w:eastAsia="Arial" w:hAnsi="Arial"/>
                <w:sz w:val="14"/>
                <w:szCs w:val="14"/>
                <w:b w:val="1"/>
                <w:bCs w:val="1"/>
                <w:color w:val="auto"/>
                <w:w w:val="98"/>
              </w:rPr>
              <w:t>(Dollars in millions)</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(In years)</w:t>
            </w:r>
          </w:p>
        </w:tc>
        <w:tc>
          <w:tcPr>
            <w:tcW w:w="460" w:type="dxa"/>
            <w:vAlign w:val="bottom"/>
          </w:tcPr>
          <w:p>
            <w:pPr>
              <w:spacing w:after="0"/>
              <w:rPr>
                <w:sz w:val="16"/>
                <w:szCs w:val="16"/>
                <w:color w:val="auto"/>
              </w:rPr>
            </w:pPr>
          </w:p>
        </w:tc>
        <w:tc>
          <w:tcPr>
            <w:tcW w:w="2380" w:type="dxa"/>
            <w:vAlign w:val="bottom"/>
            <w:gridSpan w:val="3"/>
          </w:tcPr>
          <w:p>
            <w:pPr>
              <w:jc w:val="right"/>
              <w:ind w:right="703"/>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207"/>
        </w:trPr>
        <w:tc>
          <w:tcPr>
            <w:tcW w:w="2960" w:type="dxa"/>
            <w:vAlign w:val="bottom"/>
          </w:tcPr>
          <w:p>
            <w:pPr>
              <w:ind w:left="20"/>
              <w:spacing w:after="0"/>
              <w:rPr>
                <w:sz w:val="20"/>
                <w:szCs w:val="20"/>
                <w:color w:val="auto"/>
              </w:rPr>
            </w:pPr>
            <w:r>
              <w:rPr>
                <w:rFonts w:ascii="Arial" w:cs="Arial" w:eastAsia="Arial" w:hAnsi="Arial"/>
                <w:sz w:val="15"/>
                <w:szCs w:val="15"/>
                <w:color w:val="auto"/>
              </w:rPr>
              <w:t>Average</w:t>
            </w:r>
          </w:p>
        </w:tc>
        <w:tc>
          <w:tcPr>
            <w:tcW w:w="1100" w:type="dxa"/>
            <w:vAlign w:val="bottom"/>
          </w:tcPr>
          <w:p>
            <w:pPr>
              <w:jc w:val="right"/>
              <w:ind w:right="326"/>
              <w:spacing w:after="0"/>
              <w:rPr>
                <w:sz w:val="20"/>
                <w:szCs w:val="20"/>
                <w:color w:val="auto"/>
              </w:rPr>
            </w:pPr>
            <w:r>
              <w:rPr>
                <w:rFonts w:ascii="Arial" w:cs="Arial" w:eastAsia="Arial" w:hAnsi="Arial"/>
                <w:sz w:val="15"/>
                <w:szCs w:val="15"/>
                <w:b w:val="1"/>
                <w:bCs w:val="1"/>
                <w:color w:val="auto"/>
              </w:rPr>
              <w:t>0.03</w:t>
            </w: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880" w:type="dxa"/>
            <w:vAlign w:val="bottom"/>
          </w:tcPr>
          <w:p>
            <w:pPr>
              <w:jc w:val="right"/>
              <w:ind w:right="287"/>
              <w:spacing w:after="0"/>
              <w:rPr>
                <w:sz w:val="20"/>
                <w:szCs w:val="20"/>
                <w:color w:val="auto"/>
              </w:rPr>
            </w:pPr>
            <w:r>
              <w:rPr>
                <w:rFonts w:ascii="Arial" w:cs="Arial" w:eastAsia="Arial" w:hAnsi="Arial"/>
                <w:sz w:val="15"/>
                <w:szCs w:val="15"/>
                <w:b w:val="1"/>
                <w:bCs w:val="1"/>
                <w:color w:val="auto"/>
              </w:rPr>
              <w:t>(4)</w:t>
            </w:r>
          </w:p>
        </w:tc>
        <w:tc>
          <w:tcPr>
            <w:tcW w:w="900" w:type="dxa"/>
            <w:vAlign w:val="bottom"/>
          </w:tcPr>
          <w:p>
            <w:pPr>
              <w:jc w:val="right"/>
              <w:ind w:right="209"/>
              <w:spacing w:after="0"/>
              <w:rPr>
                <w:sz w:val="20"/>
                <w:szCs w:val="20"/>
                <w:color w:val="auto"/>
              </w:rPr>
            </w:pPr>
            <w:r>
              <w:rPr>
                <w:rFonts w:ascii="Arial" w:cs="Arial" w:eastAsia="Arial" w:hAnsi="Arial"/>
                <w:sz w:val="15"/>
                <w:szCs w:val="15"/>
                <w:b w:val="1"/>
                <w:bCs w:val="1"/>
                <w:color w:val="auto"/>
              </w:rPr>
              <w:t>$</w:t>
            </w:r>
          </w:p>
        </w:tc>
        <w:tc>
          <w:tcPr>
            <w:tcW w:w="640" w:type="dxa"/>
            <w:vAlign w:val="bottom"/>
          </w:tcPr>
          <w:p>
            <w:pPr>
              <w:jc w:val="right"/>
              <w:ind w:right="303"/>
              <w:spacing w:after="0"/>
              <w:rPr>
                <w:sz w:val="20"/>
                <w:szCs w:val="20"/>
                <w:color w:val="auto"/>
              </w:rPr>
            </w:pPr>
            <w:r>
              <w:rPr>
                <w:rFonts w:ascii="Arial" w:cs="Arial" w:eastAsia="Arial" w:hAnsi="Arial"/>
                <w:sz w:val="15"/>
                <w:szCs w:val="15"/>
                <w:b w:val="1"/>
                <w:bCs w:val="1"/>
                <w:color w:val="auto"/>
                <w:w w:val="89"/>
              </w:rPr>
              <w:t>(20)</w:t>
            </w:r>
          </w:p>
        </w:tc>
        <w:tc>
          <w:tcPr>
            <w:tcW w:w="1260" w:type="dxa"/>
            <w:vAlign w:val="bottom"/>
            <w:gridSpan w:val="3"/>
          </w:tcPr>
          <w:p>
            <w:pPr>
              <w:jc w:val="center"/>
              <w:ind w:left="43"/>
              <w:spacing w:after="0"/>
              <w:rPr>
                <w:sz w:val="20"/>
                <w:szCs w:val="20"/>
                <w:color w:val="auto"/>
              </w:rPr>
            </w:pPr>
            <w:r>
              <w:rPr>
                <w:rFonts w:ascii="Arial" w:cs="Arial" w:eastAsia="Arial" w:hAnsi="Arial"/>
                <w:sz w:val="15"/>
                <w:szCs w:val="15"/>
                <w:color w:val="auto"/>
              </w:rPr>
              <w:t>0.04</w:t>
            </w: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230"/>
              <w:spacing w:after="0"/>
              <w:rPr>
                <w:sz w:val="20"/>
                <w:szCs w:val="20"/>
                <w:color w:val="auto"/>
              </w:rPr>
            </w:pPr>
            <w:r>
              <w:rPr>
                <w:rFonts w:ascii="Arial" w:cs="Arial" w:eastAsia="Arial" w:hAnsi="Arial"/>
                <w:sz w:val="15"/>
                <w:szCs w:val="15"/>
                <w:color w:val="auto"/>
              </w:rPr>
              <w:t>(9)</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83"/>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206"/>
        </w:trPr>
        <w:tc>
          <w:tcPr>
            <w:tcW w:w="2960" w:type="dxa"/>
            <w:vAlign w:val="bottom"/>
          </w:tcPr>
          <w:p>
            <w:pPr>
              <w:ind w:left="20"/>
              <w:spacing w:after="0"/>
              <w:rPr>
                <w:sz w:val="20"/>
                <w:szCs w:val="20"/>
                <w:color w:val="auto"/>
              </w:rPr>
            </w:pPr>
            <w:r>
              <w:rPr>
                <w:rFonts w:ascii="Arial" w:cs="Arial" w:eastAsia="Arial" w:hAnsi="Arial"/>
                <w:sz w:val="15"/>
                <w:szCs w:val="15"/>
                <w:color w:val="auto"/>
              </w:rPr>
              <w:t>Minimum</w:t>
            </w:r>
          </w:p>
        </w:tc>
        <w:tc>
          <w:tcPr>
            <w:tcW w:w="1100" w:type="dxa"/>
            <w:vAlign w:val="bottom"/>
          </w:tcPr>
          <w:p>
            <w:pPr>
              <w:jc w:val="right"/>
              <w:ind w:right="266"/>
              <w:spacing w:after="0"/>
              <w:rPr>
                <w:sz w:val="20"/>
                <w:szCs w:val="20"/>
                <w:color w:val="auto"/>
              </w:rPr>
            </w:pPr>
            <w:r>
              <w:rPr>
                <w:rFonts w:ascii="Arial" w:cs="Arial" w:eastAsia="Arial" w:hAnsi="Arial"/>
                <w:sz w:val="15"/>
                <w:szCs w:val="15"/>
                <w:b w:val="1"/>
                <w:bCs w:val="1"/>
                <w:color w:val="auto"/>
              </w:rPr>
              <w:t>(0.01)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ind w:right="287"/>
              <w:spacing w:after="0"/>
              <w:rPr>
                <w:sz w:val="20"/>
                <w:szCs w:val="20"/>
                <w:color w:val="auto"/>
              </w:rPr>
            </w:pPr>
            <w:r>
              <w:rPr>
                <w:rFonts w:ascii="Arial" w:cs="Arial" w:eastAsia="Arial" w:hAnsi="Arial"/>
                <w:sz w:val="15"/>
                <w:szCs w:val="15"/>
                <w:b w:val="1"/>
                <w:bCs w:val="1"/>
                <w:color w:val="auto"/>
              </w:rPr>
              <w:t>(11)</w:t>
            </w:r>
          </w:p>
        </w:tc>
        <w:tc>
          <w:tcPr>
            <w:tcW w:w="900" w:type="dxa"/>
            <w:vAlign w:val="bottom"/>
          </w:tcPr>
          <w:p>
            <w:pPr>
              <w:spacing w:after="0"/>
              <w:rPr>
                <w:sz w:val="17"/>
                <w:szCs w:val="17"/>
                <w:color w:val="auto"/>
              </w:rPr>
            </w:pPr>
          </w:p>
        </w:tc>
        <w:tc>
          <w:tcPr>
            <w:tcW w:w="640" w:type="dxa"/>
            <w:vAlign w:val="bottom"/>
          </w:tcPr>
          <w:p>
            <w:pPr>
              <w:jc w:val="right"/>
              <w:ind w:right="303"/>
              <w:spacing w:after="0"/>
              <w:rPr>
                <w:sz w:val="20"/>
                <w:szCs w:val="20"/>
                <w:color w:val="auto"/>
              </w:rPr>
            </w:pPr>
            <w:r>
              <w:rPr>
                <w:rFonts w:ascii="Arial" w:cs="Arial" w:eastAsia="Arial" w:hAnsi="Arial"/>
                <w:sz w:val="15"/>
                <w:szCs w:val="15"/>
                <w:b w:val="1"/>
                <w:bCs w:val="1"/>
                <w:color w:val="auto"/>
                <w:w w:val="89"/>
              </w:rPr>
              <w:t>(59)</w:t>
            </w:r>
          </w:p>
        </w:tc>
        <w:tc>
          <w:tcPr>
            <w:tcW w:w="1260" w:type="dxa"/>
            <w:vAlign w:val="bottom"/>
            <w:gridSpan w:val="3"/>
          </w:tcPr>
          <w:p>
            <w:pPr>
              <w:jc w:val="center"/>
              <w:ind w:left="43"/>
              <w:spacing w:after="0"/>
              <w:rPr>
                <w:sz w:val="20"/>
                <w:szCs w:val="20"/>
                <w:color w:val="auto"/>
              </w:rPr>
            </w:pPr>
            <w:r>
              <w:rPr>
                <w:rFonts w:ascii="Arial" w:cs="Arial" w:eastAsia="Arial" w:hAnsi="Arial"/>
                <w:sz w:val="15"/>
                <w:szCs w:val="15"/>
                <w:color w:val="auto"/>
              </w:rPr>
              <w:t>0.01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ind w:right="230"/>
              <w:spacing w:after="0"/>
              <w:rPr>
                <w:sz w:val="20"/>
                <w:szCs w:val="20"/>
                <w:color w:val="auto"/>
              </w:rPr>
            </w:pPr>
            <w:r>
              <w:rPr>
                <w:rFonts w:ascii="Arial" w:cs="Arial" w:eastAsia="Arial" w:hAnsi="Arial"/>
                <w:sz w:val="15"/>
                <w:szCs w:val="15"/>
                <w:color w:val="auto"/>
              </w:rPr>
              <w:t>(18)</w:t>
            </w:r>
          </w:p>
        </w:tc>
        <w:tc>
          <w:tcPr>
            <w:tcW w:w="700" w:type="dxa"/>
            <w:vAlign w:val="bottom"/>
          </w:tcPr>
          <w:p>
            <w:pPr>
              <w:spacing w:after="0"/>
              <w:rPr>
                <w:sz w:val="17"/>
                <w:szCs w:val="17"/>
                <w:color w:val="auto"/>
              </w:rPr>
            </w:pPr>
          </w:p>
        </w:tc>
        <w:tc>
          <w:tcPr>
            <w:tcW w:w="860" w:type="dxa"/>
            <w:vAlign w:val="bottom"/>
          </w:tcPr>
          <w:p>
            <w:pPr>
              <w:jc w:val="right"/>
              <w:ind w:right="283"/>
              <w:spacing w:after="0"/>
              <w:rPr>
                <w:sz w:val="20"/>
                <w:szCs w:val="20"/>
                <w:color w:val="auto"/>
              </w:rPr>
            </w:pPr>
            <w:r>
              <w:rPr>
                <w:rFonts w:ascii="Arial" w:cs="Arial" w:eastAsia="Arial" w:hAnsi="Arial"/>
                <w:sz w:val="15"/>
                <w:szCs w:val="15"/>
                <w:color w:val="auto"/>
              </w:rPr>
              <w:t>(58)</w:t>
            </w:r>
          </w:p>
        </w:tc>
        <w:tc>
          <w:tcPr>
            <w:tcW w:w="0" w:type="dxa"/>
            <w:vAlign w:val="bottom"/>
          </w:tcPr>
          <w:p>
            <w:pPr>
              <w:spacing w:after="0"/>
              <w:rPr>
                <w:sz w:val="1"/>
                <w:szCs w:val="1"/>
                <w:color w:val="auto"/>
              </w:rPr>
            </w:pPr>
          </w:p>
        </w:tc>
      </w:tr>
      <w:tr>
        <w:trPr>
          <w:trHeight w:val="206"/>
        </w:trPr>
        <w:tc>
          <w:tcPr>
            <w:tcW w:w="2960" w:type="dxa"/>
            <w:vAlign w:val="bottom"/>
          </w:tcPr>
          <w:p>
            <w:pPr>
              <w:ind w:left="20"/>
              <w:spacing w:after="0"/>
              <w:rPr>
                <w:sz w:val="20"/>
                <w:szCs w:val="20"/>
                <w:color w:val="auto"/>
              </w:rPr>
            </w:pPr>
            <w:r>
              <w:rPr>
                <w:rFonts w:ascii="Arial" w:cs="Arial" w:eastAsia="Arial" w:hAnsi="Arial"/>
                <w:sz w:val="15"/>
                <w:szCs w:val="15"/>
                <w:color w:val="auto"/>
              </w:rPr>
              <w:t>Maximum</w:t>
            </w:r>
          </w:p>
        </w:tc>
        <w:tc>
          <w:tcPr>
            <w:tcW w:w="1100" w:type="dxa"/>
            <w:vAlign w:val="bottom"/>
          </w:tcPr>
          <w:p>
            <w:pPr>
              <w:jc w:val="right"/>
              <w:ind w:right="326"/>
              <w:spacing w:after="0"/>
              <w:rPr>
                <w:sz w:val="20"/>
                <w:szCs w:val="20"/>
                <w:color w:val="auto"/>
              </w:rPr>
            </w:pPr>
            <w:r>
              <w:rPr>
                <w:rFonts w:ascii="Arial" w:cs="Arial" w:eastAsia="Arial" w:hAnsi="Arial"/>
                <w:sz w:val="15"/>
                <w:szCs w:val="15"/>
                <w:b w:val="1"/>
                <w:bCs w:val="1"/>
                <w:color w:val="auto"/>
              </w:rPr>
              <w:t>0.09</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ind w:right="287"/>
              <w:spacing w:after="0"/>
              <w:rPr>
                <w:sz w:val="20"/>
                <w:szCs w:val="20"/>
                <w:color w:val="auto"/>
              </w:rPr>
            </w:pPr>
            <w:r>
              <w:rPr>
                <w:rFonts w:ascii="Arial" w:cs="Arial" w:eastAsia="Arial" w:hAnsi="Arial"/>
                <w:sz w:val="15"/>
                <w:szCs w:val="15"/>
                <w:b w:val="1"/>
                <w:bCs w:val="1"/>
                <w:color w:val="auto"/>
              </w:rPr>
              <w:t>(1)</w:t>
            </w:r>
          </w:p>
        </w:tc>
        <w:tc>
          <w:tcPr>
            <w:tcW w:w="900" w:type="dxa"/>
            <w:vAlign w:val="bottom"/>
          </w:tcPr>
          <w:p>
            <w:pPr>
              <w:spacing w:after="0"/>
              <w:rPr>
                <w:sz w:val="17"/>
                <w:szCs w:val="17"/>
                <w:color w:val="auto"/>
              </w:rPr>
            </w:pPr>
          </w:p>
        </w:tc>
        <w:tc>
          <w:tcPr>
            <w:tcW w:w="640" w:type="dxa"/>
            <w:vAlign w:val="bottom"/>
          </w:tcPr>
          <w:p>
            <w:pPr>
              <w:jc w:val="right"/>
              <w:ind w:right="343"/>
              <w:spacing w:after="0"/>
              <w:rPr>
                <w:sz w:val="20"/>
                <w:szCs w:val="20"/>
                <w:color w:val="auto"/>
              </w:rPr>
            </w:pPr>
            <w:r>
              <w:rPr>
                <w:rFonts w:ascii="Arial" w:cs="Arial" w:eastAsia="Arial" w:hAnsi="Arial"/>
                <w:sz w:val="15"/>
                <w:szCs w:val="15"/>
                <w:b w:val="1"/>
                <w:bCs w:val="1"/>
                <w:color w:val="auto"/>
              </w:rPr>
              <w:t>4</w:t>
            </w:r>
          </w:p>
        </w:tc>
        <w:tc>
          <w:tcPr>
            <w:tcW w:w="1260" w:type="dxa"/>
            <w:vAlign w:val="bottom"/>
            <w:gridSpan w:val="3"/>
          </w:tcPr>
          <w:p>
            <w:pPr>
              <w:jc w:val="center"/>
              <w:ind w:left="43"/>
              <w:spacing w:after="0"/>
              <w:rPr>
                <w:sz w:val="20"/>
                <w:szCs w:val="20"/>
                <w:color w:val="auto"/>
              </w:rPr>
            </w:pPr>
            <w:r>
              <w:rPr>
                <w:rFonts w:ascii="Arial" w:cs="Arial" w:eastAsia="Arial" w:hAnsi="Arial"/>
                <w:sz w:val="15"/>
                <w:szCs w:val="15"/>
                <w:color w:val="auto"/>
              </w:rPr>
              <w:t>0.06</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ind w:right="230"/>
              <w:spacing w:after="0"/>
              <w:rPr>
                <w:sz w:val="20"/>
                <w:szCs w:val="20"/>
                <w:color w:val="auto"/>
              </w:rPr>
            </w:pPr>
            <w:r>
              <w:rPr>
                <w:rFonts w:ascii="Arial" w:cs="Arial" w:eastAsia="Arial" w:hAnsi="Arial"/>
                <w:sz w:val="15"/>
                <w:szCs w:val="15"/>
                <w:color w:val="auto"/>
              </w:rPr>
              <w:t>(1)</w:t>
            </w:r>
          </w:p>
        </w:tc>
        <w:tc>
          <w:tcPr>
            <w:tcW w:w="700" w:type="dxa"/>
            <w:vAlign w:val="bottom"/>
          </w:tcPr>
          <w:p>
            <w:pPr>
              <w:spacing w:after="0"/>
              <w:rPr>
                <w:sz w:val="17"/>
                <w:szCs w:val="17"/>
                <w:color w:val="auto"/>
              </w:rPr>
            </w:pPr>
          </w:p>
        </w:tc>
        <w:tc>
          <w:tcPr>
            <w:tcW w:w="860" w:type="dxa"/>
            <w:vAlign w:val="bottom"/>
          </w:tcPr>
          <w:p>
            <w:pPr>
              <w:jc w:val="right"/>
              <w:ind w:right="283"/>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214"/>
        </w:trPr>
        <w:tc>
          <w:tcPr>
            <w:tcW w:w="2960" w:type="dxa"/>
            <w:vAlign w:val="bottom"/>
          </w:tcPr>
          <w:p>
            <w:pPr>
              <w:ind w:left="20"/>
              <w:spacing w:after="0"/>
              <w:rPr>
                <w:sz w:val="20"/>
                <w:szCs w:val="20"/>
                <w:color w:val="auto"/>
              </w:rPr>
            </w:pPr>
            <w:r>
              <w:rPr>
                <w:rFonts w:ascii="Arial" w:cs="Arial" w:eastAsia="Arial" w:hAnsi="Arial"/>
                <w:sz w:val="15"/>
                <w:szCs w:val="15"/>
                <w:color w:val="auto"/>
              </w:rPr>
              <w:t>Standard deviation</w:t>
            </w:r>
          </w:p>
        </w:tc>
        <w:tc>
          <w:tcPr>
            <w:tcW w:w="1100" w:type="dxa"/>
            <w:vAlign w:val="bottom"/>
          </w:tcPr>
          <w:p>
            <w:pPr>
              <w:jc w:val="right"/>
              <w:ind w:right="326"/>
              <w:spacing w:after="0"/>
              <w:rPr>
                <w:sz w:val="20"/>
                <w:szCs w:val="20"/>
                <w:color w:val="auto"/>
              </w:rPr>
            </w:pPr>
            <w:r>
              <w:rPr>
                <w:rFonts w:ascii="Arial" w:cs="Arial" w:eastAsia="Arial" w:hAnsi="Arial"/>
                <w:sz w:val="15"/>
                <w:szCs w:val="15"/>
                <w:b w:val="1"/>
                <w:bCs w:val="1"/>
                <w:color w:val="auto"/>
              </w:rPr>
              <w:t>0.02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327"/>
              <w:spacing w:after="0"/>
              <w:rPr>
                <w:sz w:val="20"/>
                <w:szCs w:val="20"/>
                <w:color w:val="auto"/>
              </w:rPr>
            </w:pPr>
            <w:r>
              <w:rPr>
                <w:rFonts w:ascii="Arial" w:cs="Arial" w:eastAsia="Arial" w:hAnsi="Arial"/>
                <w:sz w:val="15"/>
                <w:szCs w:val="15"/>
                <w:b w:val="1"/>
                <w:bCs w:val="1"/>
                <w:color w:val="auto"/>
              </w:rPr>
              <w:t>2</w:t>
            </w:r>
          </w:p>
        </w:tc>
        <w:tc>
          <w:tcPr>
            <w:tcW w:w="900" w:type="dxa"/>
            <w:vAlign w:val="bottom"/>
          </w:tcPr>
          <w:p>
            <w:pPr>
              <w:spacing w:after="0"/>
              <w:rPr>
                <w:sz w:val="18"/>
                <w:szCs w:val="18"/>
                <w:color w:val="auto"/>
              </w:rPr>
            </w:pPr>
          </w:p>
        </w:tc>
        <w:tc>
          <w:tcPr>
            <w:tcW w:w="640" w:type="dxa"/>
            <w:vAlign w:val="bottom"/>
          </w:tcPr>
          <w:p>
            <w:pPr>
              <w:jc w:val="right"/>
              <w:ind w:right="343"/>
              <w:spacing w:after="0"/>
              <w:rPr>
                <w:sz w:val="20"/>
                <w:szCs w:val="20"/>
                <w:color w:val="auto"/>
              </w:rPr>
            </w:pPr>
            <w:r>
              <w:rPr>
                <w:rFonts w:ascii="Arial" w:cs="Arial" w:eastAsia="Arial" w:hAnsi="Arial"/>
                <w:sz w:val="15"/>
                <w:szCs w:val="15"/>
                <w:b w:val="1"/>
                <w:bCs w:val="1"/>
                <w:color w:val="auto"/>
              </w:rPr>
              <w:t>15</w:t>
            </w:r>
          </w:p>
        </w:tc>
        <w:tc>
          <w:tcPr>
            <w:tcW w:w="1260" w:type="dxa"/>
            <w:vAlign w:val="bottom"/>
            <w:gridSpan w:val="3"/>
          </w:tcPr>
          <w:p>
            <w:pPr>
              <w:jc w:val="center"/>
              <w:ind w:left="43"/>
              <w:spacing w:after="0"/>
              <w:rPr>
                <w:sz w:val="20"/>
                <w:szCs w:val="20"/>
                <w:color w:val="auto"/>
              </w:rPr>
            </w:pPr>
            <w:r>
              <w:rPr>
                <w:rFonts w:ascii="Arial" w:cs="Arial" w:eastAsia="Arial" w:hAnsi="Arial"/>
                <w:sz w:val="15"/>
                <w:szCs w:val="15"/>
                <w:color w:val="auto"/>
              </w:rPr>
              <w:t>0.01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5"/>
                <w:szCs w:val="15"/>
                <w:color w:val="auto"/>
                <w:w w:val="95"/>
              </w:rPr>
              <w:t>4</w:t>
            </w:r>
          </w:p>
        </w:tc>
        <w:tc>
          <w:tcPr>
            <w:tcW w:w="700" w:type="dxa"/>
            <w:vAlign w:val="bottom"/>
          </w:tcPr>
          <w:p>
            <w:pPr>
              <w:spacing w:after="0"/>
              <w:rPr>
                <w:sz w:val="18"/>
                <w:szCs w:val="18"/>
                <w:color w:val="auto"/>
              </w:rPr>
            </w:pPr>
          </w:p>
        </w:tc>
        <w:tc>
          <w:tcPr>
            <w:tcW w:w="860" w:type="dxa"/>
            <w:vAlign w:val="bottom"/>
          </w:tcPr>
          <w:p>
            <w:pPr>
              <w:jc w:val="right"/>
              <w:ind w:right="343"/>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bl>
    <w:p>
      <w:pPr>
        <w:spacing w:after="0" w:line="115" w:lineRule="exact"/>
        <w:rPr>
          <w:sz w:val="20"/>
          <w:szCs w:val="20"/>
          <w:color w:val="auto"/>
        </w:rPr>
      </w:pPr>
    </w:p>
    <w:p>
      <w:pPr>
        <w:jc w:val="both"/>
        <w:ind w:left="240" w:right="60" w:hanging="237"/>
        <w:spacing w:after="0" w:line="228" w:lineRule="auto"/>
        <w:tabs>
          <w:tab w:leader="none" w:pos="233" w:val="left"/>
        </w:tabs>
        <w:numPr>
          <w:ilvl w:val="0"/>
          <w:numId w:val="57"/>
        </w:numPr>
        <w:rPr>
          <w:rFonts w:ascii="Arial" w:cs="Arial" w:eastAsia="Arial" w:hAnsi="Arial"/>
          <w:sz w:val="18"/>
          <w:szCs w:val="18"/>
          <w:color w:val="auto"/>
          <w:vertAlign w:val="superscript"/>
        </w:rPr>
      </w:pPr>
      <w:r>
        <w:rPr>
          <w:rFonts w:ascii="Arial" w:cs="Arial" w:eastAsia="Arial" w:hAnsi="Arial"/>
          <w:sz w:val="14"/>
          <w:szCs w:val="14"/>
          <w:color w:val="auto"/>
        </w:rPr>
        <w:t>Computed based on changes in SOFR interest-rates swap curve. Changes in the level of interest rates assume a parallel shift in all maturities of the SOFR interest-rate swap curve. Changes in the slope of the yield curve assume a constant 7-year rate, a shift of 16.7 basis points for the 1-year rate (and shorter tenors) and an opposite shift of 8.3 basis points for the 30-year rate. Rate shocks for remaining maturity points are interpolated.</w:t>
      </w:r>
    </w:p>
    <w:p>
      <w:pPr>
        <w:ind w:left="220" w:hanging="217"/>
        <w:spacing w:after="0"/>
        <w:tabs>
          <w:tab w:leader="none" w:pos="220" w:val="left"/>
        </w:tabs>
        <w:numPr>
          <w:ilvl w:val="0"/>
          <w:numId w:val="57"/>
        </w:numPr>
        <w:rPr>
          <w:rFonts w:ascii="Arial" w:cs="Arial" w:eastAsia="Arial" w:hAnsi="Arial"/>
          <w:sz w:val="18"/>
          <w:szCs w:val="18"/>
          <w:color w:val="auto"/>
          <w:vertAlign w:val="superscript"/>
        </w:rPr>
      </w:pPr>
      <w:r>
        <w:rPr>
          <w:rFonts w:ascii="Arial" w:cs="Arial" w:eastAsia="Arial" w:hAnsi="Arial"/>
          <w:sz w:val="14"/>
          <w:szCs w:val="14"/>
          <w:color w:val="auto"/>
        </w:rPr>
        <w:t>Measured on the last business day of each period presented.</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57"/>
        </w:numPr>
        <w:rPr>
          <w:rFonts w:ascii="Arial" w:cs="Arial" w:eastAsia="Arial" w:hAnsi="Arial"/>
          <w:sz w:val="18"/>
          <w:szCs w:val="18"/>
          <w:color w:val="auto"/>
          <w:vertAlign w:val="superscript"/>
        </w:rPr>
      </w:pPr>
      <w:r>
        <w:rPr>
          <w:rFonts w:ascii="Arial" w:cs="Arial" w:eastAsia="Arial" w:hAnsi="Arial"/>
          <w:sz w:val="14"/>
          <w:szCs w:val="14"/>
          <w:color w:val="auto"/>
        </w:rPr>
        <w:t>Computed based on daily values during the period presented.</w:t>
      </w:r>
    </w:p>
    <w:p>
      <w:pPr>
        <w:spacing w:after="0" w:line="54"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The market value sensitivity of our net portfolio varies across a range of interest-rate shocks depending upon the duration and convexity profile of our net portfolio. The market value sensitivity of the net portfolio is measured by quantifying the change in the present value of the cash flows of our financial assets and liabilities that would result from an instantaneous shock to interest rates, assuming spreads are held constant.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2024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56</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60" w:type="dxa"/>
            <w:vAlign w:val="bottom"/>
            <w:tcBorders>
              <w:bottom w:val="single" w:sz="8" w:color="9A9A9A"/>
            </w:tcBorders>
          </w:tcPr>
          <w:p>
            <w:pPr>
              <w:spacing w:after="0"/>
              <w:rPr>
                <w:sz w:val="16"/>
                <w:szCs w:val="16"/>
                <w:color w:val="auto"/>
              </w:rPr>
            </w:pPr>
          </w:p>
        </w:tc>
        <w:tc>
          <w:tcPr>
            <w:tcW w:w="428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59" w:name="page60"/>
    <w:bookmarkEnd w:id="59"/>
    <w:p>
      <w:pPr>
        <w:ind w:left="5220"/>
        <w:spacing w:after="0"/>
        <w:rPr>
          <w:sz w:val="20"/>
          <w:szCs w:val="20"/>
          <w:color w:val="auto"/>
        </w:rPr>
      </w:pPr>
      <w:r>
        <w:rPr>
          <w:rFonts w:ascii="Arial" w:cs="Arial" w:eastAsia="Arial" w:hAnsi="Arial"/>
          <w:sz w:val="14"/>
          <w:szCs w:val="14"/>
          <w:color w:val="05314D"/>
        </w:rPr>
        <w:t>MD&amp;A | Risk Management | Market Risk Management, including Interest-Rate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We use derivatives to help manage the residual interest-rate risk exposure between the assets and liabilities in our net portfolio. Derivatives have enabled us to keep our economic interest-rate risk exposure at consistently low levels in a wide range of interest-rate environments. The table below displays an example of how derivatives impacted the net market value exposure for a 50 basis point parallel interest-rate shock. For additional information on our derivative positions, see “Note 9, Derivative Instruments” in our 2023 Form 10-K and in this report.</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Derivative Impact on Interest-Rate Risk (50 Basis Points)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420" w:type="dxa"/>
            <w:vAlign w:val="bottom"/>
            <w:tcBorders>
              <w:top w:val="single" w:sz="8" w:color="2C6937"/>
            </w:tcBorders>
          </w:tcPr>
          <w:p>
            <w:pPr>
              <w:spacing w:after="0"/>
              <w:rPr>
                <w:sz w:val="17"/>
                <w:szCs w:val="17"/>
                <w:color w:val="auto"/>
              </w:rPr>
            </w:pPr>
          </w:p>
        </w:tc>
        <w:tc>
          <w:tcPr>
            <w:tcW w:w="220" w:type="dxa"/>
            <w:vAlign w:val="bottom"/>
            <w:tcBorders>
              <w:top w:val="single" w:sz="8" w:color="2C6937"/>
              <w:bottom w:val="single" w:sz="8" w:color="2C6937"/>
            </w:tcBorders>
          </w:tcPr>
          <w:p>
            <w:pPr>
              <w:spacing w:after="0"/>
              <w:rPr>
                <w:sz w:val="17"/>
                <w:szCs w:val="17"/>
                <w:color w:val="auto"/>
              </w:rPr>
            </w:pPr>
          </w:p>
        </w:tc>
        <w:tc>
          <w:tcPr>
            <w:tcW w:w="2020" w:type="dxa"/>
            <w:vAlign w:val="bottom"/>
            <w:tcBorders>
              <w:top w:val="single" w:sz="8" w:color="2C6937"/>
              <w:bottom w:val="single" w:sz="8" w:color="2C6937"/>
            </w:tcBorders>
            <w:gridSpan w:val="2"/>
          </w:tcPr>
          <w:p>
            <w:pPr>
              <w:jc w:val="right"/>
              <w:ind w:right="23"/>
              <w:spacing w:after="0"/>
              <w:rPr>
                <w:sz w:val="20"/>
                <w:szCs w:val="20"/>
                <w:color w:val="auto"/>
              </w:rPr>
            </w:pPr>
            <w:r>
              <w:rPr>
                <w:rFonts w:ascii="Arial" w:cs="Arial" w:eastAsia="Arial" w:hAnsi="Arial"/>
                <w:sz w:val="14"/>
                <w:szCs w:val="14"/>
                <w:b w:val="1"/>
                <w:bCs w:val="1"/>
                <w:color w:val="auto"/>
              </w:rPr>
              <w:t>As of</w:t>
            </w:r>
            <w:r>
              <w:rPr>
                <w:rFonts w:ascii="Arial" w:cs="Arial" w:eastAsia="Arial" w:hAnsi="Arial"/>
                <w:sz w:val="17"/>
                <w:szCs w:val="17"/>
                <w:b w:val="1"/>
                <w:bCs w:val="1"/>
                <w:color w:val="auto"/>
                <w:vertAlign w:val="superscript"/>
              </w:rPr>
              <w:t>(1)</w:t>
            </w:r>
          </w:p>
        </w:tc>
        <w:tc>
          <w:tcPr>
            <w:tcW w:w="1580" w:type="dxa"/>
            <w:vAlign w:val="bottom"/>
            <w:tcBorders>
              <w:top w:val="single" w:sz="8" w:color="2C6937"/>
              <w:bottom w:val="single" w:sz="8" w:color="2C6937"/>
            </w:tcBorders>
          </w:tcPr>
          <w:p>
            <w:pPr>
              <w:spacing w:after="0"/>
              <w:rPr>
                <w:sz w:val="17"/>
                <w:szCs w:val="17"/>
                <w:color w:val="auto"/>
              </w:rPr>
            </w:pPr>
          </w:p>
        </w:tc>
      </w:tr>
      <w:tr>
        <w:trPr>
          <w:trHeight w:val="185"/>
        </w:trPr>
        <w:tc>
          <w:tcPr>
            <w:tcW w:w="742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1680" w:type="dxa"/>
            <w:vAlign w:val="bottom"/>
            <w:tcBorders>
              <w:bottom w:val="single" w:sz="8" w:color="2C6937"/>
            </w:tcBorders>
          </w:tcPr>
          <w:p>
            <w:pPr>
              <w:jc w:val="right"/>
              <w:ind w:right="267"/>
              <w:spacing w:after="0"/>
              <w:rPr>
                <w:sz w:val="20"/>
                <w:szCs w:val="20"/>
                <w:color w:val="auto"/>
              </w:rPr>
            </w:pPr>
            <w:r>
              <w:rPr>
                <w:rFonts w:ascii="Arial" w:cs="Arial" w:eastAsia="Arial" w:hAnsi="Arial"/>
                <w:sz w:val="14"/>
                <w:szCs w:val="14"/>
                <w:b w:val="1"/>
                <w:bCs w:val="1"/>
                <w:color w:val="auto"/>
              </w:rPr>
              <w:t>September 30, 2024</w:t>
            </w:r>
          </w:p>
        </w:tc>
        <w:tc>
          <w:tcPr>
            <w:tcW w:w="340" w:type="dxa"/>
            <w:vAlign w:val="bottom"/>
            <w:tcBorders>
              <w:bottom w:val="single" w:sz="8" w:color="2C6937"/>
            </w:tcBorders>
          </w:tcPr>
          <w:p>
            <w:pPr>
              <w:spacing w:after="0"/>
              <w:rPr>
                <w:sz w:val="16"/>
                <w:szCs w:val="16"/>
                <w:color w:val="auto"/>
              </w:rPr>
            </w:pPr>
          </w:p>
        </w:tc>
        <w:tc>
          <w:tcPr>
            <w:tcW w:w="1580" w:type="dxa"/>
            <w:vAlign w:val="bottom"/>
            <w:tcBorders>
              <w:bottom w:val="single" w:sz="8" w:color="2C6937"/>
            </w:tcBorders>
          </w:tcPr>
          <w:p>
            <w:pPr>
              <w:jc w:val="right"/>
              <w:ind w:right="225"/>
              <w:spacing w:after="0"/>
              <w:rPr>
                <w:sz w:val="20"/>
                <w:szCs w:val="20"/>
                <w:color w:val="auto"/>
              </w:rPr>
            </w:pPr>
            <w:r>
              <w:rPr>
                <w:rFonts w:ascii="Arial" w:cs="Arial" w:eastAsia="Arial" w:hAnsi="Arial"/>
                <w:sz w:val="14"/>
                <w:szCs w:val="14"/>
                <w:b w:val="1"/>
                <w:bCs w:val="1"/>
                <w:color w:val="auto"/>
                <w:w w:val="99"/>
              </w:rPr>
              <w:t>December 31, 2023</w:t>
            </w:r>
          </w:p>
        </w:tc>
      </w:tr>
      <w:tr>
        <w:trPr>
          <w:trHeight w:val="185"/>
        </w:trPr>
        <w:tc>
          <w:tcPr>
            <w:tcW w:w="7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gridSpan w:val="3"/>
          </w:tcPr>
          <w:p>
            <w:pPr>
              <w:jc w:val="right"/>
              <w:ind w:right="1205"/>
              <w:spacing w:after="0"/>
              <w:rPr>
                <w:sz w:val="20"/>
                <w:szCs w:val="20"/>
                <w:color w:val="auto"/>
              </w:rPr>
            </w:pPr>
            <w:r>
              <w:rPr>
                <w:rFonts w:ascii="Arial" w:cs="Arial" w:eastAsia="Arial" w:hAnsi="Arial"/>
                <w:sz w:val="14"/>
                <w:szCs w:val="14"/>
                <w:b w:val="1"/>
                <w:bCs w:val="1"/>
                <w:color w:val="auto"/>
              </w:rPr>
              <w:t>(Dollars in millions)</w:t>
            </w:r>
          </w:p>
        </w:tc>
      </w:tr>
      <w:tr>
        <w:trPr>
          <w:trHeight w:val="207"/>
        </w:trPr>
        <w:tc>
          <w:tcPr>
            <w:tcW w:w="7420" w:type="dxa"/>
            <w:vAlign w:val="bottom"/>
          </w:tcPr>
          <w:p>
            <w:pPr>
              <w:ind w:left="20"/>
              <w:spacing w:after="0"/>
              <w:rPr>
                <w:sz w:val="20"/>
                <w:szCs w:val="20"/>
                <w:color w:val="auto"/>
              </w:rPr>
            </w:pPr>
            <w:r>
              <w:rPr>
                <w:rFonts w:ascii="Arial" w:cs="Arial" w:eastAsia="Arial" w:hAnsi="Arial"/>
                <w:sz w:val="15"/>
                <w:szCs w:val="15"/>
                <w:color w:val="auto"/>
              </w:rPr>
              <w:t>Before derivatives</w:t>
            </w:r>
          </w:p>
        </w:tc>
        <w:tc>
          <w:tcPr>
            <w:tcW w:w="2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680" w:type="dxa"/>
            <w:vAlign w:val="bottom"/>
          </w:tcPr>
          <w:p>
            <w:pPr>
              <w:jc w:val="right"/>
              <w:ind w:right="107"/>
              <w:spacing w:after="0"/>
              <w:rPr>
                <w:sz w:val="20"/>
                <w:szCs w:val="20"/>
                <w:color w:val="auto"/>
              </w:rPr>
            </w:pPr>
            <w:r>
              <w:rPr>
                <w:rFonts w:ascii="Arial" w:cs="Arial" w:eastAsia="Arial" w:hAnsi="Arial"/>
                <w:sz w:val="15"/>
                <w:szCs w:val="15"/>
                <w:b w:val="1"/>
                <w:bCs w:val="1"/>
                <w:color w:val="auto"/>
              </w:rPr>
              <w:t>(656)</w:t>
            </w:r>
          </w:p>
        </w:tc>
        <w:tc>
          <w:tcPr>
            <w:tcW w:w="340" w:type="dxa"/>
            <w:vAlign w:val="bottom"/>
          </w:tcPr>
          <w:p>
            <w:pPr>
              <w:jc w:val="right"/>
              <w:spacing w:after="0"/>
              <w:rPr>
                <w:sz w:val="20"/>
                <w:szCs w:val="20"/>
                <w:color w:val="auto"/>
              </w:rPr>
            </w:pPr>
            <w:r>
              <w:rPr>
                <w:rFonts w:ascii="Arial" w:cs="Arial" w:eastAsia="Arial" w:hAnsi="Arial"/>
                <w:sz w:val="15"/>
                <w:szCs w:val="15"/>
                <w:color w:val="auto"/>
              </w:rPr>
              <w:t>$</w:t>
            </w:r>
          </w:p>
        </w:tc>
        <w:tc>
          <w:tcPr>
            <w:tcW w:w="1580" w:type="dxa"/>
            <w:vAlign w:val="bottom"/>
          </w:tcPr>
          <w:p>
            <w:pPr>
              <w:jc w:val="right"/>
              <w:ind w:right="45"/>
              <w:spacing w:after="0"/>
              <w:rPr>
                <w:sz w:val="20"/>
                <w:szCs w:val="20"/>
                <w:color w:val="auto"/>
              </w:rPr>
            </w:pPr>
            <w:r>
              <w:rPr>
                <w:rFonts w:ascii="Arial" w:cs="Arial" w:eastAsia="Arial" w:hAnsi="Arial"/>
                <w:sz w:val="15"/>
                <w:szCs w:val="15"/>
                <w:color w:val="auto"/>
              </w:rPr>
              <w:t>(449)</w:t>
            </w:r>
          </w:p>
        </w:tc>
      </w:tr>
      <w:tr>
        <w:trPr>
          <w:trHeight w:val="206"/>
        </w:trPr>
        <w:tc>
          <w:tcPr>
            <w:tcW w:w="7420" w:type="dxa"/>
            <w:vAlign w:val="bottom"/>
          </w:tcPr>
          <w:p>
            <w:pPr>
              <w:ind w:left="20"/>
              <w:spacing w:after="0"/>
              <w:rPr>
                <w:sz w:val="20"/>
                <w:szCs w:val="20"/>
                <w:color w:val="auto"/>
              </w:rPr>
            </w:pPr>
            <w:r>
              <w:rPr>
                <w:rFonts w:ascii="Arial" w:cs="Arial" w:eastAsia="Arial" w:hAnsi="Arial"/>
                <w:sz w:val="15"/>
                <w:szCs w:val="15"/>
                <w:color w:val="auto"/>
              </w:rPr>
              <w:t>After derivatives</w:t>
            </w:r>
          </w:p>
        </w:tc>
        <w:tc>
          <w:tcPr>
            <w:tcW w:w="220" w:type="dxa"/>
            <w:vAlign w:val="bottom"/>
          </w:tcPr>
          <w:p>
            <w:pPr>
              <w:spacing w:after="0"/>
              <w:rPr>
                <w:sz w:val="17"/>
                <w:szCs w:val="17"/>
                <w:color w:val="auto"/>
              </w:rPr>
            </w:pPr>
          </w:p>
        </w:tc>
        <w:tc>
          <w:tcPr>
            <w:tcW w:w="1680" w:type="dxa"/>
            <w:vAlign w:val="bottom"/>
          </w:tcPr>
          <w:p>
            <w:pPr>
              <w:jc w:val="right"/>
              <w:ind w:right="167"/>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7"/>
                <w:szCs w:val="17"/>
                <w:color w:val="auto"/>
              </w:rPr>
            </w:pPr>
          </w:p>
        </w:tc>
        <w:tc>
          <w:tcPr>
            <w:tcW w:w="1580" w:type="dxa"/>
            <w:vAlign w:val="bottom"/>
          </w:tcPr>
          <w:p>
            <w:pPr>
              <w:jc w:val="right"/>
              <w:ind w:right="45"/>
              <w:spacing w:after="0"/>
              <w:rPr>
                <w:sz w:val="20"/>
                <w:szCs w:val="20"/>
                <w:color w:val="auto"/>
              </w:rPr>
            </w:pPr>
            <w:r>
              <w:rPr>
                <w:rFonts w:ascii="Arial" w:cs="Arial" w:eastAsia="Arial" w:hAnsi="Arial"/>
                <w:sz w:val="15"/>
                <w:szCs w:val="15"/>
                <w:color w:val="auto"/>
              </w:rPr>
              <w:t>(47)</w:t>
            </w:r>
          </w:p>
        </w:tc>
      </w:tr>
      <w:tr>
        <w:trPr>
          <w:trHeight w:val="214"/>
        </w:trPr>
        <w:tc>
          <w:tcPr>
            <w:tcW w:w="7420" w:type="dxa"/>
            <w:vAlign w:val="bottom"/>
          </w:tcPr>
          <w:p>
            <w:pPr>
              <w:ind w:left="20"/>
              <w:spacing w:after="0"/>
              <w:rPr>
                <w:sz w:val="20"/>
                <w:szCs w:val="20"/>
                <w:color w:val="auto"/>
              </w:rPr>
            </w:pPr>
            <w:r>
              <w:rPr>
                <w:rFonts w:ascii="Arial" w:cs="Arial" w:eastAsia="Arial" w:hAnsi="Arial"/>
                <w:sz w:val="15"/>
                <w:szCs w:val="15"/>
                <w:color w:val="auto"/>
              </w:rPr>
              <w:t>Effect of derivatives</w:t>
            </w:r>
          </w:p>
        </w:tc>
        <w:tc>
          <w:tcPr>
            <w:tcW w:w="220" w:type="dxa"/>
            <w:vAlign w:val="bottom"/>
          </w:tcPr>
          <w:p>
            <w:pPr>
              <w:spacing w:after="0"/>
              <w:rPr>
                <w:sz w:val="18"/>
                <w:szCs w:val="18"/>
                <w:color w:val="auto"/>
              </w:rPr>
            </w:pPr>
          </w:p>
        </w:tc>
        <w:tc>
          <w:tcPr>
            <w:tcW w:w="1680" w:type="dxa"/>
            <w:vAlign w:val="bottom"/>
          </w:tcPr>
          <w:p>
            <w:pPr>
              <w:jc w:val="right"/>
              <w:ind w:right="167"/>
              <w:spacing w:after="0"/>
              <w:rPr>
                <w:sz w:val="20"/>
                <w:szCs w:val="20"/>
                <w:color w:val="auto"/>
              </w:rPr>
            </w:pPr>
            <w:r>
              <w:rPr>
                <w:rFonts w:ascii="Arial" w:cs="Arial" w:eastAsia="Arial" w:hAnsi="Arial"/>
                <w:sz w:val="15"/>
                <w:szCs w:val="15"/>
                <w:b w:val="1"/>
                <w:bCs w:val="1"/>
                <w:color w:val="auto"/>
              </w:rPr>
              <w:t>660</w:t>
            </w:r>
          </w:p>
        </w:tc>
        <w:tc>
          <w:tcPr>
            <w:tcW w:w="340" w:type="dxa"/>
            <w:vAlign w:val="bottom"/>
          </w:tcPr>
          <w:p>
            <w:pPr>
              <w:spacing w:after="0"/>
              <w:rPr>
                <w:sz w:val="18"/>
                <w:szCs w:val="18"/>
                <w:color w:val="auto"/>
              </w:rPr>
            </w:pPr>
          </w:p>
        </w:tc>
        <w:tc>
          <w:tcPr>
            <w:tcW w:w="1580" w:type="dxa"/>
            <w:vAlign w:val="bottom"/>
          </w:tcPr>
          <w:p>
            <w:pPr>
              <w:jc w:val="right"/>
              <w:ind w:right="85"/>
              <w:spacing w:after="0"/>
              <w:rPr>
                <w:sz w:val="20"/>
                <w:szCs w:val="20"/>
                <w:color w:val="auto"/>
              </w:rPr>
            </w:pPr>
            <w:r>
              <w:rPr>
                <w:rFonts w:ascii="Arial" w:cs="Arial" w:eastAsia="Arial" w:hAnsi="Arial"/>
                <w:sz w:val="15"/>
                <w:szCs w:val="15"/>
                <w:color w:val="auto"/>
              </w:rPr>
              <w:t>402</w:t>
            </w:r>
          </w:p>
        </w:tc>
      </w:tr>
    </w:tbl>
    <w:p>
      <w:pPr>
        <w:spacing w:after="0" w:line="102" w:lineRule="exact"/>
        <w:rPr>
          <w:sz w:val="20"/>
          <w:szCs w:val="20"/>
          <w:color w:val="auto"/>
        </w:rPr>
      </w:pPr>
    </w:p>
    <w:p>
      <w:pPr>
        <w:ind w:left="220" w:hanging="217"/>
        <w:spacing w:after="0"/>
        <w:tabs>
          <w:tab w:leader="none" w:pos="220" w:val="left"/>
        </w:tabs>
        <w:numPr>
          <w:ilvl w:val="0"/>
          <w:numId w:val="58"/>
        </w:numPr>
        <w:rPr>
          <w:rFonts w:ascii="Arial" w:cs="Arial" w:eastAsia="Arial" w:hAnsi="Arial"/>
          <w:sz w:val="9"/>
          <w:szCs w:val="9"/>
          <w:color w:val="auto"/>
        </w:rPr>
      </w:pPr>
      <w:r>
        <w:rPr>
          <w:rFonts w:ascii="Arial" w:cs="Arial" w:eastAsia="Arial" w:hAnsi="Arial"/>
          <w:sz w:val="14"/>
          <w:szCs w:val="14"/>
          <w:color w:val="auto"/>
        </w:rPr>
        <w:t>Measured on the last business day of each period presented.</w:t>
      </w:r>
    </w:p>
    <w:p>
      <w:pPr>
        <w:spacing w:after="0" w:line="109"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Earnings Exposure to Interest-Rate Risk</w:t>
      </w:r>
    </w:p>
    <w:p>
      <w:pPr>
        <w:spacing w:after="0" w:line="80" w:lineRule="exact"/>
        <w:rPr>
          <w:sz w:val="20"/>
          <w:szCs w:val="20"/>
          <w:color w:val="auto"/>
        </w:rPr>
      </w:pPr>
    </w:p>
    <w:p>
      <w:pPr>
        <w:ind w:right="180"/>
        <w:spacing w:after="0" w:line="263" w:lineRule="auto"/>
        <w:rPr>
          <w:sz w:val="20"/>
          <w:szCs w:val="20"/>
          <w:color w:val="auto"/>
        </w:rPr>
      </w:pPr>
      <w:r>
        <w:rPr>
          <w:rFonts w:ascii="Arial" w:cs="Arial" w:eastAsia="Arial" w:hAnsi="Arial"/>
          <w:sz w:val="16"/>
          <w:szCs w:val="16"/>
          <w:color w:val="auto"/>
        </w:rPr>
        <w:t>While we manage the interest-rate risk of our net portfolio with the objective of remaining neutral to movements in interest rates and volatility on an economic basis, our earnings can experience volatility due to interest-rate changes and differing accounting treatments that apply to certain financial instruments on our balance sheet. Specifically, we have exposure to earnings volatility that is driven by changes in interest rates in two primary areas: our net portfolio and our consolidated MBS trusts. The exposure in the net portfolio is primarily driven by changes in the fair value of risk management derivatives, mortgage commitments, and certain assets, primarily securities, that are carried at fair value. The exposure related to our consolidated MBS trusts relates to changes in our credit loss reserves and to the amortization of cost basis adjustments resulting from changes in interest rates.</w:t>
      </w:r>
    </w:p>
    <w:p>
      <w:pPr>
        <w:spacing w:after="0" w:line="41"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We apply fair value hedge accounting to address some of the exposure to interest rates, particularly the earnings volatility related to changes in benchmark interest rates. Our hedge accounting program is specifically designed to address the volatility of our financial results associated with changes in fair value related to changes in these benchmark interest rates. As such, earnings variability driven by other factors, such as spreads or changes in cost basis amortization recognized in net interest income, remains. In addition, our ability to effectively reduce earnings volatility is dependent upon the volume and type of interest-rate swaps available for hedging, which is driven by our interest-rate risk management strategy discussed above and in our 2023 Form 10-K. As our range of available interest-rate swaps varies over time, our ability to reduce earnings volatility through hedge accounting may vary as well. When the shape of the yield curve shifts significantly from period to period, hedge accounting may be less effective. In our current program, we establish new hedging relationships each business day to provide flexibility in our overall risk management strategy.</w:t>
      </w:r>
    </w:p>
    <w:p>
      <w:pPr>
        <w:spacing w:after="0" w:line="43" w:lineRule="exact"/>
        <w:rPr>
          <w:sz w:val="20"/>
          <w:szCs w:val="20"/>
          <w:color w:val="auto"/>
        </w:rPr>
      </w:pPr>
    </w:p>
    <w:p>
      <w:pPr>
        <w:ind w:right="820"/>
        <w:spacing w:after="0" w:line="310" w:lineRule="auto"/>
        <w:rPr>
          <w:sz w:val="20"/>
          <w:szCs w:val="20"/>
          <w:color w:val="auto"/>
        </w:rPr>
      </w:pPr>
      <w:r>
        <w:rPr>
          <w:rFonts w:ascii="Arial" w:cs="Arial" w:eastAsia="Arial" w:hAnsi="Arial"/>
          <w:sz w:val="16"/>
          <w:szCs w:val="16"/>
          <w:color w:val="auto"/>
        </w:rPr>
        <w:t>See “Note 1, Summary of Significant Accounting Policies” in our 2023 Form 10-K and “Note 9, Derivative Instruments” in this report for additional information on our fair value hedge accounting policy and related disclosures.</w:t>
      </w:r>
    </w:p>
    <w:p>
      <w:pPr>
        <w:spacing w:after="0" w:line="99"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Critical Accounting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ind w:right="160"/>
        <w:spacing w:after="0" w:line="268" w:lineRule="auto"/>
        <w:rPr>
          <w:sz w:val="20"/>
          <w:szCs w:val="20"/>
          <w:color w:val="auto"/>
        </w:rPr>
      </w:pPr>
      <w:r>
        <w:rPr>
          <w:rFonts w:ascii="Arial" w:cs="Arial" w:eastAsia="Arial" w:hAnsi="Arial"/>
          <w:sz w:val="16"/>
          <w:szCs w:val="16"/>
          <w:color w:val="auto"/>
        </w:rPr>
        <w:t>The preparation of financial statements in accordance with GAAP requires management to make a number of judgments, estimates and assumptions that affect the reported amount of assets, liabilities, income and expenses in our condensed consolidated financial statements. Understanding our accounting policies and the extent to which we use management judgment and estimates in applying these policies is integral to understanding our financial statements. We describe our most significant accounting policies in “Note 1, Summary of Significant Accounting Policies” in this report and in our 2023 Form 10-K.</w:t>
      </w:r>
    </w:p>
    <w:p>
      <w:pPr>
        <w:spacing w:after="0" w:line="235"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We evaluate our critical accounting estimates and judgments required by our policies on an ongoing basis and update them as necessary based on changing conditions. Management has discussed any significant changes in judgments and assumptions in applying our critical accounting estimates with the Audit Committee of our Board of Directors. See “Risk Factors—General Risk” in our 2023 Form 10-K for a discussion of the risks associated with the need for management to make judgments and estimates in applying our accounting policies and methods. We have identified one of our accounting estimates, allowance for loan losses, as critical because it involves significant judgments and assumptions about highly complex and inherently uncertain matters, and the use of reasonably different judgments and assumptions could have a material impact on our reported results of operations or financial condition.</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2024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57</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60" w:type="dxa"/>
            <w:vAlign w:val="bottom"/>
            <w:tcBorders>
              <w:bottom w:val="single" w:sz="8" w:color="9A9A9A"/>
            </w:tcBorders>
          </w:tcPr>
          <w:p>
            <w:pPr>
              <w:spacing w:after="0"/>
              <w:rPr>
                <w:sz w:val="17"/>
                <w:szCs w:val="17"/>
                <w:color w:val="auto"/>
              </w:rPr>
            </w:pPr>
          </w:p>
        </w:tc>
        <w:tc>
          <w:tcPr>
            <w:tcW w:w="42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60" w:name="page61"/>
    <w:bookmarkEnd w:id="60"/>
    <w:p>
      <w:pPr>
        <w:ind w:left="8840"/>
        <w:spacing w:after="0"/>
        <w:rPr>
          <w:sz w:val="20"/>
          <w:szCs w:val="20"/>
          <w:color w:val="auto"/>
        </w:rPr>
      </w:pPr>
      <w:r>
        <w:rPr>
          <w:rFonts w:ascii="Arial" w:cs="Arial" w:eastAsia="Arial" w:hAnsi="Arial"/>
          <w:sz w:val="14"/>
          <w:szCs w:val="14"/>
          <w:color w:val="05314D"/>
        </w:rPr>
        <w:t>MD&amp;A | Critical Accounting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Allowance for Loan Losses</w:t>
      </w:r>
    </w:p>
    <w:p>
      <w:pPr>
        <w:spacing w:after="0" w:line="63" w:lineRule="exact"/>
        <w:rPr>
          <w:sz w:val="20"/>
          <w:szCs w:val="20"/>
          <w:color w:val="auto"/>
        </w:rPr>
      </w:pPr>
    </w:p>
    <w:p>
      <w:pPr>
        <w:jc w:val="both"/>
        <w:ind w:right="140"/>
        <w:spacing w:after="0" w:line="281" w:lineRule="auto"/>
        <w:rPr>
          <w:sz w:val="20"/>
          <w:szCs w:val="20"/>
          <w:color w:val="auto"/>
        </w:rPr>
      </w:pPr>
      <w:r>
        <w:rPr>
          <w:rFonts w:ascii="Arial" w:cs="Arial" w:eastAsia="Arial" w:hAnsi="Arial"/>
          <w:sz w:val="16"/>
          <w:szCs w:val="16"/>
          <w:color w:val="auto"/>
        </w:rPr>
        <w:t>The allowance for loan losses is an estimate of single-family and multifamily HFI loan receivables that we expect will not be collected related to loans held by Fannie Mae or by consolidated Fannie Mae MBS trusts. The expected credit losses are deducted from the amortized cost basis of HFI loans to present the net amount expected to be received.</w:t>
      </w:r>
    </w:p>
    <w:p>
      <w:pPr>
        <w:spacing w:after="0" w:line="24"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The allowance for loan losses involves substantial judgment on a number of matters including the development and weighting of macroeconomic forecasts, the reversion period applied, the assessment of similar risk characteristics, which determines the historic loss experience used to derive probability of loan default, the valuation of collateral, which includes judgments about the property condition at the time of foreclosure, and the determination of a loan’s remaining expected life. Our most significant judgments involved in estimating our allowance for loan losses relate to the modeled macroeconomic data used to develop reasonable and supportable forecasts for key economic drivers, which are subject to significant inherent uncertainty. Most notably, for single-family, the model uses forecasted single-family home prices as well as a range of possible future interest rate environments. For multifamily, the model uses forecasted rental income and property valuations over the remaining life of each mortgage loan. In developing a reasonable and supportable forecast, the model simulates multiple paths of interest rates, rental income and property values based on current market conditions.</w:t>
      </w:r>
    </w:p>
    <w:p>
      <w:pPr>
        <w:spacing w:after="0" w:line="8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Quantitative Component</w:t>
      </w:r>
    </w:p>
    <w:p>
      <w:pPr>
        <w:spacing w:after="0" w:line="80" w:lineRule="exact"/>
        <w:rPr>
          <w:sz w:val="20"/>
          <w:szCs w:val="20"/>
          <w:color w:val="auto"/>
        </w:rPr>
      </w:pPr>
    </w:p>
    <w:p>
      <w:pPr>
        <w:ind w:right="580"/>
        <w:spacing w:after="0" w:line="293" w:lineRule="auto"/>
        <w:rPr>
          <w:sz w:val="20"/>
          <w:szCs w:val="20"/>
          <w:color w:val="auto"/>
        </w:rPr>
      </w:pPr>
      <w:r>
        <w:rPr>
          <w:rFonts w:ascii="Arial" w:cs="Arial" w:eastAsia="Arial" w:hAnsi="Arial"/>
          <w:sz w:val="16"/>
          <w:szCs w:val="16"/>
          <w:color w:val="auto"/>
        </w:rPr>
        <w:t>We use a discounted cash flow method to measure expected credit losses on our single-family mortgage loans and an undiscounted loss method to measure expected credit losses on our multifamily mortgage loans.</w:t>
      </w:r>
    </w:p>
    <w:p>
      <w:pPr>
        <w:spacing w:after="0" w:line="15"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Our modeled loan performance is based on our historical experience of loans with similar risk characteristics adjusted to reflect current conditions and reasonable and supportable forecasts. Our historical loss experience and our loan loss estimates capture the possibility of a multitude of events, including remote events that could result in credit losses on loans that are considered low risk. Our credit loss models, including the macroeconomic forecast data used as key inputs, are subject to our model oversight and review processes as well as other established governance and controls.</w:t>
      </w:r>
    </w:p>
    <w:p>
      <w:pPr>
        <w:spacing w:after="0" w:line="7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Qualitative Component</w:t>
      </w:r>
    </w:p>
    <w:p>
      <w:pPr>
        <w:spacing w:after="0" w:line="80"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Our process for measuring expected credit losses is complex and involves significant management judgment, including a reliance on historical loss information and current economic forecasts that may not be representative of credit losses we ultimately realize. Management adjustments may be necessary to take into consideration external factors and current macroeconomic events that have occurred but are not yet reflected in the data used to derive the model outputs. Qualitative factors and events not previously observed by the models through historical loss experience may also be considered, as well as the uncertainty of their impact on credit loss estimates. Qualitative factors considered in the third quarter of 2024 evaluation of multifamily credit losses included uncertainty relating to multifamily property values and the ongoing investigation of multifamily lending transactions involving suspected fraud. For single-family, qualitative factors considered included the potential impact of Hurricane Helene. See “Consolidated Results of Operations—Benefit (Provision) for Credit Losses” for additional information about these factors.</w:t>
      </w:r>
    </w:p>
    <w:p>
      <w:pPr>
        <w:spacing w:after="0" w:line="8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Macroeconomic Variables and Sensitivities</w:t>
      </w:r>
    </w:p>
    <w:p>
      <w:pPr>
        <w:spacing w:after="0" w:line="106"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Our benefit or provision for credit losses can vary substantially from period to period based on forecasted macroeconomic drivers; primarily home prices and interest rates related to our single-family book of business, which for the purposes of macroeconomic model inputs, we have determined are the most significant judgments used in our estimation of credit losses. We develop regional forecasts for single-family home prices using a multi-path simulation that captures home price projections over a five-year period, which is the period for which we can develop reasonable and supportable forecasts. After the five-year period, the home price forecast reverts to a historical long-term growth rate. Additionally, our model projects the range of possible interest rate scenarios over the life of the loan. This process captures multiple possible outcomes of what could be more or less favorable economic environments for the borrower, and therefore will increase or decrease the likelihood of default or prepayment depending on the environment in each path of the simulation.</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8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2024 Form 10-Q</w:t>
            </w:r>
          </w:p>
        </w:tc>
        <w:tc>
          <w:tcPr>
            <w:tcW w:w="43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58</w:t>
            </w:r>
          </w:p>
        </w:tc>
      </w:tr>
      <w:tr>
        <w:trPr>
          <w:trHeight w:val="207"/>
        </w:trPr>
        <w:tc>
          <w:tcPr>
            <w:tcW w:w="6860" w:type="dxa"/>
            <w:vAlign w:val="bottom"/>
            <w:tcBorders>
              <w:bottom w:val="single" w:sz="8" w:color="9A9A9A"/>
            </w:tcBorders>
          </w:tcPr>
          <w:p>
            <w:pPr>
              <w:spacing w:after="0"/>
              <w:rPr>
                <w:sz w:val="17"/>
                <w:szCs w:val="17"/>
                <w:color w:val="auto"/>
              </w:rPr>
            </w:pPr>
          </w:p>
        </w:tc>
        <w:tc>
          <w:tcPr>
            <w:tcW w:w="4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61" w:name="page62"/>
    <w:bookmarkEnd w:id="61"/>
    <w:p>
      <w:pPr>
        <w:ind w:left="8840"/>
        <w:spacing w:after="0"/>
        <w:rPr>
          <w:sz w:val="20"/>
          <w:szCs w:val="20"/>
          <w:color w:val="auto"/>
        </w:rPr>
      </w:pPr>
      <w:r>
        <w:rPr>
          <w:rFonts w:ascii="Arial" w:cs="Arial" w:eastAsia="Arial" w:hAnsi="Arial"/>
          <w:sz w:val="14"/>
          <w:szCs w:val="14"/>
          <w:color w:val="05314D"/>
        </w:rPr>
        <w:t>MD&amp;A | Critical Accounting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80"/>
        <w:spacing w:after="0" w:line="247" w:lineRule="auto"/>
        <w:rPr>
          <w:sz w:val="20"/>
          <w:szCs w:val="20"/>
          <w:color w:val="auto"/>
        </w:rPr>
      </w:pPr>
      <w:r>
        <w:rPr>
          <w:rFonts w:ascii="Arial" w:cs="Arial" w:eastAsia="Arial" w:hAnsi="Arial"/>
          <w:sz w:val="16"/>
          <w:szCs w:val="16"/>
          <w:color w:val="auto"/>
        </w:rPr>
        <w:t>The table below provides information about our most significant key macroeconomic inputs used in determining our single-family allowance for loan losses: forecasted home price growth rates and interest rates. Although the model consumes a wide range of possible regional home price forecasts and interest rate scenarios that take into account inherent uncertainty, the forecasts below represent the mean path of those simulations used in determining the allowance for each quarter through the nine months ended September 30, 2024, and for each quarter during the year ended December 31, 2023, and how those forecasts have changed between periods of estimate. Below we present our home price growth and interest rate estimates used in our estimate of expected credit losses. Our forecasts include estimates for periods beyond 2026 that are not presented in the table below.</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Select Single-Family Macroeconomic Model Inputs</w:t>
      </w:r>
      <w:r>
        <w:rPr>
          <w:rFonts w:ascii="Arial" w:cs="Arial" w:eastAsia="Arial" w:hAnsi="Arial"/>
          <w:sz w:val="24"/>
          <w:szCs w:val="24"/>
          <w:b w:val="1"/>
          <w:bCs w:val="1"/>
          <w:color w:val="001543"/>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38670" cy="165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40"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Forecasted home price growth (decline) rate by period of estimate:</w:t>
      </w:r>
      <w:r>
        <w:rPr>
          <w:rFonts w:ascii="Arial" w:cs="Arial" w:eastAsia="Arial" w:hAnsi="Arial"/>
          <w:sz w:val="20"/>
          <w:szCs w:val="20"/>
          <w:b w:val="1"/>
          <w:bCs w:val="1"/>
          <w:color w:val="auto"/>
          <w:vertAlign w:val="superscript"/>
        </w:rPr>
        <w:t>(2)</w:t>
      </w:r>
    </w:p>
    <w:p>
      <w:pPr>
        <w:spacing w:after="0" w:line="18" w:lineRule="exact"/>
        <w:rPr>
          <w:sz w:val="20"/>
          <w:szCs w:val="20"/>
          <w:color w:val="auto"/>
        </w:rPr>
      </w:pPr>
    </w:p>
    <w:p>
      <w:pPr>
        <w:ind w:left="7380"/>
        <w:spacing w:after="0"/>
        <w:rPr>
          <w:sz w:val="20"/>
          <w:szCs w:val="20"/>
          <w:color w:val="auto"/>
        </w:rPr>
      </w:pPr>
      <w:r>
        <w:rPr>
          <w:rFonts w:ascii="Arial" w:cs="Arial" w:eastAsia="Arial" w:hAnsi="Arial"/>
          <w:sz w:val="15"/>
          <w:szCs w:val="15"/>
          <w:b w:val="1"/>
          <w:bCs w:val="1"/>
          <w:color w:val="auto"/>
        </w:rPr>
        <w:t>For the Full Year ending December 31,</w:t>
      </w: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6320" w:type="dxa"/>
            <w:vAlign w:val="bottom"/>
          </w:tcPr>
          <w:p>
            <w:pPr>
              <w:spacing w:after="0"/>
              <w:rPr>
                <w:sz w:val="17"/>
                <w:szCs w:val="17"/>
                <w:color w:val="auto"/>
              </w:rPr>
            </w:pPr>
          </w:p>
        </w:tc>
        <w:tc>
          <w:tcPr>
            <w:tcW w:w="1240" w:type="dxa"/>
            <w:vAlign w:val="bottom"/>
            <w:tcBorders>
              <w:top w:val="single" w:sz="8" w:color="2C6937"/>
              <w:bottom w:val="single" w:sz="8" w:color="2C6937"/>
            </w:tcBorders>
          </w:tcPr>
          <w:p>
            <w:pPr>
              <w:jc w:val="right"/>
              <w:ind w:right="83"/>
              <w:spacing w:after="0"/>
              <w:rPr>
                <w:sz w:val="20"/>
                <w:szCs w:val="20"/>
                <w:color w:val="auto"/>
              </w:rPr>
            </w:pPr>
            <w:r>
              <w:rPr>
                <w:rFonts w:ascii="Arial" w:cs="Arial" w:eastAsia="Arial" w:hAnsi="Arial"/>
                <w:sz w:val="15"/>
                <w:szCs w:val="15"/>
                <w:b w:val="1"/>
                <w:bCs w:val="1"/>
                <w:color w:val="auto"/>
              </w:rPr>
              <w:t>2024</w:t>
            </w:r>
          </w:p>
        </w:tc>
        <w:tc>
          <w:tcPr>
            <w:tcW w:w="580" w:type="dxa"/>
            <w:vAlign w:val="bottom"/>
            <w:tcBorders>
              <w:top w:val="single" w:sz="8" w:color="2C6937"/>
              <w:bottom w:val="single" w:sz="8" w:color="2C6937"/>
            </w:tcBorders>
          </w:tcPr>
          <w:p>
            <w:pPr>
              <w:spacing w:after="0"/>
              <w:rPr>
                <w:sz w:val="17"/>
                <w:szCs w:val="17"/>
                <w:color w:val="auto"/>
              </w:rPr>
            </w:pPr>
          </w:p>
        </w:tc>
        <w:tc>
          <w:tcPr>
            <w:tcW w:w="80" w:type="dxa"/>
            <w:vAlign w:val="bottom"/>
            <w:tcBorders>
              <w:top w:val="single" w:sz="8" w:color="2C6937"/>
            </w:tcBorders>
          </w:tcPr>
          <w:p>
            <w:pPr>
              <w:spacing w:after="0"/>
              <w:rPr>
                <w:sz w:val="17"/>
                <w:szCs w:val="17"/>
                <w:color w:val="auto"/>
              </w:rPr>
            </w:pPr>
          </w:p>
        </w:tc>
        <w:tc>
          <w:tcPr>
            <w:tcW w:w="1480" w:type="dxa"/>
            <w:vAlign w:val="bottom"/>
            <w:tcBorders>
              <w:top w:val="single" w:sz="8" w:color="2C6937"/>
              <w:bottom w:val="single" w:sz="8" w:color="2C6937"/>
            </w:tcBorders>
          </w:tcPr>
          <w:p>
            <w:pPr>
              <w:jc w:val="right"/>
              <w:ind w:right="503"/>
              <w:spacing w:after="0"/>
              <w:rPr>
                <w:sz w:val="20"/>
                <w:szCs w:val="20"/>
                <w:color w:val="auto"/>
              </w:rPr>
            </w:pPr>
            <w:r>
              <w:rPr>
                <w:rFonts w:ascii="Arial" w:cs="Arial" w:eastAsia="Arial" w:hAnsi="Arial"/>
                <w:sz w:val="15"/>
                <w:szCs w:val="15"/>
                <w:b w:val="1"/>
                <w:bCs w:val="1"/>
                <w:color w:val="auto"/>
              </w:rPr>
              <w:t>2025</w:t>
            </w:r>
          </w:p>
        </w:tc>
        <w:tc>
          <w:tcPr>
            <w:tcW w:w="100" w:type="dxa"/>
            <w:vAlign w:val="bottom"/>
            <w:tcBorders>
              <w:top w:val="single" w:sz="8" w:color="2C6937"/>
            </w:tcBorders>
          </w:tcPr>
          <w:p>
            <w:pPr>
              <w:spacing w:after="0"/>
              <w:rPr>
                <w:sz w:val="17"/>
                <w:szCs w:val="17"/>
                <w:color w:val="auto"/>
              </w:rPr>
            </w:pPr>
          </w:p>
        </w:tc>
        <w:tc>
          <w:tcPr>
            <w:tcW w:w="1420" w:type="dxa"/>
            <w:vAlign w:val="bottom"/>
            <w:tcBorders>
              <w:top w:val="single" w:sz="8" w:color="2C6937"/>
              <w:bottom w:val="single" w:sz="8" w:color="2C6937"/>
            </w:tcBorders>
          </w:tcPr>
          <w:p>
            <w:pPr>
              <w:jc w:val="right"/>
              <w:ind w:right="463"/>
              <w:spacing w:after="0"/>
              <w:rPr>
                <w:sz w:val="20"/>
                <w:szCs w:val="20"/>
                <w:color w:val="auto"/>
              </w:rPr>
            </w:pPr>
            <w:r>
              <w:rPr>
                <w:rFonts w:ascii="Arial" w:cs="Arial" w:eastAsia="Arial" w:hAnsi="Arial"/>
                <w:sz w:val="15"/>
                <w:szCs w:val="15"/>
                <w:b w:val="1"/>
                <w:bCs w:val="1"/>
                <w:color w:val="auto"/>
              </w:rPr>
              <w:t>2026</w:t>
            </w:r>
          </w:p>
        </w:tc>
      </w:tr>
      <w:tr>
        <w:trPr>
          <w:trHeight w:val="210"/>
        </w:trPr>
        <w:tc>
          <w:tcPr>
            <w:tcW w:w="7560" w:type="dxa"/>
            <w:vAlign w:val="bottom"/>
            <w:gridSpan w:val="2"/>
          </w:tcPr>
          <w:p>
            <w:pPr>
              <w:spacing w:after="0"/>
              <w:rPr>
                <w:sz w:val="20"/>
                <w:szCs w:val="20"/>
                <w:color w:val="auto"/>
              </w:rPr>
            </w:pPr>
            <w:r>
              <w:rPr>
                <w:rFonts w:ascii="Arial" w:cs="Arial" w:eastAsia="Arial" w:hAnsi="Arial"/>
                <w:sz w:val="15"/>
                <w:szCs w:val="15"/>
                <w:color w:val="auto"/>
              </w:rPr>
              <w:t>Third Quarter 2024</w:t>
            </w:r>
          </w:p>
        </w:tc>
        <w:tc>
          <w:tcPr>
            <w:tcW w:w="580" w:type="dxa"/>
            <w:vAlign w:val="bottom"/>
          </w:tcPr>
          <w:p>
            <w:pPr>
              <w:ind w:left="160"/>
              <w:spacing w:after="0"/>
              <w:rPr>
                <w:sz w:val="20"/>
                <w:szCs w:val="20"/>
                <w:color w:val="auto"/>
              </w:rPr>
            </w:pPr>
            <w:r>
              <w:rPr>
                <w:rFonts w:ascii="Arial" w:cs="Arial" w:eastAsia="Arial" w:hAnsi="Arial"/>
                <w:sz w:val="15"/>
                <w:szCs w:val="15"/>
                <w:color w:val="auto"/>
              </w:rPr>
              <w:t>5.9 %</w:t>
            </w:r>
          </w:p>
        </w:tc>
        <w:tc>
          <w:tcPr>
            <w:tcW w:w="80" w:type="dxa"/>
            <w:vAlign w:val="bottom"/>
          </w:tcPr>
          <w:p>
            <w:pPr>
              <w:spacing w:after="0"/>
              <w:rPr>
                <w:sz w:val="18"/>
                <w:szCs w:val="18"/>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3.6 %</w:t>
            </w:r>
          </w:p>
        </w:tc>
        <w:tc>
          <w:tcPr>
            <w:tcW w:w="100" w:type="dxa"/>
            <w:vAlign w:val="bottom"/>
          </w:tcPr>
          <w:p>
            <w:pPr>
              <w:spacing w:after="0"/>
              <w:rPr>
                <w:sz w:val="18"/>
                <w:szCs w:val="18"/>
                <w:color w:val="auto"/>
              </w:rPr>
            </w:pPr>
          </w:p>
        </w:tc>
        <w:tc>
          <w:tcPr>
            <w:tcW w:w="1420" w:type="dxa"/>
            <w:vAlign w:val="bottom"/>
          </w:tcPr>
          <w:p>
            <w:pPr>
              <w:ind w:left="1020"/>
              <w:spacing w:after="0"/>
              <w:rPr>
                <w:sz w:val="20"/>
                <w:szCs w:val="20"/>
                <w:color w:val="auto"/>
              </w:rPr>
            </w:pPr>
            <w:r>
              <w:rPr>
                <w:rFonts w:ascii="Arial" w:cs="Arial" w:eastAsia="Arial" w:hAnsi="Arial"/>
                <w:sz w:val="15"/>
                <w:szCs w:val="15"/>
                <w:color w:val="auto"/>
                <w:w w:val="98"/>
              </w:rPr>
              <w:t>1.7 %</w:t>
            </w:r>
          </w:p>
        </w:tc>
      </w:tr>
      <w:tr>
        <w:trPr>
          <w:trHeight w:val="232"/>
        </w:trPr>
        <w:tc>
          <w:tcPr>
            <w:tcW w:w="7560" w:type="dxa"/>
            <w:vAlign w:val="bottom"/>
            <w:gridSpan w:val="2"/>
          </w:tcPr>
          <w:p>
            <w:pPr>
              <w:spacing w:after="0"/>
              <w:rPr>
                <w:sz w:val="20"/>
                <w:szCs w:val="20"/>
                <w:color w:val="auto"/>
              </w:rPr>
            </w:pPr>
            <w:r>
              <w:rPr>
                <w:rFonts w:ascii="Arial" w:cs="Arial" w:eastAsia="Arial" w:hAnsi="Arial"/>
                <w:sz w:val="15"/>
                <w:szCs w:val="15"/>
                <w:color w:val="auto"/>
              </w:rPr>
              <w:t>Second Quarter 2024</w:t>
            </w:r>
          </w:p>
        </w:tc>
        <w:tc>
          <w:tcPr>
            <w:tcW w:w="580" w:type="dxa"/>
            <w:vAlign w:val="bottom"/>
          </w:tcPr>
          <w:p>
            <w:pPr>
              <w:ind w:left="160"/>
              <w:spacing w:after="0"/>
              <w:rPr>
                <w:sz w:val="20"/>
                <w:szCs w:val="20"/>
                <w:color w:val="auto"/>
              </w:rPr>
            </w:pPr>
            <w:r>
              <w:rPr>
                <w:rFonts w:ascii="Arial" w:cs="Arial" w:eastAsia="Arial" w:hAnsi="Arial"/>
                <w:sz w:val="15"/>
                <w:szCs w:val="15"/>
                <w:color w:val="auto"/>
              </w:rPr>
              <w:t>6.6</w:t>
            </w:r>
          </w:p>
        </w:tc>
        <w:tc>
          <w:tcPr>
            <w:tcW w:w="80" w:type="dxa"/>
            <w:vAlign w:val="bottom"/>
          </w:tcPr>
          <w:p>
            <w:pPr>
              <w:spacing w:after="0"/>
              <w:rPr>
                <w:sz w:val="20"/>
                <w:szCs w:val="20"/>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3.0</w:t>
            </w:r>
          </w:p>
        </w:tc>
        <w:tc>
          <w:tcPr>
            <w:tcW w:w="100" w:type="dxa"/>
            <w:vAlign w:val="bottom"/>
          </w:tcPr>
          <w:p>
            <w:pPr>
              <w:spacing w:after="0"/>
              <w:rPr>
                <w:sz w:val="20"/>
                <w:szCs w:val="20"/>
                <w:color w:val="auto"/>
              </w:rPr>
            </w:pPr>
          </w:p>
        </w:tc>
        <w:tc>
          <w:tcPr>
            <w:tcW w:w="1420" w:type="dxa"/>
            <w:vAlign w:val="bottom"/>
          </w:tcPr>
          <w:p>
            <w:pPr>
              <w:ind w:left="1020"/>
              <w:spacing w:after="0"/>
              <w:rPr>
                <w:sz w:val="20"/>
                <w:szCs w:val="20"/>
                <w:color w:val="auto"/>
              </w:rPr>
            </w:pPr>
            <w:r>
              <w:rPr>
                <w:rFonts w:ascii="Arial" w:cs="Arial" w:eastAsia="Arial" w:hAnsi="Arial"/>
                <w:sz w:val="15"/>
                <w:szCs w:val="15"/>
                <w:color w:val="auto"/>
              </w:rPr>
              <w:t>0.8</w:t>
            </w:r>
          </w:p>
        </w:tc>
      </w:tr>
      <w:tr>
        <w:trPr>
          <w:trHeight w:val="232"/>
        </w:trPr>
        <w:tc>
          <w:tcPr>
            <w:tcW w:w="7560" w:type="dxa"/>
            <w:vAlign w:val="bottom"/>
            <w:gridSpan w:val="2"/>
          </w:tcPr>
          <w:p>
            <w:pPr>
              <w:spacing w:after="0"/>
              <w:rPr>
                <w:sz w:val="20"/>
                <w:szCs w:val="20"/>
                <w:color w:val="auto"/>
              </w:rPr>
            </w:pPr>
            <w:r>
              <w:rPr>
                <w:rFonts w:ascii="Arial" w:cs="Arial" w:eastAsia="Arial" w:hAnsi="Arial"/>
                <w:sz w:val="15"/>
                <w:szCs w:val="15"/>
                <w:color w:val="auto"/>
              </w:rPr>
              <w:t>First Quarter 2024</w:t>
            </w:r>
          </w:p>
        </w:tc>
        <w:tc>
          <w:tcPr>
            <w:tcW w:w="580" w:type="dxa"/>
            <w:vAlign w:val="bottom"/>
          </w:tcPr>
          <w:p>
            <w:pPr>
              <w:ind w:left="160"/>
              <w:spacing w:after="0"/>
              <w:rPr>
                <w:sz w:val="20"/>
                <w:szCs w:val="20"/>
                <w:color w:val="auto"/>
              </w:rPr>
            </w:pPr>
            <w:r>
              <w:rPr>
                <w:rFonts w:ascii="Arial" w:cs="Arial" w:eastAsia="Arial" w:hAnsi="Arial"/>
                <w:sz w:val="15"/>
                <w:szCs w:val="15"/>
                <w:color w:val="auto"/>
              </w:rPr>
              <w:t>4.8</w:t>
            </w:r>
          </w:p>
        </w:tc>
        <w:tc>
          <w:tcPr>
            <w:tcW w:w="80" w:type="dxa"/>
            <w:vAlign w:val="bottom"/>
          </w:tcPr>
          <w:p>
            <w:pPr>
              <w:spacing w:after="0"/>
              <w:rPr>
                <w:sz w:val="20"/>
                <w:szCs w:val="20"/>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20"/>
                <w:szCs w:val="20"/>
                <w:color w:val="auto"/>
              </w:rPr>
            </w:pPr>
          </w:p>
        </w:tc>
        <w:tc>
          <w:tcPr>
            <w:tcW w:w="1420" w:type="dxa"/>
            <w:vAlign w:val="bottom"/>
          </w:tcPr>
          <w:p>
            <w:pPr>
              <w:jc w:val="right"/>
              <w:ind w:right="143"/>
              <w:spacing w:after="0"/>
              <w:rPr>
                <w:sz w:val="20"/>
                <w:szCs w:val="20"/>
                <w:color w:val="auto"/>
              </w:rPr>
            </w:pPr>
            <w:r>
              <w:rPr>
                <w:rFonts w:ascii="Arial" w:cs="Arial" w:eastAsia="Arial" w:hAnsi="Arial"/>
                <w:sz w:val="15"/>
                <w:szCs w:val="15"/>
                <w:color w:val="auto"/>
              </w:rPr>
              <w:t>*</w:t>
            </w:r>
          </w:p>
        </w:tc>
      </w:tr>
    </w:tbl>
    <w:p>
      <w:pPr>
        <w:spacing w:after="0" w:line="271" w:lineRule="exact"/>
        <w:rPr>
          <w:sz w:val="20"/>
          <w:szCs w:val="20"/>
          <w:color w:val="auto"/>
        </w:rPr>
      </w:pPr>
    </w:p>
    <w:p>
      <w:pPr>
        <w:ind w:left="7380"/>
        <w:spacing w:after="0"/>
        <w:rPr>
          <w:sz w:val="20"/>
          <w:szCs w:val="20"/>
          <w:color w:val="auto"/>
        </w:rPr>
      </w:pPr>
      <w:r>
        <w:rPr>
          <w:rFonts w:ascii="Arial" w:cs="Arial" w:eastAsia="Arial" w:hAnsi="Arial"/>
          <w:sz w:val="15"/>
          <w:szCs w:val="15"/>
          <w:b w:val="1"/>
          <w:bCs w:val="1"/>
          <w:color w:val="auto"/>
        </w:rPr>
        <w:t>For the Full Year ending December 31,</w:t>
      </w:r>
    </w:p>
    <w:p>
      <w:pPr>
        <w:sectPr>
          <w:pgSz w:w="11900" w:h="16838" w:orient="portrait"/>
          <w:cols w:equalWidth="0" w:num="1">
            <w:col w:w="11240"/>
          </w:cols>
          <w:pgMar w:left="320" w:top="248" w:right="339" w:bottom="1440" w:gutter="0" w:footer="0" w:header="0"/>
        </w:sect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5"/>
          <w:szCs w:val="15"/>
          <w:color w:val="auto"/>
        </w:rPr>
        <w:t>Fourth Quarter 2023</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Third Quarter 2023</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Second Quarter 2023</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First Quarter 2023</w:t>
      </w:r>
    </w:p>
    <w:p>
      <w:pPr>
        <w:spacing w:after="0" w:line="31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Forecasted 30-year mortgage interest rates by period of estimate:</w:t>
      </w:r>
      <w:r>
        <w:rPr>
          <w:rFonts w:ascii="Arial" w:cs="Arial" w:eastAsia="Arial" w:hAnsi="Arial"/>
          <w:sz w:val="20"/>
          <w:szCs w:val="20"/>
          <w:b w:val="1"/>
          <w:bCs w:val="1"/>
          <w:color w:val="auto"/>
          <w:vertAlign w:val="superscript"/>
        </w:rPr>
        <w:t>(3)</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Third Quarter 2024</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Second Quarter 2024</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First Quarter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
        <w:spacing w:after="0"/>
        <w:rPr>
          <w:sz w:val="20"/>
          <w:szCs w:val="20"/>
          <w:color w:val="auto"/>
        </w:rPr>
      </w:pPr>
      <w:r>
        <w:rPr>
          <w:rFonts w:ascii="Arial" w:cs="Arial" w:eastAsia="Arial" w:hAnsi="Arial"/>
          <w:sz w:val="15"/>
          <w:szCs w:val="15"/>
          <w:color w:val="auto"/>
        </w:rPr>
        <w:t>Fourth Quarter 2023</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Third Quarter 2023</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Second Quarter 2023</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First Quarter 2023</w:t>
      </w:r>
    </w:p>
    <w:p>
      <w:pPr>
        <w:spacing w:after="0" w:line="167" w:lineRule="exact"/>
        <w:rPr>
          <w:sz w:val="20"/>
          <w:szCs w:val="20"/>
          <w:color w:val="auto"/>
        </w:rPr>
      </w:pPr>
    </w:p>
    <w:p>
      <w:pPr>
        <w:ind w:left="200" w:hanging="197"/>
        <w:spacing w:after="0"/>
        <w:tabs>
          <w:tab w:leader="none" w:pos="2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Represents less than 0.05% of home price growth (decline).</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820" w:type="dxa"/>
            <w:vAlign w:val="bottom"/>
            <w:tcBorders>
              <w:top w:val="single" w:sz="8" w:color="2C6937"/>
              <w:bottom w:val="single" w:sz="8" w:color="2C6937"/>
            </w:tcBorders>
          </w:tcPr>
          <w:p>
            <w:pPr>
              <w:jc w:val="right"/>
              <w:ind w:right="663"/>
              <w:spacing w:after="0"/>
              <w:rPr>
                <w:sz w:val="20"/>
                <w:szCs w:val="20"/>
                <w:color w:val="auto"/>
              </w:rPr>
            </w:pPr>
            <w:r>
              <w:rPr>
                <w:rFonts w:ascii="Arial" w:cs="Arial" w:eastAsia="Arial" w:hAnsi="Arial"/>
                <w:sz w:val="15"/>
                <w:szCs w:val="15"/>
                <w:b w:val="1"/>
                <w:bCs w:val="1"/>
                <w:color w:val="auto"/>
              </w:rPr>
              <w:t>2023</w:t>
            </w:r>
          </w:p>
        </w:tc>
        <w:tc>
          <w:tcPr>
            <w:tcW w:w="80" w:type="dxa"/>
            <w:vAlign w:val="bottom"/>
            <w:tcBorders>
              <w:top w:val="single" w:sz="8" w:color="2C6937"/>
            </w:tcBorders>
          </w:tcPr>
          <w:p>
            <w:pPr>
              <w:spacing w:after="0"/>
              <w:rPr>
                <w:sz w:val="17"/>
                <w:szCs w:val="17"/>
                <w:color w:val="auto"/>
              </w:rPr>
            </w:pPr>
          </w:p>
        </w:tc>
        <w:tc>
          <w:tcPr>
            <w:tcW w:w="1480" w:type="dxa"/>
            <w:vAlign w:val="bottom"/>
            <w:tcBorders>
              <w:top w:val="single" w:sz="8" w:color="2C6937"/>
              <w:bottom w:val="single" w:sz="8" w:color="2C6937"/>
            </w:tcBorders>
          </w:tcPr>
          <w:p>
            <w:pPr>
              <w:jc w:val="right"/>
              <w:ind w:right="503"/>
              <w:spacing w:after="0"/>
              <w:rPr>
                <w:sz w:val="20"/>
                <w:szCs w:val="20"/>
                <w:color w:val="auto"/>
              </w:rPr>
            </w:pPr>
            <w:r>
              <w:rPr>
                <w:rFonts w:ascii="Arial" w:cs="Arial" w:eastAsia="Arial" w:hAnsi="Arial"/>
                <w:sz w:val="15"/>
                <w:szCs w:val="15"/>
                <w:b w:val="1"/>
                <w:bCs w:val="1"/>
                <w:color w:val="auto"/>
              </w:rPr>
              <w:t>2024</w:t>
            </w:r>
          </w:p>
        </w:tc>
        <w:tc>
          <w:tcPr>
            <w:tcW w:w="100" w:type="dxa"/>
            <w:vAlign w:val="bottom"/>
            <w:tcBorders>
              <w:top w:val="single" w:sz="8" w:color="2C6937"/>
            </w:tcBorders>
          </w:tcPr>
          <w:p>
            <w:pPr>
              <w:spacing w:after="0"/>
              <w:rPr>
                <w:sz w:val="17"/>
                <w:szCs w:val="17"/>
                <w:color w:val="auto"/>
              </w:rPr>
            </w:pPr>
          </w:p>
        </w:tc>
        <w:tc>
          <w:tcPr>
            <w:tcW w:w="1420" w:type="dxa"/>
            <w:vAlign w:val="bottom"/>
            <w:tcBorders>
              <w:top w:val="single" w:sz="8" w:color="2C6937"/>
              <w:bottom w:val="single" w:sz="8" w:color="2C6937"/>
            </w:tcBorders>
          </w:tcPr>
          <w:p>
            <w:pPr>
              <w:jc w:val="right"/>
              <w:ind w:right="463"/>
              <w:spacing w:after="0"/>
              <w:rPr>
                <w:sz w:val="20"/>
                <w:szCs w:val="20"/>
                <w:color w:val="auto"/>
              </w:rPr>
            </w:pPr>
            <w:r>
              <w:rPr>
                <w:rFonts w:ascii="Arial" w:cs="Arial" w:eastAsia="Arial" w:hAnsi="Arial"/>
                <w:sz w:val="15"/>
                <w:szCs w:val="15"/>
                <w:b w:val="1"/>
                <w:bCs w:val="1"/>
                <w:color w:val="auto"/>
              </w:rPr>
              <w:t>2025</w:t>
            </w:r>
          </w:p>
        </w:tc>
      </w:tr>
      <w:tr>
        <w:trPr>
          <w:trHeight w:val="210"/>
        </w:trPr>
        <w:tc>
          <w:tcPr>
            <w:tcW w:w="1820" w:type="dxa"/>
            <w:vAlign w:val="bottom"/>
          </w:tcPr>
          <w:p>
            <w:pPr>
              <w:ind w:left="1400"/>
              <w:spacing w:after="0"/>
              <w:rPr>
                <w:sz w:val="20"/>
                <w:szCs w:val="20"/>
                <w:color w:val="auto"/>
              </w:rPr>
            </w:pPr>
            <w:r>
              <w:rPr>
                <w:rFonts w:ascii="Arial" w:cs="Arial" w:eastAsia="Arial" w:hAnsi="Arial"/>
                <w:sz w:val="15"/>
                <w:szCs w:val="15"/>
                <w:color w:val="auto"/>
              </w:rPr>
              <w:t>7.1 %</w:t>
            </w:r>
          </w:p>
        </w:tc>
        <w:tc>
          <w:tcPr>
            <w:tcW w:w="80" w:type="dxa"/>
            <w:vAlign w:val="bottom"/>
          </w:tcPr>
          <w:p>
            <w:pPr>
              <w:spacing w:after="0"/>
              <w:rPr>
                <w:sz w:val="18"/>
                <w:szCs w:val="18"/>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3.2 %</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0.3 %</w:t>
            </w:r>
          </w:p>
        </w:tc>
      </w:tr>
      <w:tr>
        <w:trPr>
          <w:trHeight w:val="232"/>
        </w:trPr>
        <w:tc>
          <w:tcPr>
            <w:tcW w:w="1820" w:type="dxa"/>
            <w:vAlign w:val="bottom"/>
          </w:tcPr>
          <w:p>
            <w:pPr>
              <w:ind w:left="1400"/>
              <w:spacing w:after="0"/>
              <w:rPr>
                <w:sz w:val="20"/>
                <w:szCs w:val="20"/>
                <w:color w:val="auto"/>
              </w:rPr>
            </w:pPr>
            <w:r>
              <w:rPr>
                <w:rFonts w:ascii="Arial" w:cs="Arial" w:eastAsia="Arial" w:hAnsi="Arial"/>
                <w:sz w:val="15"/>
                <w:szCs w:val="15"/>
                <w:color w:val="auto"/>
              </w:rPr>
              <w:t>6.7</w:t>
            </w:r>
          </w:p>
        </w:tc>
        <w:tc>
          <w:tcPr>
            <w:tcW w:w="80" w:type="dxa"/>
            <w:vAlign w:val="bottom"/>
          </w:tcPr>
          <w:p>
            <w:pPr>
              <w:spacing w:after="0"/>
              <w:rPr>
                <w:sz w:val="20"/>
                <w:szCs w:val="20"/>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2.8</w:t>
            </w:r>
          </w:p>
        </w:tc>
        <w:tc>
          <w:tcPr>
            <w:tcW w:w="100" w:type="dxa"/>
            <w:vAlign w:val="bottom"/>
          </w:tcPr>
          <w:p>
            <w:pPr>
              <w:spacing w:after="0"/>
              <w:rPr>
                <w:sz w:val="20"/>
                <w:szCs w:val="20"/>
                <w:color w:val="auto"/>
              </w:rPr>
            </w:pPr>
          </w:p>
        </w:tc>
        <w:tc>
          <w:tcPr>
            <w:tcW w:w="1420" w:type="dxa"/>
            <w:vAlign w:val="bottom"/>
          </w:tcPr>
          <w:p>
            <w:pPr>
              <w:jc w:val="right"/>
              <w:ind w:right="63"/>
              <w:spacing w:after="0"/>
              <w:rPr>
                <w:sz w:val="20"/>
                <w:szCs w:val="20"/>
                <w:color w:val="auto"/>
              </w:rPr>
            </w:pPr>
            <w:r>
              <w:rPr>
                <w:rFonts w:ascii="Arial" w:cs="Arial" w:eastAsia="Arial" w:hAnsi="Arial"/>
                <w:sz w:val="15"/>
                <w:szCs w:val="15"/>
                <w:color w:val="auto"/>
              </w:rPr>
              <w:t>(0.4)</w:t>
            </w:r>
          </w:p>
        </w:tc>
      </w:tr>
      <w:tr>
        <w:trPr>
          <w:trHeight w:val="232"/>
        </w:trPr>
        <w:tc>
          <w:tcPr>
            <w:tcW w:w="1820" w:type="dxa"/>
            <w:vAlign w:val="bottom"/>
          </w:tcPr>
          <w:p>
            <w:pPr>
              <w:ind w:left="1400"/>
              <w:spacing w:after="0"/>
              <w:rPr>
                <w:sz w:val="20"/>
                <w:szCs w:val="20"/>
                <w:color w:val="auto"/>
              </w:rPr>
            </w:pPr>
            <w:r>
              <w:rPr>
                <w:rFonts w:ascii="Arial" w:cs="Arial" w:eastAsia="Arial" w:hAnsi="Arial"/>
                <w:sz w:val="15"/>
                <w:szCs w:val="15"/>
                <w:color w:val="auto"/>
              </w:rPr>
              <w:t>3.9</w:t>
            </w:r>
          </w:p>
        </w:tc>
        <w:tc>
          <w:tcPr>
            <w:tcW w:w="80" w:type="dxa"/>
            <w:vAlign w:val="bottom"/>
          </w:tcPr>
          <w:p>
            <w:pPr>
              <w:spacing w:after="0"/>
              <w:rPr>
                <w:sz w:val="20"/>
                <w:szCs w:val="20"/>
                <w:color w:val="auto"/>
              </w:rPr>
            </w:pPr>
          </w:p>
        </w:tc>
        <w:tc>
          <w:tcPr>
            <w:tcW w:w="1480" w:type="dxa"/>
            <w:vAlign w:val="bottom"/>
          </w:tcPr>
          <w:p>
            <w:pPr>
              <w:jc w:val="right"/>
              <w:ind w:right="83"/>
              <w:spacing w:after="0"/>
              <w:rPr>
                <w:sz w:val="20"/>
                <w:szCs w:val="20"/>
                <w:color w:val="auto"/>
              </w:rPr>
            </w:pPr>
            <w:r>
              <w:rPr>
                <w:rFonts w:ascii="Arial" w:cs="Arial" w:eastAsia="Arial" w:hAnsi="Arial"/>
                <w:sz w:val="15"/>
                <w:szCs w:val="15"/>
                <w:color w:val="auto"/>
              </w:rPr>
              <w:t>(0.7)</w:t>
            </w:r>
          </w:p>
        </w:tc>
        <w:tc>
          <w:tcPr>
            <w:tcW w:w="100" w:type="dxa"/>
            <w:vAlign w:val="bottom"/>
          </w:tcPr>
          <w:p>
            <w:pPr>
              <w:spacing w:after="0"/>
              <w:rPr>
                <w:sz w:val="20"/>
                <w:szCs w:val="20"/>
                <w:color w:val="auto"/>
              </w:rPr>
            </w:pPr>
          </w:p>
        </w:tc>
        <w:tc>
          <w:tcPr>
            <w:tcW w:w="1420" w:type="dxa"/>
            <w:vAlign w:val="bottom"/>
          </w:tcPr>
          <w:p>
            <w:pPr>
              <w:jc w:val="right"/>
              <w:ind w:right="63"/>
              <w:spacing w:after="0"/>
              <w:rPr>
                <w:sz w:val="20"/>
                <w:szCs w:val="20"/>
                <w:color w:val="auto"/>
              </w:rPr>
            </w:pPr>
            <w:r>
              <w:rPr>
                <w:rFonts w:ascii="Arial" w:cs="Arial" w:eastAsia="Arial" w:hAnsi="Arial"/>
                <w:sz w:val="15"/>
                <w:szCs w:val="15"/>
                <w:color w:val="auto"/>
              </w:rPr>
              <w:t>(1.5)</w:t>
            </w:r>
          </w:p>
        </w:tc>
      </w:tr>
      <w:tr>
        <w:trPr>
          <w:trHeight w:val="232"/>
        </w:trPr>
        <w:tc>
          <w:tcPr>
            <w:tcW w:w="1820" w:type="dxa"/>
            <w:vAlign w:val="bottom"/>
          </w:tcPr>
          <w:p>
            <w:pPr>
              <w:jc w:val="right"/>
              <w:ind w:right="83"/>
              <w:spacing w:after="0"/>
              <w:rPr>
                <w:sz w:val="20"/>
                <w:szCs w:val="20"/>
                <w:color w:val="auto"/>
              </w:rPr>
            </w:pPr>
            <w:r>
              <w:rPr>
                <w:rFonts w:ascii="Arial" w:cs="Arial" w:eastAsia="Arial" w:hAnsi="Arial"/>
                <w:sz w:val="15"/>
                <w:szCs w:val="15"/>
                <w:color w:val="auto"/>
              </w:rPr>
              <w:t>(1.2)</w:t>
            </w:r>
          </w:p>
        </w:tc>
        <w:tc>
          <w:tcPr>
            <w:tcW w:w="80" w:type="dxa"/>
            <w:vAlign w:val="bottom"/>
          </w:tcPr>
          <w:p>
            <w:pPr>
              <w:spacing w:after="0"/>
              <w:rPr>
                <w:sz w:val="20"/>
                <w:szCs w:val="20"/>
                <w:color w:val="auto"/>
              </w:rPr>
            </w:pPr>
          </w:p>
        </w:tc>
        <w:tc>
          <w:tcPr>
            <w:tcW w:w="1480" w:type="dxa"/>
            <w:vAlign w:val="bottom"/>
          </w:tcPr>
          <w:p>
            <w:pPr>
              <w:jc w:val="right"/>
              <w:ind w:right="83"/>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20"/>
                <w:szCs w:val="20"/>
                <w:color w:val="auto"/>
              </w:rPr>
            </w:pPr>
          </w:p>
        </w:tc>
        <w:tc>
          <w:tcPr>
            <w:tcW w:w="1420" w:type="dxa"/>
            <w:vAlign w:val="bottom"/>
          </w:tcPr>
          <w:p>
            <w:pPr>
              <w:jc w:val="right"/>
              <w:ind w:right="63"/>
              <w:spacing w:after="0"/>
              <w:rPr>
                <w:sz w:val="20"/>
                <w:szCs w:val="20"/>
                <w:color w:val="auto"/>
              </w:rPr>
            </w:pPr>
            <w:r>
              <w:rPr>
                <w:rFonts w:ascii="Arial" w:cs="Arial" w:eastAsia="Arial" w:hAnsi="Arial"/>
                <w:sz w:val="15"/>
                <w:szCs w:val="15"/>
                <w:color w:val="auto"/>
              </w:rPr>
              <w:t>(1.1)</w:t>
            </w:r>
          </w:p>
        </w:tc>
      </w:tr>
    </w:tbl>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9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rPr>
              <w:t>Through the end of</w:t>
            </w:r>
          </w:p>
        </w:tc>
        <w:tc>
          <w:tcPr>
            <w:tcW w:w="3000" w:type="dxa"/>
            <w:vAlign w:val="bottom"/>
            <w:gridSpan w:val="4"/>
          </w:tcPr>
          <w:p>
            <w:pPr>
              <w:jc w:val="center"/>
              <w:spacing w:after="0"/>
              <w:rPr>
                <w:sz w:val="20"/>
                <w:szCs w:val="20"/>
                <w:color w:val="auto"/>
              </w:rPr>
            </w:pPr>
            <w:r>
              <w:rPr>
                <w:rFonts w:ascii="Arial" w:cs="Arial" w:eastAsia="Arial" w:hAnsi="Arial"/>
                <w:sz w:val="15"/>
                <w:szCs w:val="15"/>
                <w:b w:val="1"/>
                <w:bCs w:val="1"/>
                <w:color w:val="auto"/>
              </w:rPr>
              <w:t>For the Full Year ending</w:t>
            </w:r>
          </w:p>
        </w:tc>
      </w:tr>
      <w:tr>
        <w:trPr>
          <w:trHeight w:val="226"/>
        </w:trPr>
        <w:tc>
          <w:tcPr>
            <w:tcW w:w="19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rPr>
              <w:t>December 31,</w:t>
            </w:r>
          </w:p>
        </w:tc>
        <w:tc>
          <w:tcPr>
            <w:tcW w:w="2060" w:type="dxa"/>
            <w:vAlign w:val="bottom"/>
            <w:gridSpan w:val="3"/>
          </w:tcPr>
          <w:p>
            <w:pPr>
              <w:jc w:val="center"/>
              <w:ind w:left="863"/>
              <w:spacing w:after="0"/>
              <w:rPr>
                <w:sz w:val="20"/>
                <w:szCs w:val="20"/>
                <w:color w:val="auto"/>
              </w:rPr>
            </w:pPr>
            <w:r>
              <w:rPr>
                <w:rFonts w:ascii="Arial" w:cs="Arial" w:eastAsia="Arial" w:hAnsi="Arial"/>
                <w:sz w:val="15"/>
                <w:szCs w:val="15"/>
                <w:b w:val="1"/>
                <w:bCs w:val="1"/>
                <w:color w:val="auto"/>
              </w:rPr>
              <w:t>December 31,</w:t>
            </w:r>
          </w:p>
        </w:tc>
        <w:tc>
          <w:tcPr>
            <w:tcW w:w="940" w:type="dxa"/>
            <w:vAlign w:val="bottom"/>
          </w:tcPr>
          <w:p>
            <w:pPr>
              <w:spacing w:after="0"/>
              <w:rPr>
                <w:sz w:val="19"/>
                <w:szCs w:val="19"/>
                <w:color w:val="auto"/>
              </w:rPr>
            </w:pPr>
          </w:p>
        </w:tc>
      </w:tr>
      <w:tr>
        <w:trPr>
          <w:trHeight w:val="206"/>
        </w:trPr>
        <w:tc>
          <w:tcPr>
            <w:tcW w:w="1820" w:type="dxa"/>
            <w:vAlign w:val="bottom"/>
            <w:tcBorders>
              <w:top w:val="single" w:sz="8" w:color="2C6937"/>
              <w:bottom w:val="single" w:sz="8" w:color="2C6937"/>
            </w:tcBorders>
          </w:tcPr>
          <w:p>
            <w:pPr>
              <w:jc w:val="center"/>
              <w:spacing w:after="0"/>
              <w:rPr>
                <w:sz w:val="20"/>
                <w:szCs w:val="20"/>
                <w:color w:val="auto"/>
              </w:rPr>
            </w:pPr>
            <w:r>
              <w:rPr>
                <w:rFonts w:ascii="Arial" w:cs="Arial" w:eastAsia="Arial" w:hAnsi="Arial"/>
                <w:sz w:val="15"/>
                <w:szCs w:val="15"/>
                <w:b w:val="1"/>
                <w:bCs w:val="1"/>
                <w:color w:val="auto"/>
              </w:rPr>
              <w:t>2024</w:t>
            </w:r>
          </w:p>
        </w:tc>
        <w:tc>
          <w:tcPr>
            <w:tcW w:w="80" w:type="dxa"/>
            <w:vAlign w:val="bottom"/>
          </w:tcPr>
          <w:p>
            <w:pPr>
              <w:spacing w:after="0"/>
              <w:rPr>
                <w:sz w:val="17"/>
                <w:szCs w:val="17"/>
                <w:color w:val="auto"/>
              </w:rPr>
            </w:pPr>
          </w:p>
        </w:tc>
        <w:tc>
          <w:tcPr>
            <w:tcW w:w="1480" w:type="dxa"/>
            <w:vAlign w:val="bottom"/>
            <w:tcBorders>
              <w:top w:val="single" w:sz="8" w:color="2C6937"/>
              <w:bottom w:val="single" w:sz="8" w:color="2C6937"/>
            </w:tcBorders>
          </w:tcPr>
          <w:p>
            <w:pPr>
              <w:jc w:val="right"/>
              <w:ind w:right="503"/>
              <w:spacing w:after="0"/>
              <w:rPr>
                <w:sz w:val="20"/>
                <w:szCs w:val="20"/>
                <w:color w:val="auto"/>
              </w:rPr>
            </w:pPr>
            <w:r>
              <w:rPr>
                <w:rFonts w:ascii="Arial" w:cs="Arial" w:eastAsia="Arial" w:hAnsi="Arial"/>
                <w:sz w:val="15"/>
                <w:szCs w:val="15"/>
                <w:b w:val="1"/>
                <w:bCs w:val="1"/>
                <w:color w:val="auto"/>
              </w:rPr>
              <w:t>2025</w:t>
            </w:r>
          </w:p>
        </w:tc>
        <w:tc>
          <w:tcPr>
            <w:tcW w:w="100" w:type="dxa"/>
            <w:vAlign w:val="bottom"/>
            <w:tcBorders>
              <w:top w:val="single" w:sz="8" w:color="2C6937"/>
            </w:tcBorders>
          </w:tcPr>
          <w:p>
            <w:pPr>
              <w:spacing w:after="0"/>
              <w:rPr>
                <w:sz w:val="17"/>
                <w:szCs w:val="17"/>
                <w:color w:val="auto"/>
              </w:rPr>
            </w:pPr>
          </w:p>
        </w:tc>
        <w:tc>
          <w:tcPr>
            <w:tcW w:w="480" w:type="dxa"/>
            <w:vAlign w:val="bottom"/>
            <w:tcBorders>
              <w:top w:val="single" w:sz="8" w:color="2C6937"/>
              <w:bottom w:val="single" w:sz="8" w:color="2C6937"/>
            </w:tcBorders>
          </w:tcPr>
          <w:p>
            <w:pPr>
              <w:spacing w:after="0"/>
              <w:rPr>
                <w:sz w:val="17"/>
                <w:szCs w:val="17"/>
                <w:color w:val="auto"/>
              </w:rPr>
            </w:pPr>
          </w:p>
        </w:tc>
        <w:tc>
          <w:tcPr>
            <w:tcW w:w="940" w:type="dxa"/>
            <w:vAlign w:val="bottom"/>
            <w:tcBorders>
              <w:top w:val="single" w:sz="8" w:color="2C6937"/>
              <w:bottom w:val="single" w:sz="8" w:color="2C6937"/>
            </w:tcBorders>
          </w:tcPr>
          <w:p>
            <w:pPr>
              <w:jc w:val="right"/>
              <w:ind w:right="463"/>
              <w:spacing w:after="0"/>
              <w:rPr>
                <w:sz w:val="20"/>
                <w:szCs w:val="20"/>
                <w:color w:val="auto"/>
              </w:rPr>
            </w:pPr>
            <w:r>
              <w:rPr>
                <w:rFonts w:ascii="Arial" w:cs="Arial" w:eastAsia="Arial" w:hAnsi="Arial"/>
                <w:sz w:val="15"/>
                <w:szCs w:val="15"/>
                <w:b w:val="1"/>
                <w:bCs w:val="1"/>
                <w:color w:val="auto"/>
              </w:rPr>
              <w:t>2026</w:t>
            </w:r>
          </w:p>
        </w:tc>
      </w:tr>
      <w:tr>
        <w:trPr>
          <w:trHeight w:val="210"/>
        </w:trPr>
        <w:tc>
          <w:tcPr>
            <w:tcW w:w="1820" w:type="dxa"/>
            <w:vAlign w:val="bottom"/>
          </w:tcPr>
          <w:p>
            <w:pPr>
              <w:ind w:left="1400"/>
              <w:spacing w:after="0"/>
              <w:rPr>
                <w:sz w:val="20"/>
                <w:szCs w:val="20"/>
                <w:color w:val="auto"/>
              </w:rPr>
            </w:pPr>
            <w:r>
              <w:rPr>
                <w:rFonts w:ascii="Arial" w:cs="Arial" w:eastAsia="Arial" w:hAnsi="Arial"/>
                <w:sz w:val="15"/>
                <w:szCs w:val="15"/>
                <w:color w:val="auto"/>
              </w:rPr>
              <w:t>6.2 %</w:t>
            </w:r>
          </w:p>
        </w:tc>
        <w:tc>
          <w:tcPr>
            <w:tcW w:w="80" w:type="dxa"/>
            <w:vAlign w:val="bottom"/>
          </w:tcPr>
          <w:p>
            <w:pPr>
              <w:spacing w:after="0"/>
              <w:rPr>
                <w:sz w:val="18"/>
                <w:szCs w:val="18"/>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5.9 %</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ind w:left="540"/>
              <w:spacing w:after="0"/>
              <w:rPr>
                <w:sz w:val="20"/>
                <w:szCs w:val="20"/>
                <w:color w:val="auto"/>
              </w:rPr>
            </w:pPr>
            <w:r>
              <w:rPr>
                <w:rFonts w:ascii="Arial" w:cs="Arial" w:eastAsia="Arial" w:hAnsi="Arial"/>
                <w:sz w:val="15"/>
                <w:szCs w:val="15"/>
                <w:color w:val="auto"/>
                <w:w w:val="98"/>
              </w:rPr>
              <w:t>5.9 %</w:t>
            </w:r>
          </w:p>
        </w:tc>
      </w:tr>
      <w:tr>
        <w:trPr>
          <w:trHeight w:val="232"/>
        </w:trPr>
        <w:tc>
          <w:tcPr>
            <w:tcW w:w="1820" w:type="dxa"/>
            <w:vAlign w:val="bottom"/>
          </w:tcPr>
          <w:p>
            <w:pPr>
              <w:ind w:left="1400"/>
              <w:spacing w:after="0"/>
              <w:rPr>
                <w:sz w:val="20"/>
                <w:szCs w:val="20"/>
                <w:color w:val="auto"/>
              </w:rPr>
            </w:pPr>
            <w:r>
              <w:rPr>
                <w:rFonts w:ascii="Arial" w:cs="Arial" w:eastAsia="Arial" w:hAnsi="Arial"/>
                <w:sz w:val="15"/>
                <w:szCs w:val="15"/>
                <w:color w:val="auto"/>
              </w:rPr>
              <w:t>7.0</w:t>
            </w:r>
          </w:p>
        </w:tc>
        <w:tc>
          <w:tcPr>
            <w:tcW w:w="80" w:type="dxa"/>
            <w:vAlign w:val="bottom"/>
          </w:tcPr>
          <w:p>
            <w:pPr>
              <w:spacing w:after="0"/>
              <w:rPr>
                <w:sz w:val="20"/>
                <w:szCs w:val="20"/>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6.6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ind w:left="540"/>
              <w:spacing w:after="0"/>
              <w:rPr>
                <w:sz w:val="20"/>
                <w:szCs w:val="20"/>
                <w:color w:val="auto"/>
              </w:rPr>
            </w:pPr>
            <w:r>
              <w:rPr>
                <w:rFonts w:ascii="Arial" w:cs="Arial" w:eastAsia="Arial" w:hAnsi="Arial"/>
                <w:sz w:val="15"/>
                <w:szCs w:val="15"/>
                <w:color w:val="auto"/>
              </w:rPr>
              <w:t>6.4</w:t>
            </w:r>
          </w:p>
        </w:tc>
      </w:tr>
      <w:tr>
        <w:trPr>
          <w:trHeight w:val="232"/>
        </w:trPr>
        <w:tc>
          <w:tcPr>
            <w:tcW w:w="1820" w:type="dxa"/>
            <w:vAlign w:val="bottom"/>
          </w:tcPr>
          <w:p>
            <w:pPr>
              <w:ind w:left="1400"/>
              <w:spacing w:after="0"/>
              <w:rPr>
                <w:sz w:val="20"/>
                <w:szCs w:val="20"/>
                <w:color w:val="auto"/>
              </w:rPr>
            </w:pPr>
            <w:r>
              <w:rPr>
                <w:rFonts w:ascii="Arial" w:cs="Arial" w:eastAsia="Arial" w:hAnsi="Arial"/>
                <w:sz w:val="15"/>
                <w:szCs w:val="15"/>
                <w:color w:val="auto"/>
              </w:rPr>
              <w:t>6.8</w:t>
            </w:r>
          </w:p>
        </w:tc>
        <w:tc>
          <w:tcPr>
            <w:tcW w:w="80" w:type="dxa"/>
            <w:vAlign w:val="bottom"/>
          </w:tcPr>
          <w:p>
            <w:pPr>
              <w:spacing w:after="0"/>
              <w:rPr>
                <w:sz w:val="20"/>
                <w:szCs w:val="20"/>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6.4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ind w:left="540"/>
              <w:spacing w:after="0"/>
              <w:rPr>
                <w:sz w:val="20"/>
                <w:szCs w:val="20"/>
                <w:color w:val="auto"/>
              </w:rPr>
            </w:pPr>
            <w:r>
              <w:rPr>
                <w:rFonts w:ascii="Arial" w:cs="Arial" w:eastAsia="Arial" w:hAnsi="Arial"/>
                <w:sz w:val="15"/>
                <w:szCs w:val="15"/>
                <w:color w:val="auto"/>
              </w:rPr>
              <w:t>6.2</w:t>
            </w:r>
          </w:p>
        </w:tc>
      </w:tr>
    </w:tbl>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9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rPr>
              <w:t>Through the end of</w:t>
            </w:r>
          </w:p>
        </w:tc>
        <w:tc>
          <w:tcPr>
            <w:tcW w:w="3000" w:type="dxa"/>
            <w:vAlign w:val="bottom"/>
            <w:gridSpan w:val="4"/>
          </w:tcPr>
          <w:p>
            <w:pPr>
              <w:ind w:left="600"/>
              <w:spacing w:after="0"/>
              <w:rPr>
                <w:sz w:val="20"/>
                <w:szCs w:val="20"/>
                <w:color w:val="auto"/>
              </w:rPr>
            </w:pPr>
            <w:r>
              <w:rPr>
                <w:rFonts w:ascii="Arial" w:cs="Arial" w:eastAsia="Arial" w:hAnsi="Arial"/>
                <w:sz w:val="15"/>
                <w:szCs w:val="15"/>
                <w:b w:val="1"/>
                <w:bCs w:val="1"/>
                <w:color w:val="auto"/>
              </w:rPr>
              <w:t>For the Full Year ending</w:t>
            </w:r>
          </w:p>
        </w:tc>
      </w:tr>
      <w:tr>
        <w:trPr>
          <w:trHeight w:val="226"/>
        </w:trPr>
        <w:tc>
          <w:tcPr>
            <w:tcW w:w="19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rPr>
              <w:t>December 31,</w:t>
            </w:r>
          </w:p>
        </w:tc>
        <w:tc>
          <w:tcPr>
            <w:tcW w:w="2060" w:type="dxa"/>
            <w:vAlign w:val="bottom"/>
            <w:gridSpan w:val="3"/>
          </w:tcPr>
          <w:p>
            <w:pPr>
              <w:ind w:left="1000"/>
              <w:spacing w:after="0"/>
              <w:rPr>
                <w:sz w:val="20"/>
                <w:szCs w:val="20"/>
                <w:color w:val="auto"/>
              </w:rPr>
            </w:pPr>
            <w:r>
              <w:rPr>
                <w:rFonts w:ascii="Arial" w:cs="Arial" w:eastAsia="Arial" w:hAnsi="Arial"/>
                <w:sz w:val="15"/>
                <w:szCs w:val="15"/>
                <w:b w:val="1"/>
                <w:bCs w:val="1"/>
                <w:color w:val="auto"/>
              </w:rPr>
              <w:t>December 31,</w:t>
            </w:r>
          </w:p>
        </w:tc>
        <w:tc>
          <w:tcPr>
            <w:tcW w:w="940" w:type="dxa"/>
            <w:vAlign w:val="bottom"/>
          </w:tcPr>
          <w:p>
            <w:pPr>
              <w:spacing w:after="0"/>
              <w:rPr>
                <w:sz w:val="19"/>
                <w:szCs w:val="19"/>
                <w:color w:val="auto"/>
              </w:rPr>
            </w:pPr>
          </w:p>
        </w:tc>
      </w:tr>
      <w:tr>
        <w:trPr>
          <w:trHeight w:val="206"/>
        </w:trPr>
        <w:tc>
          <w:tcPr>
            <w:tcW w:w="1820" w:type="dxa"/>
            <w:vAlign w:val="bottom"/>
            <w:tcBorders>
              <w:top w:val="single" w:sz="8" w:color="2C6937"/>
              <w:bottom w:val="single" w:sz="8" w:color="2C6937"/>
            </w:tcBorders>
          </w:tcPr>
          <w:p>
            <w:pPr>
              <w:jc w:val="center"/>
              <w:spacing w:after="0"/>
              <w:rPr>
                <w:sz w:val="20"/>
                <w:szCs w:val="20"/>
                <w:color w:val="auto"/>
              </w:rPr>
            </w:pPr>
            <w:r>
              <w:rPr>
                <w:rFonts w:ascii="Arial" w:cs="Arial" w:eastAsia="Arial" w:hAnsi="Arial"/>
                <w:sz w:val="15"/>
                <w:szCs w:val="15"/>
                <w:b w:val="1"/>
                <w:bCs w:val="1"/>
                <w:color w:val="auto"/>
              </w:rPr>
              <w:t>2023</w:t>
            </w:r>
          </w:p>
        </w:tc>
        <w:tc>
          <w:tcPr>
            <w:tcW w:w="80" w:type="dxa"/>
            <w:vAlign w:val="bottom"/>
          </w:tcPr>
          <w:p>
            <w:pPr>
              <w:spacing w:after="0"/>
              <w:rPr>
                <w:sz w:val="17"/>
                <w:szCs w:val="17"/>
                <w:color w:val="auto"/>
              </w:rPr>
            </w:pPr>
          </w:p>
        </w:tc>
        <w:tc>
          <w:tcPr>
            <w:tcW w:w="1480" w:type="dxa"/>
            <w:vAlign w:val="bottom"/>
            <w:tcBorders>
              <w:top w:val="single" w:sz="8" w:color="2C6937"/>
              <w:bottom w:val="single" w:sz="8" w:color="2C6937"/>
            </w:tcBorders>
          </w:tcPr>
          <w:p>
            <w:pPr>
              <w:ind w:left="560"/>
              <w:spacing w:after="0"/>
              <w:rPr>
                <w:sz w:val="20"/>
                <w:szCs w:val="20"/>
                <w:color w:val="auto"/>
              </w:rPr>
            </w:pPr>
            <w:r>
              <w:rPr>
                <w:rFonts w:ascii="Arial" w:cs="Arial" w:eastAsia="Arial" w:hAnsi="Arial"/>
                <w:sz w:val="15"/>
                <w:szCs w:val="15"/>
                <w:b w:val="1"/>
                <w:bCs w:val="1"/>
                <w:color w:val="auto"/>
              </w:rPr>
              <w:t>2024</w:t>
            </w:r>
          </w:p>
        </w:tc>
        <w:tc>
          <w:tcPr>
            <w:tcW w:w="100" w:type="dxa"/>
            <w:vAlign w:val="bottom"/>
            <w:tcBorders>
              <w:top w:val="single" w:sz="8" w:color="2C6937"/>
            </w:tcBorders>
          </w:tcPr>
          <w:p>
            <w:pPr>
              <w:spacing w:after="0"/>
              <w:rPr>
                <w:sz w:val="17"/>
                <w:szCs w:val="17"/>
                <w:color w:val="auto"/>
              </w:rPr>
            </w:pPr>
          </w:p>
        </w:tc>
        <w:tc>
          <w:tcPr>
            <w:tcW w:w="480" w:type="dxa"/>
            <w:vAlign w:val="bottom"/>
            <w:tcBorders>
              <w:top w:val="single" w:sz="8" w:color="2C6937"/>
              <w:bottom w:val="single" w:sz="8" w:color="2C6937"/>
            </w:tcBorders>
          </w:tcPr>
          <w:p>
            <w:pPr>
              <w:spacing w:after="0"/>
              <w:rPr>
                <w:sz w:val="17"/>
                <w:szCs w:val="17"/>
                <w:color w:val="auto"/>
              </w:rPr>
            </w:pPr>
          </w:p>
        </w:tc>
        <w:tc>
          <w:tcPr>
            <w:tcW w:w="940" w:type="dxa"/>
            <w:vAlign w:val="bottom"/>
            <w:tcBorders>
              <w:top w:val="single" w:sz="8" w:color="2C6937"/>
              <w:bottom w:val="single" w:sz="8" w:color="2C6937"/>
            </w:tcBorders>
          </w:tcPr>
          <w:p>
            <w:pPr>
              <w:ind w:left="60"/>
              <w:spacing w:after="0"/>
              <w:rPr>
                <w:sz w:val="20"/>
                <w:szCs w:val="20"/>
                <w:color w:val="auto"/>
              </w:rPr>
            </w:pPr>
            <w:r>
              <w:rPr>
                <w:rFonts w:ascii="Arial" w:cs="Arial" w:eastAsia="Arial" w:hAnsi="Arial"/>
                <w:sz w:val="15"/>
                <w:szCs w:val="15"/>
                <w:b w:val="1"/>
                <w:bCs w:val="1"/>
                <w:color w:val="auto"/>
              </w:rPr>
              <w:t>2025</w:t>
            </w:r>
          </w:p>
        </w:tc>
      </w:tr>
      <w:tr>
        <w:trPr>
          <w:trHeight w:val="210"/>
        </w:trPr>
        <w:tc>
          <w:tcPr>
            <w:tcW w:w="1820" w:type="dxa"/>
            <w:vAlign w:val="bottom"/>
          </w:tcPr>
          <w:p>
            <w:pPr>
              <w:ind w:left="1400"/>
              <w:spacing w:after="0"/>
              <w:rPr>
                <w:sz w:val="20"/>
                <w:szCs w:val="20"/>
                <w:color w:val="auto"/>
              </w:rPr>
            </w:pPr>
            <w:r>
              <w:rPr>
                <w:rFonts w:ascii="Arial" w:cs="Arial" w:eastAsia="Arial" w:hAnsi="Arial"/>
                <w:sz w:val="15"/>
                <w:szCs w:val="15"/>
                <w:color w:val="auto"/>
              </w:rPr>
              <w:t>6.8 %</w:t>
            </w:r>
          </w:p>
        </w:tc>
        <w:tc>
          <w:tcPr>
            <w:tcW w:w="80" w:type="dxa"/>
            <w:vAlign w:val="bottom"/>
          </w:tcPr>
          <w:p>
            <w:pPr>
              <w:spacing w:after="0"/>
              <w:rPr>
                <w:sz w:val="18"/>
                <w:szCs w:val="18"/>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6.4 %</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ind w:left="540"/>
              <w:spacing w:after="0"/>
              <w:rPr>
                <w:sz w:val="20"/>
                <w:szCs w:val="20"/>
                <w:color w:val="auto"/>
              </w:rPr>
            </w:pPr>
            <w:r>
              <w:rPr>
                <w:rFonts w:ascii="Arial" w:cs="Arial" w:eastAsia="Arial" w:hAnsi="Arial"/>
                <w:sz w:val="15"/>
                <w:szCs w:val="15"/>
                <w:color w:val="auto"/>
                <w:w w:val="98"/>
              </w:rPr>
              <w:t>6.0 %</w:t>
            </w:r>
          </w:p>
        </w:tc>
      </w:tr>
      <w:tr>
        <w:trPr>
          <w:trHeight w:val="232"/>
        </w:trPr>
        <w:tc>
          <w:tcPr>
            <w:tcW w:w="1820" w:type="dxa"/>
            <w:vAlign w:val="bottom"/>
          </w:tcPr>
          <w:p>
            <w:pPr>
              <w:ind w:left="1400"/>
              <w:spacing w:after="0"/>
              <w:rPr>
                <w:sz w:val="20"/>
                <w:szCs w:val="20"/>
                <w:color w:val="auto"/>
              </w:rPr>
            </w:pPr>
            <w:r>
              <w:rPr>
                <w:rFonts w:ascii="Arial" w:cs="Arial" w:eastAsia="Arial" w:hAnsi="Arial"/>
                <w:sz w:val="15"/>
                <w:szCs w:val="15"/>
                <w:color w:val="auto"/>
              </w:rPr>
              <w:t>7.5</w:t>
            </w:r>
          </w:p>
        </w:tc>
        <w:tc>
          <w:tcPr>
            <w:tcW w:w="80" w:type="dxa"/>
            <w:vAlign w:val="bottom"/>
          </w:tcPr>
          <w:p>
            <w:pPr>
              <w:spacing w:after="0"/>
              <w:rPr>
                <w:sz w:val="20"/>
                <w:szCs w:val="20"/>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7.2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ind w:left="540"/>
              <w:spacing w:after="0"/>
              <w:rPr>
                <w:sz w:val="20"/>
                <w:szCs w:val="20"/>
                <w:color w:val="auto"/>
              </w:rPr>
            </w:pPr>
            <w:r>
              <w:rPr>
                <w:rFonts w:ascii="Arial" w:cs="Arial" w:eastAsia="Arial" w:hAnsi="Arial"/>
                <w:sz w:val="15"/>
                <w:szCs w:val="15"/>
                <w:color w:val="auto"/>
              </w:rPr>
              <w:t>6.8</w:t>
            </w:r>
          </w:p>
        </w:tc>
      </w:tr>
      <w:tr>
        <w:trPr>
          <w:trHeight w:val="232"/>
        </w:trPr>
        <w:tc>
          <w:tcPr>
            <w:tcW w:w="1820" w:type="dxa"/>
            <w:vAlign w:val="bottom"/>
          </w:tcPr>
          <w:p>
            <w:pPr>
              <w:ind w:left="1400"/>
              <w:spacing w:after="0"/>
              <w:rPr>
                <w:sz w:val="20"/>
                <w:szCs w:val="20"/>
                <w:color w:val="auto"/>
              </w:rPr>
            </w:pPr>
            <w:r>
              <w:rPr>
                <w:rFonts w:ascii="Arial" w:cs="Arial" w:eastAsia="Arial" w:hAnsi="Arial"/>
                <w:sz w:val="15"/>
                <w:szCs w:val="15"/>
                <w:color w:val="auto"/>
              </w:rPr>
              <w:t>6.7</w:t>
            </w:r>
          </w:p>
        </w:tc>
        <w:tc>
          <w:tcPr>
            <w:tcW w:w="80" w:type="dxa"/>
            <w:vAlign w:val="bottom"/>
          </w:tcPr>
          <w:p>
            <w:pPr>
              <w:spacing w:after="0"/>
              <w:rPr>
                <w:sz w:val="20"/>
                <w:szCs w:val="20"/>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6.0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ind w:left="540"/>
              <w:spacing w:after="0"/>
              <w:rPr>
                <w:sz w:val="20"/>
                <w:szCs w:val="20"/>
                <w:color w:val="auto"/>
              </w:rPr>
            </w:pPr>
            <w:r>
              <w:rPr>
                <w:rFonts w:ascii="Arial" w:cs="Arial" w:eastAsia="Arial" w:hAnsi="Arial"/>
                <w:sz w:val="15"/>
                <w:szCs w:val="15"/>
                <w:color w:val="auto"/>
              </w:rPr>
              <w:t>5.8</w:t>
            </w:r>
          </w:p>
        </w:tc>
      </w:tr>
      <w:tr>
        <w:trPr>
          <w:trHeight w:val="232"/>
        </w:trPr>
        <w:tc>
          <w:tcPr>
            <w:tcW w:w="1820" w:type="dxa"/>
            <w:vAlign w:val="bottom"/>
          </w:tcPr>
          <w:p>
            <w:pPr>
              <w:ind w:left="1400"/>
              <w:spacing w:after="0"/>
              <w:rPr>
                <w:sz w:val="20"/>
                <w:szCs w:val="20"/>
                <w:color w:val="auto"/>
              </w:rPr>
            </w:pPr>
            <w:r>
              <w:rPr>
                <w:rFonts w:ascii="Arial" w:cs="Arial" w:eastAsia="Arial" w:hAnsi="Arial"/>
                <w:sz w:val="15"/>
                <w:szCs w:val="15"/>
                <w:color w:val="auto"/>
              </w:rPr>
              <w:t>6.2</w:t>
            </w:r>
          </w:p>
        </w:tc>
        <w:tc>
          <w:tcPr>
            <w:tcW w:w="80" w:type="dxa"/>
            <w:vAlign w:val="bottom"/>
          </w:tcPr>
          <w:p>
            <w:pPr>
              <w:spacing w:after="0"/>
              <w:rPr>
                <w:sz w:val="20"/>
                <w:szCs w:val="20"/>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5.7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ind w:left="540"/>
              <w:spacing w:after="0"/>
              <w:rPr>
                <w:sz w:val="20"/>
                <w:szCs w:val="20"/>
                <w:color w:val="auto"/>
              </w:rPr>
            </w:pPr>
            <w:r>
              <w:rPr>
                <w:rFonts w:ascii="Arial" w:cs="Arial" w:eastAsia="Arial" w:hAnsi="Arial"/>
                <w:sz w:val="15"/>
                <w:szCs w:val="15"/>
                <w:color w:val="auto"/>
              </w:rPr>
              <w:t>5.5</w:t>
            </w:r>
          </w:p>
        </w:tc>
      </w:tr>
    </w:tbl>
    <w:p>
      <w:pPr>
        <w:spacing w:after="0" w:line="329" w:lineRule="exact"/>
        <w:rPr>
          <w:sz w:val="20"/>
          <w:szCs w:val="20"/>
          <w:color w:val="auto"/>
        </w:rPr>
      </w:pPr>
    </w:p>
    <w:p>
      <w:pPr>
        <w:sectPr>
          <w:pgSz w:w="11900" w:h="16838" w:orient="portrait"/>
          <w:cols w:equalWidth="0" w:num="2">
            <w:col w:w="5620" w:space="720"/>
            <w:col w:w="4900"/>
          </w:cols>
          <w:pgMar w:left="320" w:top="248" w:right="339" w:bottom="1440" w:gutter="0" w:footer="0" w:header="0"/>
          <w:type w:val="continuous"/>
        </w:sectPr>
      </w:pPr>
    </w:p>
    <w:p>
      <w:pPr>
        <w:ind w:left="240" w:right="260" w:hanging="237"/>
        <w:spacing w:after="0" w:line="233" w:lineRule="auto"/>
        <w:tabs>
          <w:tab w:leader="none" w:pos="233" w:val="left"/>
        </w:tabs>
        <w:numPr>
          <w:ilvl w:val="0"/>
          <w:numId w:val="60"/>
        </w:numPr>
        <w:rPr>
          <w:rFonts w:ascii="Arial" w:cs="Arial" w:eastAsia="Arial" w:hAnsi="Arial"/>
          <w:sz w:val="18"/>
          <w:szCs w:val="18"/>
          <w:color w:val="auto"/>
          <w:vertAlign w:val="superscript"/>
        </w:rPr>
      </w:pPr>
      <w:r>
        <w:rPr>
          <w:rFonts w:ascii="Arial" w:cs="Arial" w:eastAsia="Arial" w:hAnsi="Arial"/>
          <w:sz w:val="14"/>
          <w:szCs w:val="14"/>
          <w:color w:val="auto"/>
        </w:rPr>
        <w:t>These forecasts are provided here solely for the purpose of providing insight into our credit loss model. Forecasts for future periods are subject to significant uncertainty, which increases for periods that are further in the future. We provide our most recent forecasts for certain macroeconomic and housing market conditions in “Key Market Economic Indicators.” In addition, each month our Economic &amp; Strategic Research group provides its forecast of economic and housing market conditions, which are available in the “About Us/Research and Insights” section of our website, www.fanniemae.com. Information on our website is not incorporated into this report.</w:t>
      </w:r>
    </w:p>
    <w:p>
      <w:pPr>
        <w:spacing w:after="0" w:line="26" w:lineRule="exact"/>
        <w:rPr>
          <w:rFonts w:ascii="Arial" w:cs="Arial" w:eastAsia="Arial" w:hAnsi="Arial"/>
          <w:sz w:val="18"/>
          <w:szCs w:val="18"/>
          <w:color w:val="auto"/>
          <w:vertAlign w:val="superscript"/>
        </w:rPr>
      </w:pPr>
    </w:p>
    <w:p>
      <w:pPr>
        <w:ind w:left="240" w:right="180" w:hanging="237"/>
        <w:spacing w:after="0" w:line="236" w:lineRule="auto"/>
        <w:tabs>
          <w:tab w:leader="none" w:pos="233" w:val="left"/>
        </w:tabs>
        <w:numPr>
          <w:ilvl w:val="0"/>
          <w:numId w:val="60"/>
        </w:numPr>
        <w:rPr>
          <w:rFonts w:ascii="Arial" w:cs="Arial" w:eastAsia="Arial" w:hAnsi="Arial"/>
          <w:sz w:val="18"/>
          <w:szCs w:val="18"/>
          <w:color w:val="auto"/>
          <w:vertAlign w:val="superscript"/>
        </w:rPr>
      </w:pPr>
      <w:r>
        <w:rPr>
          <w:rFonts w:ascii="Arial" w:cs="Arial" w:eastAsia="Arial" w:hAnsi="Arial"/>
          <w:sz w:val="14"/>
          <w:szCs w:val="14"/>
          <w:color w:val="auto"/>
        </w:rPr>
        <w:t>These estimates are based on our national home price index, which is calculated differently from the S&amp;P CoreLogic Case-Shiller U.S. National Home Price Index and therefore results in different percentages for comparable growth. We periodically update our home price growth estimates and forecasts as new data become available. As a result, the forecast data in this table may also differ from the forecasted home price growth rate presented in “Key Market Economic Indicators,” because that section reflects our most recent forecast as of the filing date of this report, while this table reflects the quantitative forecast data we used in our model to estimate credit losses for the periods shown. Management continues to monitor macroeconomic updates to our inputs in our credit loss model from the time they are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8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2024 Form 10-Q</w:t>
            </w:r>
          </w:p>
        </w:tc>
        <w:tc>
          <w:tcPr>
            <w:tcW w:w="43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59</w:t>
            </w:r>
          </w:p>
        </w:tc>
      </w:tr>
      <w:tr>
        <w:trPr>
          <w:trHeight w:val="207"/>
        </w:trPr>
        <w:tc>
          <w:tcPr>
            <w:tcW w:w="6860" w:type="dxa"/>
            <w:vAlign w:val="bottom"/>
            <w:tcBorders>
              <w:bottom w:val="single" w:sz="8" w:color="9A9A9A"/>
            </w:tcBorders>
          </w:tcPr>
          <w:p>
            <w:pPr>
              <w:spacing w:after="0"/>
              <w:rPr>
                <w:sz w:val="17"/>
                <w:szCs w:val="17"/>
                <w:color w:val="auto"/>
              </w:rPr>
            </w:pPr>
          </w:p>
        </w:tc>
        <w:tc>
          <w:tcPr>
            <w:tcW w:w="4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62" w:name="page63"/>
    <w:bookmarkEnd w:id="62"/>
    <w:p>
      <w:pPr>
        <w:ind w:left="8840"/>
        <w:spacing w:after="0"/>
        <w:rPr>
          <w:sz w:val="20"/>
          <w:szCs w:val="20"/>
          <w:color w:val="auto"/>
        </w:rPr>
      </w:pPr>
      <w:r>
        <w:rPr>
          <w:rFonts w:ascii="Arial" w:cs="Arial" w:eastAsia="Arial" w:hAnsi="Arial"/>
          <w:sz w:val="14"/>
          <w:szCs w:val="14"/>
          <w:color w:val="05314D"/>
        </w:rPr>
        <w:t>MD&amp;A | Critical Accounting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40" w:right="40"/>
        <w:spacing w:after="0" w:line="275" w:lineRule="auto"/>
        <w:rPr>
          <w:sz w:val="20"/>
          <w:szCs w:val="20"/>
          <w:color w:val="auto"/>
        </w:rPr>
      </w:pPr>
      <w:r>
        <w:rPr>
          <w:rFonts w:ascii="Arial" w:cs="Arial" w:eastAsia="Arial" w:hAnsi="Arial"/>
          <w:sz w:val="14"/>
          <w:szCs w:val="14"/>
          <w:color w:val="auto"/>
        </w:rPr>
        <w:t>approved as part of our established governance process to ensure the reasonableness of the inputs used to calculate estimated credit losses. The forecast data excludes the impact of any qualitative adjustments.</w:t>
      </w:r>
    </w:p>
    <w:p>
      <w:pPr>
        <w:spacing w:after="0" w:line="5" w:lineRule="exact"/>
        <w:rPr>
          <w:sz w:val="20"/>
          <w:szCs w:val="20"/>
          <w:color w:val="auto"/>
        </w:rPr>
      </w:pPr>
    </w:p>
    <w:p>
      <w:pPr>
        <w:ind w:left="240" w:right="20" w:hanging="237"/>
        <w:spacing w:after="0" w:line="233" w:lineRule="auto"/>
        <w:tabs>
          <w:tab w:leader="none" w:pos="233" w:val="left"/>
        </w:tabs>
        <w:numPr>
          <w:ilvl w:val="0"/>
          <w:numId w:val="61"/>
        </w:numPr>
        <w:rPr>
          <w:rFonts w:ascii="Arial" w:cs="Arial" w:eastAsia="Arial" w:hAnsi="Arial"/>
          <w:sz w:val="18"/>
          <w:szCs w:val="18"/>
          <w:color w:val="auto"/>
          <w:vertAlign w:val="superscript"/>
        </w:rPr>
      </w:pPr>
      <w:r>
        <w:rPr>
          <w:rFonts w:ascii="Arial" w:cs="Arial" w:eastAsia="Arial" w:hAnsi="Arial"/>
          <w:sz w:val="14"/>
          <w:szCs w:val="14"/>
          <w:color w:val="auto"/>
        </w:rPr>
        <w:t>Forecasted 30-year interest rates represent the mean of possible future interest rate environments that are simulated by our interest rate model and used in the estimation of credit losses. Forecasts through the end of December 31, 2024 and 2023 represent the average forecasted rate from the quarter-end through the calendar year end of December 31st. The fourth quarter of 2023 interest rate represents the 30-year interest rate as of December 31, 2023. This table reflects the forecasted interest rate data we used in estimating credit losses for the periods shown and does not reflect changes in interest rates that occurred after the forecast date.</w:t>
      </w:r>
    </w:p>
    <w:p>
      <w:pPr>
        <w:spacing w:after="0" w:line="51"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It is difficult to estimate how potential changes in any one factor or input might affect the overall credit loss estimates, because management considers a wide variety of factors and inputs in estimating the allowance for loan losses. Changes in the factors and inputs considered may not occur at the same rate and may not be consistent across all geographies or loan types, and changes in factors and inputs may be directionally inconsistent, such that improvement in one factor or input may offset deterioration in others. Changes in our assumptions and forecasts of economic conditions could significantly affect our estimate of expected credit losses and lead to significant changes in the estimate from one reporting period to the next.</w:t>
      </w:r>
    </w:p>
    <w:p>
      <w:pPr>
        <w:spacing w:after="0" w:line="38"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As noted above, our allowance for loan losses is sensitive to changes in home prices and interest rate changes. To consider the impact of a hypothetical change in home prices, assuming a positive one-percentage point change in the home price growth rate for the first twelve months of the forecast, on a normalized basis, with all other factors held constant, the single-family allowance for loan losses as of September 30, 2024 would decrease by approximately 3%. Conversely, assuming a negative one-percentage point change in the home price growth rate for the first twelve months of the forecast, on a normalized basis, the single-family allowance for loan losses would increase by approximately 3%.</w:t>
      </w:r>
    </w:p>
    <w:p>
      <w:pPr>
        <w:spacing w:after="0" w:line="38" w:lineRule="exact"/>
        <w:rPr>
          <w:sz w:val="20"/>
          <w:szCs w:val="20"/>
          <w:color w:val="auto"/>
        </w:rPr>
      </w:pPr>
    </w:p>
    <w:p>
      <w:pPr>
        <w:ind w:right="280"/>
        <w:spacing w:after="0" w:line="272" w:lineRule="auto"/>
        <w:rPr>
          <w:sz w:val="20"/>
          <w:szCs w:val="20"/>
          <w:color w:val="auto"/>
        </w:rPr>
      </w:pPr>
      <w:r>
        <w:rPr>
          <w:rFonts w:ascii="Arial" w:cs="Arial" w:eastAsia="Arial" w:hAnsi="Arial"/>
          <w:sz w:val="16"/>
          <w:szCs w:val="16"/>
          <w:color w:val="auto"/>
        </w:rPr>
        <w:t>To consider the impact of a hypothetical change in 30-year interest rates, assuming a 50-basis point increase in estimated 30-year interest rates, with all other factors held constant, the single-family allowance for loan losses as of September 30, 2024 would increase by approximately 4%. Conversely, assuming a 50-basis point decrease in 30-year interest rates, the single-family allowance for loan losses would decrease by approximately 5%.</w:t>
      </w:r>
    </w:p>
    <w:p>
      <w:pPr>
        <w:spacing w:after="0" w:line="32"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These sensitivity analyses are hypothetical and are provided solely for the purpose of providing insight into our credit loss model inputs. In addition, sensitivities for home price and interest rate changes are non-linear. As a result, changes in these estimates are not incrementally proportional. The purpose of this analysis is to provide an indication of the impact of home price appreciation and 30-year interest rates on the estimate of the allowance for credit losses. For example, it is not intended to imply management’s expectation of future changes in our forecasts or any other variables that may change as a result.</w:t>
      </w:r>
    </w:p>
    <w:p>
      <w:pPr>
        <w:spacing w:after="0" w:line="38"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We provide more detailed information on our accounting for the allowance for loan losses in “Note 1, Summary of Significant Accounting Policies” in our 2023 Form 10-K. See “Note 5, Allowance for Loan Losses” for additional information about our current period benefit for loan losses.</w:t>
      </w:r>
    </w:p>
    <w:p>
      <w:pPr>
        <w:spacing w:after="0" w:line="28"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See “Key Market Economic Indicators” in our 2023 Form 10-K for additional information about how home prices can affect our credit loss estimates. See “Key Market Economic Indicators” in this report for a discussion of home price growth rates and our home price forecast. Also see “Consolidated Results of Operations—Benefit (Provision) for Credit Losses” in this report for information on how our home price forecast impacted our single-family benefit for credit losses.</w:t>
      </w:r>
    </w:p>
    <w:p>
      <w:pPr>
        <w:spacing w:after="0" w:line="133"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Impact of Future Adoption of New Accounting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138670" cy="165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80" w:lineRule="exact"/>
        <w:rPr>
          <w:sz w:val="20"/>
          <w:szCs w:val="20"/>
          <w:color w:val="auto"/>
        </w:rPr>
      </w:pPr>
    </w:p>
    <w:p>
      <w:pPr>
        <w:ind w:right="560"/>
        <w:spacing w:after="0" w:line="310" w:lineRule="auto"/>
        <w:rPr>
          <w:sz w:val="20"/>
          <w:szCs w:val="20"/>
          <w:color w:val="auto"/>
        </w:rPr>
      </w:pPr>
      <w:r>
        <w:rPr>
          <w:rFonts w:ascii="Arial" w:cs="Arial" w:eastAsia="Arial" w:hAnsi="Arial"/>
          <w:sz w:val="16"/>
          <w:szCs w:val="16"/>
          <w:color w:val="auto"/>
        </w:rPr>
        <w:t>We identify and discuss the expected impact on our condensed consolidated financial statements of recently issued accounting guidance in “Note 1, Summary of Significant Accounting Policies.”</w:t>
      </w:r>
    </w:p>
    <w:p>
      <w:pPr>
        <w:spacing w:after="0" w:line="99"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ind w:right="120"/>
        <w:spacing w:after="0" w:line="263" w:lineRule="auto"/>
        <w:rPr>
          <w:sz w:val="20"/>
          <w:szCs w:val="20"/>
          <w:color w:val="auto"/>
        </w:rPr>
      </w:pPr>
      <w:r>
        <w:rPr>
          <w:rFonts w:ascii="Arial" w:cs="Arial" w:eastAsia="Arial" w:hAnsi="Arial"/>
          <w:sz w:val="16"/>
          <w:szCs w:val="16"/>
          <w:color w:val="auto"/>
        </w:rPr>
        <w:t>This report includes statements that constitute forward-looking statements within the meaning of Section 21E of the Securities Exchange Act of 1934 (the “Exchange Act”). In addition, we and our senior management may from time to time make forward-looking statements in our other filings with the SEC, our other publicly available written statements, and orally to analysts, investors, the news media and others. Forward-looking statements often include words such as “expect,” “anticipate,” “intend,” “plan,” “believe,” “seek,” “estimate,” “forecast,” “project,” “would,” “should,” “could,” “likely,” “may,” “will” or similar words. Examples of forward-looking statements in this report include, among others, statements relating to our beliefs and expectations regarding the following matters:</w:t>
      </w:r>
    </w:p>
    <w:p>
      <w:pPr>
        <w:spacing w:after="0" w:line="41" w:lineRule="exact"/>
        <w:rPr>
          <w:sz w:val="20"/>
          <w:szCs w:val="20"/>
          <w:color w:val="auto"/>
        </w:rPr>
      </w:pPr>
    </w:p>
    <w:p>
      <w:pPr>
        <w:jc w:val="both"/>
        <w:ind w:left="620" w:right="340" w:hanging="307"/>
        <w:spacing w:after="0" w:line="272" w:lineRule="auto"/>
        <w:tabs>
          <w:tab w:leader="none" w:pos="612" w:val="left"/>
        </w:tabs>
        <w:numPr>
          <w:ilvl w:val="0"/>
          <w:numId w:val="62"/>
        </w:numPr>
        <w:rPr>
          <w:rFonts w:ascii="Arial" w:cs="Arial" w:eastAsia="Arial" w:hAnsi="Arial"/>
          <w:sz w:val="16"/>
          <w:szCs w:val="16"/>
          <w:i w:val="1"/>
          <w:iCs w:val="1"/>
          <w:color w:val="auto"/>
        </w:rPr>
      </w:pPr>
      <w:r>
        <w:rPr>
          <w:rFonts w:ascii="Arial" w:cs="Arial" w:eastAsia="Arial" w:hAnsi="Arial"/>
          <w:sz w:val="16"/>
          <w:szCs w:val="16"/>
          <w:color w:val="auto"/>
        </w:rPr>
        <w:t>economic, mortgage market and housing market conditions (including expectations regarding home price growth, the unemployment rate, loan origination volumes, economic growth and interest rates), the factors that will affect those conditions, and the impact of those conditions on our business and financial results;</w:t>
      </w:r>
    </w:p>
    <w:p>
      <w:pPr>
        <w:spacing w:after="0" w:line="44" w:lineRule="exact"/>
        <w:rPr>
          <w:rFonts w:ascii="Arial" w:cs="Arial" w:eastAsia="Arial" w:hAnsi="Arial"/>
          <w:sz w:val="16"/>
          <w:szCs w:val="16"/>
          <w:i w:val="1"/>
          <w:iCs w:val="1"/>
          <w:color w:val="auto"/>
        </w:rPr>
      </w:pPr>
    </w:p>
    <w:p>
      <w:pPr>
        <w:ind w:left="620" w:hanging="307"/>
        <w:spacing w:after="0"/>
        <w:tabs>
          <w:tab w:leader="none" w:pos="6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impact of hedge accounting on the volatility of our financial results;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8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2024 Form 10-Q</w:t>
            </w:r>
          </w:p>
        </w:tc>
        <w:tc>
          <w:tcPr>
            <w:tcW w:w="43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60</w:t>
            </w:r>
          </w:p>
        </w:tc>
      </w:tr>
      <w:tr>
        <w:trPr>
          <w:trHeight w:val="207"/>
        </w:trPr>
        <w:tc>
          <w:tcPr>
            <w:tcW w:w="6860" w:type="dxa"/>
            <w:vAlign w:val="bottom"/>
            <w:tcBorders>
              <w:bottom w:val="single" w:sz="8" w:color="9A9A9A"/>
            </w:tcBorders>
          </w:tcPr>
          <w:p>
            <w:pPr>
              <w:spacing w:after="0"/>
              <w:rPr>
                <w:sz w:val="17"/>
                <w:szCs w:val="17"/>
                <w:color w:val="auto"/>
              </w:rPr>
            </w:pPr>
          </w:p>
        </w:tc>
        <w:tc>
          <w:tcPr>
            <w:tcW w:w="4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63" w:name="page64"/>
    <w:bookmarkEnd w:id="63"/>
    <w:p>
      <w:pPr>
        <w:ind w:left="8840"/>
        <w:spacing w:after="0"/>
        <w:rPr>
          <w:sz w:val="20"/>
          <w:szCs w:val="20"/>
          <w:color w:val="auto"/>
        </w:rPr>
      </w:pPr>
      <w:r>
        <w:rPr>
          <w:rFonts w:ascii="Arial" w:cs="Arial" w:eastAsia="Arial" w:hAnsi="Arial"/>
          <w:sz w:val="14"/>
          <w:szCs w:val="14"/>
          <w:color w:val="05314D"/>
        </w:rPr>
        <w:t>MD&amp;A |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20" w:hanging="307"/>
        <w:spacing w:after="0"/>
        <w:tabs>
          <w:tab w:leader="none" w:pos="6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future aggregate liquidation preference of our senior preferred stock;</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our future dividend payments on the senior preferred stock;</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our business plans and strategies, and their impact;</w:t>
      </w:r>
    </w:p>
    <w:p>
      <w:pPr>
        <w:spacing w:after="0" w:line="99" w:lineRule="exact"/>
        <w:rPr>
          <w:rFonts w:ascii="Arial" w:cs="Arial" w:eastAsia="Arial" w:hAnsi="Arial"/>
          <w:sz w:val="16"/>
          <w:szCs w:val="16"/>
          <w:color w:val="auto"/>
        </w:rPr>
      </w:pPr>
    </w:p>
    <w:p>
      <w:pPr>
        <w:ind w:left="620" w:right="160" w:hanging="307"/>
        <w:spacing w:after="0" w:line="293" w:lineRule="auto"/>
        <w:tabs>
          <w:tab w:leader="none" w:pos="612"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credit performance of the loans in our guaranty book of business (including future loan delinquencies, foreclosures and forbearances) and the factors that will affect such performance;</w:t>
      </w:r>
    </w:p>
    <w:p>
      <w:pPr>
        <w:spacing w:after="0" w:line="14" w:lineRule="exact"/>
        <w:rPr>
          <w:rFonts w:ascii="Arial" w:cs="Arial" w:eastAsia="Arial" w:hAnsi="Arial"/>
          <w:sz w:val="16"/>
          <w:szCs w:val="16"/>
          <w:color w:val="auto"/>
        </w:rPr>
      </w:pPr>
    </w:p>
    <w:p>
      <w:pPr>
        <w:ind w:left="620" w:hanging="307"/>
        <w:spacing w:after="0"/>
        <w:tabs>
          <w:tab w:leader="none" w:pos="6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effects of our credit risk transfer transactions, as well as the factors that will affect our engagement in future credit risk transfer transactions;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how we intend to repay our debt obligations;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impact of the adoption of new accounting guidance;</w:t>
      </w:r>
    </w:p>
    <w:p>
      <w:pPr>
        <w:spacing w:after="0" w:line="99" w:lineRule="exact"/>
        <w:rPr>
          <w:rFonts w:ascii="Arial" w:cs="Arial" w:eastAsia="Arial" w:hAnsi="Arial"/>
          <w:sz w:val="16"/>
          <w:szCs w:val="16"/>
          <w:color w:val="auto"/>
        </w:rPr>
      </w:pPr>
    </w:p>
    <w:p>
      <w:pPr>
        <w:ind w:left="620" w:hanging="307"/>
        <w:spacing w:after="0"/>
        <w:tabs>
          <w:tab w:leader="none" w:pos="6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our payments to HUD and Treasury funds under the GSE Act;</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legal and regulatory proceedings; and</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risks to our business.</w:t>
      </w:r>
    </w:p>
    <w:p>
      <w:pPr>
        <w:spacing w:after="0" w:line="87"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Forward-looking statements reflect our management’s current expectations, forecasts or predictions of future conditions, events or results based on various assumptions and management’s estimates of trends and economic conditions in the markets in which we are active and that otherwise impact our business plans. Forward-looking statements are not guarantees of future performance. By their nature, forward-looking statements are subject to significant risks and uncertainties and changes in circumstances. Our actual results and financial condition may differ, possibly materially, from the anticipated results and financial condition indicated in these forward-looking statements.</w:t>
      </w:r>
    </w:p>
    <w:p>
      <w:pPr>
        <w:spacing w:after="0" w:line="38" w:lineRule="exact"/>
        <w:rPr>
          <w:sz w:val="20"/>
          <w:szCs w:val="20"/>
          <w:color w:val="auto"/>
        </w:rPr>
      </w:pPr>
    </w:p>
    <w:p>
      <w:pPr>
        <w:ind w:right="780"/>
        <w:spacing w:after="0" w:line="293" w:lineRule="auto"/>
        <w:rPr>
          <w:sz w:val="20"/>
          <w:szCs w:val="20"/>
          <w:color w:val="auto"/>
        </w:rPr>
      </w:pPr>
      <w:r>
        <w:rPr>
          <w:rFonts w:ascii="Arial" w:cs="Arial" w:eastAsia="Arial" w:hAnsi="Arial"/>
          <w:sz w:val="16"/>
          <w:szCs w:val="16"/>
          <w:color w:val="auto"/>
        </w:rPr>
        <w:t>There are a number of factors that could cause actual conditions, events or results to differ materially from those described in our forward-looking statements, including, among others, the following:</w:t>
      </w:r>
    </w:p>
    <w:p>
      <w:pPr>
        <w:spacing w:after="0" w:line="15" w:lineRule="exact"/>
        <w:rPr>
          <w:sz w:val="20"/>
          <w:szCs w:val="20"/>
          <w:color w:val="auto"/>
        </w:rPr>
      </w:pPr>
    </w:p>
    <w:p>
      <w:pPr>
        <w:ind w:left="620" w:hanging="307"/>
        <w:spacing w:after="0"/>
        <w:tabs>
          <w:tab w:leader="none" w:pos="6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factors that will affect future economic conditions, including the persistence of inflationary pressures and the risk of financial market disruptions;</w:t>
      </w:r>
    </w:p>
    <w:p>
      <w:pPr>
        <w:spacing w:after="0" w:line="99" w:lineRule="exact"/>
        <w:rPr>
          <w:rFonts w:ascii="Arial" w:cs="Arial" w:eastAsia="Arial" w:hAnsi="Arial"/>
          <w:sz w:val="16"/>
          <w:szCs w:val="16"/>
          <w:color w:val="auto"/>
        </w:rPr>
      </w:pPr>
    </w:p>
    <w:p>
      <w:pPr>
        <w:ind w:left="620" w:right="180" w:hanging="307"/>
        <w:spacing w:after="0" w:line="293" w:lineRule="auto"/>
        <w:tabs>
          <w:tab w:leader="none" w:pos="612" w:val="left"/>
        </w:tabs>
        <w:numPr>
          <w:ilvl w:val="0"/>
          <w:numId w:val="64"/>
        </w:numPr>
        <w:rPr>
          <w:rFonts w:ascii="Arial" w:cs="Arial" w:eastAsia="Arial" w:hAnsi="Arial"/>
          <w:sz w:val="16"/>
          <w:szCs w:val="16"/>
          <w:color w:val="auto"/>
        </w:rPr>
      </w:pPr>
      <w:r>
        <w:rPr>
          <w:rFonts w:ascii="Arial" w:cs="Arial" w:eastAsia="Arial" w:hAnsi="Arial"/>
          <w:sz w:val="16"/>
          <w:szCs w:val="16"/>
          <w:color w:val="auto"/>
        </w:rPr>
        <w:t>growth, deterioration and the overall health and stability of the U.S. economy, including GDP, unemployment rates, personal income, inflation and other indicators thereof;</w:t>
      </w:r>
    </w:p>
    <w:p>
      <w:pPr>
        <w:spacing w:after="0" w:line="14" w:lineRule="exact"/>
        <w:rPr>
          <w:rFonts w:ascii="Arial" w:cs="Arial" w:eastAsia="Arial" w:hAnsi="Arial"/>
          <w:sz w:val="16"/>
          <w:szCs w:val="16"/>
          <w:color w:val="auto"/>
        </w:rPr>
      </w:pPr>
    </w:p>
    <w:p>
      <w:pPr>
        <w:ind w:left="620" w:hanging="307"/>
        <w:spacing w:after="0"/>
        <w:tabs>
          <w:tab w:leader="none" w:pos="6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timing and level of, as well as regional variation in, home price changes;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volume of mortgage originations;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size and our share of the U.S. mortgage market and the factors that affect them, including population growth and household formation;</w:t>
      </w:r>
    </w:p>
    <w:p>
      <w:pPr>
        <w:spacing w:after="0" w:line="99" w:lineRule="exact"/>
        <w:rPr>
          <w:rFonts w:ascii="Arial" w:cs="Arial" w:eastAsia="Arial" w:hAnsi="Arial"/>
          <w:sz w:val="16"/>
          <w:szCs w:val="16"/>
          <w:color w:val="auto"/>
        </w:rPr>
      </w:pPr>
    </w:p>
    <w:p>
      <w:pPr>
        <w:ind w:left="620" w:hanging="307"/>
        <w:spacing w:after="0"/>
        <w:tabs>
          <w:tab w:leader="none" w:pos="6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changes in fiscal or monetary policy of the U.S. or other countries, and the impact of such changes on domestic and international financial markets;</w:t>
      </w:r>
    </w:p>
    <w:p>
      <w:pPr>
        <w:spacing w:after="0" w:line="86" w:lineRule="exact"/>
        <w:rPr>
          <w:rFonts w:ascii="Arial" w:cs="Arial" w:eastAsia="Arial" w:hAnsi="Arial"/>
          <w:sz w:val="16"/>
          <w:szCs w:val="16"/>
          <w:color w:val="auto"/>
        </w:rPr>
      </w:pPr>
    </w:p>
    <w:p>
      <w:pPr>
        <w:ind w:left="620" w:right="240" w:hanging="307"/>
        <w:spacing w:after="0" w:line="293" w:lineRule="auto"/>
        <w:tabs>
          <w:tab w:leader="none" w:pos="612" w:val="left"/>
        </w:tabs>
        <w:numPr>
          <w:ilvl w:val="0"/>
          <w:numId w:val="64"/>
        </w:numPr>
        <w:rPr>
          <w:rFonts w:ascii="Arial" w:cs="Arial" w:eastAsia="Arial" w:hAnsi="Arial"/>
          <w:sz w:val="16"/>
          <w:szCs w:val="16"/>
          <w:color w:val="auto"/>
        </w:rPr>
      </w:pPr>
      <w:r>
        <w:rPr>
          <w:rFonts w:ascii="Arial" w:cs="Arial" w:eastAsia="Arial" w:hAnsi="Arial"/>
          <w:sz w:val="16"/>
          <w:szCs w:val="16"/>
          <w:color w:val="auto"/>
        </w:rPr>
        <w:t>domestic, regional and global political risks and uncertainties, including the impact of conflict in the Middle East, the Russian war in Ukraine, and tensions between China and Taiwan;</w:t>
      </w:r>
    </w:p>
    <w:p>
      <w:pPr>
        <w:spacing w:after="0" w:line="14" w:lineRule="exact"/>
        <w:rPr>
          <w:rFonts w:ascii="Arial" w:cs="Arial" w:eastAsia="Arial" w:hAnsi="Arial"/>
          <w:sz w:val="16"/>
          <w:szCs w:val="16"/>
          <w:color w:val="auto"/>
        </w:rPr>
      </w:pPr>
    </w:p>
    <w:p>
      <w:pPr>
        <w:ind w:left="620" w:right="60" w:hanging="307"/>
        <w:spacing w:after="0" w:line="293" w:lineRule="auto"/>
        <w:tabs>
          <w:tab w:leader="none" w:pos="612"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impact of stress in the banking sector on the financial condition and business activities of our counterparties, including stress on regional banks and on banks with significant exposure to commercial real estate;</w:t>
      </w:r>
    </w:p>
    <w:p>
      <w:pPr>
        <w:spacing w:after="0" w:line="14" w:lineRule="exact"/>
        <w:rPr>
          <w:rFonts w:ascii="Arial" w:cs="Arial" w:eastAsia="Arial" w:hAnsi="Arial"/>
          <w:sz w:val="16"/>
          <w:szCs w:val="16"/>
          <w:color w:val="auto"/>
        </w:rPr>
      </w:pPr>
    </w:p>
    <w:p>
      <w:pPr>
        <w:ind w:left="620" w:hanging="307"/>
        <w:spacing w:after="0"/>
        <w:tabs>
          <w:tab w:leader="none" w:pos="6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future interest rates and credit spreads;</w:t>
      </w:r>
    </w:p>
    <w:p>
      <w:pPr>
        <w:spacing w:after="0" w:line="99" w:lineRule="exact"/>
        <w:rPr>
          <w:rFonts w:ascii="Arial" w:cs="Arial" w:eastAsia="Arial" w:hAnsi="Arial"/>
          <w:sz w:val="16"/>
          <w:szCs w:val="16"/>
          <w:color w:val="auto"/>
        </w:rPr>
      </w:pPr>
    </w:p>
    <w:p>
      <w:pPr>
        <w:ind w:left="620" w:right="80" w:hanging="307"/>
        <w:spacing w:after="0" w:line="266" w:lineRule="auto"/>
        <w:tabs>
          <w:tab w:leader="none" w:pos="612" w:val="left"/>
        </w:tabs>
        <w:numPr>
          <w:ilvl w:val="0"/>
          <w:numId w:val="64"/>
        </w:numPr>
        <w:rPr>
          <w:rFonts w:ascii="Arial" w:cs="Arial" w:eastAsia="Arial" w:hAnsi="Arial"/>
          <w:sz w:val="16"/>
          <w:szCs w:val="16"/>
          <w:color w:val="auto"/>
        </w:rPr>
      </w:pPr>
      <w:r>
        <w:rPr>
          <w:rFonts w:ascii="Arial" w:cs="Arial" w:eastAsia="Arial" w:hAnsi="Arial"/>
          <w:sz w:val="16"/>
          <w:szCs w:val="16"/>
          <w:color w:val="auto"/>
        </w:rPr>
        <w:t>developments that may be difficult to predict, including: market conditions that result in changes in our deferred guaranty fee income or changes in net interest income from our portfolios; fluctuations in the estimated fair value of our derivatives and other financial instruments that we mark to market through our earnings; and developments that affect our loss reserves, such as changes in interest rates, home prices or accounting standards;</w:t>
      </w:r>
    </w:p>
    <w:p>
      <w:pPr>
        <w:spacing w:after="0" w:line="35" w:lineRule="exact"/>
        <w:rPr>
          <w:rFonts w:ascii="Arial" w:cs="Arial" w:eastAsia="Arial" w:hAnsi="Arial"/>
          <w:sz w:val="16"/>
          <w:szCs w:val="16"/>
          <w:color w:val="auto"/>
        </w:rPr>
      </w:pPr>
    </w:p>
    <w:p>
      <w:pPr>
        <w:ind w:left="620" w:hanging="307"/>
        <w:spacing w:after="0"/>
        <w:tabs>
          <w:tab w:leader="none" w:pos="6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disruptions or instability in the housing and credit markets;</w:t>
      </w:r>
    </w:p>
    <w:p>
      <w:pPr>
        <w:spacing w:after="0" w:line="99" w:lineRule="exact"/>
        <w:rPr>
          <w:rFonts w:ascii="Arial" w:cs="Arial" w:eastAsia="Arial" w:hAnsi="Arial"/>
          <w:sz w:val="16"/>
          <w:szCs w:val="16"/>
          <w:color w:val="auto"/>
        </w:rPr>
      </w:pPr>
    </w:p>
    <w:p>
      <w:pPr>
        <w:ind w:left="620" w:right="120" w:hanging="307"/>
        <w:spacing w:after="0" w:line="293" w:lineRule="auto"/>
        <w:tabs>
          <w:tab w:leader="none" w:pos="612" w:val="left"/>
        </w:tabs>
        <w:numPr>
          <w:ilvl w:val="0"/>
          <w:numId w:val="64"/>
        </w:numPr>
        <w:rPr>
          <w:rFonts w:ascii="Arial" w:cs="Arial" w:eastAsia="Arial" w:hAnsi="Arial"/>
          <w:sz w:val="16"/>
          <w:szCs w:val="16"/>
          <w:color w:val="auto"/>
        </w:rPr>
      </w:pPr>
      <w:r>
        <w:rPr>
          <w:rFonts w:ascii="Arial" w:cs="Arial" w:eastAsia="Arial" w:hAnsi="Arial"/>
          <w:sz w:val="16"/>
          <w:szCs w:val="16"/>
          <w:color w:val="auto"/>
        </w:rPr>
        <w:t>changes in the demand for Fannie Mae MBS, our debt securities or our credit risk transfer securities, in general or from one or more major groups of investors;</w:t>
      </w:r>
    </w:p>
    <w:p>
      <w:pPr>
        <w:spacing w:after="0" w:line="14" w:lineRule="exact"/>
        <w:rPr>
          <w:rFonts w:ascii="Arial" w:cs="Arial" w:eastAsia="Arial" w:hAnsi="Arial"/>
          <w:sz w:val="16"/>
          <w:szCs w:val="16"/>
          <w:color w:val="auto"/>
        </w:rPr>
      </w:pPr>
    </w:p>
    <w:p>
      <w:pPr>
        <w:ind w:left="620" w:hanging="307"/>
        <w:spacing w:after="0"/>
        <w:tabs>
          <w:tab w:leader="none" w:pos="6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constraints on our entry into new credit risk transfer transactions;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 decrease in our credit ratings;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limitations on our ability to access the debt capital markets;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8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2024 Form 10-Q</w:t>
            </w:r>
          </w:p>
        </w:tc>
        <w:tc>
          <w:tcPr>
            <w:tcW w:w="43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61</w:t>
            </w:r>
          </w:p>
        </w:tc>
      </w:tr>
      <w:tr>
        <w:trPr>
          <w:trHeight w:val="207"/>
        </w:trPr>
        <w:tc>
          <w:tcPr>
            <w:tcW w:w="6860" w:type="dxa"/>
            <w:vAlign w:val="bottom"/>
            <w:tcBorders>
              <w:bottom w:val="single" w:sz="8" w:color="9A9A9A"/>
            </w:tcBorders>
          </w:tcPr>
          <w:p>
            <w:pPr>
              <w:spacing w:after="0"/>
              <w:rPr>
                <w:sz w:val="17"/>
                <w:szCs w:val="17"/>
                <w:color w:val="auto"/>
              </w:rPr>
            </w:pPr>
          </w:p>
        </w:tc>
        <w:tc>
          <w:tcPr>
            <w:tcW w:w="4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64" w:name="page65"/>
    <w:bookmarkEnd w:id="64"/>
    <w:p>
      <w:pPr>
        <w:ind w:left="8840"/>
        <w:spacing w:after="0"/>
        <w:rPr>
          <w:sz w:val="20"/>
          <w:szCs w:val="20"/>
          <w:color w:val="auto"/>
        </w:rPr>
      </w:pPr>
      <w:r>
        <w:rPr>
          <w:rFonts w:ascii="Arial" w:cs="Arial" w:eastAsia="Arial" w:hAnsi="Arial"/>
          <w:sz w:val="14"/>
          <w:szCs w:val="14"/>
          <w:color w:val="05314D"/>
        </w:rPr>
        <w:t>MD&amp;A |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20" w:hanging="307"/>
        <w:spacing w:after="0"/>
        <w:tabs>
          <w:tab w:leader="none" w:pos="6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size, composition, quality and performance of our guaranty book of business and retained mortgage portfolio;</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how long loans in our guaranty book of business remain outstanding;</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our and our competitors’ future guaranty fee pricing and the impact of that pricing on our competitive environment and guaranty fee revenues;</w:t>
      </w:r>
    </w:p>
    <w:p>
      <w:pPr>
        <w:spacing w:after="0" w:line="99" w:lineRule="exact"/>
        <w:rPr>
          <w:rFonts w:ascii="Arial" w:cs="Arial" w:eastAsia="Arial" w:hAnsi="Arial"/>
          <w:sz w:val="16"/>
          <w:szCs w:val="16"/>
          <w:color w:val="auto"/>
        </w:rPr>
      </w:pPr>
    </w:p>
    <w:p>
      <w:pPr>
        <w:ind w:left="620" w:right="220" w:hanging="307"/>
        <w:spacing w:after="0" w:line="293" w:lineRule="auto"/>
        <w:tabs>
          <w:tab w:leader="none" w:pos="612"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competitive environment in which we operate, including the impact of legislative, regulatory or other developments on levels of competition in our industry and other factors affecting our market share;</w:t>
      </w:r>
    </w:p>
    <w:p>
      <w:pPr>
        <w:spacing w:after="0" w:line="14" w:lineRule="exact"/>
        <w:rPr>
          <w:rFonts w:ascii="Arial" w:cs="Arial" w:eastAsia="Arial" w:hAnsi="Arial"/>
          <w:sz w:val="16"/>
          <w:szCs w:val="16"/>
          <w:color w:val="auto"/>
        </w:rPr>
      </w:pPr>
    </w:p>
    <w:p>
      <w:pPr>
        <w:ind w:left="620" w:hanging="307"/>
        <w:spacing w:after="0"/>
        <w:tabs>
          <w:tab w:leader="none" w:pos="6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significant challenges we face in retaining and hiring qualified executives and other employees;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our conservatorship, including any changes to or termination (by receivership or otherwise) of the conservatorship and its effect on our business;</w:t>
      </w:r>
    </w:p>
    <w:p>
      <w:pPr>
        <w:spacing w:after="0" w:line="86" w:lineRule="exact"/>
        <w:rPr>
          <w:rFonts w:ascii="Arial" w:cs="Arial" w:eastAsia="Arial" w:hAnsi="Arial"/>
          <w:sz w:val="16"/>
          <w:szCs w:val="16"/>
          <w:color w:val="auto"/>
        </w:rPr>
      </w:pPr>
    </w:p>
    <w:p>
      <w:pPr>
        <w:ind w:left="620" w:right="60" w:hanging="307"/>
        <w:spacing w:after="0" w:line="271" w:lineRule="auto"/>
        <w:tabs>
          <w:tab w:leader="none" w:pos="612"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investment by Treasury, including the impact of past or potential future changes to the terms of the senior preferred stock purchase agreement, and their effect on our business, including restrictions imposed on us by the terms of the senior preferred stock purchase agreement, the senior preferred stock, and the warrant, as well as the extent that these or other restrictions on our business and activities are applied to us through other mechanisms even if we cease to be subject to these agreements and instruments;</w:t>
      </w:r>
    </w:p>
    <w:p>
      <w:pPr>
        <w:spacing w:after="0" w:line="32" w:lineRule="exact"/>
        <w:rPr>
          <w:rFonts w:ascii="Arial" w:cs="Arial" w:eastAsia="Arial" w:hAnsi="Arial"/>
          <w:sz w:val="16"/>
          <w:szCs w:val="16"/>
          <w:color w:val="auto"/>
        </w:rPr>
      </w:pPr>
    </w:p>
    <w:p>
      <w:pPr>
        <w:ind w:left="620" w:right="100" w:hanging="307"/>
        <w:spacing w:after="0" w:line="293" w:lineRule="auto"/>
        <w:tabs>
          <w:tab w:leader="none" w:pos="612" w:val="left"/>
        </w:tabs>
        <w:numPr>
          <w:ilvl w:val="0"/>
          <w:numId w:val="65"/>
        </w:numPr>
        <w:rPr>
          <w:rFonts w:ascii="Arial" w:cs="Arial" w:eastAsia="Arial" w:hAnsi="Arial"/>
          <w:sz w:val="16"/>
          <w:szCs w:val="16"/>
          <w:color w:val="auto"/>
        </w:rPr>
      </w:pPr>
      <w:r>
        <w:rPr>
          <w:rFonts w:ascii="Arial" w:cs="Arial" w:eastAsia="Arial" w:hAnsi="Arial"/>
          <w:sz w:val="16"/>
          <w:szCs w:val="16"/>
          <w:color w:val="auto"/>
        </w:rPr>
        <w:t>uncertainty regarding our future, our exit from conservatorship, our ability to raise or earn the capital needed to meet our capital requirements, and our ability to achieve long-term return targets;</w:t>
      </w:r>
    </w:p>
    <w:p>
      <w:pPr>
        <w:spacing w:after="0" w:line="14" w:lineRule="exact"/>
        <w:rPr>
          <w:rFonts w:ascii="Arial" w:cs="Arial" w:eastAsia="Arial" w:hAnsi="Arial"/>
          <w:sz w:val="16"/>
          <w:szCs w:val="16"/>
          <w:color w:val="auto"/>
        </w:rPr>
      </w:pPr>
    </w:p>
    <w:p>
      <w:pPr>
        <w:ind w:left="620" w:right="180" w:hanging="307"/>
        <w:spacing w:after="0" w:line="281" w:lineRule="auto"/>
        <w:tabs>
          <w:tab w:leader="none" w:pos="612"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impact of the enterprise regulatory capital framework, as well as future legislative and regulatory requirements or changes, governmental initiatives, or executive orders affecting us, such as the enactment of housing finance reform legislation, including changes that limit our business activities or our footprint, impose new mandates on us, or affect our ability to change our pricing;</w:t>
      </w:r>
    </w:p>
    <w:p>
      <w:pPr>
        <w:spacing w:after="0" w:line="24" w:lineRule="exact"/>
        <w:rPr>
          <w:rFonts w:ascii="Arial" w:cs="Arial" w:eastAsia="Arial" w:hAnsi="Arial"/>
          <w:sz w:val="16"/>
          <w:szCs w:val="16"/>
          <w:color w:val="auto"/>
        </w:rPr>
      </w:pPr>
    </w:p>
    <w:p>
      <w:pPr>
        <w:ind w:left="620" w:hanging="307"/>
        <w:spacing w:after="0"/>
        <w:tabs>
          <w:tab w:leader="none" w:pos="6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possibility that changes in leadership at FHFA or the Administration may result in changes that affect our company or our business;</w:t>
      </w:r>
    </w:p>
    <w:p>
      <w:pPr>
        <w:spacing w:after="0" w:line="86" w:lineRule="exact"/>
        <w:rPr>
          <w:rFonts w:ascii="Arial" w:cs="Arial" w:eastAsia="Arial" w:hAnsi="Arial"/>
          <w:sz w:val="16"/>
          <w:szCs w:val="16"/>
          <w:color w:val="auto"/>
        </w:rPr>
      </w:pPr>
    </w:p>
    <w:p>
      <w:pPr>
        <w:ind w:left="620" w:right="400" w:hanging="307"/>
        <w:spacing w:after="0" w:line="293" w:lineRule="auto"/>
        <w:tabs>
          <w:tab w:leader="none" w:pos="612" w:val="left"/>
        </w:tabs>
        <w:numPr>
          <w:ilvl w:val="0"/>
          <w:numId w:val="65"/>
        </w:numPr>
        <w:rPr>
          <w:rFonts w:ascii="Arial" w:cs="Arial" w:eastAsia="Arial" w:hAnsi="Arial"/>
          <w:sz w:val="16"/>
          <w:szCs w:val="16"/>
          <w:color w:val="auto"/>
        </w:rPr>
      </w:pPr>
      <w:r>
        <w:rPr>
          <w:rFonts w:ascii="Arial" w:cs="Arial" w:eastAsia="Arial" w:hAnsi="Arial"/>
          <w:sz w:val="16"/>
          <w:szCs w:val="16"/>
          <w:color w:val="auto"/>
        </w:rPr>
        <w:t>actions we may be required to take by FHFA, in its role as our conservator or as our regulator, such as changes in the type of business we do, actions relating to UMBS or our resecuritization of Freddie Mac-issued securities, or credit risk management actions;</w:t>
      </w:r>
    </w:p>
    <w:p>
      <w:pPr>
        <w:spacing w:after="0" w:line="27" w:lineRule="exact"/>
        <w:rPr>
          <w:rFonts w:ascii="Arial" w:cs="Arial" w:eastAsia="Arial" w:hAnsi="Arial"/>
          <w:sz w:val="16"/>
          <w:szCs w:val="16"/>
          <w:color w:val="auto"/>
        </w:rPr>
      </w:pPr>
    </w:p>
    <w:p>
      <w:pPr>
        <w:ind w:left="620" w:hanging="307"/>
        <w:spacing w:after="0"/>
        <w:tabs>
          <w:tab w:leader="none" w:pos="6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limitations on our business imposed by FHFA, in its role as our conservator or as our regulator;</w:t>
      </w:r>
    </w:p>
    <w:p>
      <w:pPr>
        <w:spacing w:after="0" w:line="86" w:lineRule="exact"/>
        <w:rPr>
          <w:rFonts w:ascii="Arial" w:cs="Arial" w:eastAsia="Arial" w:hAnsi="Arial"/>
          <w:sz w:val="16"/>
          <w:szCs w:val="16"/>
          <w:color w:val="auto"/>
        </w:rPr>
      </w:pPr>
    </w:p>
    <w:p>
      <w:pPr>
        <w:ind w:left="620" w:right="160" w:hanging="307"/>
        <w:spacing w:after="0" w:line="272" w:lineRule="auto"/>
        <w:tabs>
          <w:tab w:leader="none" w:pos="612" w:val="left"/>
        </w:tabs>
        <w:numPr>
          <w:ilvl w:val="0"/>
          <w:numId w:val="65"/>
        </w:numPr>
        <w:rPr>
          <w:rFonts w:ascii="Arial" w:cs="Arial" w:eastAsia="Arial" w:hAnsi="Arial"/>
          <w:sz w:val="16"/>
          <w:szCs w:val="16"/>
          <w:color w:val="auto"/>
        </w:rPr>
      </w:pPr>
      <w:r>
        <w:rPr>
          <w:rFonts w:ascii="Arial" w:cs="Arial" w:eastAsia="Arial" w:hAnsi="Arial"/>
          <w:sz w:val="16"/>
          <w:szCs w:val="16"/>
          <w:color w:val="auto"/>
        </w:rPr>
        <w:t>adverse effects from activities we undertake to support the mortgage market and help borrowers, renters, lenders and servicers, including actions we may take to reach additional underserved borrowers or address barriers to sustainable housing opportunities and advance equity in housing finance;</w:t>
      </w:r>
    </w:p>
    <w:p>
      <w:pPr>
        <w:spacing w:after="0" w:line="31" w:lineRule="exact"/>
        <w:rPr>
          <w:rFonts w:ascii="Arial" w:cs="Arial" w:eastAsia="Arial" w:hAnsi="Arial"/>
          <w:sz w:val="16"/>
          <w:szCs w:val="16"/>
          <w:color w:val="auto"/>
        </w:rPr>
      </w:pPr>
    </w:p>
    <w:p>
      <w:pPr>
        <w:ind w:left="620" w:right="60" w:hanging="307"/>
        <w:spacing w:after="0" w:line="271" w:lineRule="auto"/>
        <w:tabs>
          <w:tab w:leader="none" w:pos="612" w:val="left"/>
        </w:tabs>
        <w:numPr>
          <w:ilvl w:val="0"/>
          <w:numId w:val="65"/>
        </w:numPr>
        <w:rPr>
          <w:rFonts w:ascii="Arial" w:cs="Arial" w:eastAsia="Arial" w:hAnsi="Arial"/>
          <w:sz w:val="16"/>
          <w:szCs w:val="16"/>
          <w:color w:val="auto"/>
        </w:rPr>
      </w:pPr>
      <w:r>
        <w:rPr>
          <w:rFonts w:ascii="Arial" w:cs="Arial" w:eastAsia="Arial" w:hAnsi="Arial"/>
          <w:sz w:val="16"/>
          <w:szCs w:val="16"/>
          <w:color w:val="auto"/>
        </w:rPr>
        <w:t>our reliance on Common Securitization Solutions, LLC (“CSS”), a limited liability company we own jointly with Freddie Mac, and the common securitization platform CSS operates for a majority of our single-family securitization activities; provisions in the CSS limited liability company agreement that permit FHFA to add members to the CSS Board of Managers, which may limit the ability of Fannie Mae and Freddie Mac to control decisions of the Board; and changes FHFA may require in our relationship with or in our support of CSS;</w:t>
      </w:r>
    </w:p>
    <w:p>
      <w:pPr>
        <w:spacing w:after="0" w:line="32" w:lineRule="exact"/>
        <w:rPr>
          <w:rFonts w:ascii="Arial" w:cs="Arial" w:eastAsia="Arial" w:hAnsi="Arial"/>
          <w:sz w:val="16"/>
          <w:szCs w:val="16"/>
          <w:color w:val="auto"/>
        </w:rPr>
      </w:pPr>
    </w:p>
    <w:p>
      <w:pPr>
        <w:ind w:left="620" w:right="60" w:hanging="307"/>
        <w:spacing w:after="0" w:line="272" w:lineRule="auto"/>
        <w:tabs>
          <w:tab w:leader="none" w:pos="612" w:val="left"/>
        </w:tabs>
        <w:numPr>
          <w:ilvl w:val="0"/>
          <w:numId w:val="65"/>
        </w:numPr>
        <w:rPr>
          <w:rFonts w:ascii="Arial" w:cs="Arial" w:eastAsia="Arial" w:hAnsi="Arial"/>
          <w:sz w:val="16"/>
          <w:szCs w:val="16"/>
          <w:color w:val="auto"/>
        </w:rPr>
      </w:pPr>
      <w:r>
        <w:rPr>
          <w:rFonts w:ascii="Arial" w:cs="Arial" w:eastAsia="Arial" w:hAnsi="Arial"/>
          <w:sz w:val="16"/>
          <w:szCs w:val="16"/>
          <w:color w:val="auto"/>
        </w:rPr>
        <w:t>actions by FHFA, Treasury, the Federal Reserve, the Office of the Comptroller of the Currency (“OCC”), the Federal Deposit Insurance Corporation (“FDIC”), the Commodity Futures Trading Commission (“CFTC”), HUD, the Consumer Financial Protection Bureau (“CFPB”), the SEC or other regulators, Congress, the Executive Branch, or state or local governments that affect our business;</w:t>
      </w:r>
    </w:p>
    <w:p>
      <w:pPr>
        <w:spacing w:after="0" w:line="44" w:lineRule="exact"/>
        <w:rPr>
          <w:rFonts w:ascii="Arial" w:cs="Arial" w:eastAsia="Arial" w:hAnsi="Arial"/>
          <w:sz w:val="16"/>
          <w:szCs w:val="16"/>
          <w:color w:val="auto"/>
        </w:rPr>
      </w:pPr>
    </w:p>
    <w:p>
      <w:pPr>
        <w:ind w:left="620" w:hanging="307"/>
        <w:spacing w:after="0"/>
        <w:tabs>
          <w:tab w:leader="none" w:pos="6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changes in the structure and regulation of the financial services industry;</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 default by the United States government on its obligations;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 shutdown of the United States government;</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potential impact of a change in the corporate income tax rate, which we expect would affect our net income in the quarter of enactment;</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significant changes in forbearance, modification and foreclosure activity;</w:t>
      </w:r>
    </w:p>
    <w:p>
      <w:pPr>
        <w:spacing w:after="0" w:line="99" w:lineRule="exact"/>
        <w:rPr>
          <w:rFonts w:ascii="Arial" w:cs="Arial" w:eastAsia="Arial" w:hAnsi="Arial"/>
          <w:sz w:val="16"/>
          <w:szCs w:val="16"/>
          <w:color w:val="auto"/>
        </w:rPr>
      </w:pPr>
    </w:p>
    <w:p>
      <w:pPr>
        <w:ind w:left="620" w:right="300" w:hanging="307"/>
        <w:spacing w:after="0" w:line="293" w:lineRule="auto"/>
        <w:tabs>
          <w:tab w:leader="none" w:pos="612"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volume and pace of any future nonperforming and reperforming loan sales and their impact on our financial results and serious delinquency rates;</w:t>
      </w:r>
    </w:p>
    <w:p>
      <w:pPr>
        <w:spacing w:after="0" w:line="14" w:lineRule="exact"/>
        <w:rPr>
          <w:rFonts w:ascii="Arial" w:cs="Arial" w:eastAsia="Arial" w:hAnsi="Arial"/>
          <w:sz w:val="16"/>
          <w:szCs w:val="16"/>
          <w:color w:val="auto"/>
        </w:rPr>
      </w:pPr>
    </w:p>
    <w:p>
      <w:pPr>
        <w:ind w:left="620" w:hanging="307"/>
        <w:spacing w:after="0"/>
        <w:tabs>
          <w:tab w:leader="none" w:pos="6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changes in borrower behavior;</w:t>
      </w:r>
    </w:p>
    <w:p>
      <w:pPr>
        <w:spacing w:after="0" w:line="86" w:lineRule="exact"/>
        <w:rPr>
          <w:rFonts w:ascii="Arial" w:cs="Arial" w:eastAsia="Arial" w:hAnsi="Arial"/>
          <w:sz w:val="16"/>
          <w:szCs w:val="16"/>
          <w:color w:val="auto"/>
        </w:rPr>
      </w:pPr>
    </w:p>
    <w:p>
      <w:pPr>
        <w:ind w:left="620" w:right="280" w:hanging="307"/>
        <w:spacing w:after="0" w:line="293" w:lineRule="auto"/>
        <w:tabs>
          <w:tab w:leader="none" w:pos="612" w:val="left"/>
        </w:tabs>
        <w:numPr>
          <w:ilvl w:val="0"/>
          <w:numId w:val="65"/>
        </w:numPr>
        <w:rPr>
          <w:rFonts w:ascii="Arial" w:cs="Arial" w:eastAsia="Arial" w:hAnsi="Arial"/>
          <w:sz w:val="16"/>
          <w:szCs w:val="16"/>
          <w:color w:val="auto"/>
        </w:rPr>
      </w:pPr>
      <w:r>
        <w:rPr>
          <w:rFonts w:ascii="Arial" w:cs="Arial" w:eastAsia="Arial" w:hAnsi="Arial"/>
          <w:sz w:val="16"/>
          <w:szCs w:val="16"/>
          <w:color w:val="auto"/>
        </w:rPr>
        <w:t>actions we may take to mitigate losses, and the effectiveness of our loss mitigation strategies, management of our REO inventory and pursuit of contractual remedies;</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8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2024 Form 10-Q</w:t>
            </w:r>
          </w:p>
        </w:tc>
        <w:tc>
          <w:tcPr>
            <w:tcW w:w="43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62</w:t>
            </w:r>
          </w:p>
        </w:tc>
      </w:tr>
      <w:tr>
        <w:trPr>
          <w:trHeight w:val="207"/>
        </w:trPr>
        <w:tc>
          <w:tcPr>
            <w:tcW w:w="6860" w:type="dxa"/>
            <w:vAlign w:val="bottom"/>
            <w:tcBorders>
              <w:bottom w:val="single" w:sz="8" w:color="9A9A9A"/>
            </w:tcBorders>
          </w:tcPr>
          <w:p>
            <w:pPr>
              <w:spacing w:after="0"/>
              <w:rPr>
                <w:sz w:val="17"/>
                <w:szCs w:val="17"/>
                <w:color w:val="auto"/>
              </w:rPr>
            </w:pPr>
          </w:p>
        </w:tc>
        <w:tc>
          <w:tcPr>
            <w:tcW w:w="4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65" w:name="page66"/>
    <w:bookmarkEnd w:id="65"/>
    <w:p>
      <w:pPr>
        <w:ind w:left="8840"/>
        <w:spacing w:after="0"/>
        <w:rPr>
          <w:sz w:val="20"/>
          <w:szCs w:val="20"/>
          <w:color w:val="auto"/>
        </w:rPr>
      </w:pPr>
      <w:r>
        <w:rPr>
          <w:rFonts w:ascii="Arial" w:cs="Arial" w:eastAsia="Arial" w:hAnsi="Arial"/>
          <w:sz w:val="14"/>
          <w:szCs w:val="14"/>
          <w:color w:val="05314D"/>
        </w:rPr>
        <w:t>MD&amp;A |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20" w:right="160" w:hanging="307"/>
        <w:spacing w:after="0" w:line="293" w:lineRule="auto"/>
        <w:tabs>
          <w:tab w:leader="none" w:pos="612" w:val="left"/>
        </w:tabs>
        <w:numPr>
          <w:ilvl w:val="0"/>
          <w:numId w:val="66"/>
        </w:numPr>
        <w:rPr>
          <w:rFonts w:ascii="Arial" w:cs="Arial" w:eastAsia="Arial" w:hAnsi="Arial"/>
          <w:sz w:val="16"/>
          <w:szCs w:val="16"/>
          <w:color w:val="auto"/>
        </w:rPr>
      </w:pPr>
      <w:r>
        <w:rPr>
          <w:rFonts w:ascii="Arial" w:cs="Arial" w:eastAsia="Arial" w:hAnsi="Arial"/>
          <w:sz w:val="16"/>
          <w:szCs w:val="16"/>
          <w:color w:val="auto"/>
        </w:rPr>
        <w:t>environmental disasters, terrorist attacks, widespread health emergencies or pandemics, infrastructure failures, or other disruptive or catastrophic events;</w:t>
      </w:r>
    </w:p>
    <w:p>
      <w:pPr>
        <w:spacing w:after="0" w:line="14" w:lineRule="exact"/>
        <w:rPr>
          <w:rFonts w:ascii="Arial" w:cs="Arial" w:eastAsia="Arial" w:hAnsi="Arial"/>
          <w:sz w:val="16"/>
          <w:szCs w:val="16"/>
          <w:color w:val="auto"/>
        </w:rPr>
      </w:pPr>
    </w:p>
    <w:p>
      <w:pPr>
        <w:ind w:left="620" w:right="40" w:hanging="307"/>
        <w:spacing w:after="0" w:line="310" w:lineRule="auto"/>
        <w:tabs>
          <w:tab w:leader="none" w:pos="612" w:val="left"/>
        </w:tabs>
        <w:numPr>
          <w:ilvl w:val="0"/>
          <w:numId w:val="66"/>
        </w:numPr>
        <w:rPr>
          <w:rFonts w:ascii="Arial" w:cs="Arial" w:eastAsia="Arial" w:hAnsi="Arial"/>
          <w:sz w:val="16"/>
          <w:szCs w:val="16"/>
          <w:color w:val="auto"/>
        </w:rPr>
      </w:pPr>
      <w:r>
        <w:rPr>
          <w:rFonts w:ascii="Arial" w:cs="Arial" w:eastAsia="Arial" w:hAnsi="Arial"/>
          <w:sz w:val="16"/>
          <w:szCs w:val="16"/>
          <w:color w:val="auto"/>
        </w:rPr>
        <w:t>earthquakes or other natural disasters, including those for which we may be uninsured or under-insured or that may affect our counterparties or the hazard insurers insuring properties underlying our guaranty book of business;</w:t>
      </w:r>
    </w:p>
    <w:p>
      <w:pPr>
        <w:spacing w:after="0" w:line="1" w:lineRule="exact"/>
        <w:rPr>
          <w:rFonts w:ascii="Arial" w:cs="Arial" w:eastAsia="Arial" w:hAnsi="Arial"/>
          <w:sz w:val="16"/>
          <w:szCs w:val="16"/>
          <w:color w:val="auto"/>
        </w:rPr>
      </w:pPr>
    </w:p>
    <w:p>
      <w:pPr>
        <w:ind w:left="620" w:right="200" w:hanging="307"/>
        <w:spacing w:after="0" w:line="272" w:lineRule="auto"/>
        <w:tabs>
          <w:tab w:leader="none" w:pos="612" w:val="left"/>
        </w:tabs>
        <w:numPr>
          <w:ilvl w:val="0"/>
          <w:numId w:val="66"/>
        </w:numPr>
        <w:rPr>
          <w:rFonts w:ascii="Arial" w:cs="Arial" w:eastAsia="Arial" w:hAnsi="Arial"/>
          <w:sz w:val="16"/>
          <w:szCs w:val="16"/>
          <w:color w:val="auto"/>
        </w:rPr>
      </w:pPr>
      <w:r>
        <w:rPr>
          <w:rFonts w:ascii="Arial" w:cs="Arial" w:eastAsia="Arial" w:hAnsi="Arial"/>
          <w:sz w:val="16"/>
          <w:szCs w:val="16"/>
          <w:color w:val="auto"/>
        </w:rPr>
        <w:t>severe weather events, fires, floods, wind or other climate change events or impacts, including those for which we may be uninsured or under-insured or that may affect our counterparties or the hazard insurers insuring properties underlying our guaranty book of business, and other risks resulting from climate change and efforts to address climate change and related risks;</w:t>
      </w:r>
    </w:p>
    <w:p>
      <w:pPr>
        <w:spacing w:after="0" w:line="31" w:lineRule="exact"/>
        <w:rPr>
          <w:rFonts w:ascii="Arial" w:cs="Arial" w:eastAsia="Arial" w:hAnsi="Arial"/>
          <w:sz w:val="16"/>
          <w:szCs w:val="16"/>
          <w:color w:val="auto"/>
        </w:rPr>
      </w:pPr>
    </w:p>
    <w:p>
      <w:pPr>
        <w:ind w:left="620" w:hanging="307"/>
        <w:spacing w:after="0"/>
        <w:tabs>
          <w:tab w:leader="none" w:pos="6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defaults by one or more of our counterparties or by the hazard insurers insuring properties underlying our guaranty book of business;</w:t>
      </w:r>
    </w:p>
    <w:p>
      <w:pPr>
        <w:spacing w:after="0" w:line="99" w:lineRule="exact"/>
        <w:rPr>
          <w:rFonts w:ascii="Arial" w:cs="Arial" w:eastAsia="Arial" w:hAnsi="Arial"/>
          <w:sz w:val="16"/>
          <w:szCs w:val="16"/>
          <w:color w:val="auto"/>
        </w:rPr>
      </w:pPr>
    </w:p>
    <w:p>
      <w:pPr>
        <w:ind w:left="620" w:hanging="307"/>
        <w:spacing w:after="0"/>
        <w:tabs>
          <w:tab w:leader="none" w:pos="6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resolution or settlement agreements we may enter into with our counterparties;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our need to rely on third parties to fully achieve some of our corporate objectives, including our reliance on mortgage servicers;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effectiveness of our risk management processes and related controls;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effectiveness of our business resiliency plans and systems;</w:t>
      </w:r>
    </w:p>
    <w:p>
      <w:pPr>
        <w:spacing w:after="0" w:line="86" w:lineRule="exact"/>
        <w:rPr>
          <w:rFonts w:ascii="Arial" w:cs="Arial" w:eastAsia="Arial" w:hAnsi="Arial"/>
          <w:sz w:val="16"/>
          <w:szCs w:val="16"/>
          <w:color w:val="auto"/>
        </w:rPr>
      </w:pPr>
    </w:p>
    <w:p>
      <w:pPr>
        <w:ind w:left="620" w:right="140" w:hanging="307"/>
        <w:spacing w:after="0" w:line="293" w:lineRule="auto"/>
        <w:tabs>
          <w:tab w:leader="none" w:pos="612"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stability and adequacy of the systems and infrastructure that impact our operations, including ours and those of CSS, our other counterparties and other third parties;</w:t>
      </w:r>
    </w:p>
    <w:p>
      <w:pPr>
        <w:spacing w:after="0" w:line="27" w:lineRule="exact"/>
        <w:rPr>
          <w:rFonts w:ascii="Arial" w:cs="Arial" w:eastAsia="Arial" w:hAnsi="Arial"/>
          <w:sz w:val="16"/>
          <w:szCs w:val="16"/>
          <w:color w:val="auto"/>
        </w:rPr>
      </w:pPr>
    </w:p>
    <w:p>
      <w:pPr>
        <w:ind w:left="620" w:right="380" w:hanging="307"/>
        <w:spacing w:after="0" w:line="293" w:lineRule="auto"/>
        <w:tabs>
          <w:tab w:leader="none" w:pos="612"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impact of interdependence between the single-family mortgage securitization programs of Fannie Mae and Freddie Mac in connection with UMBS;</w:t>
      </w:r>
    </w:p>
    <w:p>
      <w:pPr>
        <w:spacing w:after="0" w:line="14" w:lineRule="exact"/>
        <w:rPr>
          <w:rFonts w:ascii="Arial" w:cs="Arial" w:eastAsia="Arial" w:hAnsi="Arial"/>
          <w:sz w:val="16"/>
          <w:szCs w:val="16"/>
          <w:color w:val="auto"/>
        </w:rPr>
      </w:pPr>
    </w:p>
    <w:p>
      <w:pPr>
        <w:ind w:left="620" w:hanging="307"/>
        <w:spacing w:after="0"/>
        <w:tabs>
          <w:tab w:leader="none" w:pos="6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operational control weaknesses;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our reliance on models and future updates we make to our models, including the data and assumptions used by these models;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cyber attacks or other information security breaches or threats impacting us or the third parties with which we do business;</w:t>
      </w:r>
    </w:p>
    <w:p>
      <w:pPr>
        <w:spacing w:after="0" w:line="99" w:lineRule="exact"/>
        <w:rPr>
          <w:rFonts w:ascii="Arial" w:cs="Arial" w:eastAsia="Arial" w:hAnsi="Arial"/>
          <w:sz w:val="16"/>
          <w:szCs w:val="16"/>
          <w:color w:val="auto"/>
        </w:rPr>
      </w:pPr>
    </w:p>
    <w:p>
      <w:pPr>
        <w:ind w:left="620" w:hanging="307"/>
        <w:spacing w:after="0"/>
        <w:tabs>
          <w:tab w:leader="none" w:pos="6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changes in GAAP, guidance by the Financial Accounting Standards Board (“FASB”) and changes to our accounting policies;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changes in the fair value of our assets and liabilities; and</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other factors described in “Risk Factors” in this report and in our 2023 Form 10-K.</w:t>
      </w:r>
    </w:p>
    <w:p>
      <w:pPr>
        <w:spacing w:after="0" w:line="87"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Readers are cautioned not to unduly rely on the forward-looking statements we make and to place these forward-looking statements into proper context by carefully considering the factors identified above and those discussed in “Risk Factors” in our 2023 Form 10-K and in this report. These forward-looking statements are representative only as of the date they are made, and we undertake no obligation to update any forward-looking statement as a result of new information, future events or otherwise, except as required under the federal securities laws.</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8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2024 Form 10-Q</w:t>
            </w:r>
          </w:p>
        </w:tc>
        <w:tc>
          <w:tcPr>
            <w:tcW w:w="43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63</w:t>
            </w:r>
          </w:p>
        </w:tc>
      </w:tr>
      <w:tr>
        <w:trPr>
          <w:trHeight w:val="207"/>
        </w:trPr>
        <w:tc>
          <w:tcPr>
            <w:tcW w:w="6860" w:type="dxa"/>
            <w:vAlign w:val="bottom"/>
            <w:tcBorders>
              <w:bottom w:val="single" w:sz="8" w:color="9A9A9A"/>
            </w:tcBorders>
          </w:tcPr>
          <w:p>
            <w:pPr>
              <w:spacing w:after="0"/>
              <w:rPr>
                <w:sz w:val="17"/>
                <w:szCs w:val="17"/>
                <w:color w:val="auto"/>
              </w:rPr>
            </w:pPr>
          </w:p>
        </w:tc>
        <w:tc>
          <w:tcPr>
            <w:tcW w:w="4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4"/>
          <w:szCs w:val="14"/>
          <w:color w:val="05314D"/>
        </w:rPr>
        <w:t>Financial Statements |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0722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1. Financial Statements</w:t>
      </w:r>
    </w:p>
    <w:p>
      <w:pPr>
        <w:spacing w:after="0" w:line="110" w:lineRule="exact"/>
        <w:rPr>
          <w:sz w:val="20"/>
          <w:szCs w:val="20"/>
          <w:color w:val="auto"/>
        </w:rPr>
      </w:pPr>
    </w:p>
    <w:p>
      <w:pPr>
        <w:jc w:val="center"/>
        <w:ind w:right="-119"/>
        <w:spacing w:after="0"/>
        <w:rPr>
          <w:sz w:val="20"/>
          <w:szCs w:val="20"/>
          <w:color w:val="auto"/>
        </w:rPr>
      </w:pPr>
      <w:r>
        <w:rPr>
          <w:rFonts w:ascii="Georgia" w:cs="Georgia" w:eastAsia="Georgia" w:hAnsi="Georgia"/>
          <w:sz w:val="31"/>
          <w:szCs w:val="31"/>
          <w:b w:val="1"/>
          <w:bCs w:val="1"/>
          <w:color w:val="05314D"/>
        </w:rPr>
        <w:t>FANNIE MAE</w:t>
      </w:r>
    </w:p>
    <w:p>
      <w:pPr>
        <w:spacing w:after="0" w:line="99" w:lineRule="exact"/>
        <w:rPr>
          <w:sz w:val="20"/>
          <w:szCs w:val="20"/>
          <w:color w:val="auto"/>
        </w:rPr>
      </w:pPr>
    </w:p>
    <w:p>
      <w:pPr>
        <w:jc w:val="center"/>
        <w:ind w:right="-119"/>
        <w:spacing w:after="0"/>
        <w:rPr>
          <w:sz w:val="20"/>
          <w:szCs w:val="20"/>
          <w:color w:val="auto"/>
        </w:rPr>
      </w:pPr>
      <w:r>
        <w:rPr>
          <w:rFonts w:ascii="Georgia" w:cs="Georgia" w:eastAsia="Georgia" w:hAnsi="Georgia"/>
          <w:sz w:val="17"/>
          <w:szCs w:val="17"/>
          <w:b w:val="1"/>
          <w:bCs w:val="1"/>
          <w:color w:val="05314D"/>
        </w:rPr>
        <w:t>(In conservatorship)</w:t>
      </w:r>
    </w:p>
    <w:p>
      <w:pPr>
        <w:spacing w:after="0" w:line="176" w:lineRule="exact"/>
        <w:rPr>
          <w:sz w:val="20"/>
          <w:szCs w:val="20"/>
          <w:color w:val="auto"/>
        </w:rPr>
      </w:pPr>
    </w:p>
    <w:p>
      <w:pPr>
        <w:jc w:val="center"/>
        <w:ind w:right="-119"/>
        <w:spacing w:after="0"/>
        <w:rPr>
          <w:sz w:val="20"/>
          <w:szCs w:val="20"/>
          <w:color w:val="auto"/>
        </w:rPr>
      </w:pPr>
      <w:r>
        <w:rPr>
          <w:rFonts w:ascii="Georgia" w:cs="Georgia" w:eastAsia="Georgia" w:hAnsi="Georgia"/>
          <w:sz w:val="27"/>
          <w:szCs w:val="27"/>
          <w:b w:val="1"/>
          <w:bCs w:val="1"/>
          <w:color w:val="05314D"/>
        </w:rPr>
        <w:t>Condensed Consolidated Balance Sheets — (Unaudited)</w:t>
      </w:r>
    </w:p>
    <w:p>
      <w:pPr>
        <w:spacing w:after="0" w:line="84" w:lineRule="exact"/>
        <w:rPr>
          <w:sz w:val="20"/>
          <w:szCs w:val="20"/>
          <w:color w:val="auto"/>
        </w:rPr>
      </w:pPr>
    </w:p>
    <w:p>
      <w:pPr>
        <w:jc w:val="center"/>
        <w:ind w:right="-119"/>
        <w:spacing w:after="0"/>
        <w:rPr>
          <w:sz w:val="20"/>
          <w:szCs w:val="20"/>
          <w:color w:val="auto"/>
        </w:rPr>
      </w:pPr>
      <w:r>
        <w:rPr>
          <w:rFonts w:ascii="Georgia" w:cs="Georgia" w:eastAsia="Georgia" w:hAnsi="Georgia"/>
          <w:sz w:val="17"/>
          <w:szCs w:val="17"/>
          <w:b w:val="1"/>
          <w:bCs w:val="1"/>
          <w:color w:val="05314D"/>
        </w:rPr>
        <w:t>(Dollars in millions)</w:t>
      </w:r>
    </w:p>
    <w:p>
      <w:pPr>
        <w:spacing w:after="0" w:line="123" w:lineRule="exact"/>
        <w:rPr>
          <w:sz w:val="20"/>
          <w:szCs w:val="20"/>
          <w:color w:val="auto"/>
        </w:rPr>
      </w:pPr>
    </w:p>
    <w:tbl>
      <w:tblPr>
        <w:tblLayout w:type="fixed"/>
        <w:tblInd w:w="460" w:type="dxa"/>
        <w:tblCellMar>
          <w:top w:w="0" w:type="dxa"/>
          <w:left w:w="0" w:type="dxa"/>
          <w:bottom w:w="0" w:type="dxa"/>
          <w:right w:w="0" w:type="dxa"/>
        </w:tblCellMar>
      </w:tblPr>
      <w:tr>
        <w:trPr>
          <w:trHeight w:val="189"/>
        </w:trPr>
        <w:tc>
          <w:tcPr>
            <w:tcW w:w="7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1440" w:type="dxa"/>
            <w:vAlign w:val="bottom"/>
            <w:tcBorders>
              <w:bottom w:val="single" w:sz="8" w:color="2C6937"/>
            </w:tcBorders>
            <w:gridSpan w:val="5"/>
          </w:tcPr>
          <w:p>
            <w:pPr>
              <w:jc w:val="right"/>
              <w:ind w:right="260"/>
              <w:spacing w:after="0"/>
              <w:rPr>
                <w:sz w:val="20"/>
                <w:szCs w:val="20"/>
                <w:color w:val="auto"/>
              </w:rPr>
            </w:pPr>
            <w:r>
              <w:rPr>
                <w:rFonts w:ascii="Arial" w:cs="Arial" w:eastAsia="Arial" w:hAnsi="Arial"/>
                <w:sz w:val="14"/>
                <w:szCs w:val="14"/>
                <w:b w:val="1"/>
                <w:bCs w:val="1"/>
                <w:color w:val="auto"/>
              </w:rPr>
              <w:t>As of</w:t>
            </w:r>
          </w:p>
        </w:tc>
        <w:tc>
          <w:tcPr>
            <w:tcW w:w="86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289"/>
        </w:trPr>
        <w:tc>
          <w:tcPr>
            <w:tcW w:w="7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Borders>
              <w:bottom w:val="single" w:sz="8" w:color="2C6937"/>
            </w:tcBorders>
            <w:gridSpan w:val="4"/>
          </w:tcPr>
          <w:p>
            <w:pPr>
              <w:ind w:left="40"/>
              <w:spacing w:after="0"/>
              <w:rPr>
                <w:sz w:val="20"/>
                <w:szCs w:val="20"/>
                <w:color w:val="auto"/>
              </w:rPr>
            </w:pPr>
            <w:r>
              <w:rPr>
                <w:rFonts w:ascii="Arial" w:cs="Arial" w:eastAsia="Arial" w:hAnsi="Arial"/>
                <w:sz w:val="14"/>
                <w:szCs w:val="14"/>
                <w:b w:val="1"/>
                <w:bCs w:val="1"/>
                <w:color w:val="auto"/>
                <w:w w:val="99"/>
              </w:rPr>
              <w:t>September 30, 2024</w:t>
            </w:r>
          </w:p>
        </w:tc>
        <w:tc>
          <w:tcPr>
            <w:tcW w:w="80" w:type="dxa"/>
            <w:vAlign w:val="bottom"/>
          </w:tcPr>
          <w:p>
            <w:pPr>
              <w:spacing w:after="0"/>
              <w:rPr>
                <w:sz w:val="24"/>
                <w:szCs w:val="24"/>
                <w:color w:val="auto"/>
              </w:rPr>
            </w:pPr>
          </w:p>
        </w:tc>
        <w:tc>
          <w:tcPr>
            <w:tcW w:w="1340" w:type="dxa"/>
            <w:vAlign w:val="bottom"/>
            <w:tcBorders>
              <w:bottom w:val="single" w:sz="8" w:color="2C6937"/>
            </w:tcBorders>
            <w:gridSpan w:val="4"/>
          </w:tcPr>
          <w:p>
            <w:pPr>
              <w:ind w:left="60"/>
              <w:spacing w:after="0"/>
              <w:rPr>
                <w:sz w:val="20"/>
                <w:szCs w:val="20"/>
                <w:color w:val="auto"/>
              </w:rPr>
            </w:pPr>
            <w:r>
              <w:rPr>
                <w:rFonts w:ascii="Arial" w:cs="Arial" w:eastAsia="Arial" w:hAnsi="Arial"/>
                <w:sz w:val="14"/>
                <w:szCs w:val="14"/>
                <w:b w:val="1"/>
                <w:bCs w:val="1"/>
                <w:color w:val="auto"/>
                <w:w w:val="99"/>
              </w:rPr>
              <w:t>December 31, 2023</w:t>
            </w:r>
          </w:p>
        </w:tc>
        <w:tc>
          <w:tcPr>
            <w:tcW w:w="0" w:type="dxa"/>
            <w:vAlign w:val="bottom"/>
          </w:tcPr>
          <w:p>
            <w:pPr>
              <w:spacing w:after="0"/>
              <w:rPr>
                <w:sz w:val="1"/>
                <w:szCs w:val="1"/>
                <w:color w:val="auto"/>
              </w:rPr>
            </w:pPr>
          </w:p>
        </w:tc>
      </w:tr>
      <w:tr>
        <w:trPr>
          <w:trHeight w:val="173"/>
        </w:trPr>
        <w:tc>
          <w:tcPr>
            <w:tcW w:w="7720" w:type="dxa"/>
            <w:vAlign w:val="bottom"/>
          </w:tcPr>
          <w:p>
            <w:pPr>
              <w:ind w:left="3600"/>
              <w:spacing w:after="0"/>
              <w:rPr>
                <w:sz w:val="20"/>
                <w:szCs w:val="20"/>
                <w:color w:val="auto"/>
              </w:rPr>
            </w:pPr>
            <w:r>
              <w:rPr>
                <w:rFonts w:ascii="Arial" w:cs="Arial" w:eastAsia="Arial" w:hAnsi="Arial"/>
                <w:sz w:val="14"/>
                <w:szCs w:val="14"/>
                <w:b w:val="1"/>
                <w:bCs w:val="1"/>
                <w:color w:val="auto"/>
              </w:rPr>
              <w:t>ASSETS</w:t>
            </w:r>
          </w:p>
        </w:tc>
        <w:tc>
          <w:tcPr>
            <w:tcW w:w="48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88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38,146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772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480" w:type="dxa"/>
            <w:vAlign w:val="bottom"/>
            <w:gridSpan w:val="3"/>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35,817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720" w:type="dxa"/>
            <w:vAlign w:val="bottom"/>
          </w:tcPr>
          <w:p>
            <w:pPr>
              <w:ind w:left="20"/>
              <w:spacing w:after="0"/>
              <w:rPr>
                <w:sz w:val="20"/>
                <w:szCs w:val="20"/>
                <w:color w:val="auto"/>
              </w:rPr>
            </w:pPr>
            <w:r>
              <w:rPr>
                <w:rFonts w:ascii="Arial" w:cs="Arial" w:eastAsia="Arial" w:hAnsi="Arial"/>
                <w:sz w:val="14"/>
                <w:szCs w:val="14"/>
                <w:color w:val="auto"/>
              </w:rPr>
              <w:t>Restricted cash and cash equivalents (includes $31,314 and $25,836, respectively, related to consolidated trusts)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b w:val="1"/>
                <w:bCs w:val="1"/>
                <w:color w:val="auto"/>
              </w:rPr>
              <w:t>38,626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32,889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720" w:type="dxa"/>
            <w:vAlign w:val="bottom"/>
          </w:tcPr>
          <w:p>
            <w:pPr>
              <w:ind w:left="20"/>
              <w:spacing w:after="0"/>
              <w:rPr>
                <w:sz w:val="20"/>
                <w:szCs w:val="20"/>
                <w:color w:val="auto"/>
              </w:rPr>
            </w:pPr>
            <w:r>
              <w:rPr>
                <w:rFonts w:ascii="Arial" w:cs="Arial" w:eastAsia="Arial" w:hAnsi="Arial"/>
                <w:sz w:val="14"/>
                <w:szCs w:val="14"/>
                <w:color w:val="auto"/>
              </w:rPr>
              <w:t>Securities purchased under agreements to resell</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b w:val="1"/>
                <w:bCs w:val="1"/>
                <w:color w:val="auto"/>
              </w:rPr>
              <w:t>18,065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30,700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7720" w:type="dxa"/>
            <w:vAlign w:val="bottom"/>
          </w:tcPr>
          <w:p>
            <w:pPr>
              <w:ind w:left="20"/>
              <w:spacing w:after="0"/>
              <w:rPr>
                <w:sz w:val="20"/>
                <w:szCs w:val="20"/>
                <w:color w:val="auto"/>
              </w:rPr>
            </w:pPr>
            <w:r>
              <w:rPr>
                <w:rFonts w:ascii="Arial" w:cs="Arial" w:eastAsia="Arial" w:hAnsi="Arial"/>
                <w:sz w:val="14"/>
                <w:szCs w:val="14"/>
                <w:color w:val="auto"/>
              </w:rPr>
              <w:t>Investments in securities, at fair value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b w:val="1"/>
                <w:bCs w:val="1"/>
                <w:color w:val="auto"/>
              </w:rPr>
              <w:t>61,790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53,116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720" w:type="dxa"/>
            <w:vAlign w:val="bottom"/>
          </w:tcPr>
          <w:p>
            <w:pPr>
              <w:ind w:left="20"/>
              <w:spacing w:after="0"/>
              <w:rPr>
                <w:sz w:val="20"/>
                <w:szCs w:val="20"/>
                <w:color w:val="auto"/>
              </w:rPr>
            </w:pPr>
            <w:r>
              <w:rPr>
                <w:rFonts w:ascii="Arial" w:cs="Arial" w:eastAsia="Arial" w:hAnsi="Arial"/>
                <w:sz w:val="14"/>
                <w:szCs w:val="14"/>
                <w:color w:val="auto"/>
              </w:rPr>
              <w:t>Mortgage loans: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720" w:type="dxa"/>
            <w:vAlign w:val="bottom"/>
          </w:tcPr>
          <w:p>
            <w:pPr>
              <w:ind w:left="180"/>
              <w:spacing w:after="0"/>
              <w:rPr>
                <w:sz w:val="20"/>
                <w:szCs w:val="20"/>
                <w:color w:val="auto"/>
              </w:rPr>
            </w:pPr>
            <w:r>
              <w:rPr>
                <w:rFonts w:ascii="Arial" w:cs="Arial" w:eastAsia="Arial" w:hAnsi="Arial"/>
                <w:sz w:val="14"/>
                <w:szCs w:val="14"/>
                <w:color w:val="auto"/>
              </w:rPr>
              <w:t>Loans held for sale, at lower of cost or fair value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b w:val="1"/>
                <w:bCs w:val="1"/>
                <w:color w:val="auto"/>
              </w:rPr>
              <w:t>1,278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7720" w:type="dxa"/>
            <w:vAlign w:val="bottom"/>
          </w:tcPr>
          <w:p>
            <w:pPr>
              <w:ind w:left="180"/>
              <w:spacing w:after="0"/>
              <w:rPr>
                <w:sz w:val="20"/>
                <w:szCs w:val="20"/>
                <w:color w:val="auto"/>
              </w:rPr>
            </w:pPr>
            <w:r>
              <w:rPr>
                <w:rFonts w:ascii="Arial" w:cs="Arial" w:eastAsia="Arial" w:hAnsi="Arial"/>
                <w:sz w:val="14"/>
                <w:szCs w:val="14"/>
                <w:color w:val="auto"/>
              </w:rPr>
              <w:t>Loans held for investment, at amortized cost: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720" w:type="dxa"/>
            <w:vAlign w:val="bottom"/>
          </w:tcPr>
          <w:p>
            <w:pPr>
              <w:ind w:left="340"/>
              <w:spacing w:after="0"/>
              <w:rPr>
                <w:sz w:val="20"/>
                <w:szCs w:val="20"/>
                <w:color w:val="auto"/>
              </w:rPr>
            </w:pPr>
            <w:r>
              <w:rPr>
                <w:rFonts w:ascii="Arial" w:cs="Arial" w:eastAsia="Arial" w:hAnsi="Arial"/>
                <w:sz w:val="14"/>
                <w:szCs w:val="14"/>
                <w:color w:val="auto"/>
              </w:rPr>
              <w:t>Of Fannie Mae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b w:val="1"/>
                <w:bCs w:val="1"/>
                <w:color w:val="auto"/>
              </w:rPr>
              <w:t>51,455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48,199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7720" w:type="dxa"/>
            <w:vAlign w:val="bottom"/>
            <w:tcBorders>
              <w:bottom w:val="single" w:sz="8" w:color="2C6937"/>
            </w:tcBorders>
          </w:tcPr>
          <w:p>
            <w:pPr>
              <w:ind w:left="340"/>
              <w:spacing w:after="0"/>
              <w:rPr>
                <w:sz w:val="20"/>
                <w:szCs w:val="20"/>
                <w:color w:val="auto"/>
              </w:rPr>
            </w:pPr>
            <w:r>
              <w:rPr>
                <w:rFonts w:ascii="Arial" w:cs="Arial" w:eastAsia="Arial" w:hAnsi="Arial"/>
                <w:sz w:val="14"/>
                <w:szCs w:val="14"/>
                <w:color w:val="auto"/>
              </w:rPr>
              <w:t>Of consolidated trusts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4,093,581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4,094,013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720" w:type="dxa"/>
            <w:vAlign w:val="bottom"/>
          </w:tcPr>
          <w:p>
            <w:pPr>
              <w:ind w:left="320"/>
              <w:spacing w:after="0"/>
              <w:rPr>
                <w:sz w:val="20"/>
                <w:szCs w:val="20"/>
                <w:color w:val="auto"/>
              </w:rPr>
            </w:pPr>
            <w:r>
              <w:rPr>
                <w:rFonts w:ascii="Arial" w:cs="Arial" w:eastAsia="Arial" w:hAnsi="Arial"/>
                <w:sz w:val="14"/>
                <w:szCs w:val="14"/>
                <w:color w:val="auto"/>
              </w:rPr>
              <w:t>Total loans held for investment (includes $3,255 and $3,315, respectively, at fair value)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b w:val="1"/>
                <w:bCs w:val="1"/>
                <w:color w:val="auto"/>
              </w:rPr>
              <w:t>4,145,036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4,142,212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720" w:type="dxa"/>
            <w:vAlign w:val="bottom"/>
            <w:tcBorders>
              <w:bottom w:val="single" w:sz="8" w:color="2C6937"/>
            </w:tcBorders>
          </w:tcPr>
          <w:p>
            <w:pPr>
              <w:ind w:left="340"/>
              <w:spacing w:after="0"/>
              <w:rPr>
                <w:sz w:val="20"/>
                <w:szCs w:val="20"/>
                <w:color w:val="auto"/>
              </w:rPr>
            </w:pPr>
            <w:r>
              <w:rPr>
                <w:rFonts w:ascii="Arial" w:cs="Arial" w:eastAsia="Arial" w:hAnsi="Arial"/>
                <w:sz w:val="14"/>
                <w:szCs w:val="14"/>
                <w:color w:val="auto"/>
              </w:rPr>
              <w:t>Allowance for loan losses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(7,656)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(8,730)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720" w:type="dxa"/>
            <w:vAlign w:val="bottom"/>
            <w:tcBorders>
              <w:bottom w:val="single" w:sz="8" w:color="2C6937"/>
            </w:tcBorders>
          </w:tcPr>
          <w:p>
            <w:pPr>
              <w:ind w:left="480"/>
              <w:spacing w:after="0"/>
              <w:rPr>
                <w:sz w:val="20"/>
                <w:szCs w:val="20"/>
                <w:color w:val="auto"/>
              </w:rPr>
            </w:pPr>
            <w:r>
              <w:rPr>
                <w:rFonts w:ascii="Arial" w:cs="Arial" w:eastAsia="Arial" w:hAnsi="Arial"/>
                <w:sz w:val="14"/>
                <w:szCs w:val="14"/>
                <w:color w:val="auto"/>
              </w:rPr>
              <w:t>Total loans held for investment, net of allowance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4,137,380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4,133,482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720" w:type="dxa"/>
            <w:vAlign w:val="bottom"/>
          </w:tcPr>
          <w:p>
            <w:pPr>
              <w:ind w:left="640"/>
              <w:spacing w:after="0"/>
              <w:rPr>
                <w:sz w:val="20"/>
                <w:szCs w:val="20"/>
                <w:color w:val="auto"/>
              </w:rPr>
            </w:pPr>
            <w:r>
              <w:rPr>
                <w:rFonts w:ascii="Arial" w:cs="Arial" w:eastAsia="Arial" w:hAnsi="Arial"/>
                <w:sz w:val="14"/>
                <w:szCs w:val="14"/>
                <w:color w:val="auto"/>
              </w:rPr>
              <w:t>Total mortgage loans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b w:val="1"/>
                <w:bCs w:val="1"/>
                <w:color w:val="auto"/>
              </w:rPr>
              <w:t>4,138,658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4,135,631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720" w:type="dxa"/>
            <w:vAlign w:val="bottom"/>
          </w:tcPr>
          <w:p>
            <w:pPr>
              <w:ind w:left="20"/>
              <w:spacing w:after="0"/>
              <w:rPr>
                <w:sz w:val="20"/>
                <w:szCs w:val="20"/>
                <w:color w:val="auto"/>
              </w:rPr>
            </w:pPr>
            <w:r>
              <w:rPr>
                <w:rFonts w:ascii="Arial" w:cs="Arial" w:eastAsia="Arial" w:hAnsi="Arial"/>
                <w:sz w:val="14"/>
                <w:szCs w:val="14"/>
                <w:color w:val="auto"/>
              </w:rPr>
              <w:t>Advances to lenders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b w:val="1"/>
                <w:bCs w:val="1"/>
                <w:color w:val="auto"/>
              </w:rPr>
              <w:t>2,595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1,389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720" w:type="dxa"/>
            <w:vAlign w:val="bottom"/>
          </w:tcPr>
          <w:p>
            <w:pPr>
              <w:ind w:left="20"/>
              <w:spacing w:after="0"/>
              <w:rPr>
                <w:sz w:val="20"/>
                <w:szCs w:val="20"/>
                <w:color w:val="auto"/>
              </w:rPr>
            </w:pPr>
            <w:r>
              <w:rPr>
                <w:rFonts w:ascii="Arial" w:cs="Arial" w:eastAsia="Arial" w:hAnsi="Arial"/>
                <w:sz w:val="14"/>
                <w:szCs w:val="14"/>
                <w:color w:val="auto"/>
              </w:rPr>
              <w:t>Deferred tax assets, net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b w:val="1"/>
                <w:bCs w:val="1"/>
                <w:color w:val="auto"/>
              </w:rPr>
              <w:t>10,968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11,681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720" w:type="dxa"/>
            <w:vAlign w:val="bottom"/>
          </w:tcPr>
          <w:p>
            <w:pPr>
              <w:ind w:left="20"/>
              <w:spacing w:after="0"/>
              <w:rPr>
                <w:sz w:val="20"/>
                <w:szCs w:val="20"/>
                <w:color w:val="auto"/>
              </w:rPr>
            </w:pPr>
            <w:r>
              <w:rPr>
                <w:rFonts w:ascii="Arial" w:cs="Arial" w:eastAsia="Arial" w:hAnsi="Arial"/>
                <w:sz w:val="14"/>
                <w:szCs w:val="14"/>
                <w:color w:val="auto"/>
              </w:rPr>
              <w:t>Accrued interest receivable (includes $10,703 and $10,132, respectively, related to consolidated trusts)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b w:val="1"/>
                <w:bCs w:val="1"/>
                <w:color w:val="auto"/>
              </w:rPr>
              <w:t>11,277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10,724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772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Other assets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14,431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13,490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720" w:type="dxa"/>
            <w:vAlign w:val="bottom"/>
          </w:tcPr>
          <w:p>
            <w:pPr>
              <w:ind w:left="180"/>
              <w:spacing w:after="0"/>
              <w:rPr>
                <w:sz w:val="20"/>
                <w:szCs w:val="20"/>
                <w:color w:val="auto"/>
              </w:rPr>
            </w:pPr>
            <w:r>
              <w:rPr>
                <w:rFonts w:ascii="Arial" w:cs="Arial" w:eastAsia="Arial" w:hAnsi="Arial"/>
                <w:sz w:val="14"/>
                <w:szCs w:val="14"/>
                <w:color w:val="auto"/>
              </w:rPr>
              <w:t>Total assets</w:t>
            </w:r>
          </w:p>
        </w:tc>
        <w:tc>
          <w:tcPr>
            <w:tcW w:w="4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1"/>
              <w:spacing w:after="0"/>
              <w:rPr>
                <w:sz w:val="20"/>
                <w:szCs w:val="20"/>
                <w:color w:val="auto"/>
              </w:rPr>
            </w:pPr>
            <w:r>
              <w:rPr>
                <w:rFonts w:ascii="Arial" w:cs="Arial" w:eastAsia="Arial" w:hAnsi="Arial"/>
                <w:sz w:val="14"/>
                <w:szCs w:val="14"/>
                <w:b w:val="1"/>
                <w:bCs w:val="1"/>
                <w:color w:val="auto"/>
              </w:rPr>
              <w:t>4,334,556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4,325,437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7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720" w:type="dxa"/>
            <w:vAlign w:val="bottom"/>
          </w:tcPr>
          <w:p>
            <w:pPr>
              <w:ind w:left="3040"/>
              <w:spacing w:after="0"/>
              <w:rPr>
                <w:sz w:val="20"/>
                <w:szCs w:val="20"/>
                <w:color w:val="auto"/>
              </w:rPr>
            </w:pPr>
            <w:r>
              <w:rPr>
                <w:rFonts w:ascii="Arial" w:cs="Arial" w:eastAsia="Arial" w:hAnsi="Arial"/>
                <w:sz w:val="14"/>
                <w:szCs w:val="14"/>
                <w:b w:val="1"/>
                <w:bCs w:val="1"/>
                <w:color w:val="auto"/>
              </w:rPr>
              <w:t>LIABILITIES AND EQUITY</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720" w:type="dxa"/>
            <w:vAlign w:val="bottom"/>
          </w:tcPr>
          <w:p>
            <w:pPr>
              <w:ind w:left="20"/>
              <w:spacing w:after="0"/>
              <w:rPr>
                <w:sz w:val="20"/>
                <w:szCs w:val="20"/>
                <w:color w:val="auto"/>
              </w:rPr>
            </w:pPr>
            <w:r>
              <w:rPr>
                <w:rFonts w:ascii="Arial" w:cs="Arial" w:eastAsia="Arial" w:hAnsi="Arial"/>
                <w:sz w:val="14"/>
                <w:szCs w:val="14"/>
                <w:color w:val="auto"/>
              </w:rPr>
              <w:t>Liabilities: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720" w:type="dxa"/>
            <w:vAlign w:val="bottom"/>
          </w:tcPr>
          <w:p>
            <w:pPr>
              <w:ind w:left="180"/>
              <w:spacing w:after="0"/>
              <w:rPr>
                <w:sz w:val="20"/>
                <w:szCs w:val="20"/>
                <w:color w:val="auto"/>
              </w:rPr>
            </w:pPr>
            <w:r>
              <w:rPr>
                <w:rFonts w:ascii="Arial" w:cs="Arial" w:eastAsia="Arial" w:hAnsi="Arial"/>
                <w:sz w:val="14"/>
                <w:szCs w:val="14"/>
                <w:color w:val="auto"/>
              </w:rPr>
              <w:t>Accrued interest payable (includes $10,724 and $10,212, respectively, related to consolidated trusts)</w:t>
            </w:r>
          </w:p>
        </w:tc>
        <w:tc>
          <w:tcPr>
            <w:tcW w:w="4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1"/>
              <w:spacing w:after="0"/>
              <w:rPr>
                <w:sz w:val="20"/>
                <w:szCs w:val="20"/>
                <w:color w:val="auto"/>
              </w:rPr>
            </w:pPr>
            <w:r>
              <w:rPr>
                <w:rFonts w:ascii="Arial" w:cs="Arial" w:eastAsia="Arial" w:hAnsi="Arial"/>
                <w:sz w:val="14"/>
                <w:szCs w:val="14"/>
                <w:b w:val="1"/>
                <w:bCs w:val="1"/>
                <w:color w:val="auto"/>
              </w:rPr>
              <w:t>11,451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10,931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7720" w:type="dxa"/>
            <w:vAlign w:val="bottom"/>
          </w:tcPr>
          <w:p>
            <w:pPr>
              <w:ind w:left="180"/>
              <w:spacing w:after="0"/>
              <w:rPr>
                <w:sz w:val="20"/>
                <w:szCs w:val="20"/>
                <w:color w:val="auto"/>
              </w:rPr>
            </w:pPr>
            <w:r>
              <w:rPr>
                <w:rFonts w:ascii="Arial" w:cs="Arial" w:eastAsia="Arial" w:hAnsi="Arial"/>
                <w:sz w:val="14"/>
                <w:szCs w:val="14"/>
                <w:color w:val="auto"/>
              </w:rPr>
              <w:t>Debt: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720" w:type="dxa"/>
            <w:vAlign w:val="bottom"/>
          </w:tcPr>
          <w:p>
            <w:pPr>
              <w:ind w:left="340"/>
              <w:spacing w:after="0"/>
              <w:rPr>
                <w:sz w:val="20"/>
                <w:szCs w:val="20"/>
                <w:color w:val="auto"/>
              </w:rPr>
            </w:pPr>
            <w:r>
              <w:rPr>
                <w:rFonts w:ascii="Arial" w:cs="Arial" w:eastAsia="Arial" w:hAnsi="Arial"/>
                <w:sz w:val="14"/>
                <w:szCs w:val="14"/>
                <w:color w:val="auto"/>
              </w:rPr>
              <w:t>Of Fannie Mae (includes $451 and $761, respectively, at fair value)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b w:val="1"/>
                <w:bCs w:val="1"/>
                <w:color w:val="auto"/>
              </w:rPr>
              <w:t>121,715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124,065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720" w:type="dxa"/>
            <w:vAlign w:val="bottom"/>
          </w:tcPr>
          <w:p>
            <w:pPr>
              <w:ind w:left="340"/>
              <w:spacing w:after="0"/>
              <w:rPr>
                <w:sz w:val="20"/>
                <w:szCs w:val="20"/>
                <w:color w:val="auto"/>
              </w:rPr>
            </w:pPr>
            <w:r>
              <w:rPr>
                <w:rFonts w:ascii="Arial" w:cs="Arial" w:eastAsia="Arial" w:hAnsi="Arial"/>
                <w:sz w:val="14"/>
                <w:szCs w:val="14"/>
                <w:color w:val="auto"/>
              </w:rPr>
              <w:t>Of consolidated trusts (includes $13,237 and $14,343, respectively, at fair value)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b w:val="1"/>
                <w:bCs w:val="1"/>
                <w:color w:val="auto"/>
              </w:rPr>
              <w:t>4,096,063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4,098,653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72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Other liabilities (includes $1,673 and $1,713, respectively, related to consolidated trusts)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14,797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14,106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72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Total liabilities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4,244,026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4,247,755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720" w:type="dxa"/>
            <w:vAlign w:val="bottom"/>
          </w:tcPr>
          <w:p>
            <w:pPr>
              <w:ind w:left="20"/>
              <w:spacing w:after="0"/>
              <w:rPr>
                <w:sz w:val="20"/>
                <w:szCs w:val="20"/>
                <w:color w:val="auto"/>
              </w:rPr>
            </w:pPr>
            <w:r>
              <w:rPr>
                <w:rFonts w:ascii="Arial" w:cs="Arial" w:eastAsia="Arial" w:hAnsi="Arial"/>
                <w:sz w:val="14"/>
                <w:szCs w:val="14"/>
                <w:color w:val="auto"/>
              </w:rPr>
              <w:t>Commitments and contingencies (Note 14)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7720" w:type="dxa"/>
            <w:vAlign w:val="bottom"/>
          </w:tcPr>
          <w:p>
            <w:pPr>
              <w:ind w:left="20"/>
              <w:spacing w:after="0"/>
              <w:rPr>
                <w:sz w:val="20"/>
                <w:szCs w:val="20"/>
                <w:color w:val="auto"/>
              </w:rPr>
            </w:pPr>
            <w:r>
              <w:rPr>
                <w:rFonts w:ascii="Arial" w:cs="Arial" w:eastAsia="Arial" w:hAnsi="Arial"/>
                <w:sz w:val="14"/>
                <w:szCs w:val="14"/>
                <w:color w:val="auto"/>
              </w:rPr>
              <w:t>Fannie Mae stockholders’ equity:</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720" w:type="dxa"/>
            <w:vAlign w:val="bottom"/>
          </w:tcPr>
          <w:p>
            <w:pPr>
              <w:ind w:left="180"/>
              <w:spacing w:after="0"/>
              <w:rPr>
                <w:sz w:val="20"/>
                <w:szCs w:val="20"/>
                <w:color w:val="auto"/>
              </w:rPr>
            </w:pPr>
            <w:r>
              <w:rPr>
                <w:rFonts w:ascii="Arial" w:cs="Arial" w:eastAsia="Arial" w:hAnsi="Arial"/>
                <w:sz w:val="14"/>
                <w:szCs w:val="14"/>
                <w:color w:val="auto"/>
              </w:rPr>
              <w:t>Senior preferred stock (liquidation preference of $207,982 and $195,224, respectively)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b w:val="1"/>
                <w:bCs w:val="1"/>
                <w:color w:val="auto"/>
              </w:rPr>
              <w:t>120,836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120,836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720" w:type="dxa"/>
            <w:vAlign w:val="bottom"/>
          </w:tcPr>
          <w:p>
            <w:pPr>
              <w:ind w:left="180"/>
              <w:spacing w:after="0"/>
              <w:rPr>
                <w:sz w:val="20"/>
                <w:szCs w:val="20"/>
                <w:color w:val="auto"/>
              </w:rPr>
            </w:pPr>
            <w:r>
              <w:rPr>
                <w:rFonts w:ascii="Arial" w:cs="Arial" w:eastAsia="Arial" w:hAnsi="Arial"/>
                <w:sz w:val="14"/>
                <w:szCs w:val="14"/>
                <w:color w:val="auto"/>
              </w:rPr>
              <w:t>Preferred stock, 700,000,000 shares are authorized—555,374,922 shares issued and outstanding</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b w:val="1"/>
                <w:bCs w:val="1"/>
                <w:color w:val="auto"/>
              </w:rPr>
              <w:t>19,130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19,130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720" w:type="dxa"/>
            <w:vAlign w:val="bottom"/>
          </w:tcPr>
          <w:p>
            <w:pPr>
              <w:ind w:left="180"/>
              <w:spacing w:after="0"/>
              <w:rPr>
                <w:sz w:val="20"/>
                <w:szCs w:val="20"/>
                <w:color w:val="auto"/>
              </w:rPr>
            </w:pPr>
            <w:r>
              <w:rPr>
                <w:rFonts w:ascii="Arial" w:cs="Arial" w:eastAsia="Arial" w:hAnsi="Arial"/>
                <w:sz w:val="14"/>
                <w:szCs w:val="14"/>
                <w:color w:val="auto"/>
              </w:rPr>
              <w:t>Common stock, no par value, no maximum authorization—1,308,762,703 shares issued and 1,158,087,567 shares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720" w:type="dxa"/>
            <w:vAlign w:val="bottom"/>
          </w:tcPr>
          <w:p>
            <w:pPr>
              <w:ind w:left="340"/>
              <w:spacing w:after="0"/>
              <w:rPr>
                <w:sz w:val="20"/>
                <w:szCs w:val="20"/>
                <w:color w:val="auto"/>
              </w:rPr>
            </w:pPr>
            <w:r>
              <w:rPr>
                <w:rFonts w:ascii="Arial" w:cs="Arial" w:eastAsia="Arial" w:hAnsi="Arial"/>
                <w:sz w:val="14"/>
                <w:szCs w:val="14"/>
                <w:color w:val="auto"/>
              </w:rPr>
              <w:t>outstanding</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b w:val="1"/>
                <w:bCs w:val="1"/>
                <w:color w:val="auto"/>
              </w:rPr>
              <w:t>687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720" w:type="dxa"/>
            <w:vAlign w:val="bottom"/>
          </w:tcPr>
          <w:p>
            <w:pPr>
              <w:ind w:left="180"/>
              <w:spacing w:after="0"/>
              <w:rPr>
                <w:sz w:val="20"/>
                <w:szCs w:val="20"/>
                <w:color w:val="auto"/>
              </w:rPr>
            </w:pPr>
            <w:r>
              <w:rPr>
                <w:rFonts w:ascii="Arial" w:cs="Arial" w:eastAsia="Arial" w:hAnsi="Arial"/>
                <w:sz w:val="14"/>
                <w:szCs w:val="14"/>
                <w:color w:val="auto"/>
              </w:rPr>
              <w:t>Accumulated deficit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(42,755)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(55,603)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720" w:type="dxa"/>
            <w:vAlign w:val="bottom"/>
          </w:tcPr>
          <w:p>
            <w:pPr>
              <w:ind w:left="180"/>
              <w:spacing w:after="0"/>
              <w:rPr>
                <w:sz w:val="20"/>
                <w:szCs w:val="20"/>
                <w:color w:val="auto"/>
              </w:rPr>
            </w:pPr>
            <w:r>
              <w:rPr>
                <w:rFonts w:ascii="Arial" w:cs="Arial" w:eastAsia="Arial" w:hAnsi="Arial"/>
                <w:sz w:val="14"/>
                <w:szCs w:val="14"/>
                <w:color w:val="auto"/>
              </w:rPr>
              <w:t>Accumulated other comprehensive income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b w:val="1"/>
                <w:bCs w:val="1"/>
                <w:color w:val="auto"/>
              </w:rPr>
              <w:t>32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72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Treasury stock, at cost, 150,675,136 shares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(7,400)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(7,400)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72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Total stockholders’ equity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2C6937"/>
            </w:tcBorders>
          </w:tcPr>
          <w:p>
            <w:pPr>
              <w:spacing w:after="0"/>
              <w:rPr>
                <w:sz w:val="18"/>
                <w:szCs w:val="18"/>
                <w:color w:val="auto"/>
              </w:rPr>
            </w:pPr>
          </w:p>
        </w:tc>
        <w:tc>
          <w:tcPr>
            <w:tcW w:w="8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90,530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77,682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7720" w:type="dxa"/>
            <w:vAlign w:val="bottom"/>
          </w:tcPr>
          <w:p>
            <w:pPr>
              <w:ind w:left="180"/>
              <w:spacing w:after="0"/>
              <w:rPr>
                <w:sz w:val="20"/>
                <w:szCs w:val="20"/>
                <w:color w:val="auto"/>
              </w:rPr>
            </w:pPr>
            <w:r>
              <w:rPr>
                <w:rFonts w:ascii="Arial" w:cs="Arial" w:eastAsia="Arial" w:hAnsi="Arial"/>
                <w:sz w:val="14"/>
                <w:szCs w:val="14"/>
                <w:color w:val="auto"/>
              </w:rPr>
              <w:t>Total liabilities and equity</w:t>
            </w:r>
          </w:p>
        </w:tc>
        <w:tc>
          <w:tcPr>
            <w:tcW w:w="4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1"/>
              <w:spacing w:after="0"/>
              <w:rPr>
                <w:sz w:val="20"/>
                <w:szCs w:val="20"/>
                <w:color w:val="auto"/>
              </w:rPr>
            </w:pPr>
            <w:r>
              <w:rPr>
                <w:rFonts w:ascii="Arial" w:cs="Arial" w:eastAsia="Arial" w:hAnsi="Arial"/>
                <w:sz w:val="14"/>
                <w:szCs w:val="14"/>
                <w:b w:val="1"/>
                <w:bCs w:val="1"/>
                <w:color w:val="auto"/>
              </w:rPr>
              <w:t>4,334,556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4,325,437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7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396240</wp:posOffset>
            </wp:positionV>
            <wp:extent cx="680593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20"/>
          </w:cols>
          <w:pgMar w:left="320" w:top="248" w:right="459" w:bottom="1440" w:gutter="0" w:footer="0" w:header="0"/>
        </w:sectPr>
      </w:pPr>
    </w:p>
    <w:bookmarkStart w:id="67" w:name="page68"/>
    <w:bookmarkEnd w:id="67"/>
    <w:p>
      <w:pPr>
        <w:ind w:left="4820"/>
        <w:spacing w:after="0"/>
        <w:rPr>
          <w:sz w:val="20"/>
          <w:szCs w:val="20"/>
          <w:color w:val="auto"/>
        </w:rPr>
      </w:pPr>
      <w:r>
        <w:rPr>
          <w:rFonts w:ascii="Arial" w:cs="Arial" w:eastAsia="Arial" w:hAnsi="Arial"/>
          <w:sz w:val="14"/>
          <w:szCs w:val="14"/>
          <w:color w:val="05314D"/>
        </w:rPr>
        <w:t>Financial Statements | Condensed Consolidated Statements of Operations and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17145</wp:posOffset>
            </wp:positionV>
            <wp:extent cx="70154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20"/>
        <w:spacing w:after="0"/>
        <w:rPr>
          <w:sz w:val="20"/>
          <w:szCs w:val="20"/>
          <w:color w:val="auto"/>
        </w:rPr>
      </w:pPr>
      <w:r>
        <w:rPr>
          <w:rFonts w:ascii="Georgia" w:cs="Georgia" w:eastAsia="Georgia" w:hAnsi="Georgia"/>
          <w:sz w:val="31"/>
          <w:szCs w:val="31"/>
          <w:b w:val="1"/>
          <w:bCs w:val="1"/>
          <w:color w:val="05314D"/>
        </w:rPr>
        <w:t>FANNIE MAE</w:t>
      </w:r>
    </w:p>
    <w:p>
      <w:pPr>
        <w:spacing w:after="0" w:line="99" w:lineRule="exact"/>
        <w:rPr>
          <w:sz w:val="20"/>
          <w:szCs w:val="20"/>
          <w:color w:val="auto"/>
        </w:rPr>
      </w:pPr>
    </w:p>
    <w:p>
      <w:pPr>
        <w:jc w:val="center"/>
        <w:ind w:right="120"/>
        <w:spacing w:after="0"/>
        <w:rPr>
          <w:sz w:val="20"/>
          <w:szCs w:val="20"/>
          <w:color w:val="auto"/>
        </w:rPr>
      </w:pPr>
      <w:r>
        <w:rPr>
          <w:rFonts w:ascii="Georgia" w:cs="Georgia" w:eastAsia="Georgia" w:hAnsi="Georgia"/>
          <w:sz w:val="17"/>
          <w:szCs w:val="17"/>
          <w:b w:val="1"/>
          <w:bCs w:val="1"/>
          <w:color w:val="001543"/>
        </w:rPr>
        <w:t>(In conservatorship)</w:t>
      </w:r>
    </w:p>
    <w:p>
      <w:pPr>
        <w:spacing w:after="0" w:line="176" w:lineRule="exact"/>
        <w:rPr>
          <w:sz w:val="20"/>
          <w:szCs w:val="20"/>
          <w:color w:val="auto"/>
        </w:rPr>
      </w:pPr>
    </w:p>
    <w:p>
      <w:pPr>
        <w:jc w:val="center"/>
        <w:ind w:right="120"/>
        <w:spacing w:after="0" w:line="254" w:lineRule="auto"/>
        <w:rPr>
          <w:sz w:val="20"/>
          <w:szCs w:val="20"/>
          <w:color w:val="auto"/>
        </w:rPr>
      </w:pPr>
      <w:r>
        <w:rPr>
          <w:rFonts w:ascii="Georgia" w:cs="Georgia" w:eastAsia="Georgia" w:hAnsi="Georgia"/>
          <w:sz w:val="27"/>
          <w:szCs w:val="27"/>
          <w:b w:val="1"/>
          <w:bCs w:val="1"/>
          <w:color w:val="05314D"/>
        </w:rPr>
        <w:t>Condensed Consolidated Statements of Operations and Comprehensive Income — (Unaudited)</w:t>
      </w:r>
    </w:p>
    <w:p>
      <w:pPr>
        <w:spacing w:after="0" w:line="77" w:lineRule="exact"/>
        <w:rPr>
          <w:sz w:val="20"/>
          <w:szCs w:val="20"/>
          <w:color w:val="auto"/>
        </w:rPr>
      </w:pPr>
    </w:p>
    <w:p>
      <w:pPr>
        <w:jc w:val="center"/>
        <w:ind w:right="120"/>
        <w:spacing w:after="0"/>
        <w:rPr>
          <w:sz w:val="20"/>
          <w:szCs w:val="20"/>
          <w:color w:val="auto"/>
        </w:rPr>
      </w:pPr>
      <w:r>
        <w:rPr>
          <w:rFonts w:ascii="Georgia" w:cs="Georgia" w:eastAsia="Georgia" w:hAnsi="Georgia"/>
          <w:sz w:val="17"/>
          <w:szCs w:val="17"/>
          <w:b w:val="1"/>
          <w:bCs w:val="1"/>
          <w:color w:val="001543"/>
        </w:rPr>
        <w:t>(Dollars and shares in millions, except per share amounts)</w:t>
      </w:r>
    </w:p>
    <w:p>
      <w:pPr>
        <w:spacing w:after="0" w:line="116"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ind w:left="40"/>
              <w:spacing w:after="0"/>
              <w:rPr>
                <w:sz w:val="20"/>
                <w:szCs w:val="20"/>
                <w:color w:val="auto"/>
              </w:rPr>
            </w:pPr>
            <w:r>
              <w:rPr>
                <w:rFonts w:ascii="Arial" w:cs="Arial" w:eastAsia="Arial" w:hAnsi="Arial"/>
                <w:sz w:val="14"/>
                <w:szCs w:val="14"/>
                <w:b w:val="1"/>
                <w:bCs w:val="1"/>
                <w:color w:val="auto"/>
              </w:rPr>
              <w:t>For the Three Months Ended</w:t>
            </w:r>
          </w:p>
        </w:tc>
        <w:tc>
          <w:tcPr>
            <w:tcW w:w="144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Nine Months</w:t>
            </w:r>
          </w:p>
        </w:tc>
        <w:tc>
          <w:tcPr>
            <w:tcW w:w="0" w:type="dxa"/>
            <w:vAlign w:val="bottom"/>
          </w:tcPr>
          <w:p>
            <w:pPr>
              <w:spacing w:after="0"/>
              <w:rPr>
                <w:sz w:val="1"/>
                <w:szCs w:val="1"/>
                <w:color w:val="auto"/>
              </w:rPr>
            </w:pPr>
          </w:p>
        </w:tc>
      </w:tr>
      <w:tr>
        <w:trPr>
          <w:trHeight w:val="177"/>
        </w:trPr>
        <w:tc>
          <w:tcPr>
            <w:tcW w:w="7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gridSpan w:val="5"/>
          </w:tcPr>
          <w:p>
            <w:pPr>
              <w:ind w:left="3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5"/>
        </w:trPr>
        <w:tc>
          <w:tcPr>
            <w:tcW w:w="7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2C6937"/>
              <w:bottom w:val="single" w:sz="8" w:color="2C6937"/>
            </w:tcBorders>
          </w:tcPr>
          <w:p>
            <w:pPr>
              <w:spacing w:after="0"/>
              <w:rPr>
                <w:sz w:val="16"/>
                <w:szCs w:val="16"/>
                <w:color w:val="auto"/>
              </w:rPr>
            </w:pPr>
          </w:p>
        </w:tc>
        <w:tc>
          <w:tcPr>
            <w:tcW w:w="720" w:type="dxa"/>
            <w:vAlign w:val="bottom"/>
            <w:tcBorders>
              <w:top w:val="single" w:sz="8" w:color="2C6937"/>
              <w:bottom w:val="single" w:sz="8" w:color="2C6937"/>
            </w:tcBorders>
          </w:tcPr>
          <w:p>
            <w:pPr>
              <w:jc w:val="right"/>
              <w:ind w:right="23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2C6937"/>
            </w:tcBorders>
          </w:tcPr>
          <w:p>
            <w:pPr>
              <w:spacing w:after="0"/>
              <w:rPr>
                <w:sz w:val="16"/>
                <w:szCs w:val="16"/>
                <w:color w:val="auto"/>
              </w:rPr>
            </w:pPr>
          </w:p>
        </w:tc>
        <w:tc>
          <w:tcPr>
            <w:tcW w:w="200" w:type="dxa"/>
            <w:vAlign w:val="bottom"/>
            <w:tcBorders>
              <w:top w:val="single" w:sz="8" w:color="2C6937"/>
              <w:bottom w:val="single" w:sz="8" w:color="2C6937"/>
            </w:tcBorders>
          </w:tcPr>
          <w:p>
            <w:pPr>
              <w:spacing w:after="0"/>
              <w:rPr>
                <w:sz w:val="16"/>
                <w:szCs w:val="16"/>
                <w:color w:val="auto"/>
              </w:rPr>
            </w:pPr>
          </w:p>
        </w:tc>
        <w:tc>
          <w:tcPr>
            <w:tcW w:w="720" w:type="dxa"/>
            <w:vAlign w:val="bottom"/>
            <w:tcBorders>
              <w:top w:val="single" w:sz="8" w:color="2C6937"/>
              <w:bottom w:val="single" w:sz="8" w:color="2C6937"/>
            </w:tcBorders>
          </w:tcPr>
          <w:p>
            <w:pPr>
              <w:jc w:val="right"/>
              <w:ind w:right="23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00" w:type="dxa"/>
            <w:vAlign w:val="bottom"/>
            <w:tcBorders>
              <w:top w:val="single" w:sz="8" w:color="2C6937"/>
              <w:bottom w:val="single" w:sz="8" w:color="2C6937"/>
            </w:tcBorders>
          </w:tcPr>
          <w:p>
            <w:pPr>
              <w:spacing w:after="0"/>
              <w:rPr>
                <w:sz w:val="16"/>
                <w:szCs w:val="16"/>
                <w:color w:val="auto"/>
              </w:rPr>
            </w:pPr>
          </w:p>
        </w:tc>
        <w:tc>
          <w:tcPr>
            <w:tcW w:w="720" w:type="dxa"/>
            <w:vAlign w:val="bottom"/>
            <w:tcBorders>
              <w:top w:val="single" w:sz="8" w:color="2C6937"/>
              <w:bottom w:val="single" w:sz="8" w:color="2C6937"/>
            </w:tcBorders>
          </w:tcPr>
          <w:p>
            <w:pPr>
              <w:jc w:val="right"/>
              <w:ind w:right="23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2C6937"/>
            </w:tcBorders>
          </w:tcPr>
          <w:p>
            <w:pPr>
              <w:spacing w:after="0"/>
              <w:rPr>
                <w:sz w:val="16"/>
                <w:szCs w:val="16"/>
                <w:color w:val="auto"/>
              </w:rPr>
            </w:pPr>
          </w:p>
        </w:tc>
        <w:tc>
          <w:tcPr>
            <w:tcW w:w="4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167"/>
        </w:trPr>
        <w:tc>
          <w:tcPr>
            <w:tcW w:w="7240" w:type="dxa"/>
            <w:vAlign w:val="bottom"/>
            <w:gridSpan w:val="2"/>
          </w:tcPr>
          <w:p>
            <w:pPr>
              <w:ind w:left="20"/>
              <w:spacing w:after="0"/>
              <w:rPr>
                <w:sz w:val="20"/>
                <w:szCs w:val="20"/>
                <w:color w:val="auto"/>
              </w:rPr>
            </w:pPr>
            <w:r>
              <w:rPr>
                <w:rFonts w:ascii="Arial" w:cs="Arial" w:eastAsia="Arial" w:hAnsi="Arial"/>
                <w:sz w:val="14"/>
                <w:szCs w:val="14"/>
                <w:color w:val="auto"/>
              </w:rPr>
              <w:t>Interest income:</w:t>
            </w:r>
          </w:p>
        </w:tc>
        <w:tc>
          <w:tcPr>
            <w:tcW w:w="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993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2,829</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7240" w:type="dxa"/>
            <w:vAlign w:val="bottom"/>
            <w:gridSpan w:val="2"/>
          </w:tcPr>
          <w:p>
            <w:pPr>
              <w:ind w:left="180"/>
              <w:spacing w:after="0"/>
              <w:rPr>
                <w:sz w:val="20"/>
                <w:szCs w:val="20"/>
                <w:color w:val="auto"/>
              </w:rPr>
            </w:pPr>
            <w:r>
              <w:rPr>
                <w:rFonts w:ascii="Arial" w:cs="Arial" w:eastAsia="Arial" w:hAnsi="Arial"/>
                <w:sz w:val="14"/>
                <w:szCs w:val="14"/>
                <w:color w:val="auto"/>
              </w:rPr>
              <w:t>Investments in securities</w:t>
            </w:r>
          </w:p>
        </w:tc>
        <w:tc>
          <w:tcPr>
            <w:tcW w:w="20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1,075</w:t>
            </w:r>
          </w:p>
        </w:tc>
        <w:tc>
          <w:tcPr>
            <w:tcW w:w="10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right"/>
              <w:ind w:right="25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7240" w:type="dxa"/>
            <w:vAlign w:val="bottom"/>
            <w:gridSpan w:val="2"/>
          </w:tcPr>
          <w:p>
            <w:pPr>
              <w:ind w:left="180"/>
              <w:spacing w:after="0"/>
              <w:rPr>
                <w:sz w:val="20"/>
                <w:szCs w:val="20"/>
                <w:color w:val="auto"/>
              </w:rPr>
            </w:pPr>
            <w:r>
              <w:rPr>
                <w:rFonts w:ascii="Arial" w:cs="Arial" w:eastAsia="Arial" w:hAnsi="Arial"/>
                <w:sz w:val="14"/>
                <w:szCs w:val="14"/>
                <w:color w:val="auto"/>
              </w:rPr>
              <w:t>Mortgage loans</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36,390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33,711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107,223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14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629</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629</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2,033</w:t>
            </w:r>
          </w:p>
        </w:tc>
        <w:tc>
          <w:tcPr>
            <w:tcW w:w="100" w:type="dxa"/>
            <w:vAlign w:val="bottom"/>
          </w:tcPr>
          <w:p>
            <w:pPr>
              <w:spacing w:after="0"/>
              <w:rPr>
                <w:sz w:val="16"/>
                <w:szCs w:val="16"/>
                <w:color w:val="auto"/>
              </w:rPr>
            </w:pPr>
          </w:p>
        </w:tc>
        <w:tc>
          <w:tcPr>
            <w:tcW w:w="42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14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Total interest income</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38,012</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35,415</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112,085</w:t>
            </w:r>
          </w:p>
        </w:tc>
        <w:tc>
          <w:tcPr>
            <w:tcW w:w="100" w:type="dxa"/>
            <w:vAlign w:val="bottom"/>
          </w:tcPr>
          <w:p>
            <w:pPr>
              <w:spacing w:after="0"/>
              <w:rPr>
                <w:sz w:val="16"/>
                <w:szCs w:val="16"/>
                <w:color w:val="auto"/>
              </w:rPr>
            </w:pPr>
          </w:p>
        </w:tc>
        <w:tc>
          <w:tcPr>
            <w:tcW w:w="4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9"/>
        </w:trPr>
        <w:tc>
          <w:tcPr>
            <w:tcW w:w="7240" w:type="dxa"/>
            <w:vAlign w:val="bottom"/>
            <w:gridSpan w:val="2"/>
          </w:tcPr>
          <w:p>
            <w:pPr>
              <w:ind w:left="20"/>
              <w:spacing w:after="0"/>
              <w:rPr>
                <w:sz w:val="20"/>
                <w:szCs w:val="20"/>
                <w:color w:val="auto"/>
              </w:rPr>
            </w:pPr>
            <w:r>
              <w:rPr>
                <w:rFonts w:ascii="Arial" w:cs="Arial" w:eastAsia="Arial" w:hAnsi="Arial"/>
                <w:sz w:val="14"/>
                <w:szCs w:val="14"/>
                <w:color w:val="auto"/>
              </w:rPr>
              <w:t>Interest expense:</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7240" w:type="dxa"/>
            <w:vAlign w:val="bottom"/>
            <w:gridSpan w:val="2"/>
          </w:tcPr>
          <w:p>
            <w:pPr>
              <w:ind w:left="180"/>
              <w:spacing w:after="0"/>
              <w:rPr>
                <w:sz w:val="20"/>
                <w:szCs w:val="20"/>
                <w:color w:val="auto"/>
              </w:rPr>
            </w:pPr>
            <w:r>
              <w:rPr>
                <w:rFonts w:ascii="Arial" w:cs="Arial" w:eastAsia="Arial" w:hAnsi="Arial"/>
                <w:sz w:val="14"/>
                <w:szCs w:val="14"/>
                <w:color w:val="auto"/>
              </w:rPr>
              <w:t>Short-term debt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(137)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(462)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714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Long-term debt</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(30,600)</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(27,994)</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(90,057)</w:t>
            </w:r>
          </w:p>
        </w:tc>
        <w:tc>
          <w:tcPr>
            <w:tcW w:w="100" w:type="dxa"/>
            <w:vAlign w:val="bottom"/>
          </w:tcPr>
          <w:p>
            <w:pPr>
              <w:spacing w:after="0"/>
              <w:rPr>
                <w:sz w:val="16"/>
                <w:szCs w:val="16"/>
                <w:color w:val="auto"/>
              </w:rPr>
            </w:pPr>
          </w:p>
        </w:tc>
        <w:tc>
          <w:tcPr>
            <w:tcW w:w="4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714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Total interest expense</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(30,737)</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(28,195)</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(90,519)</w:t>
            </w:r>
          </w:p>
        </w:tc>
        <w:tc>
          <w:tcPr>
            <w:tcW w:w="100" w:type="dxa"/>
            <w:vAlign w:val="bottom"/>
          </w:tcPr>
          <w:p>
            <w:pPr>
              <w:spacing w:after="0"/>
              <w:rPr>
                <w:sz w:val="16"/>
                <w:szCs w:val="16"/>
                <w:color w:val="auto"/>
              </w:rPr>
            </w:pPr>
          </w:p>
        </w:tc>
        <w:tc>
          <w:tcPr>
            <w:tcW w:w="4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7240" w:type="dxa"/>
            <w:vAlign w:val="bottom"/>
            <w:gridSpan w:val="2"/>
          </w:tcPr>
          <w:p>
            <w:pPr>
              <w:ind w:left="20"/>
              <w:spacing w:after="0"/>
              <w:rPr>
                <w:sz w:val="20"/>
                <w:szCs w:val="20"/>
                <w:color w:val="auto"/>
              </w:rPr>
            </w:pPr>
            <w:r>
              <w:rPr>
                <w:rFonts w:ascii="Arial" w:cs="Arial" w:eastAsia="Arial" w:hAnsi="Arial"/>
                <w:sz w:val="14"/>
                <w:szCs w:val="14"/>
                <w:color w:val="auto"/>
              </w:rPr>
              <w:t>Net interest income</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7,275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7,220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21,566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1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Benefit (provision) for credit losses</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27</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652</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507</w:t>
            </w:r>
          </w:p>
        </w:tc>
        <w:tc>
          <w:tcPr>
            <w:tcW w:w="100" w:type="dxa"/>
            <w:vAlign w:val="bottom"/>
          </w:tcPr>
          <w:p>
            <w:pPr>
              <w:spacing w:after="0"/>
              <w:rPr>
                <w:sz w:val="16"/>
                <w:szCs w:val="16"/>
                <w:color w:val="auto"/>
              </w:rPr>
            </w:pPr>
          </w:p>
        </w:tc>
        <w:tc>
          <w:tcPr>
            <w:tcW w:w="42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14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Net interest income after benefit (provision) for credit losses</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7,302</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7,872</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22,073</w:t>
            </w:r>
          </w:p>
        </w:tc>
        <w:tc>
          <w:tcPr>
            <w:tcW w:w="100" w:type="dxa"/>
            <w:vAlign w:val="bottom"/>
          </w:tcPr>
          <w:p>
            <w:pPr>
              <w:spacing w:after="0"/>
              <w:rPr>
                <w:sz w:val="16"/>
                <w:szCs w:val="16"/>
                <w:color w:val="auto"/>
              </w:rPr>
            </w:pPr>
          </w:p>
        </w:tc>
        <w:tc>
          <w:tcPr>
            <w:tcW w:w="42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240" w:type="dxa"/>
            <w:vAlign w:val="bottom"/>
            <w:gridSpan w:val="2"/>
          </w:tcPr>
          <w:p>
            <w:pPr>
              <w:ind w:left="20"/>
              <w:spacing w:after="0"/>
              <w:rPr>
                <w:sz w:val="20"/>
                <w:szCs w:val="20"/>
                <w:color w:val="auto"/>
              </w:rPr>
            </w:pPr>
            <w:r>
              <w:rPr>
                <w:rFonts w:ascii="Arial" w:cs="Arial" w:eastAsia="Arial" w:hAnsi="Arial"/>
                <w:sz w:val="14"/>
                <w:szCs w:val="14"/>
                <w:color w:val="auto"/>
              </w:rPr>
              <w:t>Investment gains (losses), net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(28)</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240" w:type="dxa"/>
            <w:vAlign w:val="bottom"/>
            <w:gridSpan w:val="2"/>
          </w:tcPr>
          <w:p>
            <w:pPr>
              <w:ind w:left="20"/>
              <w:spacing w:after="0"/>
              <w:rPr>
                <w:sz w:val="20"/>
                <w:szCs w:val="20"/>
                <w:color w:val="auto"/>
              </w:rPr>
            </w:pPr>
            <w:r>
              <w:rPr>
                <w:rFonts w:ascii="Arial" w:cs="Arial" w:eastAsia="Arial" w:hAnsi="Arial"/>
                <w:sz w:val="14"/>
                <w:szCs w:val="14"/>
                <w:color w:val="auto"/>
              </w:rPr>
              <w:t>Fair value gains (losses), net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52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795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979</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140" w:type="dxa"/>
            <w:vAlign w:val="bottom"/>
            <w:tcBorders>
              <w:bottom w:val="single" w:sz="8" w:color="2C6937"/>
            </w:tcBorders>
          </w:tcPr>
          <w:p>
            <w:pPr>
              <w:ind w:left="40"/>
              <w:spacing w:after="0"/>
              <w:rPr>
                <w:sz w:val="20"/>
                <w:szCs w:val="20"/>
                <w:color w:val="auto"/>
              </w:rPr>
            </w:pPr>
            <w:r>
              <w:rPr>
                <w:rFonts w:ascii="Arial" w:cs="Arial" w:eastAsia="Arial" w:hAnsi="Arial"/>
                <w:sz w:val="14"/>
                <w:szCs w:val="14"/>
                <w:color w:val="auto"/>
              </w:rPr>
              <w:t>Fee and other income</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66</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206</w:t>
            </w:r>
          </w:p>
        </w:tc>
        <w:tc>
          <w:tcPr>
            <w:tcW w:w="100" w:type="dxa"/>
            <w:vAlign w:val="bottom"/>
          </w:tcPr>
          <w:p>
            <w:pPr>
              <w:spacing w:after="0"/>
              <w:rPr>
                <w:sz w:val="16"/>
                <w:szCs w:val="16"/>
                <w:color w:val="auto"/>
              </w:rPr>
            </w:pPr>
          </w:p>
        </w:tc>
        <w:tc>
          <w:tcPr>
            <w:tcW w:w="42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14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Non-interest income</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130</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879</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1,157</w:t>
            </w:r>
          </w:p>
        </w:tc>
        <w:tc>
          <w:tcPr>
            <w:tcW w:w="100" w:type="dxa"/>
            <w:vAlign w:val="bottom"/>
          </w:tcPr>
          <w:p>
            <w:pPr>
              <w:spacing w:after="0"/>
              <w:rPr>
                <w:sz w:val="16"/>
                <w:szCs w:val="16"/>
                <w:color w:val="auto"/>
              </w:rPr>
            </w:pPr>
          </w:p>
        </w:tc>
        <w:tc>
          <w:tcPr>
            <w:tcW w:w="42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7240" w:type="dxa"/>
            <w:vAlign w:val="bottom"/>
            <w:gridSpan w:val="2"/>
          </w:tcPr>
          <w:p>
            <w:pPr>
              <w:ind w:left="20"/>
              <w:spacing w:after="0"/>
              <w:rPr>
                <w:sz w:val="20"/>
                <w:szCs w:val="20"/>
                <w:color w:val="auto"/>
              </w:rPr>
            </w:pPr>
            <w:r>
              <w:rPr>
                <w:rFonts w:ascii="Arial" w:cs="Arial" w:eastAsia="Arial" w:hAnsi="Arial"/>
                <w:sz w:val="14"/>
                <w:szCs w:val="14"/>
                <w:color w:val="auto"/>
              </w:rPr>
              <w:t>Administrative expenses:</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7240" w:type="dxa"/>
            <w:vAlign w:val="bottom"/>
            <w:gridSpan w:val="2"/>
          </w:tcPr>
          <w:p>
            <w:pPr>
              <w:ind w:left="180"/>
              <w:spacing w:after="0"/>
              <w:rPr>
                <w:sz w:val="20"/>
                <w:szCs w:val="20"/>
                <w:color w:val="auto"/>
              </w:rPr>
            </w:pPr>
            <w:r>
              <w:rPr>
                <w:rFonts w:ascii="Arial" w:cs="Arial" w:eastAsia="Arial" w:hAnsi="Arial"/>
                <w:sz w:val="14"/>
                <w:szCs w:val="14"/>
                <w:color w:val="auto"/>
              </w:rPr>
              <w:t>Salaries and employee benefits</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(500)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(477)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(1,507)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240" w:type="dxa"/>
            <w:vAlign w:val="bottom"/>
            <w:gridSpan w:val="2"/>
          </w:tcPr>
          <w:p>
            <w:pPr>
              <w:ind w:left="180"/>
              <w:spacing w:after="0"/>
              <w:rPr>
                <w:sz w:val="20"/>
                <w:szCs w:val="20"/>
                <w:color w:val="auto"/>
              </w:rPr>
            </w:pPr>
            <w:r>
              <w:rPr>
                <w:rFonts w:ascii="Arial" w:cs="Arial" w:eastAsia="Arial" w:hAnsi="Arial"/>
                <w:sz w:val="14"/>
                <w:szCs w:val="14"/>
                <w:color w:val="auto"/>
              </w:rPr>
              <w:t>Professional services</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(622)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14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Other administrative expenses</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(222)</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(664)</w:t>
            </w:r>
          </w:p>
        </w:tc>
        <w:tc>
          <w:tcPr>
            <w:tcW w:w="100" w:type="dxa"/>
            <w:vAlign w:val="bottom"/>
          </w:tcPr>
          <w:p>
            <w:pPr>
              <w:spacing w:after="0"/>
              <w:rPr>
                <w:sz w:val="16"/>
                <w:szCs w:val="16"/>
                <w:color w:val="auto"/>
              </w:rPr>
            </w:pPr>
          </w:p>
        </w:tc>
        <w:tc>
          <w:tcPr>
            <w:tcW w:w="42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14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Total administrative expenses</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(925)</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(897)</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(2,793)</w:t>
            </w:r>
          </w:p>
        </w:tc>
        <w:tc>
          <w:tcPr>
            <w:tcW w:w="100" w:type="dxa"/>
            <w:vAlign w:val="bottom"/>
          </w:tcPr>
          <w:p>
            <w:pPr>
              <w:spacing w:after="0"/>
              <w:rPr>
                <w:sz w:val="16"/>
                <w:szCs w:val="16"/>
                <w:color w:val="auto"/>
              </w:rPr>
            </w:pPr>
          </w:p>
        </w:tc>
        <w:tc>
          <w:tcPr>
            <w:tcW w:w="42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240" w:type="dxa"/>
            <w:vAlign w:val="bottom"/>
            <w:gridSpan w:val="2"/>
          </w:tcPr>
          <w:p>
            <w:pPr>
              <w:ind w:left="20"/>
              <w:spacing w:after="0"/>
              <w:rPr>
                <w:sz w:val="20"/>
                <w:szCs w:val="20"/>
                <w:color w:val="auto"/>
              </w:rPr>
            </w:pPr>
            <w:r>
              <w:rPr>
                <w:rFonts w:ascii="Arial" w:cs="Arial" w:eastAsia="Arial" w:hAnsi="Arial"/>
                <w:sz w:val="14"/>
                <w:szCs w:val="14"/>
                <w:color w:val="auto"/>
              </w:rPr>
              <w:t>TCCA fees</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(862)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(860)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(2,581)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240" w:type="dxa"/>
            <w:vAlign w:val="bottom"/>
            <w:gridSpan w:val="2"/>
          </w:tcPr>
          <w:p>
            <w:pPr>
              <w:ind w:left="20"/>
              <w:spacing w:after="0"/>
              <w:rPr>
                <w:sz w:val="20"/>
                <w:szCs w:val="20"/>
                <w:color w:val="auto"/>
              </w:rPr>
            </w:pPr>
            <w:r>
              <w:rPr>
                <w:rFonts w:ascii="Arial" w:cs="Arial" w:eastAsia="Arial" w:hAnsi="Arial"/>
                <w:sz w:val="14"/>
                <w:szCs w:val="14"/>
                <w:color w:val="auto"/>
              </w:rPr>
              <w:t>Credit enhancement expense</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(411)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(390)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(1,235)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240" w:type="dxa"/>
            <w:vAlign w:val="bottom"/>
            <w:gridSpan w:val="2"/>
          </w:tcPr>
          <w:p>
            <w:pPr>
              <w:ind w:left="20"/>
              <w:spacing w:after="0"/>
              <w:rPr>
                <w:sz w:val="20"/>
                <w:szCs w:val="20"/>
                <w:color w:val="auto"/>
              </w:rPr>
            </w:pPr>
            <w:r>
              <w:rPr>
                <w:rFonts w:ascii="Arial" w:cs="Arial" w:eastAsia="Arial" w:hAnsi="Arial"/>
                <w:sz w:val="14"/>
                <w:szCs w:val="14"/>
                <w:color w:val="auto"/>
              </w:rPr>
              <w:t>Change in expected credit enhancement recoveries</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89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189</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1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Other expenses, net</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(270)</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(535)</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(720)</w:t>
            </w:r>
          </w:p>
        </w:tc>
        <w:tc>
          <w:tcPr>
            <w:tcW w:w="100" w:type="dxa"/>
            <w:vAlign w:val="bottom"/>
          </w:tcPr>
          <w:p>
            <w:pPr>
              <w:spacing w:after="0"/>
              <w:rPr>
                <w:sz w:val="16"/>
                <w:szCs w:val="16"/>
                <w:color w:val="auto"/>
              </w:rPr>
            </w:pPr>
          </w:p>
        </w:tc>
        <w:tc>
          <w:tcPr>
            <w:tcW w:w="42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14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Total expenses</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(2,379)</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(2,810)</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(7,140)</w:t>
            </w:r>
          </w:p>
        </w:tc>
        <w:tc>
          <w:tcPr>
            <w:tcW w:w="100" w:type="dxa"/>
            <w:vAlign w:val="bottom"/>
          </w:tcPr>
          <w:p>
            <w:pPr>
              <w:spacing w:after="0"/>
              <w:rPr>
                <w:sz w:val="16"/>
                <w:szCs w:val="16"/>
                <w:color w:val="auto"/>
              </w:rPr>
            </w:pPr>
          </w:p>
        </w:tc>
        <w:tc>
          <w:tcPr>
            <w:tcW w:w="42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240" w:type="dxa"/>
            <w:vAlign w:val="bottom"/>
            <w:gridSpan w:val="2"/>
          </w:tcPr>
          <w:p>
            <w:pPr>
              <w:ind w:left="20"/>
              <w:spacing w:after="0"/>
              <w:rPr>
                <w:sz w:val="20"/>
                <w:szCs w:val="20"/>
                <w:color w:val="auto"/>
              </w:rPr>
            </w:pPr>
            <w:r>
              <w:rPr>
                <w:rFonts w:ascii="Arial" w:cs="Arial" w:eastAsia="Arial" w:hAnsi="Arial"/>
                <w:sz w:val="14"/>
                <w:szCs w:val="14"/>
                <w:color w:val="auto"/>
              </w:rPr>
              <w:t>Income before federal income taxes</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5,053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5,941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16,090</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1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Provision for federal income taxes</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(1,009)</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(1,242)</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(3,242)</w:t>
            </w:r>
          </w:p>
        </w:tc>
        <w:tc>
          <w:tcPr>
            <w:tcW w:w="100" w:type="dxa"/>
            <w:vAlign w:val="bottom"/>
          </w:tcPr>
          <w:p>
            <w:pPr>
              <w:spacing w:after="0"/>
              <w:rPr>
                <w:sz w:val="16"/>
                <w:szCs w:val="16"/>
                <w:color w:val="auto"/>
              </w:rPr>
            </w:pPr>
          </w:p>
        </w:tc>
        <w:tc>
          <w:tcPr>
            <w:tcW w:w="42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24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4,044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4,699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12,848</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1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Other comprehensive income (loss)</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42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1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Total comprehensive income</w:t>
            </w:r>
          </w:p>
        </w:tc>
        <w:tc>
          <w:tcPr>
            <w:tcW w:w="100" w:type="dxa"/>
            <w:vAlign w:val="bottom"/>
          </w:tcPr>
          <w:p>
            <w:pPr>
              <w:spacing w:after="0"/>
              <w:rPr>
                <w:sz w:val="16"/>
                <w:szCs w:val="16"/>
                <w:color w:val="auto"/>
              </w:rPr>
            </w:pPr>
          </w:p>
        </w:tc>
        <w:tc>
          <w:tcPr>
            <w:tcW w:w="200" w:type="dxa"/>
            <w:vAlign w:val="bottom"/>
            <w:tcBorders>
              <w:bottom w:val="single" w:sz="8" w:color="2C6937"/>
            </w:tcBorders>
          </w:tcPr>
          <w:p>
            <w:pPr>
              <w:ind w:left="20"/>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4,047</w:t>
            </w:r>
          </w:p>
        </w:tc>
        <w:tc>
          <w:tcPr>
            <w:tcW w:w="100" w:type="dxa"/>
            <w:vAlign w:val="bottom"/>
          </w:tcPr>
          <w:p>
            <w:pPr>
              <w:spacing w:after="0"/>
              <w:rPr>
                <w:sz w:val="16"/>
                <w:szCs w:val="16"/>
                <w:color w:val="auto"/>
              </w:rPr>
            </w:pPr>
          </w:p>
        </w:tc>
        <w:tc>
          <w:tcPr>
            <w:tcW w:w="200" w:type="dxa"/>
            <w:vAlign w:val="bottom"/>
            <w:tcBorders>
              <w:bottom w:val="single" w:sz="8" w:color="2C6937"/>
            </w:tcBorders>
          </w:tcPr>
          <w:p>
            <w:pPr>
              <w:jc w:val="right"/>
              <w:ind w:right="31"/>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4,681</w:t>
            </w:r>
          </w:p>
        </w:tc>
        <w:tc>
          <w:tcPr>
            <w:tcW w:w="100" w:type="dxa"/>
            <w:vAlign w:val="bottom"/>
          </w:tcPr>
          <w:p>
            <w:pPr>
              <w:spacing w:after="0"/>
              <w:rPr>
                <w:sz w:val="16"/>
                <w:szCs w:val="16"/>
                <w:color w:val="auto"/>
              </w:rPr>
            </w:pPr>
          </w:p>
        </w:tc>
        <w:tc>
          <w:tcPr>
            <w:tcW w:w="200" w:type="dxa"/>
            <w:vAlign w:val="bottom"/>
            <w:tcBorders>
              <w:bottom w:val="single" w:sz="8" w:color="2C6937"/>
            </w:tcBorders>
          </w:tcPr>
          <w:p>
            <w:pPr>
              <w:jc w:val="right"/>
              <w:ind w:right="31"/>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12,848</w:t>
            </w:r>
          </w:p>
        </w:tc>
        <w:tc>
          <w:tcPr>
            <w:tcW w:w="100" w:type="dxa"/>
            <w:vAlign w:val="bottom"/>
          </w:tcPr>
          <w:p>
            <w:pPr>
              <w:spacing w:after="0"/>
              <w:rPr>
                <w:sz w:val="16"/>
                <w:szCs w:val="16"/>
                <w:color w:val="auto"/>
              </w:rPr>
            </w:pPr>
          </w:p>
        </w:tc>
        <w:tc>
          <w:tcPr>
            <w:tcW w:w="420" w:type="dxa"/>
            <w:vAlign w:val="bottom"/>
            <w:tcBorders>
              <w:bottom w:val="single" w:sz="8" w:color="2C6937"/>
            </w:tcBorders>
          </w:tcPr>
          <w:p>
            <w:pPr>
              <w:jc w:val="right"/>
              <w:ind w:right="25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1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24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20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4,044</w:t>
            </w:r>
          </w:p>
        </w:tc>
        <w:tc>
          <w:tcPr>
            <w:tcW w:w="10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4,699</w:t>
            </w:r>
          </w:p>
        </w:tc>
        <w:tc>
          <w:tcPr>
            <w:tcW w:w="10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12,848</w:t>
            </w:r>
          </w:p>
        </w:tc>
        <w:tc>
          <w:tcPr>
            <w:tcW w:w="100" w:type="dxa"/>
            <w:vAlign w:val="bottom"/>
          </w:tcPr>
          <w:p>
            <w:pPr>
              <w:spacing w:after="0"/>
              <w:rPr>
                <w:sz w:val="16"/>
                <w:szCs w:val="16"/>
                <w:color w:val="auto"/>
              </w:rPr>
            </w:pPr>
          </w:p>
        </w:tc>
        <w:tc>
          <w:tcPr>
            <w:tcW w:w="420" w:type="dxa"/>
            <w:vAlign w:val="bottom"/>
          </w:tcPr>
          <w:p>
            <w:pPr>
              <w:jc w:val="right"/>
              <w:ind w:right="25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71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Dividends distributed or amounts attributable to senior preferred stock</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(4,047)</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(4,681)</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(12,848)</w:t>
            </w:r>
          </w:p>
        </w:tc>
        <w:tc>
          <w:tcPr>
            <w:tcW w:w="100" w:type="dxa"/>
            <w:vAlign w:val="bottom"/>
          </w:tcPr>
          <w:p>
            <w:pPr>
              <w:spacing w:after="0"/>
              <w:rPr>
                <w:sz w:val="16"/>
                <w:szCs w:val="16"/>
                <w:color w:val="auto"/>
              </w:rPr>
            </w:pPr>
          </w:p>
        </w:tc>
        <w:tc>
          <w:tcPr>
            <w:tcW w:w="4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7240" w:type="dxa"/>
            <w:vAlign w:val="bottom"/>
            <w:gridSpan w:val="2"/>
          </w:tcPr>
          <w:p>
            <w:pPr>
              <w:ind w:left="20"/>
              <w:spacing w:after="0"/>
              <w:rPr>
                <w:sz w:val="20"/>
                <w:szCs w:val="20"/>
                <w:color w:val="auto"/>
              </w:rPr>
            </w:pPr>
            <w:r>
              <w:rPr>
                <w:rFonts w:ascii="Arial" w:cs="Arial" w:eastAsia="Arial" w:hAnsi="Arial"/>
                <w:sz w:val="14"/>
                <w:szCs w:val="14"/>
                <w:color w:val="auto"/>
              </w:rPr>
              <w:t>Net income (loss) attributable to common stockholders</w:t>
            </w:r>
          </w:p>
        </w:tc>
        <w:tc>
          <w:tcPr>
            <w:tcW w:w="20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ind w:right="25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1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240" w:type="dxa"/>
            <w:vAlign w:val="bottom"/>
            <w:gridSpan w:val="2"/>
          </w:tcPr>
          <w:p>
            <w:pPr>
              <w:ind w:left="20"/>
              <w:spacing w:after="0"/>
              <w:rPr>
                <w:sz w:val="20"/>
                <w:szCs w:val="20"/>
                <w:color w:val="auto"/>
              </w:rPr>
            </w:pPr>
            <w:r>
              <w:rPr>
                <w:rFonts w:ascii="Arial" w:cs="Arial" w:eastAsia="Arial" w:hAnsi="Arial"/>
                <w:sz w:val="14"/>
                <w:szCs w:val="14"/>
                <w:color w:val="auto"/>
              </w:rPr>
              <w:t>Earnings per share:</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240" w:type="dxa"/>
            <w:vAlign w:val="bottom"/>
            <w:gridSpan w:val="2"/>
          </w:tcPr>
          <w:p>
            <w:pPr>
              <w:ind w:left="220"/>
              <w:spacing w:after="0"/>
              <w:rPr>
                <w:sz w:val="20"/>
                <w:szCs w:val="20"/>
                <w:color w:val="auto"/>
              </w:rPr>
            </w:pPr>
            <w:r>
              <w:rPr>
                <w:rFonts w:ascii="Arial" w:cs="Arial" w:eastAsia="Arial" w:hAnsi="Arial"/>
                <w:sz w:val="14"/>
                <w:szCs w:val="14"/>
                <w:color w:val="auto"/>
              </w:rPr>
              <w:t>Basic</w:t>
            </w:r>
          </w:p>
        </w:tc>
        <w:tc>
          <w:tcPr>
            <w:tcW w:w="20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100" w:type="dxa"/>
            <w:vAlign w:val="bottom"/>
          </w:tcPr>
          <w:p>
            <w:pPr>
              <w:spacing w:after="0"/>
              <w:rPr>
                <w:sz w:val="18"/>
                <w:szCs w:val="18"/>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0.00</w:t>
            </w:r>
          </w:p>
        </w:tc>
        <w:tc>
          <w:tcPr>
            <w:tcW w:w="100" w:type="dxa"/>
            <w:vAlign w:val="bottom"/>
          </w:tcPr>
          <w:p>
            <w:pPr>
              <w:spacing w:after="0"/>
              <w:rPr>
                <w:sz w:val="18"/>
                <w:szCs w:val="18"/>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100" w:type="dxa"/>
            <w:vAlign w:val="bottom"/>
          </w:tcPr>
          <w:p>
            <w:pPr>
              <w:spacing w:after="0"/>
              <w:rPr>
                <w:sz w:val="18"/>
                <w:szCs w:val="18"/>
                <w:color w:val="auto"/>
              </w:rPr>
            </w:pPr>
          </w:p>
        </w:tc>
        <w:tc>
          <w:tcPr>
            <w:tcW w:w="420" w:type="dxa"/>
            <w:vAlign w:val="bottom"/>
          </w:tcPr>
          <w:p>
            <w:pPr>
              <w:jc w:val="right"/>
              <w:ind w:right="25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7240" w:type="dxa"/>
            <w:vAlign w:val="bottom"/>
            <w:gridSpan w:val="2"/>
          </w:tcPr>
          <w:p>
            <w:pPr>
              <w:ind w:left="220"/>
              <w:spacing w:after="0"/>
              <w:rPr>
                <w:sz w:val="20"/>
                <w:szCs w:val="20"/>
                <w:color w:val="auto"/>
              </w:rPr>
            </w:pPr>
            <w:r>
              <w:rPr>
                <w:rFonts w:ascii="Arial" w:cs="Arial" w:eastAsia="Arial" w:hAnsi="Arial"/>
                <w:sz w:val="14"/>
                <w:szCs w:val="14"/>
                <w:color w:val="auto"/>
              </w:rPr>
              <w:t>Diluted</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240" w:type="dxa"/>
            <w:vAlign w:val="bottom"/>
            <w:gridSpan w:val="2"/>
          </w:tcPr>
          <w:p>
            <w:pPr>
              <w:ind w:left="20"/>
              <w:spacing w:after="0"/>
              <w:rPr>
                <w:sz w:val="20"/>
                <w:szCs w:val="20"/>
                <w:color w:val="auto"/>
              </w:rPr>
            </w:pPr>
            <w:r>
              <w:rPr>
                <w:rFonts w:ascii="Arial" w:cs="Arial" w:eastAsia="Arial" w:hAnsi="Arial"/>
                <w:sz w:val="14"/>
                <w:szCs w:val="14"/>
                <w:color w:val="auto"/>
              </w:rPr>
              <w:t>Weighted-average common shares outstanding: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240" w:type="dxa"/>
            <w:vAlign w:val="bottom"/>
            <w:gridSpan w:val="2"/>
          </w:tcPr>
          <w:p>
            <w:pPr>
              <w:ind w:left="220"/>
              <w:spacing w:after="0"/>
              <w:rPr>
                <w:sz w:val="20"/>
                <w:szCs w:val="20"/>
                <w:color w:val="auto"/>
              </w:rPr>
            </w:pPr>
            <w:r>
              <w:rPr>
                <w:rFonts w:ascii="Arial" w:cs="Arial" w:eastAsia="Arial" w:hAnsi="Arial"/>
                <w:sz w:val="14"/>
                <w:szCs w:val="14"/>
                <w:color w:val="auto"/>
              </w:rPr>
              <w:t>Basic</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5,867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5,867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5,867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240" w:type="dxa"/>
            <w:vAlign w:val="bottom"/>
            <w:gridSpan w:val="2"/>
          </w:tcPr>
          <w:p>
            <w:pPr>
              <w:ind w:left="220"/>
              <w:spacing w:after="0"/>
              <w:rPr>
                <w:sz w:val="20"/>
                <w:szCs w:val="20"/>
                <w:color w:val="auto"/>
              </w:rPr>
            </w:pPr>
            <w:r>
              <w:rPr>
                <w:rFonts w:ascii="Arial" w:cs="Arial" w:eastAsia="Arial" w:hAnsi="Arial"/>
                <w:sz w:val="14"/>
                <w:szCs w:val="14"/>
                <w:color w:val="auto"/>
              </w:rPr>
              <w:t>Diluted</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5,867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5,893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5,893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387985</wp:posOffset>
            </wp:positionV>
            <wp:extent cx="680593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20"/>
        <w:spacing w:after="0"/>
        <w:rPr>
          <w:sz w:val="20"/>
          <w:szCs w:val="20"/>
          <w:color w:val="auto"/>
        </w:rPr>
      </w:pPr>
      <w:r>
        <w:rPr>
          <w:rFonts w:ascii="Arial" w:cs="Arial" w:eastAsia="Arial" w:hAnsi="Arial"/>
          <w:sz w:val="14"/>
          <w:szCs w:val="14"/>
          <w:color w:val="05314D"/>
        </w:rPr>
        <w:t>Fannie Mae (In conservatorship)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160020</wp:posOffset>
            </wp:positionV>
            <wp:extent cx="7164070" cy="4191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20"/>
          </w:cols>
          <w:pgMar w:left="340" w:top="248" w:right="239" w:bottom="1440" w:gutter="0" w:footer="0" w:header="0"/>
        </w:sectPr>
      </w:pPr>
    </w:p>
    <w:bookmarkStart w:id="68" w:name="page69"/>
    <w:bookmarkEnd w:id="68"/>
    <w:p>
      <w:pPr>
        <w:ind w:left="6540"/>
        <w:spacing w:after="0"/>
        <w:rPr>
          <w:sz w:val="20"/>
          <w:szCs w:val="20"/>
          <w:color w:val="auto"/>
        </w:rPr>
      </w:pPr>
      <w:r>
        <w:rPr>
          <w:rFonts w:ascii="Arial" w:cs="Arial" w:eastAsia="Arial" w:hAnsi="Arial"/>
          <w:sz w:val="13"/>
          <w:szCs w:val="13"/>
          <w:color w:val="05314D"/>
        </w:rPr>
        <w:t>Financial Statements | 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072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Georgia" w:cs="Georgia" w:eastAsia="Georgia" w:hAnsi="Georgia"/>
          <w:sz w:val="31"/>
          <w:szCs w:val="31"/>
          <w:b w:val="1"/>
          <w:bCs w:val="1"/>
          <w:color w:val="05314D"/>
        </w:rPr>
        <w:t>FANNIE MAE</w:t>
      </w:r>
    </w:p>
    <w:p>
      <w:pPr>
        <w:spacing w:after="0" w:line="99" w:lineRule="exact"/>
        <w:rPr>
          <w:sz w:val="20"/>
          <w:szCs w:val="20"/>
          <w:color w:val="auto"/>
        </w:rPr>
      </w:pPr>
    </w:p>
    <w:p>
      <w:pPr>
        <w:jc w:val="center"/>
        <w:ind w:right="-39"/>
        <w:spacing w:after="0"/>
        <w:rPr>
          <w:sz w:val="20"/>
          <w:szCs w:val="20"/>
          <w:color w:val="auto"/>
        </w:rPr>
      </w:pPr>
      <w:r>
        <w:rPr>
          <w:rFonts w:ascii="Georgia" w:cs="Georgia" w:eastAsia="Georgia" w:hAnsi="Georgia"/>
          <w:sz w:val="17"/>
          <w:szCs w:val="17"/>
          <w:b w:val="1"/>
          <w:bCs w:val="1"/>
          <w:color w:val="001543"/>
        </w:rPr>
        <w:t>(In conservatorship)</w:t>
      </w:r>
    </w:p>
    <w:p>
      <w:pPr>
        <w:spacing w:after="0" w:line="176" w:lineRule="exact"/>
        <w:rPr>
          <w:sz w:val="20"/>
          <w:szCs w:val="20"/>
          <w:color w:val="auto"/>
        </w:rPr>
      </w:pPr>
    </w:p>
    <w:p>
      <w:pPr>
        <w:jc w:val="center"/>
        <w:ind w:right="-39"/>
        <w:spacing w:after="0"/>
        <w:rPr>
          <w:sz w:val="20"/>
          <w:szCs w:val="20"/>
          <w:color w:val="auto"/>
        </w:rPr>
      </w:pPr>
      <w:r>
        <w:rPr>
          <w:rFonts w:ascii="Georgia" w:cs="Georgia" w:eastAsia="Georgia" w:hAnsi="Georgia"/>
          <w:sz w:val="27"/>
          <w:szCs w:val="27"/>
          <w:b w:val="1"/>
          <w:bCs w:val="1"/>
          <w:color w:val="05314D"/>
        </w:rPr>
        <w:t>Condensed Consolidated Statements of Cash Flows — (Unaudited)</w:t>
      </w:r>
    </w:p>
    <w:p>
      <w:pPr>
        <w:spacing w:after="0" w:line="84" w:lineRule="exact"/>
        <w:rPr>
          <w:sz w:val="20"/>
          <w:szCs w:val="20"/>
          <w:color w:val="auto"/>
        </w:rPr>
      </w:pPr>
    </w:p>
    <w:p>
      <w:pPr>
        <w:jc w:val="center"/>
        <w:ind w:right="-39"/>
        <w:spacing w:after="0"/>
        <w:rPr>
          <w:sz w:val="20"/>
          <w:szCs w:val="20"/>
          <w:color w:val="auto"/>
        </w:rPr>
      </w:pPr>
      <w:r>
        <w:rPr>
          <w:rFonts w:ascii="Georgia" w:cs="Georgia" w:eastAsia="Georgia" w:hAnsi="Georgia"/>
          <w:sz w:val="17"/>
          <w:szCs w:val="17"/>
          <w:b w:val="1"/>
          <w:bCs w:val="1"/>
          <w:color w:val="001543"/>
        </w:rPr>
        <w:t>(Dollars in millions)</w:t>
      </w:r>
    </w:p>
    <w:p>
      <w:pPr>
        <w:spacing w:after="0" w:line="117" w:lineRule="exact"/>
        <w:rPr>
          <w:sz w:val="20"/>
          <w:szCs w:val="20"/>
          <w:color w:val="auto"/>
        </w:rPr>
      </w:pPr>
    </w:p>
    <w:p>
      <w:pPr>
        <w:jc w:val="center"/>
        <w:ind w:left="8900"/>
        <w:spacing w:after="0"/>
        <w:rPr>
          <w:sz w:val="20"/>
          <w:szCs w:val="20"/>
          <w:color w:val="auto"/>
        </w:rPr>
      </w:pPr>
      <w:r>
        <w:rPr>
          <w:rFonts w:ascii="Arial" w:cs="Arial" w:eastAsia="Arial" w:hAnsi="Arial"/>
          <w:sz w:val="14"/>
          <w:szCs w:val="14"/>
          <w:b w:val="1"/>
          <w:bCs w:val="1"/>
          <w:color w:val="auto"/>
        </w:rPr>
        <w:t>For the Nine Months Ended</w:t>
      </w:r>
    </w:p>
    <w:p>
      <w:pPr>
        <w:jc w:val="center"/>
        <w:ind w:left="8900"/>
        <w:spacing w:after="0"/>
        <w:rPr>
          <w:sz w:val="20"/>
          <w:szCs w:val="20"/>
          <w:color w:val="auto"/>
        </w:rPr>
      </w:pPr>
      <w:r>
        <w:rPr>
          <w:rFonts w:ascii="Arial" w:cs="Arial" w:eastAsia="Arial" w:hAnsi="Arial"/>
          <w:sz w:val="14"/>
          <w:szCs w:val="14"/>
          <w:b w:val="1"/>
          <w:bCs w:val="1"/>
          <w:color w:val="auto"/>
        </w:rPr>
        <w:t>September 30,</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960" w:type="dxa"/>
            <w:vAlign w:val="bottom"/>
          </w:tcPr>
          <w:p>
            <w:pPr>
              <w:spacing w:after="0"/>
              <w:rPr>
                <w:sz w:val="16"/>
                <w:szCs w:val="16"/>
                <w:color w:val="auto"/>
              </w:rPr>
            </w:pPr>
          </w:p>
        </w:tc>
        <w:tc>
          <w:tcPr>
            <w:tcW w:w="100" w:type="dxa"/>
            <w:vAlign w:val="bottom"/>
            <w:tcBorders>
              <w:top w:val="single" w:sz="8" w:color="2C6937"/>
              <w:bottom w:val="single" w:sz="8" w:color="2C6937"/>
            </w:tcBorders>
          </w:tcPr>
          <w:p>
            <w:pPr>
              <w:spacing w:after="0"/>
              <w:rPr>
                <w:sz w:val="16"/>
                <w:szCs w:val="16"/>
                <w:color w:val="auto"/>
              </w:rPr>
            </w:pPr>
          </w:p>
        </w:tc>
        <w:tc>
          <w:tcPr>
            <w:tcW w:w="180" w:type="dxa"/>
            <w:vAlign w:val="bottom"/>
            <w:tcBorders>
              <w:top w:val="single" w:sz="8" w:color="2C6937"/>
              <w:bottom w:val="single" w:sz="8" w:color="2C6937"/>
            </w:tcBorders>
          </w:tcPr>
          <w:p>
            <w:pPr>
              <w:spacing w:after="0"/>
              <w:rPr>
                <w:sz w:val="16"/>
                <w:szCs w:val="16"/>
                <w:color w:val="auto"/>
              </w:rPr>
            </w:pPr>
          </w:p>
        </w:tc>
        <w:tc>
          <w:tcPr>
            <w:tcW w:w="680" w:type="dxa"/>
            <w:vAlign w:val="bottom"/>
            <w:tcBorders>
              <w:top w:val="single" w:sz="8" w:color="2C6937"/>
              <w:bottom w:val="single" w:sz="8" w:color="2C6937"/>
            </w:tcBorders>
          </w:tcPr>
          <w:p>
            <w:pPr>
              <w:jc w:val="right"/>
              <w:ind w:right="191"/>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2C6937"/>
              <w:bottom w:val="single" w:sz="8" w:color="2C6937"/>
            </w:tcBorders>
          </w:tcPr>
          <w:p>
            <w:pPr>
              <w:spacing w:after="0"/>
              <w:rPr>
                <w:sz w:val="16"/>
                <w:szCs w:val="16"/>
                <w:color w:val="auto"/>
              </w:rPr>
            </w:pPr>
          </w:p>
        </w:tc>
        <w:tc>
          <w:tcPr>
            <w:tcW w:w="100" w:type="dxa"/>
            <w:vAlign w:val="bottom"/>
            <w:tcBorders>
              <w:top w:val="single" w:sz="8" w:color="2C6937"/>
            </w:tcBorders>
          </w:tcPr>
          <w:p>
            <w:pPr>
              <w:spacing w:after="0"/>
              <w:rPr>
                <w:sz w:val="16"/>
                <w:szCs w:val="16"/>
                <w:color w:val="auto"/>
              </w:rPr>
            </w:pPr>
          </w:p>
        </w:tc>
        <w:tc>
          <w:tcPr>
            <w:tcW w:w="100" w:type="dxa"/>
            <w:vAlign w:val="bottom"/>
            <w:tcBorders>
              <w:top w:val="single" w:sz="8" w:color="2C6937"/>
              <w:bottom w:val="single" w:sz="8" w:color="2C6937"/>
            </w:tcBorders>
          </w:tcPr>
          <w:p>
            <w:pPr>
              <w:spacing w:after="0"/>
              <w:rPr>
                <w:sz w:val="16"/>
                <w:szCs w:val="16"/>
                <w:color w:val="auto"/>
              </w:rPr>
            </w:pPr>
          </w:p>
        </w:tc>
        <w:tc>
          <w:tcPr>
            <w:tcW w:w="180" w:type="dxa"/>
            <w:vAlign w:val="bottom"/>
            <w:tcBorders>
              <w:top w:val="single" w:sz="8" w:color="2C6937"/>
              <w:bottom w:val="single" w:sz="8" w:color="2C6937"/>
            </w:tcBorders>
          </w:tcPr>
          <w:p>
            <w:pPr>
              <w:spacing w:after="0"/>
              <w:rPr>
                <w:sz w:val="16"/>
                <w:szCs w:val="16"/>
                <w:color w:val="auto"/>
              </w:rPr>
            </w:pPr>
          </w:p>
        </w:tc>
        <w:tc>
          <w:tcPr>
            <w:tcW w:w="680" w:type="dxa"/>
            <w:vAlign w:val="bottom"/>
            <w:tcBorders>
              <w:top w:val="single" w:sz="8" w:color="2C6937"/>
              <w:bottom w:val="single" w:sz="8" w:color="2C6937"/>
            </w:tcBorders>
          </w:tcPr>
          <w:p>
            <w:pPr>
              <w:jc w:val="right"/>
              <w:ind w:right="21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2C6937"/>
              <w:bottom w:val="single" w:sz="8" w:color="2C6937"/>
            </w:tcBorders>
          </w:tcPr>
          <w:p>
            <w:pPr>
              <w:spacing w:after="0"/>
              <w:rPr>
                <w:sz w:val="16"/>
                <w:szCs w:val="16"/>
                <w:color w:val="auto"/>
              </w:rPr>
            </w:pPr>
          </w:p>
        </w:tc>
      </w:tr>
      <w:tr>
        <w:trPr>
          <w:trHeight w:val="185"/>
        </w:trPr>
        <w:tc>
          <w:tcPr>
            <w:tcW w:w="906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cash provided by (used in) operating activities</w:t>
            </w:r>
          </w:p>
        </w:tc>
        <w:tc>
          <w:tcPr>
            <w:tcW w:w="180" w:type="dxa"/>
            <w:vAlign w:val="bottom"/>
          </w:tcPr>
          <w:p>
            <w:pPr>
              <w:jc w:val="right"/>
              <w:ind w:right="11"/>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1,864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9,848</w:t>
            </w:r>
          </w:p>
        </w:tc>
        <w:tc>
          <w:tcPr>
            <w:tcW w:w="100" w:type="dxa"/>
            <w:vAlign w:val="bottom"/>
          </w:tcPr>
          <w:p>
            <w:pPr>
              <w:spacing w:after="0"/>
              <w:rPr>
                <w:sz w:val="16"/>
                <w:szCs w:val="16"/>
                <w:color w:val="auto"/>
              </w:rPr>
            </w:pPr>
          </w:p>
        </w:tc>
      </w:tr>
      <w:tr>
        <w:trPr>
          <w:trHeight w:val="193"/>
        </w:trPr>
        <w:tc>
          <w:tcPr>
            <w:tcW w:w="9060" w:type="dxa"/>
            <w:vAlign w:val="bottom"/>
            <w:gridSpan w:val="2"/>
          </w:tcPr>
          <w:p>
            <w:pPr>
              <w:ind w:left="20"/>
              <w:spacing w:after="0"/>
              <w:rPr>
                <w:sz w:val="20"/>
                <w:szCs w:val="20"/>
                <w:color w:val="auto"/>
              </w:rPr>
            </w:pPr>
            <w:r>
              <w:rPr>
                <w:rFonts w:ascii="Arial" w:cs="Arial" w:eastAsia="Arial" w:hAnsi="Arial"/>
                <w:sz w:val="14"/>
                <w:szCs w:val="14"/>
                <w:b w:val="1"/>
                <w:bCs w:val="1"/>
                <w:color w:val="auto"/>
              </w:rPr>
              <w:t>Cash flows provided by (used in) investing activities:</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9060" w:type="dxa"/>
            <w:vAlign w:val="bottom"/>
            <w:gridSpan w:val="2"/>
          </w:tcPr>
          <w:p>
            <w:pPr>
              <w:ind w:left="220"/>
              <w:spacing w:after="0"/>
              <w:rPr>
                <w:sz w:val="20"/>
                <w:szCs w:val="20"/>
                <w:color w:val="auto"/>
              </w:rPr>
            </w:pPr>
            <w:r>
              <w:rPr>
                <w:rFonts w:ascii="Arial" w:cs="Arial" w:eastAsia="Arial" w:hAnsi="Arial"/>
                <w:sz w:val="14"/>
                <w:szCs w:val="14"/>
                <w:color w:val="auto"/>
              </w:rPr>
              <w:t>Mortgage loans acquired held for investment:</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9"/>
        </w:trPr>
        <w:tc>
          <w:tcPr>
            <w:tcW w:w="9060" w:type="dxa"/>
            <w:vAlign w:val="bottom"/>
            <w:gridSpan w:val="2"/>
          </w:tcPr>
          <w:p>
            <w:pPr>
              <w:ind w:left="400"/>
              <w:spacing w:after="0"/>
              <w:rPr>
                <w:sz w:val="20"/>
                <w:szCs w:val="20"/>
                <w:color w:val="auto"/>
              </w:rPr>
            </w:pPr>
            <w:r>
              <w:rPr>
                <w:rFonts w:ascii="Arial" w:cs="Arial" w:eastAsia="Arial" w:hAnsi="Arial"/>
                <w:sz w:val="14"/>
                <w:szCs w:val="14"/>
                <w:color w:val="auto"/>
              </w:rPr>
              <w:t>Purchases</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(100,657)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(96,791)</w:t>
            </w:r>
          </w:p>
        </w:tc>
        <w:tc>
          <w:tcPr>
            <w:tcW w:w="100" w:type="dxa"/>
            <w:vAlign w:val="bottom"/>
          </w:tcPr>
          <w:p>
            <w:pPr>
              <w:spacing w:after="0"/>
              <w:rPr>
                <w:sz w:val="17"/>
                <w:szCs w:val="17"/>
                <w:color w:val="auto"/>
              </w:rPr>
            </w:pPr>
          </w:p>
        </w:tc>
      </w:tr>
      <w:tr>
        <w:trPr>
          <w:trHeight w:val="193"/>
        </w:trPr>
        <w:tc>
          <w:tcPr>
            <w:tcW w:w="9060" w:type="dxa"/>
            <w:vAlign w:val="bottom"/>
            <w:gridSpan w:val="2"/>
          </w:tcPr>
          <w:p>
            <w:pPr>
              <w:ind w:left="420"/>
              <w:spacing w:after="0"/>
              <w:rPr>
                <w:sz w:val="20"/>
                <w:szCs w:val="20"/>
                <w:color w:val="auto"/>
              </w:rPr>
            </w:pPr>
            <w:r>
              <w:rPr>
                <w:rFonts w:ascii="Arial" w:cs="Arial" w:eastAsia="Arial" w:hAnsi="Arial"/>
                <w:sz w:val="14"/>
                <w:szCs w:val="14"/>
                <w:color w:val="auto"/>
              </w:rPr>
              <w:t>Proceeds from sales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1,961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1,541</w:t>
            </w:r>
          </w:p>
        </w:tc>
        <w:tc>
          <w:tcPr>
            <w:tcW w:w="100" w:type="dxa"/>
            <w:vAlign w:val="bottom"/>
          </w:tcPr>
          <w:p>
            <w:pPr>
              <w:spacing w:after="0"/>
              <w:rPr>
                <w:sz w:val="16"/>
                <w:szCs w:val="16"/>
                <w:color w:val="auto"/>
              </w:rPr>
            </w:pPr>
          </w:p>
        </w:tc>
      </w:tr>
      <w:tr>
        <w:trPr>
          <w:trHeight w:val="193"/>
        </w:trPr>
        <w:tc>
          <w:tcPr>
            <w:tcW w:w="9060" w:type="dxa"/>
            <w:vAlign w:val="bottom"/>
            <w:gridSpan w:val="2"/>
          </w:tcPr>
          <w:p>
            <w:pPr>
              <w:ind w:left="420"/>
              <w:spacing w:after="0"/>
              <w:rPr>
                <w:sz w:val="20"/>
                <w:szCs w:val="20"/>
                <w:color w:val="auto"/>
              </w:rPr>
            </w:pPr>
            <w:r>
              <w:rPr>
                <w:rFonts w:ascii="Arial" w:cs="Arial" w:eastAsia="Arial" w:hAnsi="Arial"/>
                <w:sz w:val="14"/>
                <w:szCs w:val="14"/>
                <w:color w:val="auto"/>
              </w:rPr>
              <w:t>Proceeds from repayments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265,196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257,697</w:t>
            </w:r>
          </w:p>
        </w:tc>
        <w:tc>
          <w:tcPr>
            <w:tcW w:w="100" w:type="dxa"/>
            <w:vAlign w:val="bottom"/>
          </w:tcPr>
          <w:p>
            <w:pPr>
              <w:spacing w:after="0"/>
              <w:rPr>
                <w:sz w:val="16"/>
                <w:szCs w:val="16"/>
                <w:color w:val="auto"/>
              </w:rPr>
            </w:pPr>
          </w:p>
        </w:tc>
      </w:tr>
      <w:tr>
        <w:trPr>
          <w:trHeight w:val="193"/>
        </w:trPr>
        <w:tc>
          <w:tcPr>
            <w:tcW w:w="9060" w:type="dxa"/>
            <w:vAlign w:val="bottom"/>
            <w:gridSpan w:val="2"/>
          </w:tcPr>
          <w:p>
            <w:pPr>
              <w:ind w:left="220"/>
              <w:spacing w:after="0"/>
              <w:rPr>
                <w:sz w:val="20"/>
                <w:szCs w:val="20"/>
                <w:color w:val="auto"/>
              </w:rPr>
            </w:pPr>
            <w:r>
              <w:rPr>
                <w:rFonts w:ascii="Arial" w:cs="Arial" w:eastAsia="Arial" w:hAnsi="Arial"/>
                <w:sz w:val="14"/>
                <w:szCs w:val="14"/>
                <w:color w:val="auto"/>
              </w:rPr>
              <w:t>Advances to lenders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(66,289)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(82,907)</w:t>
            </w:r>
          </w:p>
        </w:tc>
        <w:tc>
          <w:tcPr>
            <w:tcW w:w="100" w:type="dxa"/>
            <w:vAlign w:val="bottom"/>
          </w:tcPr>
          <w:p>
            <w:pPr>
              <w:spacing w:after="0"/>
              <w:rPr>
                <w:sz w:val="16"/>
                <w:szCs w:val="16"/>
                <w:color w:val="auto"/>
              </w:rPr>
            </w:pPr>
          </w:p>
        </w:tc>
      </w:tr>
      <w:tr>
        <w:trPr>
          <w:trHeight w:val="193"/>
        </w:trPr>
        <w:tc>
          <w:tcPr>
            <w:tcW w:w="9060" w:type="dxa"/>
            <w:vAlign w:val="bottom"/>
            <w:gridSpan w:val="2"/>
          </w:tcPr>
          <w:p>
            <w:pPr>
              <w:ind w:left="220"/>
              <w:spacing w:after="0"/>
              <w:rPr>
                <w:sz w:val="20"/>
                <w:szCs w:val="20"/>
                <w:color w:val="auto"/>
              </w:rPr>
            </w:pPr>
            <w:r>
              <w:rPr>
                <w:rFonts w:ascii="Arial" w:cs="Arial" w:eastAsia="Arial" w:hAnsi="Arial"/>
                <w:sz w:val="14"/>
                <w:szCs w:val="14"/>
                <w:color w:val="auto"/>
              </w:rPr>
              <w:t>Proceeds from disposition of acquired property, preforeclosure sales and insurance proceeds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2,996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4,648</w:t>
            </w:r>
          </w:p>
        </w:tc>
        <w:tc>
          <w:tcPr>
            <w:tcW w:w="100" w:type="dxa"/>
            <w:vAlign w:val="bottom"/>
          </w:tcPr>
          <w:p>
            <w:pPr>
              <w:spacing w:after="0"/>
              <w:rPr>
                <w:sz w:val="16"/>
                <w:szCs w:val="16"/>
                <w:color w:val="auto"/>
              </w:rPr>
            </w:pPr>
          </w:p>
        </w:tc>
      </w:tr>
      <w:tr>
        <w:trPr>
          <w:trHeight w:val="193"/>
        </w:trPr>
        <w:tc>
          <w:tcPr>
            <w:tcW w:w="9060" w:type="dxa"/>
            <w:vAlign w:val="bottom"/>
            <w:gridSpan w:val="2"/>
          </w:tcPr>
          <w:p>
            <w:pPr>
              <w:ind w:left="220"/>
              <w:spacing w:after="0"/>
              <w:rPr>
                <w:sz w:val="20"/>
                <w:szCs w:val="20"/>
                <w:color w:val="auto"/>
              </w:rPr>
            </w:pPr>
            <w:r>
              <w:rPr>
                <w:rFonts w:ascii="Arial" w:cs="Arial" w:eastAsia="Arial" w:hAnsi="Arial"/>
                <w:sz w:val="14"/>
                <w:szCs w:val="14"/>
                <w:color w:val="auto"/>
              </w:rPr>
              <w:t>Net change in federal funds sold and securities purchased under agreements to resell</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12,635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(8,285)</w:t>
            </w:r>
          </w:p>
        </w:tc>
        <w:tc>
          <w:tcPr>
            <w:tcW w:w="100" w:type="dxa"/>
            <w:vAlign w:val="bottom"/>
          </w:tcPr>
          <w:p>
            <w:pPr>
              <w:spacing w:after="0"/>
              <w:rPr>
                <w:sz w:val="16"/>
                <w:szCs w:val="16"/>
                <w:color w:val="auto"/>
              </w:rPr>
            </w:pPr>
          </w:p>
        </w:tc>
      </w:tr>
      <w:tr>
        <w:trPr>
          <w:trHeight w:val="194"/>
        </w:trPr>
        <w:tc>
          <w:tcPr>
            <w:tcW w:w="896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Other, net</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(234)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(660)</w:t>
            </w:r>
          </w:p>
        </w:tc>
        <w:tc>
          <w:tcPr>
            <w:tcW w:w="100" w:type="dxa"/>
            <w:vAlign w:val="bottom"/>
          </w:tcPr>
          <w:p>
            <w:pPr>
              <w:spacing w:after="0"/>
              <w:rPr>
                <w:sz w:val="16"/>
                <w:szCs w:val="16"/>
                <w:color w:val="auto"/>
              </w:rPr>
            </w:pPr>
          </w:p>
        </w:tc>
      </w:tr>
      <w:tr>
        <w:trPr>
          <w:trHeight w:val="186"/>
        </w:trPr>
        <w:tc>
          <w:tcPr>
            <w:tcW w:w="896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115,608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75,243</w:t>
            </w:r>
          </w:p>
        </w:tc>
        <w:tc>
          <w:tcPr>
            <w:tcW w:w="100" w:type="dxa"/>
            <w:vAlign w:val="bottom"/>
          </w:tcPr>
          <w:p>
            <w:pPr>
              <w:spacing w:after="0"/>
              <w:rPr>
                <w:sz w:val="16"/>
                <w:szCs w:val="16"/>
                <w:color w:val="auto"/>
              </w:rPr>
            </w:pPr>
          </w:p>
        </w:tc>
      </w:tr>
      <w:tr>
        <w:trPr>
          <w:trHeight w:val="185"/>
        </w:trPr>
        <w:tc>
          <w:tcPr>
            <w:tcW w:w="9060" w:type="dxa"/>
            <w:vAlign w:val="bottom"/>
            <w:gridSpan w:val="2"/>
          </w:tcPr>
          <w:p>
            <w:pPr>
              <w:ind w:left="20"/>
              <w:spacing w:after="0"/>
              <w:rPr>
                <w:sz w:val="20"/>
                <w:szCs w:val="20"/>
                <w:color w:val="auto"/>
              </w:rPr>
            </w:pPr>
            <w:r>
              <w:rPr>
                <w:rFonts w:ascii="Arial" w:cs="Arial" w:eastAsia="Arial" w:hAnsi="Arial"/>
                <w:sz w:val="14"/>
                <w:szCs w:val="14"/>
                <w:b w:val="1"/>
                <w:bCs w:val="1"/>
                <w:color w:val="auto"/>
              </w:rPr>
              <w:t>Cash flows provided by (used in) financing activities:</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3"/>
        </w:trPr>
        <w:tc>
          <w:tcPr>
            <w:tcW w:w="9060" w:type="dxa"/>
            <w:vAlign w:val="bottom"/>
            <w:gridSpan w:val="2"/>
          </w:tcPr>
          <w:p>
            <w:pPr>
              <w:ind w:left="220"/>
              <w:spacing w:after="0"/>
              <w:rPr>
                <w:sz w:val="20"/>
                <w:szCs w:val="20"/>
                <w:color w:val="auto"/>
              </w:rPr>
            </w:pPr>
            <w:r>
              <w:rPr>
                <w:rFonts w:ascii="Arial" w:cs="Arial" w:eastAsia="Arial" w:hAnsi="Arial"/>
                <w:sz w:val="14"/>
                <w:szCs w:val="14"/>
                <w:color w:val="auto"/>
              </w:rPr>
              <w:t>Proceeds from issuance of debt of Fannie Mae</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355,648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307,041</w:t>
            </w:r>
          </w:p>
        </w:tc>
        <w:tc>
          <w:tcPr>
            <w:tcW w:w="100" w:type="dxa"/>
            <w:vAlign w:val="bottom"/>
          </w:tcPr>
          <w:p>
            <w:pPr>
              <w:spacing w:after="0"/>
              <w:rPr>
                <w:sz w:val="16"/>
                <w:szCs w:val="16"/>
                <w:color w:val="auto"/>
              </w:rPr>
            </w:pPr>
          </w:p>
        </w:tc>
      </w:tr>
      <w:tr>
        <w:trPr>
          <w:trHeight w:val="193"/>
        </w:trPr>
        <w:tc>
          <w:tcPr>
            <w:tcW w:w="9060" w:type="dxa"/>
            <w:vAlign w:val="bottom"/>
            <w:gridSpan w:val="2"/>
          </w:tcPr>
          <w:p>
            <w:pPr>
              <w:ind w:left="220"/>
              <w:spacing w:after="0"/>
              <w:rPr>
                <w:sz w:val="20"/>
                <w:szCs w:val="20"/>
                <w:color w:val="auto"/>
              </w:rPr>
            </w:pPr>
            <w:r>
              <w:rPr>
                <w:rFonts w:ascii="Arial" w:cs="Arial" w:eastAsia="Arial" w:hAnsi="Arial"/>
                <w:sz w:val="14"/>
                <w:szCs w:val="14"/>
                <w:color w:val="auto"/>
              </w:rPr>
              <w:t>Payments to redeem debt of Fannie Mae</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(358,705)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(315,741)</w:t>
            </w:r>
          </w:p>
        </w:tc>
        <w:tc>
          <w:tcPr>
            <w:tcW w:w="100" w:type="dxa"/>
            <w:vAlign w:val="bottom"/>
          </w:tcPr>
          <w:p>
            <w:pPr>
              <w:spacing w:after="0"/>
              <w:rPr>
                <w:sz w:val="16"/>
                <w:szCs w:val="16"/>
                <w:color w:val="auto"/>
              </w:rPr>
            </w:pPr>
          </w:p>
        </w:tc>
      </w:tr>
      <w:tr>
        <w:trPr>
          <w:trHeight w:val="193"/>
        </w:trPr>
        <w:tc>
          <w:tcPr>
            <w:tcW w:w="9060" w:type="dxa"/>
            <w:vAlign w:val="bottom"/>
            <w:gridSpan w:val="2"/>
          </w:tcPr>
          <w:p>
            <w:pPr>
              <w:ind w:left="220"/>
              <w:spacing w:after="0"/>
              <w:rPr>
                <w:sz w:val="20"/>
                <w:szCs w:val="20"/>
                <w:color w:val="auto"/>
              </w:rPr>
            </w:pPr>
            <w:r>
              <w:rPr>
                <w:rFonts w:ascii="Arial" w:cs="Arial" w:eastAsia="Arial" w:hAnsi="Arial"/>
                <w:sz w:val="14"/>
                <w:szCs w:val="14"/>
                <w:color w:val="auto"/>
              </w:rPr>
              <w:t>Proceeds from issuance of debt of consolidated trusts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164,455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181,366</w:t>
            </w:r>
          </w:p>
        </w:tc>
        <w:tc>
          <w:tcPr>
            <w:tcW w:w="100" w:type="dxa"/>
            <w:vAlign w:val="bottom"/>
          </w:tcPr>
          <w:p>
            <w:pPr>
              <w:spacing w:after="0"/>
              <w:rPr>
                <w:sz w:val="16"/>
                <w:szCs w:val="16"/>
                <w:color w:val="auto"/>
              </w:rPr>
            </w:pPr>
          </w:p>
        </w:tc>
      </w:tr>
      <w:tr>
        <w:trPr>
          <w:trHeight w:val="194"/>
        </w:trPr>
        <w:tc>
          <w:tcPr>
            <w:tcW w:w="896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Payments to redeem debt of consolidated trusts</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(270,804)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(263,799)</w:t>
            </w:r>
          </w:p>
        </w:tc>
        <w:tc>
          <w:tcPr>
            <w:tcW w:w="100" w:type="dxa"/>
            <w:vAlign w:val="bottom"/>
          </w:tcPr>
          <w:p>
            <w:pPr>
              <w:spacing w:after="0"/>
              <w:rPr>
                <w:sz w:val="16"/>
                <w:szCs w:val="16"/>
                <w:color w:val="auto"/>
              </w:rPr>
            </w:pPr>
          </w:p>
        </w:tc>
      </w:tr>
      <w:tr>
        <w:trPr>
          <w:trHeight w:val="186"/>
        </w:trPr>
        <w:tc>
          <w:tcPr>
            <w:tcW w:w="896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(109,406)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(91,133)</w:t>
            </w:r>
          </w:p>
        </w:tc>
        <w:tc>
          <w:tcPr>
            <w:tcW w:w="100" w:type="dxa"/>
            <w:vAlign w:val="bottom"/>
          </w:tcPr>
          <w:p>
            <w:pPr>
              <w:spacing w:after="0"/>
              <w:rPr>
                <w:sz w:val="16"/>
                <w:szCs w:val="16"/>
                <w:color w:val="auto"/>
              </w:rPr>
            </w:pPr>
          </w:p>
        </w:tc>
      </w:tr>
      <w:tr>
        <w:trPr>
          <w:trHeight w:val="185"/>
        </w:trPr>
        <w:tc>
          <w:tcPr>
            <w:tcW w:w="906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increase (decrease) in cash, cash equivalents and restricted cash and cash equivalents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8,066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(6,042)</w:t>
            </w:r>
          </w:p>
        </w:tc>
        <w:tc>
          <w:tcPr>
            <w:tcW w:w="100" w:type="dxa"/>
            <w:vAlign w:val="bottom"/>
          </w:tcPr>
          <w:p>
            <w:pPr>
              <w:spacing w:after="0"/>
              <w:rPr>
                <w:sz w:val="16"/>
                <w:szCs w:val="16"/>
                <w:color w:val="auto"/>
              </w:rPr>
            </w:pPr>
          </w:p>
        </w:tc>
      </w:tr>
      <w:tr>
        <w:trPr>
          <w:trHeight w:val="194"/>
        </w:trPr>
        <w:tc>
          <w:tcPr>
            <w:tcW w:w="896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Cash, cash equivalents and restricted cash and cash equivalents at beginning of period</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68,706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87,841</w:t>
            </w:r>
          </w:p>
        </w:tc>
        <w:tc>
          <w:tcPr>
            <w:tcW w:w="100" w:type="dxa"/>
            <w:vAlign w:val="bottom"/>
          </w:tcPr>
          <w:p>
            <w:pPr>
              <w:spacing w:after="0"/>
              <w:rPr>
                <w:sz w:val="16"/>
                <w:szCs w:val="16"/>
                <w:color w:val="auto"/>
              </w:rPr>
            </w:pPr>
          </w:p>
        </w:tc>
      </w:tr>
      <w:tr>
        <w:trPr>
          <w:trHeight w:val="186"/>
        </w:trPr>
        <w:tc>
          <w:tcPr>
            <w:tcW w:w="9060" w:type="dxa"/>
            <w:vAlign w:val="bottom"/>
            <w:gridSpan w:val="2"/>
          </w:tcPr>
          <w:p>
            <w:pPr>
              <w:ind w:left="180"/>
              <w:spacing w:after="0"/>
              <w:rPr>
                <w:sz w:val="20"/>
                <w:szCs w:val="20"/>
                <w:color w:val="auto"/>
              </w:rPr>
            </w:pPr>
            <w:r>
              <w:rPr>
                <w:rFonts w:ascii="Arial" w:cs="Arial" w:eastAsia="Arial" w:hAnsi="Arial"/>
                <w:sz w:val="14"/>
                <w:szCs w:val="14"/>
                <w:b w:val="1"/>
                <w:bCs w:val="1"/>
                <w:color w:val="auto"/>
              </w:rPr>
              <w:t>Cash, cash equivalents and restricted cash and cash equivalents at end of period</w:t>
            </w:r>
          </w:p>
        </w:tc>
        <w:tc>
          <w:tcPr>
            <w:tcW w:w="180" w:type="dxa"/>
            <w:vAlign w:val="bottom"/>
          </w:tcPr>
          <w:p>
            <w:pPr>
              <w:jc w:val="right"/>
              <w:ind w:right="11"/>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76,772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81,799</w:t>
            </w:r>
          </w:p>
        </w:tc>
        <w:tc>
          <w:tcPr>
            <w:tcW w:w="100" w:type="dxa"/>
            <w:vAlign w:val="bottom"/>
          </w:tcPr>
          <w:p>
            <w:pPr>
              <w:spacing w:after="0"/>
              <w:rPr>
                <w:sz w:val="16"/>
                <w:szCs w:val="16"/>
                <w:color w:val="auto"/>
              </w:rPr>
            </w:pPr>
          </w:p>
        </w:tc>
      </w:tr>
      <w:tr>
        <w:trPr>
          <w:trHeight w:val="20"/>
        </w:trPr>
        <w:tc>
          <w:tcPr>
            <w:tcW w:w="89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4"/>
        </w:trPr>
        <w:tc>
          <w:tcPr>
            <w:tcW w:w="9060" w:type="dxa"/>
            <w:vAlign w:val="bottom"/>
            <w:gridSpan w:val="2"/>
          </w:tcPr>
          <w:p>
            <w:pPr>
              <w:ind w:left="20"/>
              <w:spacing w:after="0"/>
              <w:rPr>
                <w:sz w:val="20"/>
                <w:szCs w:val="20"/>
                <w:color w:val="auto"/>
              </w:rPr>
            </w:pPr>
            <w:r>
              <w:rPr>
                <w:rFonts w:ascii="Arial" w:cs="Arial" w:eastAsia="Arial" w:hAnsi="Arial"/>
                <w:sz w:val="14"/>
                <w:szCs w:val="14"/>
                <w:b w:val="1"/>
                <w:bCs w:val="1"/>
                <w:color w:val="auto"/>
              </w:rPr>
              <w:t>Cash paid during the period for:</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3"/>
        </w:trPr>
        <w:tc>
          <w:tcPr>
            <w:tcW w:w="9060" w:type="dxa"/>
            <w:vAlign w:val="bottom"/>
            <w:gridSpan w:val="2"/>
          </w:tcPr>
          <w:p>
            <w:pPr>
              <w:ind w:left="220"/>
              <w:spacing w:after="0"/>
              <w:rPr>
                <w:sz w:val="20"/>
                <w:szCs w:val="20"/>
                <w:color w:val="auto"/>
              </w:rPr>
            </w:pPr>
            <w:r>
              <w:rPr>
                <w:rFonts w:ascii="Arial" w:cs="Arial" w:eastAsia="Arial" w:hAnsi="Arial"/>
                <w:sz w:val="14"/>
                <w:szCs w:val="14"/>
                <w:color w:val="auto"/>
              </w:rPr>
              <w:t>Interest</w:t>
            </w:r>
          </w:p>
        </w:tc>
        <w:tc>
          <w:tcPr>
            <w:tcW w:w="180" w:type="dxa"/>
            <w:vAlign w:val="bottom"/>
          </w:tcPr>
          <w:p>
            <w:pPr>
              <w:jc w:val="right"/>
              <w:ind w:right="11"/>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95,681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83,207</w:t>
            </w:r>
          </w:p>
        </w:tc>
        <w:tc>
          <w:tcPr>
            <w:tcW w:w="100" w:type="dxa"/>
            <w:vAlign w:val="bottom"/>
          </w:tcPr>
          <w:p>
            <w:pPr>
              <w:spacing w:after="0"/>
              <w:rPr>
                <w:sz w:val="16"/>
                <w:szCs w:val="16"/>
                <w:color w:val="auto"/>
              </w:rPr>
            </w:pPr>
          </w:p>
        </w:tc>
      </w:tr>
      <w:tr>
        <w:trPr>
          <w:trHeight w:val="193"/>
        </w:trPr>
        <w:tc>
          <w:tcPr>
            <w:tcW w:w="9060" w:type="dxa"/>
            <w:vAlign w:val="bottom"/>
            <w:gridSpan w:val="2"/>
          </w:tcPr>
          <w:p>
            <w:pPr>
              <w:ind w:left="220"/>
              <w:spacing w:after="0"/>
              <w:rPr>
                <w:sz w:val="20"/>
                <w:szCs w:val="20"/>
                <w:color w:val="auto"/>
              </w:rPr>
            </w:pPr>
            <w:r>
              <w:rPr>
                <w:rFonts w:ascii="Arial" w:cs="Arial" w:eastAsia="Arial" w:hAnsi="Arial"/>
                <w:sz w:val="14"/>
                <w:szCs w:val="14"/>
                <w:color w:val="auto"/>
              </w:rPr>
              <w:t>Income taxes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2,366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2,050</w:t>
            </w:r>
          </w:p>
        </w:tc>
        <w:tc>
          <w:tcPr>
            <w:tcW w:w="100" w:type="dxa"/>
            <w:vAlign w:val="bottom"/>
          </w:tcPr>
          <w:p>
            <w:pPr>
              <w:spacing w:after="0"/>
              <w:rPr>
                <w:sz w:val="16"/>
                <w:szCs w:val="16"/>
                <w:color w:val="auto"/>
              </w:rPr>
            </w:pPr>
          </w:p>
        </w:tc>
      </w:tr>
    </w:tbl>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396240</wp:posOffset>
            </wp:positionV>
            <wp:extent cx="680593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48" w:right="379" w:bottom="1440" w:gutter="0" w:footer="0" w:header="0"/>
        </w:sectPr>
      </w:pPr>
    </w:p>
    <w:bookmarkStart w:id="69" w:name="page70"/>
    <w:bookmarkEnd w:id="69"/>
    <w:p>
      <w:pPr>
        <w:jc w:val="right"/>
        <w:ind w:right="100"/>
        <w:spacing w:after="0"/>
        <w:rPr>
          <w:sz w:val="20"/>
          <w:szCs w:val="20"/>
          <w:color w:val="auto"/>
        </w:rPr>
      </w:pPr>
      <w:r>
        <w:rPr>
          <w:rFonts w:ascii="Arial" w:cs="Arial" w:eastAsia="Arial" w:hAnsi="Arial"/>
          <w:sz w:val="14"/>
          <w:szCs w:val="14"/>
          <w:color w:val="001543"/>
        </w:rPr>
        <w:t>Financial Statements | Condensed Consolidated Statements of Changes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17145</wp:posOffset>
            </wp:positionV>
            <wp:extent cx="70072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Georgia" w:cs="Georgia" w:eastAsia="Georgia" w:hAnsi="Georgia"/>
          <w:sz w:val="31"/>
          <w:szCs w:val="31"/>
          <w:b w:val="1"/>
          <w:bCs w:val="1"/>
          <w:color w:val="05314D"/>
        </w:rPr>
        <w:t>FANNIE MAE</w:t>
      </w:r>
    </w:p>
    <w:p>
      <w:pPr>
        <w:spacing w:after="0" w:line="99" w:lineRule="exact"/>
        <w:rPr>
          <w:sz w:val="20"/>
          <w:szCs w:val="20"/>
          <w:color w:val="auto"/>
        </w:rPr>
      </w:pPr>
    </w:p>
    <w:p>
      <w:pPr>
        <w:jc w:val="center"/>
        <w:spacing w:after="0"/>
        <w:rPr>
          <w:sz w:val="20"/>
          <w:szCs w:val="20"/>
          <w:color w:val="auto"/>
        </w:rPr>
      </w:pPr>
      <w:r>
        <w:rPr>
          <w:rFonts w:ascii="Georgia" w:cs="Georgia" w:eastAsia="Georgia" w:hAnsi="Georgia"/>
          <w:sz w:val="17"/>
          <w:szCs w:val="17"/>
          <w:b w:val="1"/>
          <w:bCs w:val="1"/>
          <w:color w:val="001543"/>
        </w:rPr>
        <w:t>(In conservatorship)</w:t>
      </w:r>
    </w:p>
    <w:p>
      <w:pPr>
        <w:spacing w:after="0" w:line="176" w:lineRule="exact"/>
        <w:rPr>
          <w:sz w:val="20"/>
          <w:szCs w:val="20"/>
          <w:color w:val="auto"/>
        </w:rPr>
      </w:pPr>
    </w:p>
    <w:p>
      <w:pPr>
        <w:jc w:val="center"/>
        <w:spacing w:after="0"/>
        <w:rPr>
          <w:sz w:val="20"/>
          <w:szCs w:val="20"/>
          <w:color w:val="auto"/>
        </w:rPr>
      </w:pPr>
      <w:r>
        <w:rPr>
          <w:rFonts w:ascii="Georgia" w:cs="Georgia" w:eastAsia="Georgia" w:hAnsi="Georgia"/>
          <w:sz w:val="27"/>
          <w:szCs w:val="27"/>
          <w:b w:val="1"/>
          <w:bCs w:val="1"/>
          <w:color w:val="05314D"/>
        </w:rPr>
        <w:t>Condensed Consolidated Statements of Changes in</w:t>
      </w:r>
    </w:p>
    <w:p>
      <w:pPr>
        <w:spacing w:after="0" w:line="16" w:lineRule="exact"/>
        <w:rPr>
          <w:sz w:val="20"/>
          <w:szCs w:val="20"/>
          <w:color w:val="auto"/>
        </w:rPr>
      </w:pPr>
    </w:p>
    <w:p>
      <w:pPr>
        <w:jc w:val="center"/>
        <w:spacing w:after="0"/>
        <w:rPr>
          <w:sz w:val="20"/>
          <w:szCs w:val="20"/>
          <w:color w:val="auto"/>
        </w:rPr>
      </w:pPr>
      <w:r>
        <w:rPr>
          <w:rFonts w:ascii="Georgia" w:cs="Georgia" w:eastAsia="Georgia" w:hAnsi="Georgia"/>
          <w:sz w:val="27"/>
          <w:szCs w:val="27"/>
          <w:b w:val="1"/>
          <w:bCs w:val="1"/>
          <w:color w:val="05314D"/>
        </w:rPr>
        <w:t>Equity — (Unaudited)</w:t>
      </w:r>
    </w:p>
    <w:p>
      <w:pPr>
        <w:spacing w:after="0" w:line="97" w:lineRule="exact"/>
        <w:rPr>
          <w:sz w:val="20"/>
          <w:szCs w:val="20"/>
          <w:color w:val="auto"/>
        </w:rPr>
      </w:pPr>
    </w:p>
    <w:p>
      <w:pPr>
        <w:jc w:val="center"/>
        <w:spacing w:after="0"/>
        <w:rPr>
          <w:sz w:val="20"/>
          <w:szCs w:val="20"/>
          <w:color w:val="auto"/>
        </w:rPr>
      </w:pPr>
      <w:r>
        <w:rPr>
          <w:rFonts w:ascii="Georgia" w:cs="Georgia" w:eastAsia="Georgia" w:hAnsi="Georgia"/>
          <w:sz w:val="17"/>
          <w:szCs w:val="17"/>
          <w:b w:val="1"/>
          <w:bCs w:val="1"/>
          <w:color w:val="05314D"/>
        </w:rPr>
        <w:t>(Dollars and shares in millions)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6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5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60" w:type="dxa"/>
            <w:vAlign w:val="bottom"/>
            <w:tcBorders>
              <w:bottom w:val="single" w:sz="8" w:color="2C6937"/>
            </w:tcBorders>
          </w:tcPr>
          <w:p>
            <w:pPr>
              <w:spacing w:after="0"/>
              <w:rPr>
                <w:sz w:val="12"/>
                <w:szCs w:val="12"/>
                <w:color w:val="auto"/>
              </w:rPr>
            </w:pPr>
          </w:p>
        </w:tc>
        <w:tc>
          <w:tcPr>
            <w:tcW w:w="58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20" w:type="dxa"/>
            <w:vAlign w:val="bottom"/>
            <w:tcBorders>
              <w:bottom w:val="single" w:sz="8" w:color="2C6937"/>
            </w:tcBorders>
          </w:tcPr>
          <w:p>
            <w:pPr>
              <w:spacing w:after="0"/>
              <w:rPr>
                <w:sz w:val="12"/>
                <w:szCs w:val="12"/>
                <w:color w:val="auto"/>
              </w:rPr>
            </w:pPr>
          </w:p>
        </w:tc>
        <w:tc>
          <w:tcPr>
            <w:tcW w:w="2440" w:type="dxa"/>
            <w:vAlign w:val="bottom"/>
            <w:tcBorders>
              <w:bottom w:val="single" w:sz="8" w:color="2C6937"/>
            </w:tcBorders>
            <w:gridSpan w:val="8"/>
          </w:tcPr>
          <w:p>
            <w:pPr>
              <w:ind w:left="40"/>
              <w:spacing w:after="0"/>
              <w:rPr>
                <w:sz w:val="20"/>
                <w:szCs w:val="20"/>
                <w:color w:val="auto"/>
              </w:rPr>
            </w:pPr>
            <w:r>
              <w:rPr>
                <w:rFonts w:ascii="Arial" w:cs="Arial" w:eastAsia="Arial" w:hAnsi="Arial"/>
                <w:sz w:val="10"/>
                <w:szCs w:val="10"/>
                <w:b w:val="1"/>
                <w:bCs w:val="1"/>
                <w:color w:val="auto"/>
              </w:rPr>
              <w:t>Fannie Mae Stockholders’ Equity</w:t>
            </w:r>
          </w:p>
        </w:tc>
        <w:tc>
          <w:tcPr>
            <w:tcW w:w="120" w:type="dxa"/>
            <w:vAlign w:val="bottom"/>
            <w:tcBorders>
              <w:bottom w:val="single" w:sz="8" w:color="2C6937"/>
            </w:tcBorders>
          </w:tcPr>
          <w:p>
            <w:pPr>
              <w:spacing w:after="0"/>
              <w:rPr>
                <w:sz w:val="12"/>
                <w:szCs w:val="12"/>
                <w:color w:val="auto"/>
              </w:rPr>
            </w:pPr>
          </w:p>
        </w:tc>
        <w:tc>
          <w:tcPr>
            <w:tcW w:w="9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5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20" w:type="dxa"/>
            <w:vAlign w:val="bottom"/>
            <w:tcBorders>
              <w:bottom w:val="single" w:sz="8" w:color="2C6937"/>
            </w:tcBorders>
          </w:tcPr>
          <w:p>
            <w:pPr>
              <w:spacing w:after="0"/>
              <w:rPr>
                <w:sz w:val="12"/>
                <w:szCs w:val="12"/>
                <w:color w:val="auto"/>
              </w:rPr>
            </w:pPr>
          </w:p>
        </w:tc>
        <w:tc>
          <w:tcPr>
            <w:tcW w:w="500" w:type="dxa"/>
            <w:vAlign w:val="bottom"/>
            <w:tcBorders>
              <w:bottom w:val="single" w:sz="8" w:color="2C6937"/>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Borders>
              <w:bottom w:val="single" w:sz="8" w:color="2C6937"/>
            </w:tcBorders>
            <w:gridSpan w:val="5"/>
          </w:tcPr>
          <w:p>
            <w:pPr>
              <w:jc w:val="center"/>
              <w:ind w:left="510"/>
              <w:spacing w:after="0"/>
              <w:rPr>
                <w:sz w:val="20"/>
                <w:szCs w:val="20"/>
                <w:color w:val="auto"/>
              </w:rPr>
            </w:pPr>
            <w:r>
              <w:rPr>
                <w:rFonts w:ascii="Arial" w:cs="Arial" w:eastAsia="Arial" w:hAnsi="Arial"/>
                <w:sz w:val="10"/>
                <w:szCs w:val="10"/>
                <w:b w:val="1"/>
                <w:bCs w:val="1"/>
                <w:color w:val="auto"/>
              </w:rPr>
              <w:t>Shares Outstanding</w:t>
            </w:r>
          </w:p>
        </w:tc>
        <w:tc>
          <w:tcPr>
            <w:tcW w:w="560" w:type="dxa"/>
            <w:vAlign w:val="bottom"/>
            <w:tcBorders>
              <w:bottom w:val="single" w:sz="8" w:color="2C6937"/>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9"/>
                <w:szCs w:val="9"/>
                <w:b w:val="1"/>
                <w:bCs w:val="1"/>
                <w:color w:val="auto"/>
                <w:w w:val="99"/>
              </w:rPr>
              <w:t>Accumulated</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0"/>
        </w:trPr>
        <w:tc>
          <w:tcPr>
            <w:tcW w:w="2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9"/>
                <w:szCs w:val="9"/>
                <w:b w:val="1"/>
                <w:bCs w:val="1"/>
                <w:color w:val="auto"/>
                <w:w w:val="99"/>
              </w:rPr>
              <w:t>Senior</w:t>
            </w: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gridSpan w:val="2"/>
            <w:vMerge w:val="restart"/>
          </w:tcPr>
          <w:p>
            <w:pPr>
              <w:jc w:val="center"/>
              <w:ind w:right="240"/>
              <w:spacing w:after="0"/>
              <w:rPr>
                <w:sz w:val="20"/>
                <w:szCs w:val="20"/>
                <w:color w:val="auto"/>
              </w:rPr>
            </w:pPr>
            <w:r>
              <w:rPr>
                <w:rFonts w:ascii="Arial" w:cs="Arial" w:eastAsia="Arial" w:hAnsi="Arial"/>
                <w:sz w:val="9"/>
                <w:szCs w:val="9"/>
                <w:b w:val="1"/>
                <w:bCs w:val="1"/>
                <w:color w:val="auto"/>
                <w:w w:val="99"/>
              </w:rPr>
              <w:t>Senior</w:t>
            </w:r>
          </w:p>
        </w:tc>
        <w:tc>
          <w:tcPr>
            <w:tcW w:w="120" w:type="dxa"/>
            <w:vAlign w:val="bottom"/>
          </w:tcPr>
          <w:p>
            <w:pPr>
              <w:spacing w:after="0"/>
              <w:rPr>
                <w:sz w:val="7"/>
                <w:szCs w:val="7"/>
                <w:color w:val="auto"/>
              </w:rPr>
            </w:pPr>
          </w:p>
        </w:tc>
        <w:tc>
          <w:tcPr>
            <w:tcW w:w="66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9"/>
              </w:rPr>
              <w:t>Preferred</w:t>
            </w:r>
          </w:p>
        </w:tc>
        <w:tc>
          <w:tcPr>
            <w:tcW w:w="120" w:type="dxa"/>
            <w:vAlign w:val="bottom"/>
          </w:tcPr>
          <w:p>
            <w:pPr>
              <w:spacing w:after="0"/>
              <w:rPr>
                <w:sz w:val="7"/>
                <w:szCs w:val="7"/>
                <w:color w:val="auto"/>
              </w:rPr>
            </w:pPr>
          </w:p>
        </w:tc>
        <w:tc>
          <w:tcPr>
            <w:tcW w:w="700" w:type="dxa"/>
            <w:vAlign w:val="bottom"/>
            <w:gridSpan w:val="2"/>
            <w:vMerge w:val="restart"/>
          </w:tcPr>
          <w:p>
            <w:pPr>
              <w:jc w:val="center"/>
              <w:ind w:right="240"/>
              <w:spacing w:after="0"/>
              <w:rPr>
                <w:sz w:val="20"/>
                <w:szCs w:val="20"/>
                <w:color w:val="auto"/>
              </w:rPr>
            </w:pPr>
            <w:r>
              <w:rPr>
                <w:rFonts w:ascii="Arial" w:cs="Arial" w:eastAsia="Arial" w:hAnsi="Arial"/>
                <w:sz w:val="9"/>
                <w:szCs w:val="9"/>
                <w:b w:val="1"/>
                <w:bCs w:val="1"/>
                <w:color w:val="auto"/>
                <w:w w:val="97"/>
              </w:rPr>
              <w:t>Common</w:t>
            </w:r>
          </w:p>
        </w:tc>
        <w:tc>
          <w:tcPr>
            <w:tcW w:w="100" w:type="dxa"/>
            <w:vAlign w:val="bottom"/>
          </w:tcPr>
          <w:p>
            <w:pPr>
              <w:spacing w:after="0"/>
              <w:rPr>
                <w:sz w:val="7"/>
                <w:szCs w:val="7"/>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9"/>
              </w:rPr>
              <w:t>Accumulated</w:t>
            </w:r>
          </w:p>
        </w:tc>
        <w:tc>
          <w:tcPr>
            <w:tcW w:w="120" w:type="dxa"/>
            <w:vAlign w:val="bottom"/>
          </w:tcPr>
          <w:p>
            <w:pPr>
              <w:spacing w:after="0"/>
              <w:rPr>
                <w:sz w:val="7"/>
                <w:szCs w:val="7"/>
                <w:color w:val="auto"/>
              </w:rPr>
            </w:pPr>
          </w:p>
        </w:tc>
        <w:tc>
          <w:tcPr>
            <w:tcW w:w="1000" w:type="dxa"/>
            <w:vAlign w:val="bottom"/>
            <w:gridSpan w:val="2"/>
          </w:tcPr>
          <w:p>
            <w:pPr>
              <w:jc w:val="center"/>
              <w:ind w:right="240"/>
              <w:spacing w:after="0" w:line="91" w:lineRule="exact"/>
              <w:rPr>
                <w:sz w:val="20"/>
                <w:szCs w:val="20"/>
                <w:color w:val="auto"/>
              </w:rPr>
            </w:pPr>
            <w:r>
              <w:rPr>
                <w:rFonts w:ascii="Arial" w:cs="Arial" w:eastAsia="Arial" w:hAnsi="Arial"/>
                <w:sz w:val="9"/>
                <w:szCs w:val="9"/>
                <w:b w:val="1"/>
                <w:bCs w:val="1"/>
                <w:color w:val="auto"/>
                <w:w w:val="99"/>
              </w:rPr>
              <w:t>Other</w:t>
            </w:r>
          </w:p>
        </w:tc>
        <w:tc>
          <w:tcPr>
            <w:tcW w:w="100" w:type="dxa"/>
            <w:vAlign w:val="bottom"/>
          </w:tcPr>
          <w:p>
            <w:pPr>
              <w:spacing w:after="0"/>
              <w:rPr>
                <w:sz w:val="7"/>
                <w:szCs w:val="7"/>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Treasury</w:t>
            </w:r>
          </w:p>
        </w:tc>
        <w:tc>
          <w:tcPr>
            <w:tcW w:w="120" w:type="dxa"/>
            <w:vAlign w:val="bottom"/>
          </w:tcPr>
          <w:p>
            <w:pPr>
              <w:spacing w:after="0"/>
              <w:rPr>
                <w:sz w:val="7"/>
                <w:szCs w:val="7"/>
                <w:color w:val="auto"/>
              </w:rPr>
            </w:pPr>
          </w:p>
        </w:tc>
        <w:tc>
          <w:tcPr>
            <w:tcW w:w="500" w:type="dxa"/>
            <w:vAlign w:val="bottom"/>
            <w:vMerge w:val="restart"/>
          </w:tcPr>
          <w:p>
            <w:pPr>
              <w:jc w:val="right"/>
              <w:ind w:right="150"/>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90"/>
        </w:trPr>
        <w:tc>
          <w:tcPr>
            <w:tcW w:w="2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860" w:type="dxa"/>
            <w:vAlign w:val="bottom"/>
            <w:gridSpan w:val="3"/>
            <w:vMerge w:val="restart"/>
          </w:tcPr>
          <w:p>
            <w:pPr>
              <w:jc w:val="center"/>
              <w:ind w:right="180"/>
              <w:spacing w:after="0"/>
              <w:rPr>
                <w:sz w:val="20"/>
                <w:szCs w:val="20"/>
                <w:color w:val="auto"/>
              </w:rPr>
            </w:pPr>
            <w:r>
              <w:rPr>
                <w:rFonts w:ascii="Arial" w:cs="Arial" w:eastAsia="Arial" w:hAnsi="Arial"/>
                <w:sz w:val="9"/>
                <w:szCs w:val="9"/>
                <w:b w:val="1"/>
                <w:bCs w:val="1"/>
                <w:color w:val="auto"/>
                <w:w w:val="99"/>
              </w:rPr>
              <w:t>Preferred</w:t>
            </w:r>
          </w:p>
        </w:tc>
        <w:tc>
          <w:tcPr>
            <w:tcW w:w="66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Common</w:t>
            </w:r>
          </w:p>
        </w:tc>
        <w:tc>
          <w:tcPr>
            <w:tcW w:w="16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tcPr>
          <w:p>
            <w:pPr>
              <w:jc w:val="center"/>
              <w:ind w:right="220"/>
              <w:spacing w:after="0" w:line="91" w:lineRule="exact"/>
              <w:rPr>
                <w:sz w:val="20"/>
                <w:szCs w:val="20"/>
                <w:color w:val="auto"/>
              </w:rPr>
            </w:pPr>
            <w:r>
              <w:rPr>
                <w:rFonts w:ascii="Arial" w:cs="Arial" w:eastAsia="Arial" w:hAnsi="Arial"/>
                <w:sz w:val="9"/>
                <w:szCs w:val="9"/>
                <w:b w:val="1"/>
                <w:bCs w:val="1"/>
                <w:color w:val="auto"/>
                <w:w w:val="97"/>
              </w:rPr>
              <w:t>Comprehensive</w:t>
            </w: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9"/>
              </w:rPr>
              <w:t>Preferred</w:t>
            </w:r>
          </w:p>
        </w:tc>
        <w:tc>
          <w:tcPr>
            <w:tcW w:w="860" w:type="dxa"/>
            <w:vAlign w:val="bottom"/>
            <w:gridSpan w:val="3"/>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8"/>
              </w:rPr>
              <w:t>Preferred Stock</w:t>
            </w:r>
          </w:p>
        </w:tc>
        <w:tc>
          <w:tcPr>
            <w:tcW w:w="120" w:type="dxa"/>
            <w:vAlign w:val="bottom"/>
          </w:tcPr>
          <w:p>
            <w:pPr>
              <w:spacing w:after="0"/>
              <w:rPr>
                <w:sz w:val="11"/>
                <w:szCs w:val="11"/>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7"/>
              </w:rPr>
              <w:t>Stock</w:t>
            </w:r>
          </w:p>
        </w:tc>
        <w:tc>
          <w:tcPr>
            <w:tcW w:w="120" w:type="dxa"/>
            <w:vAlign w:val="bottom"/>
          </w:tcPr>
          <w:p>
            <w:pPr>
              <w:spacing w:after="0"/>
              <w:rPr>
                <w:sz w:val="11"/>
                <w:szCs w:val="11"/>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7"/>
              </w:rPr>
              <w:t>Stock</w:t>
            </w:r>
          </w:p>
        </w:tc>
        <w:tc>
          <w:tcPr>
            <w:tcW w:w="100" w:type="dxa"/>
            <w:vAlign w:val="bottom"/>
          </w:tcPr>
          <w:p>
            <w:pPr>
              <w:spacing w:after="0"/>
              <w:rPr>
                <w:sz w:val="11"/>
                <w:szCs w:val="11"/>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rPr>
              <w:t>Deficit</w:t>
            </w:r>
          </w:p>
        </w:tc>
        <w:tc>
          <w:tcPr>
            <w:tcW w:w="120" w:type="dxa"/>
            <w:vAlign w:val="bottom"/>
          </w:tcPr>
          <w:p>
            <w:pPr>
              <w:spacing w:after="0"/>
              <w:rPr>
                <w:sz w:val="11"/>
                <w:szCs w:val="11"/>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5"/>
              </w:rPr>
              <w:t>Income</w:t>
            </w:r>
          </w:p>
        </w:tc>
        <w:tc>
          <w:tcPr>
            <w:tcW w:w="100" w:type="dxa"/>
            <w:vAlign w:val="bottom"/>
          </w:tcPr>
          <w:p>
            <w:pPr>
              <w:spacing w:after="0"/>
              <w:rPr>
                <w:sz w:val="11"/>
                <w:szCs w:val="11"/>
                <w:color w:val="auto"/>
              </w:rPr>
            </w:pPr>
          </w:p>
        </w:tc>
        <w:tc>
          <w:tcPr>
            <w:tcW w:w="660" w:type="dxa"/>
            <w:vAlign w:val="bottom"/>
            <w:gridSpan w:val="2"/>
          </w:tcPr>
          <w:p>
            <w:pPr>
              <w:ind w:left="100"/>
              <w:spacing w:after="0"/>
              <w:rPr>
                <w:sz w:val="20"/>
                <w:szCs w:val="20"/>
                <w:color w:val="auto"/>
              </w:rPr>
            </w:pPr>
            <w:r>
              <w:rPr>
                <w:rFonts w:ascii="Arial" w:cs="Arial" w:eastAsia="Arial" w:hAnsi="Arial"/>
                <w:sz w:val="9"/>
                <w:szCs w:val="9"/>
                <w:b w:val="1"/>
                <w:bCs w:val="1"/>
                <w:color w:val="auto"/>
              </w:rPr>
              <w:t>Stock</w:t>
            </w:r>
          </w:p>
        </w:tc>
        <w:tc>
          <w:tcPr>
            <w:tcW w:w="120" w:type="dxa"/>
            <w:vAlign w:val="bottom"/>
          </w:tcPr>
          <w:p>
            <w:pPr>
              <w:spacing w:after="0"/>
              <w:rPr>
                <w:sz w:val="11"/>
                <w:szCs w:val="11"/>
                <w:color w:val="auto"/>
              </w:rPr>
            </w:pPr>
          </w:p>
        </w:tc>
        <w:tc>
          <w:tcPr>
            <w:tcW w:w="500" w:type="dxa"/>
            <w:vAlign w:val="bottom"/>
          </w:tcPr>
          <w:p>
            <w:pPr>
              <w:jc w:val="right"/>
              <w:ind w:right="130"/>
              <w:spacing w:after="0"/>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141"/>
        </w:trPr>
        <w:tc>
          <w:tcPr>
            <w:tcW w:w="3020" w:type="dxa"/>
            <w:vAlign w:val="bottom"/>
            <w:gridSpan w:val="2"/>
          </w:tcPr>
          <w:p>
            <w:pPr>
              <w:ind w:left="40"/>
              <w:spacing w:after="0"/>
              <w:rPr>
                <w:sz w:val="20"/>
                <w:szCs w:val="20"/>
                <w:color w:val="auto"/>
              </w:rPr>
            </w:pPr>
            <w:r>
              <w:rPr>
                <w:rFonts w:ascii="Arial" w:cs="Arial" w:eastAsia="Arial" w:hAnsi="Arial"/>
                <w:sz w:val="10"/>
                <w:szCs w:val="10"/>
                <w:b w:val="1"/>
                <w:bCs w:val="1"/>
                <w:color w:val="auto"/>
              </w:rPr>
              <w:t>Balance as of June 30, 2024</w:t>
            </w:r>
          </w:p>
        </w:tc>
        <w:tc>
          <w:tcPr>
            <w:tcW w:w="66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2"/>
                <w:szCs w:val="12"/>
                <w:color w:val="auto"/>
              </w:rPr>
            </w:pPr>
          </w:p>
        </w:tc>
        <w:tc>
          <w:tcPr>
            <w:tcW w:w="660" w:type="dxa"/>
            <w:vAlign w:val="bottom"/>
            <w:tcBorders>
              <w:top w:val="single" w:sz="8" w:color="2C6937"/>
            </w:tcBorders>
          </w:tcPr>
          <w:p>
            <w:pPr>
              <w:jc w:val="right"/>
              <w:ind w:right="9"/>
              <w:spacing w:after="0"/>
              <w:rPr>
                <w:sz w:val="20"/>
                <w:szCs w:val="20"/>
                <w:color w:val="auto"/>
              </w:rPr>
            </w:pPr>
            <w:r>
              <w:rPr>
                <w:rFonts w:ascii="Arial" w:cs="Arial" w:eastAsia="Arial" w:hAnsi="Arial"/>
                <w:sz w:val="10"/>
                <w:szCs w:val="10"/>
                <w:color w:val="auto"/>
              </w:rPr>
              <w:t>556</w:t>
            </w:r>
          </w:p>
        </w:tc>
        <w:tc>
          <w:tcPr>
            <w:tcW w:w="100" w:type="dxa"/>
            <w:vAlign w:val="bottom"/>
          </w:tcPr>
          <w:p>
            <w:pPr>
              <w:spacing w:after="0"/>
              <w:rPr>
                <w:sz w:val="12"/>
                <w:szCs w:val="12"/>
                <w:color w:val="auto"/>
              </w:rPr>
            </w:pPr>
          </w:p>
        </w:tc>
        <w:tc>
          <w:tcPr>
            <w:tcW w:w="100" w:type="dxa"/>
            <w:vAlign w:val="bottom"/>
            <w:tcBorders>
              <w:top w:val="single" w:sz="8" w:color="2C6937"/>
            </w:tcBorders>
          </w:tcPr>
          <w:p>
            <w:pPr>
              <w:spacing w:after="0"/>
              <w:rPr>
                <w:sz w:val="12"/>
                <w:szCs w:val="12"/>
                <w:color w:val="auto"/>
              </w:rPr>
            </w:pPr>
          </w:p>
        </w:tc>
        <w:tc>
          <w:tcPr>
            <w:tcW w:w="56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1,158</w:t>
            </w:r>
          </w:p>
        </w:tc>
        <w:tc>
          <w:tcPr>
            <w:tcW w:w="100" w:type="dxa"/>
            <w:vAlign w:val="bottom"/>
          </w:tcPr>
          <w:p>
            <w:pPr>
              <w:spacing w:after="0"/>
              <w:rPr>
                <w:sz w:val="12"/>
                <w:szCs w:val="12"/>
                <w:color w:val="auto"/>
              </w:rPr>
            </w:pPr>
          </w:p>
        </w:tc>
        <w:tc>
          <w:tcPr>
            <w:tcW w:w="160" w:type="dxa"/>
            <w:vAlign w:val="bottom"/>
            <w:tcBorders>
              <w:top w:val="single" w:sz="8" w:color="2C6937"/>
            </w:tcBorders>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tcBorders>
              <w:top w:val="single" w:sz="8" w:color="2C6937"/>
            </w:tcBorders>
          </w:tcPr>
          <w:p>
            <w:pPr>
              <w:jc w:val="right"/>
              <w:ind w:right="9"/>
              <w:spacing w:after="0"/>
              <w:rPr>
                <w:sz w:val="20"/>
                <w:szCs w:val="20"/>
                <w:color w:val="auto"/>
              </w:rPr>
            </w:pPr>
            <w:r>
              <w:rPr>
                <w:rFonts w:ascii="Arial" w:cs="Arial" w:eastAsia="Arial" w:hAnsi="Arial"/>
                <w:sz w:val="10"/>
                <w:szCs w:val="10"/>
                <w:color w:val="auto"/>
              </w:rPr>
              <w:t>120,836</w:t>
            </w:r>
          </w:p>
        </w:tc>
        <w:tc>
          <w:tcPr>
            <w:tcW w:w="100" w:type="dxa"/>
            <w:vAlign w:val="bottom"/>
          </w:tcPr>
          <w:p>
            <w:pPr>
              <w:spacing w:after="0"/>
              <w:rPr>
                <w:sz w:val="12"/>
                <w:szCs w:val="12"/>
                <w:color w:val="auto"/>
              </w:rPr>
            </w:pPr>
          </w:p>
        </w:tc>
        <w:tc>
          <w:tcPr>
            <w:tcW w:w="12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19,130</w:t>
            </w:r>
          </w:p>
        </w:tc>
        <w:tc>
          <w:tcPr>
            <w:tcW w:w="100" w:type="dxa"/>
            <w:vAlign w:val="bottom"/>
          </w:tcPr>
          <w:p>
            <w:pPr>
              <w:spacing w:after="0"/>
              <w:rPr>
                <w:sz w:val="12"/>
                <w:szCs w:val="12"/>
                <w:color w:val="auto"/>
              </w:rPr>
            </w:pPr>
          </w:p>
        </w:tc>
        <w:tc>
          <w:tcPr>
            <w:tcW w:w="12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8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687</w:t>
            </w:r>
          </w:p>
        </w:tc>
        <w:tc>
          <w:tcPr>
            <w:tcW w:w="12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(46,799)</w:t>
            </w:r>
          </w:p>
        </w:tc>
        <w:tc>
          <w:tcPr>
            <w:tcW w:w="100" w:type="dxa"/>
            <w:vAlign w:val="bottom"/>
          </w:tcPr>
          <w:p>
            <w:pPr>
              <w:spacing w:after="0"/>
              <w:rPr>
                <w:sz w:val="12"/>
                <w:szCs w:val="12"/>
                <w:color w:val="auto"/>
              </w:rPr>
            </w:pPr>
          </w:p>
        </w:tc>
        <w:tc>
          <w:tcPr>
            <w:tcW w:w="12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900" w:type="dxa"/>
            <w:vAlign w:val="bottom"/>
            <w:tcBorders>
              <w:top w:val="single" w:sz="8" w:color="2C6937"/>
            </w:tcBorders>
          </w:tcPr>
          <w:p>
            <w:pPr>
              <w:jc w:val="right"/>
              <w:ind w:right="11"/>
              <w:spacing w:after="0"/>
              <w:rPr>
                <w:sz w:val="20"/>
                <w:szCs w:val="20"/>
                <w:color w:val="auto"/>
              </w:rPr>
            </w:pPr>
            <w:r>
              <w:rPr>
                <w:rFonts w:ascii="Arial" w:cs="Arial" w:eastAsia="Arial" w:hAnsi="Arial"/>
                <w:sz w:val="10"/>
                <w:szCs w:val="10"/>
                <w:color w:val="auto"/>
              </w:rPr>
              <w:t>29</w:t>
            </w:r>
          </w:p>
        </w:tc>
        <w:tc>
          <w:tcPr>
            <w:tcW w:w="10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top w:val="single" w:sz="8" w:color="2C6937"/>
            </w:tcBorders>
          </w:tcPr>
          <w:p>
            <w:pPr>
              <w:ind w:left="200"/>
              <w:spacing w:after="0"/>
              <w:rPr>
                <w:sz w:val="20"/>
                <w:szCs w:val="20"/>
                <w:color w:val="auto"/>
              </w:rPr>
            </w:pPr>
            <w:r>
              <w:rPr>
                <w:rFonts w:ascii="Arial" w:cs="Arial" w:eastAsia="Arial" w:hAnsi="Arial"/>
                <w:sz w:val="10"/>
                <w:szCs w:val="10"/>
                <w:color w:val="auto"/>
              </w:rPr>
              <w:t>(7,400)</w:t>
            </w:r>
          </w:p>
        </w:tc>
        <w:tc>
          <w:tcPr>
            <w:tcW w:w="100" w:type="dxa"/>
            <w:vAlign w:val="bottom"/>
          </w:tcPr>
          <w:p>
            <w:pPr>
              <w:spacing w:after="0"/>
              <w:rPr>
                <w:sz w:val="12"/>
                <w:szCs w:val="12"/>
                <w:color w:val="auto"/>
              </w:rPr>
            </w:pPr>
          </w:p>
        </w:tc>
        <w:tc>
          <w:tcPr>
            <w:tcW w:w="12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0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86,483</w:t>
            </w:r>
          </w:p>
        </w:tc>
        <w:tc>
          <w:tcPr>
            <w:tcW w:w="0" w:type="dxa"/>
            <w:vAlign w:val="bottom"/>
          </w:tcPr>
          <w:p>
            <w:pPr>
              <w:spacing w:after="0"/>
              <w:rPr>
                <w:sz w:val="1"/>
                <w:szCs w:val="1"/>
                <w:color w:val="auto"/>
              </w:rPr>
            </w:pPr>
          </w:p>
        </w:tc>
      </w:tr>
      <w:tr>
        <w:trPr>
          <w:trHeight w:val="149"/>
        </w:trPr>
        <w:tc>
          <w:tcPr>
            <w:tcW w:w="3020" w:type="dxa"/>
            <w:vAlign w:val="bottom"/>
            <w:gridSpan w:val="2"/>
          </w:tcPr>
          <w:p>
            <w:pPr>
              <w:ind w:left="40"/>
              <w:spacing w:after="0"/>
              <w:rPr>
                <w:sz w:val="20"/>
                <w:szCs w:val="20"/>
                <w:color w:val="auto"/>
              </w:rPr>
            </w:pPr>
            <w:r>
              <w:rPr>
                <w:rFonts w:ascii="Arial" w:cs="Arial" w:eastAsia="Arial" w:hAnsi="Arial"/>
                <w:sz w:val="10"/>
                <w:szCs w:val="10"/>
                <w:color w:val="auto"/>
              </w:rPr>
              <w:t>Comprehensive income: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020" w:type="dxa"/>
            <w:vAlign w:val="bottom"/>
            <w:gridSpan w:val="2"/>
          </w:tcPr>
          <w:p>
            <w:pPr>
              <w:ind w:left="40"/>
              <w:spacing w:after="0"/>
              <w:rPr>
                <w:sz w:val="20"/>
                <w:szCs w:val="20"/>
                <w:color w:val="auto"/>
              </w:rPr>
            </w:pPr>
            <w:r>
              <w:rPr>
                <w:rFonts w:ascii="Arial" w:cs="Arial" w:eastAsia="Arial" w:hAnsi="Arial"/>
                <w:sz w:val="10"/>
                <w:szCs w:val="10"/>
                <w:color w:val="auto"/>
              </w:rPr>
              <w:t>Net income</w:t>
            </w:r>
          </w:p>
        </w:tc>
        <w:tc>
          <w:tcPr>
            <w:tcW w:w="7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860" w:type="dxa"/>
            <w:vAlign w:val="bottom"/>
            <w:gridSpan w:val="3"/>
          </w:tcPr>
          <w:p>
            <w:pPr>
              <w:jc w:val="right"/>
              <w:ind w:right="26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760" w:type="dxa"/>
            <w:vAlign w:val="bottom"/>
          </w:tcPr>
          <w:p>
            <w:pPr>
              <w:jc w:val="right"/>
              <w:ind w:right="10"/>
              <w:spacing w:after="0"/>
              <w:rPr>
                <w:sz w:val="20"/>
                <w:szCs w:val="20"/>
                <w:color w:val="auto"/>
              </w:rPr>
            </w:pPr>
            <w:r>
              <w:rPr>
                <w:rFonts w:ascii="Arial" w:cs="Arial" w:eastAsia="Arial" w:hAnsi="Arial"/>
                <w:sz w:val="10"/>
                <w:szCs w:val="10"/>
                <w:color w:val="auto"/>
              </w:rPr>
              <w:t>4,044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660" w:type="dxa"/>
            <w:vAlign w:val="bottom"/>
            <w:gridSpan w:val="2"/>
          </w:tcPr>
          <w:p>
            <w:pPr>
              <w:ind w:left="4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500" w:type="dxa"/>
            <w:vAlign w:val="bottom"/>
          </w:tcPr>
          <w:p>
            <w:pPr>
              <w:jc w:val="right"/>
              <w:ind w:right="10"/>
              <w:spacing w:after="0"/>
              <w:rPr>
                <w:sz w:val="20"/>
                <w:szCs w:val="20"/>
                <w:color w:val="auto"/>
              </w:rPr>
            </w:pPr>
            <w:r>
              <w:rPr>
                <w:rFonts w:ascii="Arial" w:cs="Arial" w:eastAsia="Arial" w:hAnsi="Arial"/>
                <w:sz w:val="10"/>
                <w:szCs w:val="10"/>
                <w:color w:val="auto"/>
              </w:rPr>
              <w:t>4,044</w:t>
            </w:r>
          </w:p>
        </w:tc>
        <w:tc>
          <w:tcPr>
            <w:tcW w:w="0" w:type="dxa"/>
            <w:vAlign w:val="bottom"/>
          </w:tcPr>
          <w:p>
            <w:pPr>
              <w:spacing w:after="0"/>
              <w:rPr>
                <w:sz w:val="1"/>
                <w:szCs w:val="1"/>
                <w:color w:val="auto"/>
              </w:rPr>
            </w:pPr>
          </w:p>
        </w:tc>
      </w:tr>
      <w:tr>
        <w:trPr>
          <w:trHeight w:val="155"/>
        </w:trPr>
        <w:tc>
          <w:tcPr>
            <w:tcW w:w="3020" w:type="dxa"/>
            <w:vAlign w:val="bottom"/>
            <w:gridSpan w:val="2"/>
          </w:tcPr>
          <w:p>
            <w:pPr>
              <w:ind w:left="40"/>
              <w:spacing w:after="0"/>
              <w:rPr>
                <w:sz w:val="20"/>
                <w:szCs w:val="20"/>
                <w:color w:val="auto"/>
              </w:rPr>
            </w:pPr>
            <w:r>
              <w:rPr>
                <w:rFonts w:ascii="Arial" w:cs="Arial" w:eastAsia="Arial" w:hAnsi="Arial"/>
                <w:sz w:val="10"/>
                <w:szCs w:val="10"/>
                <w:color w:val="auto"/>
              </w:rPr>
              <w:t>Other comprehensive income, net of tax effect:</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3020" w:type="dxa"/>
            <w:vAlign w:val="bottom"/>
            <w:gridSpan w:val="2"/>
          </w:tcPr>
          <w:p>
            <w:pPr>
              <w:ind w:left="180"/>
              <w:spacing w:after="0"/>
              <w:rPr>
                <w:sz w:val="20"/>
                <w:szCs w:val="20"/>
                <w:color w:val="auto"/>
              </w:rPr>
            </w:pPr>
            <w:r>
              <w:rPr>
                <w:rFonts w:ascii="Arial" w:cs="Arial" w:eastAsia="Arial" w:hAnsi="Arial"/>
                <w:sz w:val="10"/>
                <w:szCs w:val="10"/>
                <w:color w:val="auto"/>
              </w:rPr>
              <w:t>Changes in net unrealized gains (losses) on available-for-</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860" w:type="dxa"/>
            <w:vAlign w:val="bottom"/>
            <w:gridSpan w:val="3"/>
            <w:vMerge w:val="restart"/>
          </w:tcPr>
          <w:p>
            <w:pPr>
              <w:jc w:val="right"/>
              <w:ind w:right="26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900" w:type="dxa"/>
            <w:vAlign w:val="bottom"/>
            <w:vMerge w:val="restart"/>
          </w:tcPr>
          <w:p>
            <w:pPr>
              <w:jc w:val="right"/>
              <w:ind w:right="11"/>
              <w:spacing w:after="0"/>
              <w:rPr>
                <w:sz w:val="20"/>
                <w:szCs w:val="20"/>
                <w:color w:val="auto"/>
              </w:rPr>
            </w:pPr>
            <w:r>
              <w:rPr>
                <w:rFonts w:ascii="Arial" w:cs="Arial" w:eastAsia="Arial" w:hAnsi="Arial"/>
                <w:sz w:val="10"/>
                <w:szCs w:val="10"/>
                <w:color w:val="auto"/>
              </w:rPr>
              <w:t>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ind w:left="4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500" w:type="dxa"/>
            <w:vAlign w:val="bottom"/>
            <w:vMerge w:val="restart"/>
          </w:tcPr>
          <w:p>
            <w:pPr>
              <w:jc w:val="right"/>
              <w:ind w:right="10"/>
              <w:spacing w:after="0"/>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135"/>
        </w:trPr>
        <w:tc>
          <w:tcPr>
            <w:tcW w:w="3020" w:type="dxa"/>
            <w:vAlign w:val="bottom"/>
            <w:gridSpan w:val="2"/>
          </w:tcPr>
          <w:p>
            <w:pPr>
              <w:ind w:left="340"/>
              <w:spacing w:after="0"/>
              <w:rPr>
                <w:sz w:val="20"/>
                <w:szCs w:val="20"/>
                <w:color w:val="auto"/>
              </w:rPr>
            </w:pPr>
            <w:r>
              <w:rPr>
                <w:rFonts w:ascii="Arial" w:cs="Arial" w:eastAsia="Arial" w:hAnsi="Arial"/>
                <w:sz w:val="10"/>
                <w:szCs w:val="10"/>
                <w:color w:val="auto"/>
              </w:rPr>
              <w:t>sale securities (net of taxes of $1)</w:t>
            </w:r>
          </w:p>
        </w:tc>
        <w:tc>
          <w:tcPr>
            <w:tcW w:w="760" w:type="dxa"/>
            <w:vAlign w:val="bottom"/>
            <w:gridSpan w:val="2"/>
            <w:vMerge w:val="continue"/>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3020" w:type="dxa"/>
            <w:vAlign w:val="bottom"/>
            <w:gridSpan w:val="2"/>
          </w:tcPr>
          <w:p>
            <w:pPr>
              <w:ind w:left="180"/>
              <w:spacing w:after="0"/>
              <w:rPr>
                <w:sz w:val="20"/>
                <w:szCs w:val="20"/>
                <w:color w:val="auto"/>
              </w:rPr>
            </w:pPr>
            <w:r>
              <w:rPr>
                <w:rFonts w:ascii="Arial" w:cs="Arial" w:eastAsia="Arial" w:hAnsi="Arial"/>
                <w:sz w:val="10"/>
                <w:szCs w:val="10"/>
                <w:color w:val="auto"/>
              </w:rPr>
              <w:t>Reclassification adjustment for (gains) losses included in</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860" w:type="dxa"/>
            <w:vAlign w:val="bottom"/>
            <w:gridSpan w:val="3"/>
            <w:vMerge w:val="restart"/>
          </w:tcPr>
          <w:p>
            <w:pPr>
              <w:jc w:val="right"/>
              <w:ind w:right="26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900" w:type="dxa"/>
            <w:vAlign w:val="bottom"/>
            <w:vMerge w:val="restart"/>
          </w:tcPr>
          <w:p>
            <w:pPr>
              <w:jc w:val="right"/>
              <w:ind w:right="11"/>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ind w:left="4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500" w:type="dxa"/>
            <w:vAlign w:val="bottom"/>
            <w:vMerge w:val="restart"/>
          </w:tcPr>
          <w:p>
            <w:pPr>
              <w:jc w:val="right"/>
              <w:ind w:right="10"/>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35"/>
        </w:trPr>
        <w:tc>
          <w:tcPr>
            <w:tcW w:w="3020" w:type="dxa"/>
            <w:vAlign w:val="bottom"/>
            <w:gridSpan w:val="2"/>
          </w:tcPr>
          <w:p>
            <w:pPr>
              <w:ind w:left="340"/>
              <w:spacing w:after="0"/>
              <w:rPr>
                <w:sz w:val="20"/>
                <w:szCs w:val="20"/>
                <w:color w:val="auto"/>
              </w:rPr>
            </w:pPr>
            <w:r>
              <w:rPr>
                <w:rFonts w:ascii="Arial" w:cs="Arial" w:eastAsia="Arial" w:hAnsi="Arial"/>
                <w:sz w:val="10"/>
                <w:szCs w:val="10"/>
                <w:color w:val="auto"/>
              </w:rPr>
              <w:t>net income (net of taxes of $0)</w:t>
            </w:r>
          </w:p>
        </w:tc>
        <w:tc>
          <w:tcPr>
            <w:tcW w:w="760" w:type="dxa"/>
            <w:vAlign w:val="bottom"/>
            <w:gridSpan w:val="2"/>
            <w:vMerge w:val="continue"/>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20" w:type="dxa"/>
            <w:vAlign w:val="bottom"/>
            <w:gridSpan w:val="2"/>
          </w:tcPr>
          <w:p>
            <w:pPr>
              <w:ind w:left="180"/>
              <w:spacing w:after="0"/>
              <w:rPr>
                <w:sz w:val="20"/>
                <w:szCs w:val="20"/>
                <w:color w:val="auto"/>
              </w:rPr>
            </w:pPr>
            <w:r>
              <w:rPr>
                <w:rFonts w:ascii="Arial" w:cs="Arial" w:eastAsia="Arial" w:hAnsi="Arial"/>
                <w:sz w:val="10"/>
                <w:szCs w:val="10"/>
                <w:color w:val="auto"/>
              </w:rPr>
              <w:t>Other (net of taxes of $0)</w:t>
            </w:r>
          </w:p>
        </w:tc>
        <w:tc>
          <w:tcPr>
            <w:tcW w:w="7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860" w:type="dxa"/>
            <w:vAlign w:val="bottom"/>
            <w:gridSpan w:val="3"/>
          </w:tcPr>
          <w:p>
            <w:pPr>
              <w:jc w:val="right"/>
              <w:ind w:right="26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40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2C6937"/>
            </w:tcBorders>
          </w:tcPr>
          <w:p>
            <w:pPr>
              <w:spacing w:after="0"/>
              <w:rPr>
                <w:sz w:val="14"/>
                <w:szCs w:val="14"/>
                <w:color w:val="auto"/>
              </w:rPr>
            </w:pPr>
          </w:p>
        </w:tc>
        <w:tc>
          <w:tcPr>
            <w:tcW w:w="500" w:type="dxa"/>
            <w:vAlign w:val="bottom"/>
            <w:tcBorders>
              <w:bottom w:val="single" w:sz="8" w:color="2C6937"/>
            </w:tcBorders>
          </w:tcPr>
          <w:p>
            <w:pPr>
              <w:jc w:val="right"/>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48"/>
        </w:trPr>
        <w:tc>
          <w:tcPr>
            <w:tcW w:w="3020" w:type="dxa"/>
            <w:vAlign w:val="bottom"/>
            <w:gridSpan w:val="2"/>
          </w:tcPr>
          <w:p>
            <w:pPr>
              <w:ind w:left="40"/>
              <w:spacing w:after="0"/>
              <w:rPr>
                <w:sz w:val="20"/>
                <w:szCs w:val="20"/>
                <w:color w:val="auto"/>
              </w:rPr>
            </w:pPr>
            <w:r>
              <w:rPr>
                <w:rFonts w:ascii="Arial" w:cs="Arial" w:eastAsia="Arial" w:hAnsi="Arial"/>
                <w:sz w:val="10"/>
                <w:szCs w:val="10"/>
                <w:color w:val="auto"/>
              </w:rPr>
              <w:t>Total comprehensive income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10"/>
              <w:spacing w:after="0"/>
              <w:rPr>
                <w:sz w:val="20"/>
                <w:szCs w:val="20"/>
                <w:color w:val="auto"/>
              </w:rPr>
            </w:pPr>
            <w:r>
              <w:rPr>
                <w:rFonts w:ascii="Arial" w:cs="Arial" w:eastAsia="Arial" w:hAnsi="Arial"/>
                <w:sz w:val="10"/>
                <w:szCs w:val="10"/>
                <w:color w:val="auto"/>
              </w:rPr>
              <w:t>4,047</w:t>
            </w:r>
          </w:p>
        </w:tc>
        <w:tc>
          <w:tcPr>
            <w:tcW w:w="0" w:type="dxa"/>
            <w:vAlign w:val="bottom"/>
          </w:tcPr>
          <w:p>
            <w:pPr>
              <w:spacing w:after="0"/>
              <w:rPr>
                <w:sz w:val="1"/>
                <w:szCs w:val="1"/>
                <w:color w:val="auto"/>
              </w:rPr>
            </w:pPr>
          </w:p>
        </w:tc>
      </w:tr>
      <w:tr>
        <w:trPr>
          <w:trHeight w:val="148"/>
        </w:trPr>
        <w:tc>
          <w:tcPr>
            <w:tcW w:w="2900" w:type="dxa"/>
            <w:vAlign w:val="bottom"/>
            <w:tcBorders>
              <w:top w:val="single" w:sz="8" w:color="2C6937"/>
              <w:bottom w:val="single" w:sz="8" w:color="2C6937"/>
            </w:tcBorders>
          </w:tcPr>
          <w:p>
            <w:pPr>
              <w:ind w:left="40"/>
              <w:spacing w:after="0"/>
              <w:rPr>
                <w:sz w:val="20"/>
                <w:szCs w:val="20"/>
                <w:color w:val="auto"/>
              </w:rPr>
            </w:pPr>
            <w:r>
              <w:rPr>
                <w:rFonts w:ascii="Arial" w:cs="Arial" w:eastAsia="Arial" w:hAnsi="Arial"/>
                <w:sz w:val="10"/>
                <w:szCs w:val="10"/>
                <w:b w:val="1"/>
                <w:bCs w:val="1"/>
                <w:color w:val="auto"/>
              </w:rPr>
              <w:t>Balance as of September 30, 2024</w:t>
            </w:r>
          </w:p>
        </w:tc>
        <w:tc>
          <w:tcPr>
            <w:tcW w:w="120" w:type="dxa"/>
            <w:vAlign w:val="bottom"/>
          </w:tcPr>
          <w:p>
            <w:pPr>
              <w:spacing w:after="0"/>
              <w:rPr>
                <w:sz w:val="12"/>
                <w:szCs w:val="12"/>
                <w:color w:val="auto"/>
              </w:rPr>
            </w:pPr>
          </w:p>
        </w:tc>
        <w:tc>
          <w:tcPr>
            <w:tcW w:w="66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2"/>
                <w:szCs w:val="12"/>
                <w:color w:val="auto"/>
              </w:rPr>
            </w:pPr>
          </w:p>
        </w:tc>
        <w:tc>
          <w:tcPr>
            <w:tcW w:w="660" w:type="dxa"/>
            <w:vAlign w:val="bottom"/>
            <w:tcBorders>
              <w:top w:val="single" w:sz="8" w:color="2C6937"/>
              <w:bottom w:val="single" w:sz="8" w:color="2C6937"/>
            </w:tcBorders>
          </w:tcPr>
          <w:p>
            <w:pPr>
              <w:jc w:val="right"/>
              <w:ind w:right="9"/>
              <w:spacing w:after="0"/>
              <w:rPr>
                <w:sz w:val="20"/>
                <w:szCs w:val="20"/>
                <w:color w:val="auto"/>
              </w:rPr>
            </w:pPr>
            <w:r>
              <w:rPr>
                <w:rFonts w:ascii="Arial" w:cs="Arial" w:eastAsia="Arial" w:hAnsi="Arial"/>
                <w:sz w:val="10"/>
                <w:szCs w:val="10"/>
                <w:color w:val="auto"/>
              </w:rPr>
              <w:t>556</w:t>
            </w:r>
          </w:p>
        </w:tc>
        <w:tc>
          <w:tcPr>
            <w:tcW w:w="10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spacing w:after="0"/>
              <w:rPr>
                <w:sz w:val="12"/>
                <w:szCs w:val="12"/>
                <w:color w:val="auto"/>
              </w:rPr>
            </w:pPr>
          </w:p>
        </w:tc>
        <w:tc>
          <w:tcPr>
            <w:tcW w:w="5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1,158</w:t>
            </w:r>
          </w:p>
        </w:tc>
        <w:tc>
          <w:tcPr>
            <w:tcW w:w="100" w:type="dxa"/>
            <w:vAlign w:val="bottom"/>
          </w:tcPr>
          <w:p>
            <w:pPr>
              <w:spacing w:after="0"/>
              <w:rPr>
                <w:sz w:val="12"/>
                <w:szCs w:val="12"/>
                <w:color w:val="auto"/>
              </w:rPr>
            </w:pPr>
          </w:p>
        </w:tc>
        <w:tc>
          <w:tcPr>
            <w:tcW w:w="160" w:type="dxa"/>
            <w:vAlign w:val="bottom"/>
            <w:tcBorders>
              <w:top w:val="single" w:sz="8" w:color="2C6937"/>
              <w:bottom w:val="single" w:sz="8" w:color="2C6937"/>
            </w:tcBorders>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tcBorders>
              <w:top w:val="single" w:sz="8" w:color="2C6937"/>
              <w:bottom w:val="single" w:sz="8" w:color="2C6937"/>
            </w:tcBorders>
          </w:tcPr>
          <w:p>
            <w:pPr>
              <w:jc w:val="right"/>
              <w:ind w:right="9"/>
              <w:spacing w:after="0"/>
              <w:rPr>
                <w:sz w:val="20"/>
                <w:szCs w:val="20"/>
                <w:color w:val="auto"/>
              </w:rPr>
            </w:pPr>
            <w:r>
              <w:rPr>
                <w:rFonts w:ascii="Arial" w:cs="Arial" w:eastAsia="Arial" w:hAnsi="Arial"/>
                <w:sz w:val="10"/>
                <w:szCs w:val="10"/>
                <w:color w:val="auto"/>
              </w:rPr>
              <w:t>120,836</w:t>
            </w:r>
          </w:p>
        </w:tc>
        <w:tc>
          <w:tcPr>
            <w:tcW w:w="100" w:type="dxa"/>
            <w:vAlign w:val="bottom"/>
          </w:tcPr>
          <w:p>
            <w:pPr>
              <w:spacing w:after="0"/>
              <w:rPr>
                <w:sz w:val="12"/>
                <w:szCs w:val="12"/>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19,130</w:t>
            </w:r>
          </w:p>
        </w:tc>
        <w:tc>
          <w:tcPr>
            <w:tcW w:w="100" w:type="dxa"/>
            <w:vAlign w:val="bottom"/>
          </w:tcPr>
          <w:p>
            <w:pPr>
              <w:spacing w:after="0"/>
              <w:rPr>
                <w:sz w:val="12"/>
                <w:szCs w:val="12"/>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687</w:t>
            </w:r>
          </w:p>
        </w:tc>
        <w:tc>
          <w:tcPr>
            <w:tcW w:w="12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(42,755)</w:t>
            </w:r>
          </w:p>
        </w:tc>
        <w:tc>
          <w:tcPr>
            <w:tcW w:w="100" w:type="dxa"/>
            <w:vAlign w:val="bottom"/>
          </w:tcPr>
          <w:p>
            <w:pPr>
              <w:spacing w:after="0"/>
              <w:rPr>
                <w:sz w:val="12"/>
                <w:szCs w:val="12"/>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900" w:type="dxa"/>
            <w:vAlign w:val="bottom"/>
            <w:tcBorders>
              <w:top w:val="single" w:sz="8" w:color="2C6937"/>
              <w:bottom w:val="single" w:sz="8" w:color="2C6937"/>
            </w:tcBorders>
          </w:tcPr>
          <w:p>
            <w:pPr>
              <w:jc w:val="right"/>
              <w:ind w:right="11"/>
              <w:spacing w:after="0"/>
              <w:rPr>
                <w:sz w:val="20"/>
                <w:szCs w:val="20"/>
                <w:color w:val="auto"/>
              </w:rPr>
            </w:pPr>
            <w:r>
              <w:rPr>
                <w:rFonts w:ascii="Arial" w:cs="Arial" w:eastAsia="Arial" w:hAnsi="Arial"/>
                <w:sz w:val="10"/>
                <w:szCs w:val="10"/>
                <w:color w:val="auto"/>
              </w:rPr>
              <w:t>32</w:t>
            </w:r>
          </w:p>
        </w:tc>
        <w:tc>
          <w:tcPr>
            <w:tcW w:w="10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top w:val="single" w:sz="8" w:color="2C6937"/>
              <w:bottom w:val="single" w:sz="8" w:color="2C6937"/>
            </w:tcBorders>
          </w:tcPr>
          <w:p>
            <w:pPr>
              <w:ind w:left="200"/>
              <w:spacing w:after="0"/>
              <w:rPr>
                <w:sz w:val="20"/>
                <w:szCs w:val="20"/>
                <w:color w:val="auto"/>
              </w:rPr>
            </w:pPr>
            <w:r>
              <w:rPr>
                <w:rFonts w:ascii="Arial" w:cs="Arial" w:eastAsia="Arial" w:hAnsi="Arial"/>
                <w:sz w:val="10"/>
                <w:szCs w:val="10"/>
                <w:color w:val="auto"/>
              </w:rPr>
              <w:t>(7,400)</w:t>
            </w:r>
          </w:p>
        </w:tc>
        <w:tc>
          <w:tcPr>
            <w:tcW w:w="100" w:type="dxa"/>
            <w:vAlign w:val="bottom"/>
          </w:tcPr>
          <w:p>
            <w:pPr>
              <w:spacing w:after="0"/>
              <w:rPr>
                <w:sz w:val="12"/>
                <w:szCs w:val="12"/>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0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90,530</w:t>
            </w:r>
          </w:p>
        </w:tc>
        <w:tc>
          <w:tcPr>
            <w:tcW w:w="0" w:type="dxa"/>
            <w:vAlign w:val="bottom"/>
          </w:tcPr>
          <w:p>
            <w:pPr>
              <w:spacing w:after="0"/>
              <w:rPr>
                <w:sz w:val="1"/>
                <w:szCs w:val="1"/>
                <w:color w:val="auto"/>
              </w:rPr>
            </w:pPr>
          </w:p>
        </w:tc>
      </w:tr>
      <w:tr>
        <w:trPr>
          <w:trHeight w:val="25"/>
        </w:trPr>
        <w:tc>
          <w:tcPr>
            <w:tcW w:w="290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2C6937"/>
            </w:tcBorders>
          </w:tcPr>
          <w:p>
            <w:pPr>
              <w:spacing w:after="0"/>
              <w:rPr>
                <w:sz w:val="2"/>
                <w:szCs w:val="2"/>
                <w:color w:val="auto"/>
              </w:rPr>
            </w:pPr>
          </w:p>
        </w:tc>
        <w:tc>
          <w:tcPr>
            <w:tcW w:w="5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5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58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90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500" w:type="dxa"/>
            <w:vAlign w:val="bottom"/>
            <w:tcBorders>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6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5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60" w:type="dxa"/>
            <w:vAlign w:val="bottom"/>
            <w:tcBorders>
              <w:bottom w:val="single" w:sz="8" w:color="2C6937"/>
            </w:tcBorders>
          </w:tcPr>
          <w:p>
            <w:pPr>
              <w:spacing w:after="0"/>
              <w:rPr>
                <w:sz w:val="12"/>
                <w:szCs w:val="12"/>
                <w:color w:val="auto"/>
              </w:rPr>
            </w:pPr>
          </w:p>
        </w:tc>
        <w:tc>
          <w:tcPr>
            <w:tcW w:w="58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20" w:type="dxa"/>
            <w:vAlign w:val="bottom"/>
            <w:tcBorders>
              <w:bottom w:val="single" w:sz="8" w:color="2C6937"/>
            </w:tcBorders>
          </w:tcPr>
          <w:p>
            <w:pPr>
              <w:spacing w:after="0"/>
              <w:rPr>
                <w:sz w:val="12"/>
                <w:szCs w:val="12"/>
                <w:color w:val="auto"/>
              </w:rPr>
            </w:pPr>
          </w:p>
        </w:tc>
        <w:tc>
          <w:tcPr>
            <w:tcW w:w="2440" w:type="dxa"/>
            <w:vAlign w:val="bottom"/>
            <w:tcBorders>
              <w:bottom w:val="single" w:sz="8" w:color="2C6937"/>
            </w:tcBorders>
            <w:gridSpan w:val="8"/>
          </w:tcPr>
          <w:p>
            <w:pPr>
              <w:ind w:left="40"/>
              <w:spacing w:after="0"/>
              <w:rPr>
                <w:sz w:val="20"/>
                <w:szCs w:val="20"/>
                <w:color w:val="auto"/>
              </w:rPr>
            </w:pPr>
            <w:r>
              <w:rPr>
                <w:rFonts w:ascii="Arial" w:cs="Arial" w:eastAsia="Arial" w:hAnsi="Arial"/>
                <w:sz w:val="10"/>
                <w:szCs w:val="10"/>
                <w:b w:val="1"/>
                <w:bCs w:val="1"/>
                <w:color w:val="auto"/>
              </w:rPr>
              <w:t>Fannie Mae Stockholders’ Equity</w:t>
            </w:r>
          </w:p>
        </w:tc>
        <w:tc>
          <w:tcPr>
            <w:tcW w:w="120" w:type="dxa"/>
            <w:vAlign w:val="bottom"/>
            <w:tcBorders>
              <w:bottom w:val="single" w:sz="8" w:color="2C6937"/>
            </w:tcBorders>
          </w:tcPr>
          <w:p>
            <w:pPr>
              <w:spacing w:after="0"/>
              <w:rPr>
                <w:sz w:val="12"/>
                <w:szCs w:val="12"/>
                <w:color w:val="auto"/>
              </w:rPr>
            </w:pPr>
          </w:p>
        </w:tc>
        <w:tc>
          <w:tcPr>
            <w:tcW w:w="9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5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20" w:type="dxa"/>
            <w:vAlign w:val="bottom"/>
            <w:tcBorders>
              <w:bottom w:val="single" w:sz="8" w:color="2C6937"/>
            </w:tcBorders>
          </w:tcPr>
          <w:p>
            <w:pPr>
              <w:spacing w:after="0"/>
              <w:rPr>
                <w:sz w:val="12"/>
                <w:szCs w:val="12"/>
                <w:color w:val="auto"/>
              </w:rPr>
            </w:pPr>
          </w:p>
        </w:tc>
        <w:tc>
          <w:tcPr>
            <w:tcW w:w="500" w:type="dxa"/>
            <w:vAlign w:val="bottom"/>
            <w:tcBorders>
              <w:bottom w:val="single" w:sz="8" w:color="2C6937"/>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Borders>
              <w:bottom w:val="single" w:sz="8" w:color="2C6937"/>
            </w:tcBorders>
            <w:gridSpan w:val="5"/>
          </w:tcPr>
          <w:p>
            <w:pPr>
              <w:jc w:val="center"/>
              <w:ind w:left="510"/>
              <w:spacing w:after="0"/>
              <w:rPr>
                <w:sz w:val="20"/>
                <w:szCs w:val="20"/>
                <w:color w:val="auto"/>
              </w:rPr>
            </w:pPr>
            <w:r>
              <w:rPr>
                <w:rFonts w:ascii="Arial" w:cs="Arial" w:eastAsia="Arial" w:hAnsi="Arial"/>
                <w:sz w:val="10"/>
                <w:szCs w:val="10"/>
                <w:b w:val="1"/>
                <w:bCs w:val="1"/>
                <w:color w:val="auto"/>
              </w:rPr>
              <w:t>Shares Outstanding</w:t>
            </w:r>
          </w:p>
        </w:tc>
        <w:tc>
          <w:tcPr>
            <w:tcW w:w="560" w:type="dxa"/>
            <w:vAlign w:val="bottom"/>
            <w:tcBorders>
              <w:bottom w:val="single" w:sz="8" w:color="2C6937"/>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9"/>
                <w:szCs w:val="9"/>
                <w:b w:val="1"/>
                <w:bCs w:val="1"/>
                <w:color w:val="auto"/>
                <w:w w:val="99"/>
              </w:rPr>
              <w:t>Accumulated</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9"/>
        </w:trPr>
        <w:tc>
          <w:tcPr>
            <w:tcW w:w="2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9"/>
                <w:szCs w:val="9"/>
                <w:b w:val="1"/>
                <w:bCs w:val="1"/>
                <w:color w:val="auto"/>
                <w:w w:val="99"/>
              </w:rPr>
              <w:t>Senior</w:t>
            </w: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gridSpan w:val="2"/>
            <w:vMerge w:val="restart"/>
          </w:tcPr>
          <w:p>
            <w:pPr>
              <w:jc w:val="center"/>
              <w:ind w:right="240"/>
              <w:spacing w:after="0"/>
              <w:rPr>
                <w:sz w:val="20"/>
                <w:szCs w:val="20"/>
                <w:color w:val="auto"/>
              </w:rPr>
            </w:pPr>
            <w:r>
              <w:rPr>
                <w:rFonts w:ascii="Arial" w:cs="Arial" w:eastAsia="Arial" w:hAnsi="Arial"/>
                <w:sz w:val="9"/>
                <w:szCs w:val="9"/>
                <w:b w:val="1"/>
                <w:bCs w:val="1"/>
                <w:color w:val="auto"/>
                <w:w w:val="99"/>
              </w:rPr>
              <w:t>Senior</w:t>
            </w:r>
          </w:p>
        </w:tc>
        <w:tc>
          <w:tcPr>
            <w:tcW w:w="120" w:type="dxa"/>
            <w:vAlign w:val="bottom"/>
          </w:tcPr>
          <w:p>
            <w:pPr>
              <w:spacing w:after="0"/>
              <w:rPr>
                <w:sz w:val="7"/>
                <w:szCs w:val="7"/>
                <w:color w:val="auto"/>
              </w:rPr>
            </w:pPr>
          </w:p>
        </w:tc>
        <w:tc>
          <w:tcPr>
            <w:tcW w:w="66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9"/>
              </w:rPr>
              <w:t>Preferred</w:t>
            </w:r>
          </w:p>
        </w:tc>
        <w:tc>
          <w:tcPr>
            <w:tcW w:w="120" w:type="dxa"/>
            <w:vAlign w:val="bottom"/>
          </w:tcPr>
          <w:p>
            <w:pPr>
              <w:spacing w:after="0"/>
              <w:rPr>
                <w:sz w:val="7"/>
                <w:szCs w:val="7"/>
                <w:color w:val="auto"/>
              </w:rPr>
            </w:pPr>
          </w:p>
        </w:tc>
        <w:tc>
          <w:tcPr>
            <w:tcW w:w="700" w:type="dxa"/>
            <w:vAlign w:val="bottom"/>
            <w:gridSpan w:val="2"/>
            <w:vMerge w:val="restart"/>
          </w:tcPr>
          <w:p>
            <w:pPr>
              <w:jc w:val="center"/>
              <w:ind w:right="240"/>
              <w:spacing w:after="0"/>
              <w:rPr>
                <w:sz w:val="20"/>
                <w:szCs w:val="20"/>
                <w:color w:val="auto"/>
              </w:rPr>
            </w:pPr>
            <w:r>
              <w:rPr>
                <w:rFonts w:ascii="Arial" w:cs="Arial" w:eastAsia="Arial" w:hAnsi="Arial"/>
                <w:sz w:val="9"/>
                <w:szCs w:val="9"/>
                <w:b w:val="1"/>
                <w:bCs w:val="1"/>
                <w:color w:val="auto"/>
                <w:w w:val="97"/>
              </w:rPr>
              <w:t>Common</w:t>
            </w:r>
          </w:p>
        </w:tc>
        <w:tc>
          <w:tcPr>
            <w:tcW w:w="100" w:type="dxa"/>
            <w:vAlign w:val="bottom"/>
          </w:tcPr>
          <w:p>
            <w:pPr>
              <w:spacing w:after="0"/>
              <w:rPr>
                <w:sz w:val="7"/>
                <w:szCs w:val="7"/>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9"/>
              </w:rPr>
              <w:t>Accumulated</w:t>
            </w:r>
          </w:p>
        </w:tc>
        <w:tc>
          <w:tcPr>
            <w:tcW w:w="120" w:type="dxa"/>
            <w:vAlign w:val="bottom"/>
          </w:tcPr>
          <w:p>
            <w:pPr>
              <w:spacing w:after="0"/>
              <w:rPr>
                <w:sz w:val="7"/>
                <w:szCs w:val="7"/>
                <w:color w:val="auto"/>
              </w:rPr>
            </w:pPr>
          </w:p>
        </w:tc>
        <w:tc>
          <w:tcPr>
            <w:tcW w:w="1000" w:type="dxa"/>
            <w:vAlign w:val="bottom"/>
            <w:gridSpan w:val="2"/>
          </w:tcPr>
          <w:p>
            <w:pPr>
              <w:jc w:val="center"/>
              <w:ind w:right="240"/>
              <w:spacing w:after="0" w:line="89" w:lineRule="exact"/>
              <w:rPr>
                <w:sz w:val="20"/>
                <w:szCs w:val="20"/>
                <w:color w:val="auto"/>
              </w:rPr>
            </w:pPr>
            <w:r>
              <w:rPr>
                <w:rFonts w:ascii="Arial" w:cs="Arial" w:eastAsia="Arial" w:hAnsi="Arial"/>
                <w:sz w:val="9"/>
                <w:szCs w:val="9"/>
                <w:b w:val="1"/>
                <w:bCs w:val="1"/>
                <w:color w:val="auto"/>
                <w:w w:val="99"/>
              </w:rPr>
              <w:t>Other</w:t>
            </w:r>
          </w:p>
        </w:tc>
        <w:tc>
          <w:tcPr>
            <w:tcW w:w="100" w:type="dxa"/>
            <w:vAlign w:val="bottom"/>
          </w:tcPr>
          <w:p>
            <w:pPr>
              <w:spacing w:after="0"/>
              <w:rPr>
                <w:sz w:val="7"/>
                <w:szCs w:val="7"/>
                <w:color w:val="auto"/>
              </w:rPr>
            </w:pPr>
          </w:p>
        </w:tc>
        <w:tc>
          <w:tcPr>
            <w:tcW w:w="660" w:type="dxa"/>
            <w:vAlign w:val="bottom"/>
            <w:gridSpan w:val="2"/>
            <w:vMerge w:val="restart"/>
          </w:tcPr>
          <w:p>
            <w:pPr>
              <w:jc w:val="center"/>
              <w:ind w:right="200"/>
              <w:spacing w:after="0"/>
              <w:rPr>
                <w:sz w:val="20"/>
                <w:szCs w:val="20"/>
                <w:color w:val="auto"/>
              </w:rPr>
            </w:pPr>
            <w:r>
              <w:rPr>
                <w:rFonts w:ascii="Arial" w:cs="Arial" w:eastAsia="Arial" w:hAnsi="Arial"/>
                <w:sz w:val="9"/>
                <w:szCs w:val="9"/>
                <w:b w:val="1"/>
                <w:bCs w:val="1"/>
                <w:color w:val="auto"/>
                <w:w w:val="99"/>
              </w:rPr>
              <w:t>Treasury</w:t>
            </w:r>
          </w:p>
        </w:tc>
        <w:tc>
          <w:tcPr>
            <w:tcW w:w="120" w:type="dxa"/>
            <w:vAlign w:val="bottom"/>
          </w:tcPr>
          <w:p>
            <w:pPr>
              <w:spacing w:after="0"/>
              <w:rPr>
                <w:sz w:val="7"/>
                <w:szCs w:val="7"/>
                <w:color w:val="auto"/>
              </w:rPr>
            </w:pPr>
          </w:p>
        </w:tc>
        <w:tc>
          <w:tcPr>
            <w:tcW w:w="500" w:type="dxa"/>
            <w:vAlign w:val="bottom"/>
            <w:vMerge w:val="restart"/>
          </w:tcPr>
          <w:p>
            <w:pPr>
              <w:jc w:val="right"/>
              <w:ind w:right="150"/>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90"/>
        </w:trPr>
        <w:tc>
          <w:tcPr>
            <w:tcW w:w="2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860" w:type="dxa"/>
            <w:vAlign w:val="bottom"/>
            <w:gridSpan w:val="3"/>
            <w:vMerge w:val="restart"/>
          </w:tcPr>
          <w:p>
            <w:pPr>
              <w:jc w:val="center"/>
              <w:ind w:right="180"/>
              <w:spacing w:after="0"/>
              <w:rPr>
                <w:sz w:val="20"/>
                <w:szCs w:val="20"/>
                <w:color w:val="auto"/>
              </w:rPr>
            </w:pPr>
            <w:r>
              <w:rPr>
                <w:rFonts w:ascii="Arial" w:cs="Arial" w:eastAsia="Arial" w:hAnsi="Arial"/>
                <w:sz w:val="9"/>
                <w:szCs w:val="9"/>
                <w:b w:val="1"/>
                <w:bCs w:val="1"/>
                <w:color w:val="auto"/>
                <w:w w:val="99"/>
              </w:rPr>
              <w:t>Preferred</w:t>
            </w:r>
          </w:p>
        </w:tc>
        <w:tc>
          <w:tcPr>
            <w:tcW w:w="66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Common</w:t>
            </w:r>
          </w:p>
        </w:tc>
        <w:tc>
          <w:tcPr>
            <w:tcW w:w="16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tcPr>
          <w:p>
            <w:pPr>
              <w:jc w:val="center"/>
              <w:ind w:right="220"/>
              <w:spacing w:after="0" w:line="91" w:lineRule="exact"/>
              <w:rPr>
                <w:sz w:val="20"/>
                <w:szCs w:val="20"/>
                <w:color w:val="auto"/>
              </w:rPr>
            </w:pPr>
            <w:r>
              <w:rPr>
                <w:rFonts w:ascii="Arial" w:cs="Arial" w:eastAsia="Arial" w:hAnsi="Arial"/>
                <w:sz w:val="9"/>
                <w:szCs w:val="9"/>
                <w:b w:val="1"/>
                <w:bCs w:val="1"/>
                <w:color w:val="auto"/>
                <w:w w:val="97"/>
              </w:rPr>
              <w:t>Comprehensive</w:t>
            </w: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9"/>
              </w:rPr>
              <w:t>Preferred</w:t>
            </w:r>
          </w:p>
        </w:tc>
        <w:tc>
          <w:tcPr>
            <w:tcW w:w="860" w:type="dxa"/>
            <w:vAlign w:val="bottom"/>
            <w:gridSpan w:val="3"/>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8"/>
              </w:rPr>
              <w:t>Preferred Stock</w:t>
            </w:r>
          </w:p>
        </w:tc>
        <w:tc>
          <w:tcPr>
            <w:tcW w:w="120" w:type="dxa"/>
            <w:vAlign w:val="bottom"/>
          </w:tcPr>
          <w:p>
            <w:pPr>
              <w:spacing w:after="0"/>
              <w:rPr>
                <w:sz w:val="11"/>
                <w:szCs w:val="11"/>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7"/>
              </w:rPr>
              <w:t>Stock</w:t>
            </w:r>
          </w:p>
        </w:tc>
        <w:tc>
          <w:tcPr>
            <w:tcW w:w="120" w:type="dxa"/>
            <w:vAlign w:val="bottom"/>
          </w:tcPr>
          <w:p>
            <w:pPr>
              <w:spacing w:after="0"/>
              <w:rPr>
                <w:sz w:val="11"/>
                <w:szCs w:val="11"/>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7"/>
              </w:rPr>
              <w:t>Stock</w:t>
            </w:r>
          </w:p>
        </w:tc>
        <w:tc>
          <w:tcPr>
            <w:tcW w:w="100" w:type="dxa"/>
            <w:vAlign w:val="bottom"/>
          </w:tcPr>
          <w:p>
            <w:pPr>
              <w:spacing w:after="0"/>
              <w:rPr>
                <w:sz w:val="11"/>
                <w:szCs w:val="11"/>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rPr>
              <w:t>Deficit</w:t>
            </w:r>
          </w:p>
        </w:tc>
        <w:tc>
          <w:tcPr>
            <w:tcW w:w="120" w:type="dxa"/>
            <w:vAlign w:val="bottom"/>
          </w:tcPr>
          <w:p>
            <w:pPr>
              <w:spacing w:after="0"/>
              <w:rPr>
                <w:sz w:val="11"/>
                <w:szCs w:val="11"/>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5"/>
              </w:rPr>
              <w:t>Income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rPr>
              <w:t>Stock</w:t>
            </w:r>
          </w:p>
        </w:tc>
        <w:tc>
          <w:tcPr>
            <w:tcW w:w="120" w:type="dxa"/>
            <w:vAlign w:val="bottom"/>
          </w:tcPr>
          <w:p>
            <w:pPr>
              <w:spacing w:after="0"/>
              <w:rPr>
                <w:sz w:val="11"/>
                <w:szCs w:val="11"/>
                <w:color w:val="auto"/>
              </w:rPr>
            </w:pPr>
          </w:p>
        </w:tc>
        <w:tc>
          <w:tcPr>
            <w:tcW w:w="500" w:type="dxa"/>
            <w:vAlign w:val="bottom"/>
          </w:tcPr>
          <w:p>
            <w:pPr>
              <w:jc w:val="right"/>
              <w:ind w:right="130"/>
              <w:spacing w:after="0"/>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141"/>
        </w:trPr>
        <w:tc>
          <w:tcPr>
            <w:tcW w:w="3020" w:type="dxa"/>
            <w:vAlign w:val="bottom"/>
            <w:gridSpan w:val="2"/>
          </w:tcPr>
          <w:p>
            <w:pPr>
              <w:ind w:left="20"/>
              <w:spacing w:after="0"/>
              <w:rPr>
                <w:sz w:val="20"/>
                <w:szCs w:val="20"/>
                <w:color w:val="auto"/>
              </w:rPr>
            </w:pPr>
            <w:r>
              <w:rPr>
                <w:rFonts w:ascii="Arial" w:cs="Arial" w:eastAsia="Arial" w:hAnsi="Arial"/>
                <w:sz w:val="10"/>
                <w:szCs w:val="10"/>
                <w:b w:val="1"/>
                <w:bCs w:val="1"/>
                <w:color w:val="auto"/>
              </w:rPr>
              <w:t>Balance as of December 31, 2023</w:t>
            </w:r>
          </w:p>
        </w:tc>
        <w:tc>
          <w:tcPr>
            <w:tcW w:w="66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2"/>
                <w:szCs w:val="12"/>
                <w:color w:val="auto"/>
              </w:rPr>
            </w:pPr>
          </w:p>
        </w:tc>
        <w:tc>
          <w:tcPr>
            <w:tcW w:w="660" w:type="dxa"/>
            <w:vAlign w:val="bottom"/>
            <w:tcBorders>
              <w:top w:val="single" w:sz="8" w:color="2C6937"/>
            </w:tcBorders>
          </w:tcPr>
          <w:p>
            <w:pPr>
              <w:jc w:val="right"/>
              <w:ind w:right="9"/>
              <w:spacing w:after="0"/>
              <w:rPr>
                <w:sz w:val="20"/>
                <w:szCs w:val="20"/>
                <w:color w:val="auto"/>
              </w:rPr>
            </w:pPr>
            <w:r>
              <w:rPr>
                <w:rFonts w:ascii="Arial" w:cs="Arial" w:eastAsia="Arial" w:hAnsi="Arial"/>
                <w:sz w:val="10"/>
                <w:szCs w:val="10"/>
                <w:color w:val="auto"/>
              </w:rPr>
              <w:t>556</w:t>
            </w:r>
          </w:p>
        </w:tc>
        <w:tc>
          <w:tcPr>
            <w:tcW w:w="100" w:type="dxa"/>
            <w:vAlign w:val="bottom"/>
          </w:tcPr>
          <w:p>
            <w:pPr>
              <w:spacing w:after="0"/>
              <w:rPr>
                <w:sz w:val="12"/>
                <w:szCs w:val="12"/>
                <w:color w:val="auto"/>
              </w:rPr>
            </w:pPr>
          </w:p>
        </w:tc>
        <w:tc>
          <w:tcPr>
            <w:tcW w:w="100" w:type="dxa"/>
            <w:vAlign w:val="bottom"/>
            <w:tcBorders>
              <w:top w:val="single" w:sz="8" w:color="2C6937"/>
            </w:tcBorders>
          </w:tcPr>
          <w:p>
            <w:pPr>
              <w:spacing w:after="0"/>
              <w:rPr>
                <w:sz w:val="12"/>
                <w:szCs w:val="12"/>
                <w:color w:val="auto"/>
              </w:rPr>
            </w:pPr>
          </w:p>
        </w:tc>
        <w:tc>
          <w:tcPr>
            <w:tcW w:w="56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1,158</w:t>
            </w:r>
          </w:p>
        </w:tc>
        <w:tc>
          <w:tcPr>
            <w:tcW w:w="100" w:type="dxa"/>
            <w:vAlign w:val="bottom"/>
          </w:tcPr>
          <w:p>
            <w:pPr>
              <w:spacing w:after="0"/>
              <w:rPr>
                <w:sz w:val="12"/>
                <w:szCs w:val="12"/>
                <w:color w:val="auto"/>
              </w:rPr>
            </w:pPr>
          </w:p>
        </w:tc>
        <w:tc>
          <w:tcPr>
            <w:tcW w:w="160" w:type="dxa"/>
            <w:vAlign w:val="bottom"/>
            <w:tcBorders>
              <w:top w:val="single" w:sz="8" w:color="2C6937"/>
            </w:tcBorders>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tcBorders>
              <w:top w:val="single" w:sz="8" w:color="2C6937"/>
            </w:tcBorders>
          </w:tcPr>
          <w:p>
            <w:pPr>
              <w:jc w:val="right"/>
              <w:ind w:right="9"/>
              <w:spacing w:after="0"/>
              <w:rPr>
                <w:sz w:val="20"/>
                <w:szCs w:val="20"/>
                <w:color w:val="auto"/>
              </w:rPr>
            </w:pPr>
            <w:r>
              <w:rPr>
                <w:rFonts w:ascii="Arial" w:cs="Arial" w:eastAsia="Arial" w:hAnsi="Arial"/>
                <w:sz w:val="10"/>
                <w:szCs w:val="10"/>
                <w:color w:val="auto"/>
              </w:rPr>
              <w:t>120,836</w:t>
            </w:r>
          </w:p>
        </w:tc>
        <w:tc>
          <w:tcPr>
            <w:tcW w:w="100" w:type="dxa"/>
            <w:vAlign w:val="bottom"/>
          </w:tcPr>
          <w:p>
            <w:pPr>
              <w:spacing w:after="0"/>
              <w:rPr>
                <w:sz w:val="12"/>
                <w:szCs w:val="12"/>
                <w:color w:val="auto"/>
              </w:rPr>
            </w:pPr>
          </w:p>
        </w:tc>
        <w:tc>
          <w:tcPr>
            <w:tcW w:w="12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19,130</w:t>
            </w:r>
          </w:p>
        </w:tc>
        <w:tc>
          <w:tcPr>
            <w:tcW w:w="100" w:type="dxa"/>
            <w:vAlign w:val="bottom"/>
          </w:tcPr>
          <w:p>
            <w:pPr>
              <w:spacing w:after="0"/>
              <w:rPr>
                <w:sz w:val="12"/>
                <w:szCs w:val="12"/>
                <w:color w:val="auto"/>
              </w:rPr>
            </w:pPr>
          </w:p>
        </w:tc>
        <w:tc>
          <w:tcPr>
            <w:tcW w:w="12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8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687</w:t>
            </w:r>
          </w:p>
        </w:tc>
        <w:tc>
          <w:tcPr>
            <w:tcW w:w="12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(55,603)</w:t>
            </w:r>
          </w:p>
        </w:tc>
        <w:tc>
          <w:tcPr>
            <w:tcW w:w="100" w:type="dxa"/>
            <w:vAlign w:val="bottom"/>
          </w:tcPr>
          <w:p>
            <w:pPr>
              <w:spacing w:after="0"/>
              <w:rPr>
                <w:sz w:val="12"/>
                <w:szCs w:val="12"/>
                <w:color w:val="auto"/>
              </w:rPr>
            </w:pPr>
          </w:p>
        </w:tc>
        <w:tc>
          <w:tcPr>
            <w:tcW w:w="12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900" w:type="dxa"/>
            <w:vAlign w:val="bottom"/>
            <w:tcBorders>
              <w:top w:val="single" w:sz="8" w:color="2C6937"/>
            </w:tcBorders>
          </w:tcPr>
          <w:p>
            <w:pPr>
              <w:jc w:val="right"/>
              <w:ind w:right="11"/>
              <w:spacing w:after="0"/>
              <w:rPr>
                <w:sz w:val="20"/>
                <w:szCs w:val="20"/>
                <w:color w:val="auto"/>
              </w:rPr>
            </w:pPr>
            <w:r>
              <w:rPr>
                <w:rFonts w:ascii="Arial" w:cs="Arial" w:eastAsia="Arial" w:hAnsi="Arial"/>
                <w:sz w:val="10"/>
                <w:szCs w:val="10"/>
                <w:color w:val="auto"/>
              </w:rPr>
              <w:t>32</w:t>
            </w:r>
          </w:p>
        </w:tc>
        <w:tc>
          <w:tcPr>
            <w:tcW w:w="10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(7,400)</w:t>
            </w:r>
          </w:p>
        </w:tc>
        <w:tc>
          <w:tcPr>
            <w:tcW w:w="100" w:type="dxa"/>
            <w:vAlign w:val="bottom"/>
          </w:tcPr>
          <w:p>
            <w:pPr>
              <w:spacing w:after="0"/>
              <w:rPr>
                <w:sz w:val="12"/>
                <w:szCs w:val="12"/>
                <w:color w:val="auto"/>
              </w:rPr>
            </w:pPr>
          </w:p>
        </w:tc>
        <w:tc>
          <w:tcPr>
            <w:tcW w:w="12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0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77,682</w:t>
            </w:r>
          </w:p>
        </w:tc>
        <w:tc>
          <w:tcPr>
            <w:tcW w:w="0" w:type="dxa"/>
            <w:vAlign w:val="bottom"/>
          </w:tcPr>
          <w:p>
            <w:pPr>
              <w:spacing w:after="0"/>
              <w:rPr>
                <w:sz w:val="1"/>
                <w:szCs w:val="1"/>
                <w:color w:val="auto"/>
              </w:rPr>
            </w:pPr>
          </w:p>
        </w:tc>
      </w:tr>
      <w:tr>
        <w:trPr>
          <w:trHeight w:val="149"/>
        </w:trPr>
        <w:tc>
          <w:tcPr>
            <w:tcW w:w="3020" w:type="dxa"/>
            <w:vAlign w:val="bottom"/>
            <w:gridSpan w:val="2"/>
          </w:tcPr>
          <w:p>
            <w:pPr>
              <w:ind w:left="20"/>
              <w:spacing w:after="0"/>
              <w:rPr>
                <w:sz w:val="20"/>
                <w:szCs w:val="20"/>
                <w:color w:val="auto"/>
              </w:rPr>
            </w:pPr>
            <w:r>
              <w:rPr>
                <w:rFonts w:ascii="Arial" w:cs="Arial" w:eastAsia="Arial" w:hAnsi="Arial"/>
                <w:sz w:val="10"/>
                <w:szCs w:val="10"/>
                <w:color w:val="auto"/>
              </w:rPr>
              <w:t>Comprehensive income: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020" w:type="dxa"/>
            <w:vAlign w:val="bottom"/>
            <w:gridSpan w:val="2"/>
          </w:tcPr>
          <w:p>
            <w:pPr>
              <w:ind w:left="20"/>
              <w:spacing w:after="0"/>
              <w:rPr>
                <w:sz w:val="20"/>
                <w:szCs w:val="20"/>
                <w:color w:val="auto"/>
              </w:rPr>
            </w:pPr>
            <w:r>
              <w:rPr>
                <w:rFonts w:ascii="Arial" w:cs="Arial" w:eastAsia="Arial" w:hAnsi="Arial"/>
                <w:sz w:val="10"/>
                <w:szCs w:val="10"/>
                <w:color w:val="auto"/>
              </w:rPr>
              <w:t>Net income</w:t>
            </w:r>
          </w:p>
        </w:tc>
        <w:tc>
          <w:tcPr>
            <w:tcW w:w="7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860" w:type="dxa"/>
            <w:vAlign w:val="bottom"/>
            <w:gridSpan w:val="3"/>
          </w:tcPr>
          <w:p>
            <w:pPr>
              <w:jc w:val="right"/>
              <w:ind w:right="26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760" w:type="dxa"/>
            <w:vAlign w:val="bottom"/>
          </w:tcPr>
          <w:p>
            <w:pPr>
              <w:jc w:val="right"/>
              <w:ind w:right="10"/>
              <w:spacing w:after="0"/>
              <w:rPr>
                <w:sz w:val="20"/>
                <w:szCs w:val="20"/>
                <w:color w:val="auto"/>
              </w:rPr>
            </w:pPr>
            <w:r>
              <w:rPr>
                <w:rFonts w:ascii="Arial" w:cs="Arial" w:eastAsia="Arial" w:hAnsi="Arial"/>
                <w:sz w:val="10"/>
                <w:szCs w:val="10"/>
                <w:color w:val="auto"/>
              </w:rPr>
              <w:t>12,848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500" w:type="dxa"/>
            <w:vAlign w:val="bottom"/>
          </w:tcPr>
          <w:p>
            <w:pPr>
              <w:jc w:val="right"/>
              <w:ind w:right="10"/>
              <w:spacing w:after="0"/>
              <w:rPr>
                <w:sz w:val="20"/>
                <w:szCs w:val="20"/>
                <w:color w:val="auto"/>
              </w:rPr>
            </w:pPr>
            <w:r>
              <w:rPr>
                <w:rFonts w:ascii="Arial" w:cs="Arial" w:eastAsia="Arial" w:hAnsi="Arial"/>
                <w:sz w:val="10"/>
                <w:szCs w:val="10"/>
                <w:color w:val="auto"/>
              </w:rPr>
              <w:t>12,848</w:t>
            </w:r>
          </w:p>
        </w:tc>
        <w:tc>
          <w:tcPr>
            <w:tcW w:w="0" w:type="dxa"/>
            <w:vAlign w:val="bottom"/>
          </w:tcPr>
          <w:p>
            <w:pPr>
              <w:spacing w:after="0"/>
              <w:rPr>
                <w:sz w:val="1"/>
                <w:szCs w:val="1"/>
                <w:color w:val="auto"/>
              </w:rPr>
            </w:pPr>
          </w:p>
        </w:tc>
      </w:tr>
      <w:tr>
        <w:trPr>
          <w:trHeight w:val="155"/>
        </w:trPr>
        <w:tc>
          <w:tcPr>
            <w:tcW w:w="3020" w:type="dxa"/>
            <w:vAlign w:val="bottom"/>
            <w:gridSpan w:val="2"/>
          </w:tcPr>
          <w:p>
            <w:pPr>
              <w:ind w:left="20"/>
              <w:spacing w:after="0"/>
              <w:rPr>
                <w:sz w:val="20"/>
                <w:szCs w:val="20"/>
                <w:color w:val="auto"/>
              </w:rPr>
            </w:pPr>
            <w:r>
              <w:rPr>
                <w:rFonts w:ascii="Arial" w:cs="Arial" w:eastAsia="Arial" w:hAnsi="Arial"/>
                <w:sz w:val="10"/>
                <w:szCs w:val="10"/>
                <w:color w:val="auto"/>
              </w:rPr>
              <w:t>Other comprehensive income, net of tax effect:</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3020" w:type="dxa"/>
            <w:vAlign w:val="bottom"/>
            <w:gridSpan w:val="2"/>
          </w:tcPr>
          <w:p>
            <w:pPr>
              <w:ind w:left="180"/>
              <w:spacing w:after="0"/>
              <w:rPr>
                <w:sz w:val="20"/>
                <w:szCs w:val="20"/>
                <w:color w:val="auto"/>
              </w:rPr>
            </w:pPr>
            <w:r>
              <w:rPr>
                <w:rFonts w:ascii="Arial" w:cs="Arial" w:eastAsia="Arial" w:hAnsi="Arial"/>
                <w:sz w:val="10"/>
                <w:szCs w:val="10"/>
                <w:color w:val="auto"/>
              </w:rPr>
              <w:t>Changes in net unrealized gains (losses) on available-for-</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860" w:type="dxa"/>
            <w:vAlign w:val="bottom"/>
            <w:gridSpan w:val="3"/>
            <w:vMerge w:val="restart"/>
          </w:tcPr>
          <w:p>
            <w:pPr>
              <w:jc w:val="right"/>
              <w:ind w:right="26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900" w:type="dxa"/>
            <w:vAlign w:val="bottom"/>
            <w:vMerge w:val="restart"/>
          </w:tcPr>
          <w:p>
            <w:pPr>
              <w:jc w:val="right"/>
              <w:ind w:right="11"/>
              <w:spacing w:after="0"/>
              <w:rPr>
                <w:sz w:val="20"/>
                <w:szCs w:val="20"/>
                <w:color w:val="auto"/>
              </w:rPr>
            </w:pPr>
            <w:r>
              <w:rPr>
                <w:rFonts w:ascii="Arial" w:cs="Arial" w:eastAsia="Arial" w:hAnsi="Arial"/>
                <w:sz w:val="10"/>
                <w:szCs w:val="10"/>
                <w:color w:val="auto"/>
              </w:rPr>
              <w:t>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500" w:type="dxa"/>
            <w:vAlign w:val="bottom"/>
            <w:vMerge w:val="restart"/>
          </w:tcPr>
          <w:p>
            <w:pPr>
              <w:jc w:val="right"/>
              <w:ind w:right="10"/>
              <w:spacing w:after="0"/>
              <w:rPr>
                <w:sz w:val="20"/>
                <w:szCs w:val="20"/>
                <w:color w:val="auto"/>
              </w:rPr>
            </w:pPr>
            <w:r>
              <w:rPr>
                <w:rFonts w:ascii="Arial" w:cs="Arial" w:eastAsia="Arial" w:hAnsi="Arial"/>
                <w:sz w:val="10"/>
                <w:szCs w:val="10"/>
                <w:color w:val="auto"/>
              </w:rPr>
              <w:t>3</w:t>
            </w:r>
          </w:p>
        </w:tc>
        <w:tc>
          <w:tcPr>
            <w:tcW w:w="0" w:type="dxa"/>
            <w:vAlign w:val="bottom"/>
          </w:tcPr>
          <w:p>
            <w:pPr>
              <w:spacing w:after="0"/>
              <w:rPr>
                <w:sz w:val="1"/>
                <w:szCs w:val="1"/>
                <w:color w:val="auto"/>
              </w:rPr>
            </w:pPr>
          </w:p>
        </w:tc>
      </w:tr>
      <w:tr>
        <w:trPr>
          <w:trHeight w:val="135"/>
        </w:trPr>
        <w:tc>
          <w:tcPr>
            <w:tcW w:w="3020" w:type="dxa"/>
            <w:vAlign w:val="bottom"/>
            <w:gridSpan w:val="2"/>
          </w:tcPr>
          <w:p>
            <w:pPr>
              <w:ind w:left="340"/>
              <w:spacing w:after="0"/>
              <w:rPr>
                <w:sz w:val="20"/>
                <w:szCs w:val="20"/>
                <w:color w:val="auto"/>
              </w:rPr>
            </w:pPr>
            <w:r>
              <w:rPr>
                <w:rFonts w:ascii="Arial" w:cs="Arial" w:eastAsia="Arial" w:hAnsi="Arial"/>
                <w:sz w:val="10"/>
                <w:szCs w:val="10"/>
                <w:color w:val="auto"/>
              </w:rPr>
              <w:t>sale securities (net of taxes of $1)</w:t>
            </w:r>
          </w:p>
        </w:tc>
        <w:tc>
          <w:tcPr>
            <w:tcW w:w="760" w:type="dxa"/>
            <w:vAlign w:val="bottom"/>
            <w:gridSpan w:val="2"/>
            <w:vMerge w:val="continue"/>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3020" w:type="dxa"/>
            <w:vAlign w:val="bottom"/>
            <w:gridSpan w:val="2"/>
          </w:tcPr>
          <w:p>
            <w:pPr>
              <w:ind w:left="180"/>
              <w:spacing w:after="0"/>
              <w:rPr>
                <w:sz w:val="20"/>
                <w:szCs w:val="20"/>
                <w:color w:val="auto"/>
              </w:rPr>
            </w:pPr>
            <w:r>
              <w:rPr>
                <w:rFonts w:ascii="Arial" w:cs="Arial" w:eastAsia="Arial" w:hAnsi="Arial"/>
                <w:sz w:val="10"/>
                <w:szCs w:val="10"/>
                <w:color w:val="auto"/>
              </w:rPr>
              <w:t>Reclassification adjustment for (gains) losses included in</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860" w:type="dxa"/>
            <w:vAlign w:val="bottom"/>
            <w:gridSpan w:val="3"/>
            <w:vMerge w:val="restart"/>
          </w:tcPr>
          <w:p>
            <w:pPr>
              <w:jc w:val="right"/>
              <w:ind w:right="26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900" w:type="dxa"/>
            <w:vAlign w:val="bottom"/>
            <w:vMerge w:val="restart"/>
          </w:tcPr>
          <w:p>
            <w:pPr>
              <w:jc w:val="right"/>
              <w:ind w:right="11"/>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500" w:type="dxa"/>
            <w:vAlign w:val="bottom"/>
            <w:vMerge w:val="restart"/>
          </w:tcPr>
          <w:p>
            <w:pPr>
              <w:jc w:val="right"/>
              <w:ind w:right="10"/>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35"/>
        </w:trPr>
        <w:tc>
          <w:tcPr>
            <w:tcW w:w="3020" w:type="dxa"/>
            <w:vAlign w:val="bottom"/>
            <w:gridSpan w:val="2"/>
          </w:tcPr>
          <w:p>
            <w:pPr>
              <w:ind w:left="340"/>
              <w:spacing w:after="0"/>
              <w:rPr>
                <w:sz w:val="20"/>
                <w:szCs w:val="20"/>
                <w:color w:val="auto"/>
              </w:rPr>
            </w:pPr>
            <w:r>
              <w:rPr>
                <w:rFonts w:ascii="Arial" w:cs="Arial" w:eastAsia="Arial" w:hAnsi="Arial"/>
                <w:sz w:val="10"/>
                <w:szCs w:val="10"/>
                <w:color w:val="auto"/>
              </w:rPr>
              <w:t>net income (net of taxes of $0)</w:t>
            </w:r>
          </w:p>
        </w:tc>
        <w:tc>
          <w:tcPr>
            <w:tcW w:w="760" w:type="dxa"/>
            <w:vAlign w:val="bottom"/>
            <w:gridSpan w:val="2"/>
            <w:vMerge w:val="continue"/>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20" w:type="dxa"/>
            <w:vAlign w:val="bottom"/>
            <w:gridSpan w:val="2"/>
          </w:tcPr>
          <w:p>
            <w:pPr>
              <w:ind w:left="180"/>
              <w:spacing w:after="0"/>
              <w:rPr>
                <w:sz w:val="20"/>
                <w:szCs w:val="20"/>
                <w:color w:val="auto"/>
              </w:rPr>
            </w:pPr>
            <w:r>
              <w:rPr>
                <w:rFonts w:ascii="Arial" w:cs="Arial" w:eastAsia="Arial" w:hAnsi="Arial"/>
                <w:sz w:val="10"/>
                <w:szCs w:val="10"/>
                <w:color w:val="auto"/>
              </w:rPr>
              <w:t>Other (net of taxes of $1)</w:t>
            </w:r>
          </w:p>
        </w:tc>
        <w:tc>
          <w:tcPr>
            <w:tcW w:w="7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860" w:type="dxa"/>
            <w:vAlign w:val="bottom"/>
            <w:gridSpan w:val="3"/>
          </w:tcPr>
          <w:p>
            <w:pPr>
              <w:jc w:val="right"/>
              <w:ind w:right="26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2C6937"/>
            </w:tcBorders>
          </w:tcPr>
          <w:p>
            <w:pPr>
              <w:spacing w:after="0"/>
              <w:rPr>
                <w:sz w:val="14"/>
                <w:szCs w:val="14"/>
                <w:color w:val="auto"/>
              </w:rPr>
            </w:pPr>
          </w:p>
        </w:tc>
        <w:tc>
          <w:tcPr>
            <w:tcW w:w="500" w:type="dxa"/>
            <w:vAlign w:val="bottom"/>
            <w:tcBorders>
              <w:bottom w:val="single" w:sz="8" w:color="2C6937"/>
            </w:tcBorders>
          </w:tcPr>
          <w:p>
            <w:pPr>
              <w:jc w:val="right"/>
              <w:spacing w:after="0"/>
              <w:rPr>
                <w:sz w:val="20"/>
                <w:szCs w:val="20"/>
                <w:color w:val="auto"/>
              </w:rPr>
            </w:pPr>
            <w:r>
              <w:rPr>
                <w:rFonts w:ascii="Arial" w:cs="Arial" w:eastAsia="Arial" w:hAnsi="Arial"/>
                <w:sz w:val="10"/>
                <w:szCs w:val="10"/>
                <w:color w:val="auto"/>
              </w:rPr>
              <w:t>(5)</w:t>
            </w:r>
          </w:p>
        </w:tc>
        <w:tc>
          <w:tcPr>
            <w:tcW w:w="0" w:type="dxa"/>
            <w:vAlign w:val="bottom"/>
          </w:tcPr>
          <w:p>
            <w:pPr>
              <w:spacing w:after="0"/>
              <w:rPr>
                <w:sz w:val="1"/>
                <w:szCs w:val="1"/>
                <w:color w:val="auto"/>
              </w:rPr>
            </w:pPr>
          </w:p>
        </w:tc>
      </w:tr>
      <w:tr>
        <w:trPr>
          <w:trHeight w:val="148"/>
        </w:trPr>
        <w:tc>
          <w:tcPr>
            <w:tcW w:w="3020" w:type="dxa"/>
            <w:vAlign w:val="bottom"/>
            <w:gridSpan w:val="2"/>
          </w:tcPr>
          <w:p>
            <w:pPr>
              <w:ind w:left="20"/>
              <w:spacing w:after="0"/>
              <w:rPr>
                <w:sz w:val="20"/>
                <w:szCs w:val="20"/>
                <w:color w:val="auto"/>
              </w:rPr>
            </w:pPr>
            <w:r>
              <w:rPr>
                <w:rFonts w:ascii="Arial" w:cs="Arial" w:eastAsia="Arial" w:hAnsi="Arial"/>
                <w:sz w:val="10"/>
                <w:szCs w:val="10"/>
                <w:color w:val="auto"/>
              </w:rPr>
              <w:t>Total comprehensive income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10"/>
              <w:spacing w:after="0"/>
              <w:rPr>
                <w:sz w:val="20"/>
                <w:szCs w:val="20"/>
                <w:color w:val="auto"/>
              </w:rPr>
            </w:pPr>
            <w:r>
              <w:rPr>
                <w:rFonts w:ascii="Arial" w:cs="Arial" w:eastAsia="Arial" w:hAnsi="Arial"/>
                <w:sz w:val="10"/>
                <w:szCs w:val="10"/>
                <w:color w:val="auto"/>
              </w:rPr>
              <w:t>12,848</w:t>
            </w:r>
          </w:p>
        </w:tc>
        <w:tc>
          <w:tcPr>
            <w:tcW w:w="0" w:type="dxa"/>
            <w:vAlign w:val="bottom"/>
          </w:tcPr>
          <w:p>
            <w:pPr>
              <w:spacing w:after="0"/>
              <w:rPr>
                <w:sz w:val="1"/>
                <w:szCs w:val="1"/>
                <w:color w:val="auto"/>
              </w:rPr>
            </w:pPr>
          </w:p>
        </w:tc>
      </w:tr>
      <w:tr>
        <w:trPr>
          <w:trHeight w:val="148"/>
        </w:trPr>
        <w:tc>
          <w:tcPr>
            <w:tcW w:w="2900" w:type="dxa"/>
            <w:vAlign w:val="bottom"/>
            <w:tcBorders>
              <w:top w:val="single" w:sz="8" w:color="2C6937"/>
              <w:bottom w:val="single" w:sz="8" w:color="2C6937"/>
            </w:tcBorders>
          </w:tcPr>
          <w:p>
            <w:pPr>
              <w:ind w:left="40"/>
              <w:spacing w:after="0"/>
              <w:rPr>
                <w:sz w:val="20"/>
                <w:szCs w:val="20"/>
                <w:color w:val="auto"/>
              </w:rPr>
            </w:pPr>
            <w:r>
              <w:rPr>
                <w:rFonts w:ascii="Arial" w:cs="Arial" w:eastAsia="Arial" w:hAnsi="Arial"/>
                <w:sz w:val="10"/>
                <w:szCs w:val="10"/>
                <w:b w:val="1"/>
                <w:bCs w:val="1"/>
                <w:color w:val="auto"/>
              </w:rPr>
              <w:t>Balance as of September 30, 2024</w:t>
            </w:r>
          </w:p>
        </w:tc>
        <w:tc>
          <w:tcPr>
            <w:tcW w:w="120" w:type="dxa"/>
            <w:vAlign w:val="bottom"/>
          </w:tcPr>
          <w:p>
            <w:pPr>
              <w:spacing w:after="0"/>
              <w:rPr>
                <w:sz w:val="12"/>
                <w:szCs w:val="12"/>
                <w:color w:val="auto"/>
              </w:rPr>
            </w:pPr>
          </w:p>
        </w:tc>
        <w:tc>
          <w:tcPr>
            <w:tcW w:w="66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2"/>
                <w:szCs w:val="12"/>
                <w:color w:val="auto"/>
              </w:rPr>
            </w:pPr>
          </w:p>
        </w:tc>
        <w:tc>
          <w:tcPr>
            <w:tcW w:w="660" w:type="dxa"/>
            <w:vAlign w:val="bottom"/>
            <w:tcBorders>
              <w:top w:val="single" w:sz="8" w:color="2C6937"/>
              <w:bottom w:val="single" w:sz="8" w:color="2C6937"/>
            </w:tcBorders>
          </w:tcPr>
          <w:p>
            <w:pPr>
              <w:jc w:val="right"/>
              <w:ind w:right="9"/>
              <w:spacing w:after="0"/>
              <w:rPr>
                <w:sz w:val="20"/>
                <w:szCs w:val="20"/>
                <w:color w:val="auto"/>
              </w:rPr>
            </w:pPr>
            <w:r>
              <w:rPr>
                <w:rFonts w:ascii="Arial" w:cs="Arial" w:eastAsia="Arial" w:hAnsi="Arial"/>
                <w:sz w:val="10"/>
                <w:szCs w:val="10"/>
                <w:color w:val="auto"/>
              </w:rPr>
              <w:t>556</w:t>
            </w:r>
          </w:p>
        </w:tc>
        <w:tc>
          <w:tcPr>
            <w:tcW w:w="10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spacing w:after="0"/>
              <w:rPr>
                <w:sz w:val="12"/>
                <w:szCs w:val="12"/>
                <w:color w:val="auto"/>
              </w:rPr>
            </w:pPr>
          </w:p>
        </w:tc>
        <w:tc>
          <w:tcPr>
            <w:tcW w:w="5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1,158</w:t>
            </w:r>
          </w:p>
        </w:tc>
        <w:tc>
          <w:tcPr>
            <w:tcW w:w="100" w:type="dxa"/>
            <w:vAlign w:val="bottom"/>
          </w:tcPr>
          <w:p>
            <w:pPr>
              <w:spacing w:after="0"/>
              <w:rPr>
                <w:sz w:val="12"/>
                <w:szCs w:val="12"/>
                <w:color w:val="auto"/>
              </w:rPr>
            </w:pPr>
          </w:p>
        </w:tc>
        <w:tc>
          <w:tcPr>
            <w:tcW w:w="160" w:type="dxa"/>
            <w:vAlign w:val="bottom"/>
            <w:tcBorders>
              <w:top w:val="single" w:sz="8" w:color="2C6937"/>
              <w:bottom w:val="single" w:sz="8" w:color="2C6937"/>
            </w:tcBorders>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tcBorders>
              <w:top w:val="single" w:sz="8" w:color="2C6937"/>
              <w:bottom w:val="single" w:sz="8" w:color="2C6937"/>
            </w:tcBorders>
          </w:tcPr>
          <w:p>
            <w:pPr>
              <w:jc w:val="right"/>
              <w:ind w:right="9"/>
              <w:spacing w:after="0"/>
              <w:rPr>
                <w:sz w:val="20"/>
                <w:szCs w:val="20"/>
                <w:color w:val="auto"/>
              </w:rPr>
            </w:pPr>
            <w:r>
              <w:rPr>
                <w:rFonts w:ascii="Arial" w:cs="Arial" w:eastAsia="Arial" w:hAnsi="Arial"/>
                <w:sz w:val="10"/>
                <w:szCs w:val="10"/>
                <w:color w:val="auto"/>
              </w:rPr>
              <w:t>120,836</w:t>
            </w:r>
          </w:p>
        </w:tc>
        <w:tc>
          <w:tcPr>
            <w:tcW w:w="100" w:type="dxa"/>
            <w:vAlign w:val="bottom"/>
          </w:tcPr>
          <w:p>
            <w:pPr>
              <w:spacing w:after="0"/>
              <w:rPr>
                <w:sz w:val="12"/>
                <w:szCs w:val="12"/>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19,130</w:t>
            </w:r>
          </w:p>
        </w:tc>
        <w:tc>
          <w:tcPr>
            <w:tcW w:w="100" w:type="dxa"/>
            <w:vAlign w:val="bottom"/>
          </w:tcPr>
          <w:p>
            <w:pPr>
              <w:spacing w:after="0"/>
              <w:rPr>
                <w:sz w:val="12"/>
                <w:szCs w:val="12"/>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687</w:t>
            </w:r>
          </w:p>
        </w:tc>
        <w:tc>
          <w:tcPr>
            <w:tcW w:w="12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(42,755)</w:t>
            </w:r>
          </w:p>
        </w:tc>
        <w:tc>
          <w:tcPr>
            <w:tcW w:w="100" w:type="dxa"/>
            <w:vAlign w:val="bottom"/>
          </w:tcPr>
          <w:p>
            <w:pPr>
              <w:spacing w:after="0"/>
              <w:rPr>
                <w:sz w:val="12"/>
                <w:szCs w:val="12"/>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900" w:type="dxa"/>
            <w:vAlign w:val="bottom"/>
            <w:tcBorders>
              <w:top w:val="single" w:sz="8" w:color="2C6937"/>
              <w:bottom w:val="single" w:sz="8" w:color="2C6937"/>
            </w:tcBorders>
          </w:tcPr>
          <w:p>
            <w:pPr>
              <w:jc w:val="right"/>
              <w:ind w:right="11"/>
              <w:spacing w:after="0"/>
              <w:rPr>
                <w:sz w:val="20"/>
                <w:szCs w:val="20"/>
                <w:color w:val="auto"/>
              </w:rPr>
            </w:pPr>
            <w:r>
              <w:rPr>
                <w:rFonts w:ascii="Arial" w:cs="Arial" w:eastAsia="Arial" w:hAnsi="Arial"/>
                <w:sz w:val="10"/>
                <w:szCs w:val="10"/>
                <w:color w:val="auto"/>
              </w:rPr>
              <w:t>32</w:t>
            </w:r>
          </w:p>
        </w:tc>
        <w:tc>
          <w:tcPr>
            <w:tcW w:w="10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(7,400)</w:t>
            </w:r>
          </w:p>
        </w:tc>
        <w:tc>
          <w:tcPr>
            <w:tcW w:w="100" w:type="dxa"/>
            <w:vAlign w:val="bottom"/>
          </w:tcPr>
          <w:p>
            <w:pPr>
              <w:spacing w:after="0"/>
              <w:rPr>
                <w:sz w:val="12"/>
                <w:szCs w:val="12"/>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0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90,530</w:t>
            </w:r>
          </w:p>
        </w:tc>
        <w:tc>
          <w:tcPr>
            <w:tcW w:w="0" w:type="dxa"/>
            <w:vAlign w:val="bottom"/>
          </w:tcPr>
          <w:p>
            <w:pPr>
              <w:spacing w:after="0"/>
              <w:rPr>
                <w:sz w:val="1"/>
                <w:szCs w:val="1"/>
                <w:color w:val="auto"/>
              </w:rPr>
            </w:pPr>
          </w:p>
        </w:tc>
      </w:tr>
      <w:tr>
        <w:trPr>
          <w:trHeight w:val="25"/>
        </w:trPr>
        <w:tc>
          <w:tcPr>
            <w:tcW w:w="290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2C6937"/>
            </w:tcBorders>
          </w:tcPr>
          <w:p>
            <w:pPr>
              <w:spacing w:after="0"/>
              <w:rPr>
                <w:sz w:val="2"/>
                <w:szCs w:val="2"/>
                <w:color w:val="auto"/>
              </w:rPr>
            </w:pPr>
          </w:p>
        </w:tc>
        <w:tc>
          <w:tcPr>
            <w:tcW w:w="5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5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58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90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500" w:type="dxa"/>
            <w:vAlign w:val="bottom"/>
            <w:tcBorders>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622300</wp:posOffset>
            </wp:positionV>
            <wp:extent cx="680593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20"/>
        <w:spacing w:after="0"/>
        <w:rPr>
          <w:sz w:val="20"/>
          <w:szCs w:val="20"/>
          <w:color w:val="auto"/>
        </w:rPr>
      </w:pPr>
      <w:r>
        <w:rPr>
          <w:rFonts w:ascii="Arial" w:cs="Arial" w:eastAsia="Arial" w:hAnsi="Arial"/>
          <w:sz w:val="14"/>
          <w:szCs w:val="14"/>
          <w:color w:val="05314D"/>
        </w:rPr>
        <w:t>Fannie Mae (In conservatorship)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151765</wp:posOffset>
            </wp:positionV>
            <wp:extent cx="7164070" cy="4191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40" w:top="248" w:right="359" w:bottom="1440" w:gutter="0" w:footer="0" w:header="0"/>
        </w:sectPr>
      </w:pPr>
    </w:p>
    <w:bookmarkStart w:id="70" w:name="page71"/>
    <w:bookmarkEnd w:id="70"/>
    <w:p>
      <w:pPr>
        <w:ind w:left="6120"/>
        <w:spacing w:after="0"/>
        <w:rPr>
          <w:sz w:val="20"/>
          <w:szCs w:val="20"/>
          <w:color w:val="auto"/>
        </w:rPr>
      </w:pPr>
      <w:r>
        <w:rPr>
          <w:rFonts w:ascii="Arial" w:cs="Arial" w:eastAsia="Arial" w:hAnsi="Arial"/>
          <w:sz w:val="14"/>
          <w:szCs w:val="14"/>
          <w:color w:val="001543"/>
        </w:rPr>
        <w:t>Financial Statements | Condensed Consolidated Statements of Changes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17145</wp:posOffset>
            </wp:positionV>
            <wp:extent cx="70072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6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80" w:type="dxa"/>
            <w:vAlign w:val="bottom"/>
            <w:tcBorders>
              <w:bottom w:val="single" w:sz="8" w:color="2C6937"/>
            </w:tcBorders>
          </w:tcPr>
          <w:p>
            <w:pPr>
              <w:spacing w:after="0"/>
              <w:rPr>
                <w:sz w:val="12"/>
                <w:szCs w:val="12"/>
                <w:color w:val="auto"/>
              </w:rPr>
            </w:pPr>
          </w:p>
        </w:tc>
        <w:tc>
          <w:tcPr>
            <w:tcW w:w="58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40" w:type="dxa"/>
            <w:vAlign w:val="bottom"/>
            <w:tcBorders>
              <w:bottom w:val="single" w:sz="8" w:color="2C6937"/>
            </w:tcBorders>
          </w:tcPr>
          <w:p>
            <w:pPr>
              <w:spacing w:after="0"/>
              <w:rPr>
                <w:sz w:val="12"/>
                <w:szCs w:val="12"/>
                <w:color w:val="auto"/>
              </w:rPr>
            </w:pPr>
          </w:p>
        </w:tc>
        <w:tc>
          <w:tcPr>
            <w:tcW w:w="580" w:type="dxa"/>
            <w:vAlign w:val="bottom"/>
            <w:tcBorders>
              <w:bottom w:val="single" w:sz="8" w:color="2C6937"/>
            </w:tcBorders>
          </w:tcPr>
          <w:p>
            <w:pPr>
              <w:spacing w:after="0"/>
              <w:rPr>
                <w:sz w:val="12"/>
                <w:szCs w:val="12"/>
                <w:color w:val="auto"/>
              </w:rPr>
            </w:pPr>
          </w:p>
        </w:tc>
        <w:tc>
          <w:tcPr>
            <w:tcW w:w="12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2460" w:type="dxa"/>
            <w:vAlign w:val="bottom"/>
            <w:tcBorders>
              <w:bottom w:val="single" w:sz="8" w:color="2C6937"/>
            </w:tcBorders>
            <w:gridSpan w:val="8"/>
          </w:tcPr>
          <w:p>
            <w:pPr>
              <w:ind w:left="60"/>
              <w:spacing w:after="0"/>
              <w:rPr>
                <w:sz w:val="20"/>
                <w:szCs w:val="20"/>
                <w:color w:val="auto"/>
              </w:rPr>
            </w:pPr>
            <w:r>
              <w:rPr>
                <w:rFonts w:ascii="Arial" w:cs="Arial" w:eastAsia="Arial" w:hAnsi="Arial"/>
                <w:sz w:val="10"/>
                <w:szCs w:val="10"/>
                <w:b w:val="1"/>
                <w:bCs w:val="1"/>
                <w:color w:val="auto"/>
              </w:rPr>
              <w:t>Fannie Mae Stockholders’ Equity</w:t>
            </w:r>
          </w:p>
        </w:tc>
        <w:tc>
          <w:tcPr>
            <w:tcW w:w="120" w:type="dxa"/>
            <w:vAlign w:val="bottom"/>
            <w:tcBorders>
              <w:bottom w:val="single" w:sz="8" w:color="2C6937"/>
            </w:tcBorders>
          </w:tcPr>
          <w:p>
            <w:pPr>
              <w:spacing w:after="0"/>
              <w:rPr>
                <w:sz w:val="12"/>
                <w:szCs w:val="12"/>
                <w:color w:val="auto"/>
              </w:rPr>
            </w:pPr>
          </w:p>
        </w:tc>
        <w:tc>
          <w:tcPr>
            <w:tcW w:w="9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5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20" w:type="dxa"/>
            <w:vAlign w:val="bottom"/>
            <w:tcBorders>
              <w:bottom w:val="single" w:sz="8" w:color="2C6937"/>
            </w:tcBorders>
          </w:tcPr>
          <w:p>
            <w:pPr>
              <w:spacing w:after="0"/>
              <w:rPr>
                <w:sz w:val="12"/>
                <w:szCs w:val="12"/>
                <w:color w:val="auto"/>
              </w:rPr>
            </w:pPr>
          </w:p>
        </w:tc>
        <w:tc>
          <w:tcPr>
            <w:tcW w:w="500" w:type="dxa"/>
            <w:vAlign w:val="bottom"/>
            <w:tcBorders>
              <w:bottom w:val="single" w:sz="8" w:color="2C6937"/>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Borders>
              <w:bottom w:val="single" w:sz="8" w:color="2C6937"/>
            </w:tcBorders>
            <w:gridSpan w:val="5"/>
          </w:tcPr>
          <w:p>
            <w:pPr>
              <w:jc w:val="center"/>
              <w:ind w:left="510"/>
              <w:spacing w:after="0"/>
              <w:rPr>
                <w:sz w:val="20"/>
                <w:szCs w:val="20"/>
                <w:color w:val="auto"/>
              </w:rPr>
            </w:pPr>
            <w:r>
              <w:rPr>
                <w:rFonts w:ascii="Arial" w:cs="Arial" w:eastAsia="Arial" w:hAnsi="Arial"/>
                <w:sz w:val="10"/>
                <w:szCs w:val="10"/>
                <w:b w:val="1"/>
                <w:bCs w:val="1"/>
                <w:color w:val="auto"/>
              </w:rPr>
              <w:t>Shares Outstanding</w:t>
            </w:r>
          </w:p>
        </w:tc>
        <w:tc>
          <w:tcPr>
            <w:tcW w:w="580" w:type="dxa"/>
            <w:vAlign w:val="bottom"/>
            <w:tcBorders>
              <w:bottom w:val="single" w:sz="8" w:color="2C6937"/>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9"/>
                <w:szCs w:val="9"/>
                <w:b w:val="1"/>
                <w:bCs w:val="1"/>
                <w:color w:val="auto"/>
                <w:w w:val="99"/>
              </w:rPr>
              <w:t>Accumulated</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0"/>
        </w:trPr>
        <w:tc>
          <w:tcPr>
            <w:tcW w:w="2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9"/>
                <w:szCs w:val="9"/>
                <w:b w:val="1"/>
                <w:bCs w:val="1"/>
                <w:color w:val="auto"/>
                <w:w w:val="99"/>
              </w:rPr>
              <w:t>Senior</w:t>
            </w: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gridSpan w:val="2"/>
            <w:vMerge w:val="restart"/>
          </w:tcPr>
          <w:p>
            <w:pPr>
              <w:jc w:val="center"/>
              <w:ind w:right="260"/>
              <w:spacing w:after="0"/>
              <w:rPr>
                <w:sz w:val="20"/>
                <w:szCs w:val="20"/>
                <w:color w:val="auto"/>
              </w:rPr>
            </w:pPr>
            <w:r>
              <w:rPr>
                <w:rFonts w:ascii="Arial" w:cs="Arial" w:eastAsia="Arial" w:hAnsi="Arial"/>
                <w:sz w:val="9"/>
                <w:szCs w:val="9"/>
                <w:b w:val="1"/>
                <w:bCs w:val="1"/>
                <w:color w:val="auto"/>
                <w:w w:val="99"/>
              </w:rPr>
              <w:t>Senior</w:t>
            </w:r>
          </w:p>
        </w:tc>
        <w:tc>
          <w:tcPr>
            <w:tcW w:w="100" w:type="dxa"/>
            <w:vAlign w:val="bottom"/>
          </w:tcPr>
          <w:p>
            <w:pPr>
              <w:spacing w:after="0"/>
              <w:rPr>
                <w:sz w:val="7"/>
                <w:szCs w:val="7"/>
                <w:color w:val="auto"/>
              </w:rPr>
            </w:pPr>
          </w:p>
        </w:tc>
        <w:tc>
          <w:tcPr>
            <w:tcW w:w="66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9"/>
              </w:rPr>
              <w:t>Preferred</w:t>
            </w:r>
          </w:p>
        </w:tc>
        <w:tc>
          <w:tcPr>
            <w:tcW w:w="120" w:type="dxa"/>
            <w:vAlign w:val="bottom"/>
          </w:tcPr>
          <w:p>
            <w:pPr>
              <w:spacing w:after="0"/>
              <w:rPr>
                <w:sz w:val="7"/>
                <w:szCs w:val="7"/>
                <w:color w:val="auto"/>
              </w:rPr>
            </w:pPr>
          </w:p>
        </w:tc>
        <w:tc>
          <w:tcPr>
            <w:tcW w:w="72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7"/>
              </w:rPr>
              <w:t>Common</w:t>
            </w:r>
          </w:p>
        </w:tc>
        <w:tc>
          <w:tcPr>
            <w:tcW w:w="100" w:type="dxa"/>
            <w:vAlign w:val="bottom"/>
          </w:tcPr>
          <w:p>
            <w:pPr>
              <w:spacing w:after="0"/>
              <w:rPr>
                <w:sz w:val="7"/>
                <w:szCs w:val="7"/>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9"/>
              </w:rPr>
              <w:t>Accumulated</w:t>
            </w:r>
          </w:p>
        </w:tc>
        <w:tc>
          <w:tcPr>
            <w:tcW w:w="120" w:type="dxa"/>
            <w:vAlign w:val="bottom"/>
          </w:tcPr>
          <w:p>
            <w:pPr>
              <w:spacing w:after="0"/>
              <w:rPr>
                <w:sz w:val="7"/>
                <w:szCs w:val="7"/>
                <w:color w:val="auto"/>
              </w:rPr>
            </w:pPr>
          </w:p>
        </w:tc>
        <w:tc>
          <w:tcPr>
            <w:tcW w:w="1000" w:type="dxa"/>
            <w:vAlign w:val="bottom"/>
            <w:gridSpan w:val="2"/>
          </w:tcPr>
          <w:p>
            <w:pPr>
              <w:jc w:val="center"/>
              <w:ind w:right="240"/>
              <w:spacing w:after="0" w:line="91" w:lineRule="exact"/>
              <w:rPr>
                <w:sz w:val="20"/>
                <w:szCs w:val="20"/>
                <w:color w:val="auto"/>
              </w:rPr>
            </w:pPr>
            <w:r>
              <w:rPr>
                <w:rFonts w:ascii="Arial" w:cs="Arial" w:eastAsia="Arial" w:hAnsi="Arial"/>
                <w:sz w:val="9"/>
                <w:szCs w:val="9"/>
                <w:b w:val="1"/>
                <w:bCs w:val="1"/>
                <w:color w:val="auto"/>
                <w:w w:val="99"/>
              </w:rPr>
              <w:t>Other</w:t>
            </w:r>
          </w:p>
        </w:tc>
        <w:tc>
          <w:tcPr>
            <w:tcW w:w="100" w:type="dxa"/>
            <w:vAlign w:val="bottom"/>
          </w:tcPr>
          <w:p>
            <w:pPr>
              <w:spacing w:after="0"/>
              <w:rPr>
                <w:sz w:val="7"/>
                <w:szCs w:val="7"/>
                <w:color w:val="auto"/>
              </w:rPr>
            </w:pPr>
          </w:p>
        </w:tc>
        <w:tc>
          <w:tcPr>
            <w:tcW w:w="660" w:type="dxa"/>
            <w:vAlign w:val="bottom"/>
            <w:gridSpan w:val="2"/>
            <w:vMerge w:val="restart"/>
          </w:tcPr>
          <w:p>
            <w:pPr>
              <w:jc w:val="center"/>
              <w:ind w:right="200"/>
              <w:spacing w:after="0"/>
              <w:rPr>
                <w:sz w:val="20"/>
                <w:szCs w:val="20"/>
                <w:color w:val="auto"/>
              </w:rPr>
            </w:pPr>
            <w:r>
              <w:rPr>
                <w:rFonts w:ascii="Arial" w:cs="Arial" w:eastAsia="Arial" w:hAnsi="Arial"/>
                <w:sz w:val="9"/>
                <w:szCs w:val="9"/>
                <w:b w:val="1"/>
                <w:bCs w:val="1"/>
                <w:color w:val="auto"/>
                <w:w w:val="99"/>
              </w:rPr>
              <w:t>Treasury</w:t>
            </w:r>
          </w:p>
        </w:tc>
        <w:tc>
          <w:tcPr>
            <w:tcW w:w="120" w:type="dxa"/>
            <w:vAlign w:val="bottom"/>
          </w:tcPr>
          <w:p>
            <w:pPr>
              <w:spacing w:after="0"/>
              <w:rPr>
                <w:sz w:val="7"/>
                <w:szCs w:val="7"/>
                <w:color w:val="auto"/>
              </w:rPr>
            </w:pPr>
          </w:p>
        </w:tc>
        <w:tc>
          <w:tcPr>
            <w:tcW w:w="500" w:type="dxa"/>
            <w:vAlign w:val="bottom"/>
            <w:vMerge w:val="restart"/>
          </w:tcPr>
          <w:p>
            <w:pPr>
              <w:jc w:val="right"/>
              <w:ind w:right="150"/>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90"/>
        </w:trPr>
        <w:tc>
          <w:tcPr>
            <w:tcW w:w="2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40" w:type="dxa"/>
            <w:vAlign w:val="bottom"/>
            <w:gridSpan w:val="3"/>
            <w:vMerge w:val="restart"/>
          </w:tcPr>
          <w:p>
            <w:pPr>
              <w:jc w:val="center"/>
              <w:ind w:right="200"/>
              <w:spacing w:after="0"/>
              <w:rPr>
                <w:sz w:val="20"/>
                <w:szCs w:val="20"/>
                <w:color w:val="auto"/>
              </w:rPr>
            </w:pPr>
            <w:r>
              <w:rPr>
                <w:rFonts w:ascii="Arial" w:cs="Arial" w:eastAsia="Arial" w:hAnsi="Arial"/>
                <w:sz w:val="9"/>
                <w:szCs w:val="9"/>
                <w:b w:val="1"/>
                <w:bCs w:val="1"/>
                <w:color w:val="auto"/>
                <w:w w:val="99"/>
              </w:rPr>
              <w:t>Preferred</w:t>
            </w:r>
          </w:p>
        </w:tc>
        <w:tc>
          <w:tcPr>
            <w:tcW w:w="68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Common</w:t>
            </w:r>
          </w:p>
        </w:tc>
        <w:tc>
          <w:tcPr>
            <w:tcW w:w="14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tcPr>
          <w:p>
            <w:pPr>
              <w:jc w:val="center"/>
              <w:ind w:right="220"/>
              <w:spacing w:after="0" w:line="91" w:lineRule="exact"/>
              <w:rPr>
                <w:sz w:val="20"/>
                <w:szCs w:val="20"/>
                <w:color w:val="auto"/>
              </w:rPr>
            </w:pPr>
            <w:r>
              <w:rPr>
                <w:rFonts w:ascii="Arial" w:cs="Arial" w:eastAsia="Arial" w:hAnsi="Arial"/>
                <w:sz w:val="9"/>
                <w:szCs w:val="9"/>
                <w:b w:val="1"/>
                <w:bCs w:val="1"/>
                <w:color w:val="auto"/>
                <w:w w:val="97"/>
              </w:rPr>
              <w:t>Comprehensive</w:t>
            </w: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99"/>
              </w:rPr>
              <w:t>Preferred</w:t>
            </w:r>
          </w:p>
        </w:tc>
        <w:tc>
          <w:tcPr>
            <w:tcW w:w="840" w:type="dxa"/>
            <w:vAlign w:val="bottom"/>
            <w:gridSpan w:val="3"/>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40" w:type="dxa"/>
            <w:vAlign w:val="bottom"/>
            <w:gridSpan w:val="3"/>
          </w:tcPr>
          <w:p>
            <w:pPr>
              <w:jc w:val="center"/>
              <w:ind w:right="120"/>
              <w:spacing w:after="0"/>
              <w:rPr>
                <w:sz w:val="20"/>
                <w:szCs w:val="20"/>
                <w:color w:val="auto"/>
              </w:rPr>
            </w:pPr>
            <w:r>
              <w:rPr>
                <w:rFonts w:ascii="Arial" w:cs="Arial" w:eastAsia="Arial" w:hAnsi="Arial"/>
                <w:sz w:val="9"/>
                <w:szCs w:val="9"/>
                <w:b w:val="1"/>
                <w:bCs w:val="1"/>
                <w:color w:val="auto"/>
              </w:rPr>
              <w:t>Preferred Stock</w:t>
            </w:r>
          </w:p>
        </w:tc>
        <w:tc>
          <w:tcPr>
            <w:tcW w:w="100" w:type="dxa"/>
            <w:vAlign w:val="bottom"/>
          </w:tcPr>
          <w:p>
            <w:pPr>
              <w:spacing w:after="0"/>
              <w:rPr>
                <w:sz w:val="11"/>
                <w:szCs w:val="11"/>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7"/>
              </w:rPr>
              <w:t>Stock</w:t>
            </w:r>
          </w:p>
        </w:tc>
        <w:tc>
          <w:tcPr>
            <w:tcW w:w="120" w:type="dxa"/>
            <w:vAlign w:val="bottom"/>
          </w:tcPr>
          <w:p>
            <w:pPr>
              <w:spacing w:after="0"/>
              <w:rPr>
                <w:sz w:val="11"/>
                <w:szCs w:val="11"/>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7"/>
              </w:rPr>
              <w:t>Stock</w:t>
            </w:r>
          </w:p>
        </w:tc>
        <w:tc>
          <w:tcPr>
            <w:tcW w:w="100" w:type="dxa"/>
            <w:vAlign w:val="bottom"/>
          </w:tcPr>
          <w:p>
            <w:pPr>
              <w:spacing w:after="0"/>
              <w:rPr>
                <w:sz w:val="11"/>
                <w:szCs w:val="11"/>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rPr>
              <w:t>Deficit</w:t>
            </w:r>
          </w:p>
        </w:tc>
        <w:tc>
          <w:tcPr>
            <w:tcW w:w="120" w:type="dxa"/>
            <w:vAlign w:val="bottom"/>
          </w:tcPr>
          <w:p>
            <w:pPr>
              <w:spacing w:after="0"/>
              <w:rPr>
                <w:sz w:val="11"/>
                <w:szCs w:val="11"/>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5"/>
              </w:rPr>
              <w:t>Income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rPr>
              <w:t>Stock</w:t>
            </w:r>
          </w:p>
        </w:tc>
        <w:tc>
          <w:tcPr>
            <w:tcW w:w="120" w:type="dxa"/>
            <w:vAlign w:val="bottom"/>
          </w:tcPr>
          <w:p>
            <w:pPr>
              <w:spacing w:after="0"/>
              <w:rPr>
                <w:sz w:val="11"/>
                <w:szCs w:val="11"/>
                <w:color w:val="auto"/>
              </w:rPr>
            </w:pPr>
          </w:p>
        </w:tc>
        <w:tc>
          <w:tcPr>
            <w:tcW w:w="500" w:type="dxa"/>
            <w:vAlign w:val="bottom"/>
          </w:tcPr>
          <w:p>
            <w:pPr>
              <w:jc w:val="right"/>
              <w:ind w:right="130"/>
              <w:spacing w:after="0"/>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141"/>
        </w:trPr>
        <w:tc>
          <w:tcPr>
            <w:tcW w:w="3000" w:type="dxa"/>
            <w:vAlign w:val="bottom"/>
            <w:gridSpan w:val="2"/>
          </w:tcPr>
          <w:p>
            <w:pPr>
              <w:ind w:left="20"/>
              <w:spacing w:after="0"/>
              <w:rPr>
                <w:sz w:val="20"/>
                <w:szCs w:val="20"/>
                <w:color w:val="auto"/>
              </w:rPr>
            </w:pPr>
            <w:r>
              <w:rPr>
                <w:rFonts w:ascii="Arial" w:cs="Arial" w:eastAsia="Arial" w:hAnsi="Arial"/>
                <w:sz w:val="10"/>
                <w:szCs w:val="10"/>
                <w:b w:val="1"/>
                <w:bCs w:val="1"/>
                <w:color w:val="auto"/>
              </w:rPr>
              <w:t>Balance as of June 30, 2023</w:t>
            </w:r>
          </w:p>
        </w:tc>
        <w:tc>
          <w:tcPr>
            <w:tcW w:w="68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2"/>
                <w:szCs w:val="12"/>
                <w:color w:val="auto"/>
              </w:rPr>
            </w:pPr>
          </w:p>
        </w:tc>
        <w:tc>
          <w:tcPr>
            <w:tcW w:w="66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556</w:t>
            </w:r>
          </w:p>
        </w:tc>
        <w:tc>
          <w:tcPr>
            <w:tcW w:w="100" w:type="dxa"/>
            <w:vAlign w:val="bottom"/>
          </w:tcPr>
          <w:p>
            <w:pPr>
              <w:spacing w:after="0"/>
              <w:rPr>
                <w:sz w:val="12"/>
                <w:szCs w:val="12"/>
                <w:color w:val="auto"/>
              </w:rPr>
            </w:pPr>
          </w:p>
        </w:tc>
        <w:tc>
          <w:tcPr>
            <w:tcW w:w="80" w:type="dxa"/>
            <w:vAlign w:val="bottom"/>
            <w:tcBorders>
              <w:top w:val="single" w:sz="8" w:color="2C6937"/>
            </w:tcBorders>
          </w:tcPr>
          <w:p>
            <w:pPr>
              <w:spacing w:after="0"/>
              <w:rPr>
                <w:sz w:val="12"/>
                <w:szCs w:val="12"/>
                <w:color w:val="auto"/>
              </w:rPr>
            </w:pPr>
          </w:p>
        </w:tc>
        <w:tc>
          <w:tcPr>
            <w:tcW w:w="58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1,158</w:t>
            </w:r>
          </w:p>
        </w:tc>
        <w:tc>
          <w:tcPr>
            <w:tcW w:w="100" w:type="dxa"/>
            <w:vAlign w:val="bottom"/>
          </w:tcPr>
          <w:p>
            <w:pPr>
              <w:spacing w:after="0"/>
              <w:rPr>
                <w:sz w:val="12"/>
                <w:szCs w:val="12"/>
                <w:color w:val="auto"/>
              </w:rPr>
            </w:pPr>
          </w:p>
        </w:tc>
        <w:tc>
          <w:tcPr>
            <w:tcW w:w="140" w:type="dxa"/>
            <w:vAlign w:val="bottom"/>
            <w:tcBorders>
              <w:top w:val="single" w:sz="8" w:color="2C6937"/>
            </w:tcBorders>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120,836</w:t>
            </w:r>
          </w:p>
        </w:tc>
        <w:tc>
          <w:tcPr>
            <w:tcW w:w="12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19,130</w:t>
            </w:r>
          </w:p>
        </w:tc>
        <w:tc>
          <w:tcPr>
            <w:tcW w:w="100" w:type="dxa"/>
            <w:vAlign w:val="bottom"/>
          </w:tcPr>
          <w:p>
            <w:pPr>
              <w:spacing w:after="0"/>
              <w:rPr>
                <w:sz w:val="12"/>
                <w:szCs w:val="12"/>
                <w:color w:val="auto"/>
              </w:rPr>
            </w:pPr>
          </w:p>
        </w:tc>
        <w:tc>
          <w:tcPr>
            <w:tcW w:w="12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6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687</w:t>
            </w:r>
          </w:p>
        </w:tc>
        <w:tc>
          <w:tcPr>
            <w:tcW w:w="12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(64,245)</w:t>
            </w:r>
          </w:p>
        </w:tc>
        <w:tc>
          <w:tcPr>
            <w:tcW w:w="100" w:type="dxa"/>
            <w:vAlign w:val="bottom"/>
          </w:tcPr>
          <w:p>
            <w:pPr>
              <w:spacing w:after="0"/>
              <w:rPr>
                <w:sz w:val="12"/>
                <w:szCs w:val="12"/>
                <w:color w:val="auto"/>
              </w:rPr>
            </w:pPr>
          </w:p>
        </w:tc>
        <w:tc>
          <w:tcPr>
            <w:tcW w:w="12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900" w:type="dxa"/>
            <w:vAlign w:val="bottom"/>
            <w:tcBorders>
              <w:top w:val="single" w:sz="8" w:color="2C6937"/>
            </w:tcBorders>
          </w:tcPr>
          <w:p>
            <w:pPr>
              <w:jc w:val="right"/>
              <w:ind w:right="11"/>
              <w:spacing w:after="0"/>
              <w:rPr>
                <w:sz w:val="20"/>
                <w:szCs w:val="20"/>
                <w:color w:val="auto"/>
              </w:rPr>
            </w:pPr>
            <w:r>
              <w:rPr>
                <w:rFonts w:ascii="Arial" w:cs="Arial" w:eastAsia="Arial" w:hAnsi="Arial"/>
                <w:sz w:val="10"/>
                <w:szCs w:val="10"/>
                <w:color w:val="auto"/>
              </w:rPr>
              <w:t>36</w:t>
            </w:r>
          </w:p>
        </w:tc>
        <w:tc>
          <w:tcPr>
            <w:tcW w:w="10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(7,400)</w:t>
            </w:r>
          </w:p>
        </w:tc>
        <w:tc>
          <w:tcPr>
            <w:tcW w:w="100" w:type="dxa"/>
            <w:vAlign w:val="bottom"/>
          </w:tcPr>
          <w:p>
            <w:pPr>
              <w:spacing w:after="0"/>
              <w:rPr>
                <w:sz w:val="12"/>
                <w:szCs w:val="12"/>
                <w:color w:val="auto"/>
              </w:rPr>
            </w:pPr>
          </w:p>
        </w:tc>
        <w:tc>
          <w:tcPr>
            <w:tcW w:w="12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0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69,044</w:t>
            </w:r>
          </w:p>
        </w:tc>
        <w:tc>
          <w:tcPr>
            <w:tcW w:w="0" w:type="dxa"/>
            <w:vAlign w:val="bottom"/>
          </w:tcPr>
          <w:p>
            <w:pPr>
              <w:spacing w:after="0"/>
              <w:rPr>
                <w:sz w:val="1"/>
                <w:szCs w:val="1"/>
                <w:color w:val="auto"/>
              </w:rPr>
            </w:pPr>
          </w:p>
        </w:tc>
      </w:tr>
      <w:tr>
        <w:trPr>
          <w:trHeight w:val="149"/>
        </w:trPr>
        <w:tc>
          <w:tcPr>
            <w:tcW w:w="3000" w:type="dxa"/>
            <w:vAlign w:val="bottom"/>
            <w:gridSpan w:val="2"/>
          </w:tcPr>
          <w:p>
            <w:pPr>
              <w:ind w:left="20"/>
              <w:spacing w:after="0"/>
              <w:rPr>
                <w:sz w:val="20"/>
                <w:szCs w:val="20"/>
                <w:color w:val="auto"/>
              </w:rPr>
            </w:pPr>
            <w:r>
              <w:rPr>
                <w:rFonts w:ascii="Arial" w:cs="Arial" w:eastAsia="Arial" w:hAnsi="Arial"/>
                <w:sz w:val="10"/>
                <w:szCs w:val="10"/>
                <w:color w:val="auto"/>
              </w:rPr>
              <w:t>Comprehensive income:</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000" w:type="dxa"/>
            <w:vAlign w:val="bottom"/>
            <w:gridSpan w:val="2"/>
          </w:tcPr>
          <w:p>
            <w:pPr>
              <w:ind w:left="20"/>
              <w:spacing w:after="0"/>
              <w:rPr>
                <w:sz w:val="20"/>
                <w:szCs w:val="20"/>
                <w:color w:val="auto"/>
              </w:rPr>
            </w:pPr>
            <w:r>
              <w:rPr>
                <w:rFonts w:ascii="Arial" w:cs="Arial" w:eastAsia="Arial" w:hAnsi="Arial"/>
                <w:sz w:val="10"/>
                <w:szCs w:val="10"/>
                <w:color w:val="auto"/>
              </w:rPr>
              <w:t>Net income</w:t>
            </w:r>
          </w:p>
        </w:tc>
        <w:tc>
          <w:tcPr>
            <w:tcW w:w="7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840" w:type="dxa"/>
            <w:vAlign w:val="bottom"/>
            <w:gridSpan w:val="3"/>
          </w:tcPr>
          <w:p>
            <w:pPr>
              <w:jc w:val="right"/>
              <w:ind w:right="24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760" w:type="dxa"/>
            <w:vAlign w:val="bottom"/>
          </w:tcPr>
          <w:p>
            <w:pPr>
              <w:jc w:val="right"/>
              <w:ind w:right="10"/>
              <w:spacing w:after="0"/>
              <w:rPr>
                <w:sz w:val="20"/>
                <w:szCs w:val="20"/>
                <w:color w:val="auto"/>
              </w:rPr>
            </w:pPr>
            <w:r>
              <w:rPr>
                <w:rFonts w:ascii="Arial" w:cs="Arial" w:eastAsia="Arial" w:hAnsi="Arial"/>
                <w:sz w:val="10"/>
                <w:szCs w:val="10"/>
                <w:color w:val="auto"/>
              </w:rPr>
              <w:t>4,699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660" w:type="dxa"/>
            <w:vAlign w:val="bottom"/>
            <w:gridSpan w:val="2"/>
          </w:tcPr>
          <w:p>
            <w:pPr>
              <w:ind w:left="4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500" w:type="dxa"/>
            <w:vAlign w:val="bottom"/>
          </w:tcPr>
          <w:p>
            <w:pPr>
              <w:jc w:val="right"/>
              <w:ind w:right="10"/>
              <w:spacing w:after="0"/>
              <w:rPr>
                <w:sz w:val="20"/>
                <w:szCs w:val="20"/>
                <w:color w:val="auto"/>
              </w:rPr>
            </w:pPr>
            <w:r>
              <w:rPr>
                <w:rFonts w:ascii="Arial" w:cs="Arial" w:eastAsia="Arial" w:hAnsi="Arial"/>
                <w:sz w:val="10"/>
                <w:szCs w:val="10"/>
                <w:color w:val="auto"/>
              </w:rPr>
              <w:t>4,699</w:t>
            </w:r>
          </w:p>
        </w:tc>
        <w:tc>
          <w:tcPr>
            <w:tcW w:w="0" w:type="dxa"/>
            <w:vAlign w:val="bottom"/>
          </w:tcPr>
          <w:p>
            <w:pPr>
              <w:spacing w:after="0"/>
              <w:rPr>
                <w:sz w:val="1"/>
                <w:szCs w:val="1"/>
                <w:color w:val="auto"/>
              </w:rPr>
            </w:pPr>
          </w:p>
        </w:tc>
      </w:tr>
      <w:tr>
        <w:trPr>
          <w:trHeight w:val="155"/>
        </w:trPr>
        <w:tc>
          <w:tcPr>
            <w:tcW w:w="3000" w:type="dxa"/>
            <w:vAlign w:val="bottom"/>
            <w:gridSpan w:val="2"/>
          </w:tcPr>
          <w:p>
            <w:pPr>
              <w:ind w:left="20"/>
              <w:spacing w:after="0"/>
              <w:rPr>
                <w:sz w:val="20"/>
                <w:szCs w:val="20"/>
                <w:color w:val="auto"/>
              </w:rPr>
            </w:pPr>
            <w:r>
              <w:rPr>
                <w:rFonts w:ascii="Arial" w:cs="Arial" w:eastAsia="Arial" w:hAnsi="Arial"/>
                <w:sz w:val="10"/>
                <w:szCs w:val="10"/>
                <w:color w:val="auto"/>
              </w:rPr>
              <w:t>Other comprehensive income, net of tax effect:</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3000" w:type="dxa"/>
            <w:vAlign w:val="bottom"/>
            <w:gridSpan w:val="2"/>
          </w:tcPr>
          <w:p>
            <w:pPr>
              <w:ind w:left="180"/>
              <w:spacing w:after="0"/>
              <w:rPr>
                <w:sz w:val="20"/>
                <w:szCs w:val="20"/>
                <w:color w:val="auto"/>
              </w:rPr>
            </w:pPr>
            <w:r>
              <w:rPr>
                <w:rFonts w:ascii="Arial" w:cs="Arial" w:eastAsia="Arial" w:hAnsi="Arial"/>
                <w:sz w:val="10"/>
                <w:szCs w:val="10"/>
                <w:color w:val="auto"/>
              </w:rPr>
              <w:t>Changes in net unrealized gains (losses) on available-for-</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840" w:type="dxa"/>
            <w:vAlign w:val="bottom"/>
            <w:gridSpan w:val="3"/>
            <w:vMerge w:val="restart"/>
          </w:tcPr>
          <w:p>
            <w:pPr>
              <w:jc w:val="right"/>
              <w:ind w:right="240"/>
              <w:spacing w:after="0"/>
              <w:rPr>
                <w:sz w:val="20"/>
                <w:szCs w:val="20"/>
                <w:color w:val="auto"/>
              </w:rPr>
            </w:pPr>
            <w:r>
              <w:rPr>
                <w:rFonts w:ascii="Arial" w:cs="Arial" w:eastAsia="Arial" w:hAnsi="Arial"/>
                <w:sz w:val="10"/>
                <w:szCs w:val="10"/>
                <w:color w:val="auto"/>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0"/>
                <w:szCs w:val="10"/>
                <w:color w:val="auto"/>
              </w:rPr>
              <w:t>(16)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ind w:left="4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0"/>
                <w:szCs w:val="10"/>
                <w:color w:val="auto"/>
              </w:rPr>
              <w:t>(16)</w:t>
            </w:r>
          </w:p>
        </w:tc>
        <w:tc>
          <w:tcPr>
            <w:tcW w:w="0" w:type="dxa"/>
            <w:vAlign w:val="bottom"/>
          </w:tcPr>
          <w:p>
            <w:pPr>
              <w:spacing w:after="0"/>
              <w:rPr>
                <w:sz w:val="1"/>
                <w:szCs w:val="1"/>
                <w:color w:val="auto"/>
              </w:rPr>
            </w:pPr>
          </w:p>
        </w:tc>
      </w:tr>
      <w:tr>
        <w:trPr>
          <w:trHeight w:val="135"/>
        </w:trPr>
        <w:tc>
          <w:tcPr>
            <w:tcW w:w="3000" w:type="dxa"/>
            <w:vAlign w:val="bottom"/>
            <w:gridSpan w:val="2"/>
          </w:tcPr>
          <w:p>
            <w:pPr>
              <w:ind w:left="340"/>
              <w:spacing w:after="0"/>
              <w:rPr>
                <w:sz w:val="20"/>
                <w:szCs w:val="20"/>
                <w:color w:val="auto"/>
              </w:rPr>
            </w:pPr>
            <w:r>
              <w:rPr>
                <w:rFonts w:ascii="Arial" w:cs="Arial" w:eastAsia="Arial" w:hAnsi="Arial"/>
                <w:sz w:val="10"/>
                <w:szCs w:val="10"/>
                <w:color w:val="auto"/>
              </w:rPr>
              <w:t>sale securities (net of taxes of $3)</w:t>
            </w:r>
          </w:p>
        </w:tc>
        <w:tc>
          <w:tcPr>
            <w:tcW w:w="780" w:type="dxa"/>
            <w:vAlign w:val="bottom"/>
            <w:gridSpan w:val="2"/>
            <w:vMerge w:val="continue"/>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00" w:type="dxa"/>
            <w:vAlign w:val="bottom"/>
            <w:gridSpan w:val="2"/>
          </w:tcPr>
          <w:p>
            <w:pPr>
              <w:ind w:left="180"/>
              <w:spacing w:after="0"/>
              <w:rPr>
                <w:sz w:val="20"/>
                <w:szCs w:val="20"/>
                <w:color w:val="auto"/>
              </w:rPr>
            </w:pPr>
            <w:r>
              <w:rPr>
                <w:rFonts w:ascii="Arial" w:cs="Arial" w:eastAsia="Arial" w:hAnsi="Arial"/>
                <w:sz w:val="10"/>
                <w:szCs w:val="10"/>
                <w:color w:val="auto"/>
              </w:rPr>
              <w:t>Other (net of taxes of $1)</w:t>
            </w:r>
          </w:p>
        </w:tc>
        <w:tc>
          <w:tcPr>
            <w:tcW w:w="7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840" w:type="dxa"/>
            <w:vAlign w:val="bottom"/>
            <w:gridSpan w:val="3"/>
          </w:tcPr>
          <w:p>
            <w:pPr>
              <w:jc w:val="right"/>
              <w:ind w:right="24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40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2C6937"/>
            </w:tcBorders>
          </w:tcPr>
          <w:p>
            <w:pPr>
              <w:spacing w:after="0"/>
              <w:rPr>
                <w:sz w:val="14"/>
                <w:szCs w:val="14"/>
                <w:color w:val="auto"/>
              </w:rPr>
            </w:pPr>
          </w:p>
        </w:tc>
        <w:tc>
          <w:tcPr>
            <w:tcW w:w="500" w:type="dxa"/>
            <w:vAlign w:val="bottom"/>
            <w:tcBorders>
              <w:bottom w:val="single" w:sz="8" w:color="2C6937"/>
            </w:tcBorders>
          </w:tcPr>
          <w:p>
            <w:pPr>
              <w:jc w:val="right"/>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48"/>
        </w:trPr>
        <w:tc>
          <w:tcPr>
            <w:tcW w:w="3000" w:type="dxa"/>
            <w:vAlign w:val="bottom"/>
            <w:gridSpan w:val="2"/>
          </w:tcPr>
          <w:p>
            <w:pPr>
              <w:ind w:left="20"/>
              <w:spacing w:after="0"/>
              <w:rPr>
                <w:sz w:val="20"/>
                <w:szCs w:val="20"/>
                <w:color w:val="auto"/>
              </w:rPr>
            </w:pPr>
            <w:r>
              <w:rPr>
                <w:rFonts w:ascii="Arial" w:cs="Arial" w:eastAsia="Arial" w:hAnsi="Arial"/>
                <w:sz w:val="10"/>
                <w:szCs w:val="10"/>
                <w:color w:val="auto"/>
              </w:rPr>
              <w:t>Total comprehensive income</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10"/>
              <w:spacing w:after="0"/>
              <w:rPr>
                <w:sz w:val="20"/>
                <w:szCs w:val="20"/>
                <w:color w:val="auto"/>
              </w:rPr>
            </w:pPr>
            <w:r>
              <w:rPr>
                <w:rFonts w:ascii="Arial" w:cs="Arial" w:eastAsia="Arial" w:hAnsi="Arial"/>
                <w:sz w:val="10"/>
                <w:szCs w:val="10"/>
                <w:color w:val="auto"/>
              </w:rPr>
              <w:t>4,681</w:t>
            </w:r>
          </w:p>
        </w:tc>
        <w:tc>
          <w:tcPr>
            <w:tcW w:w="0" w:type="dxa"/>
            <w:vAlign w:val="bottom"/>
          </w:tcPr>
          <w:p>
            <w:pPr>
              <w:spacing w:after="0"/>
              <w:rPr>
                <w:sz w:val="1"/>
                <w:szCs w:val="1"/>
                <w:color w:val="auto"/>
              </w:rPr>
            </w:pPr>
          </w:p>
        </w:tc>
      </w:tr>
      <w:tr>
        <w:trPr>
          <w:trHeight w:val="148"/>
        </w:trPr>
        <w:tc>
          <w:tcPr>
            <w:tcW w:w="2900" w:type="dxa"/>
            <w:vAlign w:val="bottom"/>
            <w:tcBorders>
              <w:top w:val="single" w:sz="8" w:color="2C6937"/>
              <w:bottom w:val="single" w:sz="8" w:color="2C6937"/>
            </w:tcBorders>
          </w:tcPr>
          <w:p>
            <w:pPr>
              <w:ind w:left="40"/>
              <w:spacing w:after="0"/>
              <w:rPr>
                <w:sz w:val="20"/>
                <w:szCs w:val="20"/>
                <w:color w:val="auto"/>
              </w:rPr>
            </w:pPr>
            <w:r>
              <w:rPr>
                <w:rFonts w:ascii="Arial" w:cs="Arial" w:eastAsia="Arial" w:hAnsi="Arial"/>
                <w:sz w:val="10"/>
                <w:szCs w:val="10"/>
                <w:b w:val="1"/>
                <w:bCs w:val="1"/>
                <w:color w:val="auto"/>
              </w:rPr>
              <w:t>Balance as of September 30, 2023</w:t>
            </w:r>
          </w:p>
        </w:tc>
        <w:tc>
          <w:tcPr>
            <w:tcW w:w="100" w:type="dxa"/>
            <w:vAlign w:val="bottom"/>
          </w:tcPr>
          <w:p>
            <w:pPr>
              <w:spacing w:after="0"/>
              <w:rPr>
                <w:sz w:val="12"/>
                <w:szCs w:val="12"/>
                <w:color w:val="auto"/>
              </w:rPr>
            </w:pPr>
          </w:p>
        </w:tc>
        <w:tc>
          <w:tcPr>
            <w:tcW w:w="68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2"/>
                <w:szCs w:val="12"/>
                <w:color w:val="auto"/>
              </w:rPr>
            </w:pPr>
          </w:p>
        </w:tc>
        <w:tc>
          <w:tcPr>
            <w:tcW w:w="66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556</w:t>
            </w:r>
          </w:p>
        </w:tc>
        <w:tc>
          <w:tcPr>
            <w:tcW w:w="100" w:type="dxa"/>
            <w:vAlign w:val="bottom"/>
          </w:tcPr>
          <w:p>
            <w:pPr>
              <w:spacing w:after="0"/>
              <w:rPr>
                <w:sz w:val="12"/>
                <w:szCs w:val="12"/>
                <w:color w:val="auto"/>
              </w:rPr>
            </w:pPr>
          </w:p>
        </w:tc>
        <w:tc>
          <w:tcPr>
            <w:tcW w:w="80" w:type="dxa"/>
            <w:vAlign w:val="bottom"/>
            <w:tcBorders>
              <w:top w:val="single" w:sz="8" w:color="2C6937"/>
              <w:bottom w:val="single" w:sz="8" w:color="2C6937"/>
            </w:tcBorders>
          </w:tcPr>
          <w:p>
            <w:pPr>
              <w:spacing w:after="0"/>
              <w:rPr>
                <w:sz w:val="12"/>
                <w:szCs w:val="12"/>
                <w:color w:val="auto"/>
              </w:rPr>
            </w:pPr>
          </w:p>
        </w:tc>
        <w:tc>
          <w:tcPr>
            <w:tcW w:w="58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1,158</w:t>
            </w:r>
          </w:p>
        </w:tc>
        <w:tc>
          <w:tcPr>
            <w:tcW w:w="100" w:type="dxa"/>
            <w:vAlign w:val="bottom"/>
          </w:tcPr>
          <w:p>
            <w:pPr>
              <w:spacing w:after="0"/>
              <w:rPr>
                <w:sz w:val="12"/>
                <w:szCs w:val="12"/>
                <w:color w:val="auto"/>
              </w:rPr>
            </w:pPr>
          </w:p>
        </w:tc>
        <w:tc>
          <w:tcPr>
            <w:tcW w:w="140" w:type="dxa"/>
            <w:vAlign w:val="bottom"/>
            <w:tcBorders>
              <w:top w:val="single" w:sz="8" w:color="2C6937"/>
              <w:bottom w:val="single" w:sz="8" w:color="2C6937"/>
            </w:tcBorders>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120,836</w:t>
            </w:r>
          </w:p>
        </w:tc>
        <w:tc>
          <w:tcPr>
            <w:tcW w:w="12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19,130</w:t>
            </w:r>
          </w:p>
        </w:tc>
        <w:tc>
          <w:tcPr>
            <w:tcW w:w="100" w:type="dxa"/>
            <w:vAlign w:val="bottom"/>
          </w:tcPr>
          <w:p>
            <w:pPr>
              <w:spacing w:after="0"/>
              <w:rPr>
                <w:sz w:val="12"/>
                <w:szCs w:val="12"/>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6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687</w:t>
            </w:r>
          </w:p>
        </w:tc>
        <w:tc>
          <w:tcPr>
            <w:tcW w:w="12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(59,546)</w:t>
            </w:r>
          </w:p>
        </w:tc>
        <w:tc>
          <w:tcPr>
            <w:tcW w:w="100" w:type="dxa"/>
            <w:vAlign w:val="bottom"/>
          </w:tcPr>
          <w:p>
            <w:pPr>
              <w:spacing w:after="0"/>
              <w:rPr>
                <w:sz w:val="12"/>
                <w:szCs w:val="12"/>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900" w:type="dxa"/>
            <w:vAlign w:val="bottom"/>
            <w:tcBorders>
              <w:top w:val="single" w:sz="8" w:color="2C6937"/>
              <w:bottom w:val="single" w:sz="8" w:color="2C6937"/>
            </w:tcBorders>
          </w:tcPr>
          <w:p>
            <w:pPr>
              <w:jc w:val="right"/>
              <w:ind w:right="11"/>
              <w:spacing w:after="0"/>
              <w:rPr>
                <w:sz w:val="20"/>
                <w:szCs w:val="20"/>
                <w:color w:val="auto"/>
              </w:rPr>
            </w:pPr>
            <w:r>
              <w:rPr>
                <w:rFonts w:ascii="Arial" w:cs="Arial" w:eastAsia="Arial" w:hAnsi="Arial"/>
                <w:sz w:val="10"/>
                <w:szCs w:val="10"/>
                <w:color w:val="auto"/>
              </w:rPr>
              <w:t>18</w:t>
            </w:r>
          </w:p>
        </w:tc>
        <w:tc>
          <w:tcPr>
            <w:tcW w:w="10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(7,400)</w:t>
            </w:r>
          </w:p>
        </w:tc>
        <w:tc>
          <w:tcPr>
            <w:tcW w:w="100" w:type="dxa"/>
            <w:vAlign w:val="bottom"/>
          </w:tcPr>
          <w:p>
            <w:pPr>
              <w:spacing w:after="0"/>
              <w:rPr>
                <w:sz w:val="12"/>
                <w:szCs w:val="12"/>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0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73,725</w:t>
            </w:r>
          </w:p>
        </w:tc>
        <w:tc>
          <w:tcPr>
            <w:tcW w:w="0" w:type="dxa"/>
            <w:vAlign w:val="bottom"/>
          </w:tcPr>
          <w:p>
            <w:pPr>
              <w:spacing w:after="0"/>
              <w:rPr>
                <w:sz w:val="1"/>
                <w:szCs w:val="1"/>
                <w:color w:val="auto"/>
              </w:rPr>
            </w:pPr>
          </w:p>
        </w:tc>
      </w:tr>
      <w:tr>
        <w:trPr>
          <w:trHeight w:val="25"/>
        </w:trPr>
        <w:tc>
          <w:tcPr>
            <w:tcW w:w="290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5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58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60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90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500" w:type="dxa"/>
            <w:vAlign w:val="bottom"/>
            <w:tcBorders>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6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80" w:type="dxa"/>
            <w:vAlign w:val="bottom"/>
            <w:tcBorders>
              <w:bottom w:val="single" w:sz="8" w:color="2C6937"/>
            </w:tcBorders>
          </w:tcPr>
          <w:p>
            <w:pPr>
              <w:spacing w:after="0"/>
              <w:rPr>
                <w:sz w:val="12"/>
                <w:szCs w:val="12"/>
                <w:color w:val="auto"/>
              </w:rPr>
            </w:pPr>
          </w:p>
        </w:tc>
        <w:tc>
          <w:tcPr>
            <w:tcW w:w="58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40" w:type="dxa"/>
            <w:vAlign w:val="bottom"/>
            <w:tcBorders>
              <w:bottom w:val="single" w:sz="8" w:color="2C6937"/>
            </w:tcBorders>
          </w:tcPr>
          <w:p>
            <w:pPr>
              <w:spacing w:after="0"/>
              <w:rPr>
                <w:sz w:val="12"/>
                <w:szCs w:val="12"/>
                <w:color w:val="auto"/>
              </w:rPr>
            </w:pPr>
          </w:p>
        </w:tc>
        <w:tc>
          <w:tcPr>
            <w:tcW w:w="580" w:type="dxa"/>
            <w:vAlign w:val="bottom"/>
            <w:tcBorders>
              <w:bottom w:val="single" w:sz="8" w:color="2C6937"/>
            </w:tcBorders>
          </w:tcPr>
          <w:p>
            <w:pPr>
              <w:spacing w:after="0"/>
              <w:rPr>
                <w:sz w:val="12"/>
                <w:szCs w:val="12"/>
                <w:color w:val="auto"/>
              </w:rPr>
            </w:pPr>
          </w:p>
        </w:tc>
        <w:tc>
          <w:tcPr>
            <w:tcW w:w="12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2460" w:type="dxa"/>
            <w:vAlign w:val="bottom"/>
            <w:tcBorders>
              <w:bottom w:val="single" w:sz="8" w:color="2C6937"/>
            </w:tcBorders>
            <w:gridSpan w:val="8"/>
          </w:tcPr>
          <w:p>
            <w:pPr>
              <w:ind w:left="60"/>
              <w:spacing w:after="0"/>
              <w:rPr>
                <w:sz w:val="20"/>
                <w:szCs w:val="20"/>
                <w:color w:val="auto"/>
              </w:rPr>
            </w:pPr>
            <w:r>
              <w:rPr>
                <w:rFonts w:ascii="Arial" w:cs="Arial" w:eastAsia="Arial" w:hAnsi="Arial"/>
                <w:sz w:val="10"/>
                <w:szCs w:val="10"/>
                <w:b w:val="1"/>
                <w:bCs w:val="1"/>
                <w:color w:val="auto"/>
              </w:rPr>
              <w:t>Fannie Mae Stockholders’ Equity</w:t>
            </w:r>
          </w:p>
        </w:tc>
        <w:tc>
          <w:tcPr>
            <w:tcW w:w="120" w:type="dxa"/>
            <w:vAlign w:val="bottom"/>
            <w:tcBorders>
              <w:bottom w:val="single" w:sz="8" w:color="2C6937"/>
            </w:tcBorders>
          </w:tcPr>
          <w:p>
            <w:pPr>
              <w:spacing w:after="0"/>
              <w:rPr>
                <w:sz w:val="12"/>
                <w:szCs w:val="12"/>
                <w:color w:val="auto"/>
              </w:rPr>
            </w:pPr>
          </w:p>
        </w:tc>
        <w:tc>
          <w:tcPr>
            <w:tcW w:w="9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5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20" w:type="dxa"/>
            <w:vAlign w:val="bottom"/>
            <w:tcBorders>
              <w:bottom w:val="single" w:sz="8" w:color="2C6937"/>
            </w:tcBorders>
          </w:tcPr>
          <w:p>
            <w:pPr>
              <w:spacing w:after="0"/>
              <w:rPr>
                <w:sz w:val="12"/>
                <w:szCs w:val="12"/>
                <w:color w:val="auto"/>
              </w:rPr>
            </w:pPr>
          </w:p>
        </w:tc>
        <w:tc>
          <w:tcPr>
            <w:tcW w:w="500" w:type="dxa"/>
            <w:vAlign w:val="bottom"/>
            <w:tcBorders>
              <w:bottom w:val="single" w:sz="8" w:color="2C6937"/>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Borders>
              <w:bottom w:val="single" w:sz="8" w:color="2C6937"/>
            </w:tcBorders>
            <w:gridSpan w:val="5"/>
          </w:tcPr>
          <w:p>
            <w:pPr>
              <w:jc w:val="center"/>
              <w:ind w:left="510"/>
              <w:spacing w:after="0"/>
              <w:rPr>
                <w:sz w:val="20"/>
                <w:szCs w:val="20"/>
                <w:color w:val="auto"/>
              </w:rPr>
            </w:pPr>
            <w:r>
              <w:rPr>
                <w:rFonts w:ascii="Arial" w:cs="Arial" w:eastAsia="Arial" w:hAnsi="Arial"/>
                <w:sz w:val="10"/>
                <w:szCs w:val="10"/>
                <w:b w:val="1"/>
                <w:bCs w:val="1"/>
                <w:color w:val="auto"/>
              </w:rPr>
              <w:t>Shares Outstanding</w:t>
            </w:r>
          </w:p>
        </w:tc>
        <w:tc>
          <w:tcPr>
            <w:tcW w:w="580" w:type="dxa"/>
            <w:vAlign w:val="bottom"/>
            <w:tcBorders>
              <w:bottom w:val="single" w:sz="8" w:color="2C6937"/>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9"/>
                <w:szCs w:val="9"/>
                <w:b w:val="1"/>
                <w:bCs w:val="1"/>
                <w:color w:val="auto"/>
                <w:w w:val="99"/>
              </w:rPr>
              <w:t>Accumulated</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0"/>
        </w:trPr>
        <w:tc>
          <w:tcPr>
            <w:tcW w:w="2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9"/>
                <w:szCs w:val="9"/>
                <w:b w:val="1"/>
                <w:bCs w:val="1"/>
                <w:color w:val="auto"/>
                <w:w w:val="99"/>
              </w:rPr>
              <w:t>Senior</w:t>
            </w: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gridSpan w:val="2"/>
            <w:vMerge w:val="restart"/>
          </w:tcPr>
          <w:p>
            <w:pPr>
              <w:jc w:val="center"/>
              <w:ind w:right="260"/>
              <w:spacing w:after="0"/>
              <w:rPr>
                <w:sz w:val="20"/>
                <w:szCs w:val="20"/>
                <w:color w:val="auto"/>
              </w:rPr>
            </w:pPr>
            <w:r>
              <w:rPr>
                <w:rFonts w:ascii="Arial" w:cs="Arial" w:eastAsia="Arial" w:hAnsi="Arial"/>
                <w:sz w:val="9"/>
                <w:szCs w:val="9"/>
                <w:b w:val="1"/>
                <w:bCs w:val="1"/>
                <w:color w:val="auto"/>
                <w:w w:val="99"/>
              </w:rPr>
              <w:t>Senior</w:t>
            </w:r>
          </w:p>
        </w:tc>
        <w:tc>
          <w:tcPr>
            <w:tcW w:w="100" w:type="dxa"/>
            <w:vAlign w:val="bottom"/>
          </w:tcPr>
          <w:p>
            <w:pPr>
              <w:spacing w:after="0"/>
              <w:rPr>
                <w:sz w:val="7"/>
                <w:szCs w:val="7"/>
                <w:color w:val="auto"/>
              </w:rPr>
            </w:pPr>
          </w:p>
        </w:tc>
        <w:tc>
          <w:tcPr>
            <w:tcW w:w="66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9"/>
              </w:rPr>
              <w:t>Preferred</w:t>
            </w:r>
          </w:p>
        </w:tc>
        <w:tc>
          <w:tcPr>
            <w:tcW w:w="120" w:type="dxa"/>
            <w:vAlign w:val="bottom"/>
          </w:tcPr>
          <w:p>
            <w:pPr>
              <w:spacing w:after="0"/>
              <w:rPr>
                <w:sz w:val="7"/>
                <w:szCs w:val="7"/>
                <w:color w:val="auto"/>
              </w:rPr>
            </w:pPr>
          </w:p>
        </w:tc>
        <w:tc>
          <w:tcPr>
            <w:tcW w:w="72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7"/>
              </w:rPr>
              <w:t>Common</w:t>
            </w:r>
          </w:p>
        </w:tc>
        <w:tc>
          <w:tcPr>
            <w:tcW w:w="100" w:type="dxa"/>
            <w:vAlign w:val="bottom"/>
          </w:tcPr>
          <w:p>
            <w:pPr>
              <w:spacing w:after="0"/>
              <w:rPr>
                <w:sz w:val="7"/>
                <w:szCs w:val="7"/>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9"/>
              </w:rPr>
              <w:t>Accumulated</w:t>
            </w:r>
          </w:p>
        </w:tc>
        <w:tc>
          <w:tcPr>
            <w:tcW w:w="120" w:type="dxa"/>
            <w:vAlign w:val="bottom"/>
          </w:tcPr>
          <w:p>
            <w:pPr>
              <w:spacing w:after="0"/>
              <w:rPr>
                <w:sz w:val="7"/>
                <w:szCs w:val="7"/>
                <w:color w:val="auto"/>
              </w:rPr>
            </w:pPr>
          </w:p>
        </w:tc>
        <w:tc>
          <w:tcPr>
            <w:tcW w:w="1000" w:type="dxa"/>
            <w:vAlign w:val="bottom"/>
            <w:gridSpan w:val="2"/>
          </w:tcPr>
          <w:p>
            <w:pPr>
              <w:jc w:val="center"/>
              <w:ind w:right="240"/>
              <w:spacing w:after="0" w:line="91" w:lineRule="exact"/>
              <w:rPr>
                <w:sz w:val="20"/>
                <w:szCs w:val="20"/>
                <w:color w:val="auto"/>
              </w:rPr>
            </w:pPr>
            <w:r>
              <w:rPr>
                <w:rFonts w:ascii="Arial" w:cs="Arial" w:eastAsia="Arial" w:hAnsi="Arial"/>
                <w:sz w:val="9"/>
                <w:szCs w:val="9"/>
                <w:b w:val="1"/>
                <w:bCs w:val="1"/>
                <w:color w:val="auto"/>
                <w:w w:val="99"/>
              </w:rPr>
              <w:t>Other</w:t>
            </w:r>
          </w:p>
        </w:tc>
        <w:tc>
          <w:tcPr>
            <w:tcW w:w="100" w:type="dxa"/>
            <w:vAlign w:val="bottom"/>
          </w:tcPr>
          <w:p>
            <w:pPr>
              <w:spacing w:after="0"/>
              <w:rPr>
                <w:sz w:val="7"/>
                <w:szCs w:val="7"/>
                <w:color w:val="auto"/>
              </w:rPr>
            </w:pPr>
          </w:p>
        </w:tc>
        <w:tc>
          <w:tcPr>
            <w:tcW w:w="660" w:type="dxa"/>
            <w:vAlign w:val="bottom"/>
            <w:gridSpan w:val="2"/>
            <w:vMerge w:val="restart"/>
          </w:tcPr>
          <w:p>
            <w:pPr>
              <w:jc w:val="center"/>
              <w:ind w:right="200"/>
              <w:spacing w:after="0"/>
              <w:rPr>
                <w:sz w:val="20"/>
                <w:szCs w:val="20"/>
                <w:color w:val="auto"/>
              </w:rPr>
            </w:pPr>
            <w:r>
              <w:rPr>
                <w:rFonts w:ascii="Arial" w:cs="Arial" w:eastAsia="Arial" w:hAnsi="Arial"/>
                <w:sz w:val="9"/>
                <w:szCs w:val="9"/>
                <w:b w:val="1"/>
                <w:bCs w:val="1"/>
                <w:color w:val="auto"/>
                <w:w w:val="99"/>
              </w:rPr>
              <w:t>Treasury</w:t>
            </w:r>
          </w:p>
        </w:tc>
        <w:tc>
          <w:tcPr>
            <w:tcW w:w="120" w:type="dxa"/>
            <w:vAlign w:val="bottom"/>
          </w:tcPr>
          <w:p>
            <w:pPr>
              <w:spacing w:after="0"/>
              <w:rPr>
                <w:sz w:val="7"/>
                <w:szCs w:val="7"/>
                <w:color w:val="auto"/>
              </w:rPr>
            </w:pPr>
          </w:p>
        </w:tc>
        <w:tc>
          <w:tcPr>
            <w:tcW w:w="500" w:type="dxa"/>
            <w:vAlign w:val="bottom"/>
            <w:vMerge w:val="restart"/>
          </w:tcPr>
          <w:p>
            <w:pPr>
              <w:jc w:val="right"/>
              <w:ind w:right="150"/>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89"/>
        </w:trPr>
        <w:tc>
          <w:tcPr>
            <w:tcW w:w="2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40" w:type="dxa"/>
            <w:vAlign w:val="bottom"/>
            <w:gridSpan w:val="3"/>
            <w:vMerge w:val="restart"/>
          </w:tcPr>
          <w:p>
            <w:pPr>
              <w:jc w:val="center"/>
              <w:ind w:right="200"/>
              <w:spacing w:after="0"/>
              <w:rPr>
                <w:sz w:val="20"/>
                <w:szCs w:val="20"/>
                <w:color w:val="auto"/>
              </w:rPr>
            </w:pPr>
            <w:r>
              <w:rPr>
                <w:rFonts w:ascii="Arial" w:cs="Arial" w:eastAsia="Arial" w:hAnsi="Arial"/>
                <w:sz w:val="9"/>
                <w:szCs w:val="9"/>
                <w:b w:val="1"/>
                <w:bCs w:val="1"/>
                <w:color w:val="auto"/>
                <w:w w:val="99"/>
              </w:rPr>
              <w:t>Preferred</w:t>
            </w:r>
          </w:p>
        </w:tc>
        <w:tc>
          <w:tcPr>
            <w:tcW w:w="68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Common</w:t>
            </w:r>
          </w:p>
        </w:tc>
        <w:tc>
          <w:tcPr>
            <w:tcW w:w="14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tcPr>
          <w:p>
            <w:pPr>
              <w:jc w:val="center"/>
              <w:ind w:right="220"/>
              <w:spacing w:after="0" w:line="89" w:lineRule="exact"/>
              <w:rPr>
                <w:sz w:val="20"/>
                <w:szCs w:val="20"/>
                <w:color w:val="auto"/>
              </w:rPr>
            </w:pPr>
            <w:r>
              <w:rPr>
                <w:rFonts w:ascii="Arial" w:cs="Arial" w:eastAsia="Arial" w:hAnsi="Arial"/>
                <w:sz w:val="9"/>
                <w:szCs w:val="9"/>
                <w:b w:val="1"/>
                <w:bCs w:val="1"/>
                <w:color w:val="auto"/>
                <w:w w:val="97"/>
              </w:rPr>
              <w:t>Comprehensive</w:t>
            </w: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99"/>
              </w:rPr>
              <w:t>Preferred</w:t>
            </w:r>
          </w:p>
        </w:tc>
        <w:tc>
          <w:tcPr>
            <w:tcW w:w="840" w:type="dxa"/>
            <w:vAlign w:val="bottom"/>
            <w:gridSpan w:val="3"/>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40" w:type="dxa"/>
            <w:vAlign w:val="bottom"/>
            <w:gridSpan w:val="3"/>
          </w:tcPr>
          <w:p>
            <w:pPr>
              <w:jc w:val="center"/>
              <w:ind w:right="120"/>
              <w:spacing w:after="0"/>
              <w:rPr>
                <w:sz w:val="20"/>
                <w:szCs w:val="20"/>
                <w:color w:val="auto"/>
              </w:rPr>
            </w:pPr>
            <w:r>
              <w:rPr>
                <w:rFonts w:ascii="Arial" w:cs="Arial" w:eastAsia="Arial" w:hAnsi="Arial"/>
                <w:sz w:val="9"/>
                <w:szCs w:val="9"/>
                <w:b w:val="1"/>
                <w:bCs w:val="1"/>
                <w:color w:val="auto"/>
              </w:rPr>
              <w:t>Preferred Stock</w:t>
            </w:r>
          </w:p>
        </w:tc>
        <w:tc>
          <w:tcPr>
            <w:tcW w:w="100" w:type="dxa"/>
            <w:vAlign w:val="bottom"/>
          </w:tcPr>
          <w:p>
            <w:pPr>
              <w:spacing w:after="0"/>
              <w:rPr>
                <w:sz w:val="11"/>
                <w:szCs w:val="11"/>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7"/>
              </w:rPr>
              <w:t>Stock</w:t>
            </w:r>
          </w:p>
        </w:tc>
        <w:tc>
          <w:tcPr>
            <w:tcW w:w="120" w:type="dxa"/>
            <w:vAlign w:val="bottom"/>
          </w:tcPr>
          <w:p>
            <w:pPr>
              <w:spacing w:after="0"/>
              <w:rPr>
                <w:sz w:val="11"/>
                <w:szCs w:val="11"/>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7"/>
              </w:rPr>
              <w:t>Stock</w:t>
            </w:r>
          </w:p>
        </w:tc>
        <w:tc>
          <w:tcPr>
            <w:tcW w:w="100" w:type="dxa"/>
            <w:vAlign w:val="bottom"/>
          </w:tcPr>
          <w:p>
            <w:pPr>
              <w:spacing w:after="0"/>
              <w:rPr>
                <w:sz w:val="11"/>
                <w:szCs w:val="11"/>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rPr>
              <w:t>Deficit</w:t>
            </w:r>
          </w:p>
        </w:tc>
        <w:tc>
          <w:tcPr>
            <w:tcW w:w="120" w:type="dxa"/>
            <w:vAlign w:val="bottom"/>
          </w:tcPr>
          <w:p>
            <w:pPr>
              <w:spacing w:after="0"/>
              <w:rPr>
                <w:sz w:val="11"/>
                <w:szCs w:val="11"/>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5"/>
              </w:rPr>
              <w:t>Income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rPr>
              <w:t>Stock</w:t>
            </w:r>
          </w:p>
        </w:tc>
        <w:tc>
          <w:tcPr>
            <w:tcW w:w="120" w:type="dxa"/>
            <w:vAlign w:val="bottom"/>
          </w:tcPr>
          <w:p>
            <w:pPr>
              <w:spacing w:after="0"/>
              <w:rPr>
                <w:sz w:val="11"/>
                <w:szCs w:val="11"/>
                <w:color w:val="auto"/>
              </w:rPr>
            </w:pPr>
          </w:p>
        </w:tc>
        <w:tc>
          <w:tcPr>
            <w:tcW w:w="500" w:type="dxa"/>
            <w:vAlign w:val="bottom"/>
          </w:tcPr>
          <w:p>
            <w:pPr>
              <w:jc w:val="right"/>
              <w:ind w:right="130"/>
              <w:spacing w:after="0"/>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141"/>
        </w:trPr>
        <w:tc>
          <w:tcPr>
            <w:tcW w:w="3000" w:type="dxa"/>
            <w:vAlign w:val="bottom"/>
            <w:gridSpan w:val="2"/>
          </w:tcPr>
          <w:p>
            <w:pPr>
              <w:ind w:left="20"/>
              <w:spacing w:after="0"/>
              <w:rPr>
                <w:sz w:val="20"/>
                <w:szCs w:val="20"/>
                <w:color w:val="auto"/>
              </w:rPr>
            </w:pPr>
            <w:r>
              <w:rPr>
                <w:rFonts w:ascii="Arial" w:cs="Arial" w:eastAsia="Arial" w:hAnsi="Arial"/>
                <w:sz w:val="10"/>
                <w:szCs w:val="10"/>
                <w:b w:val="1"/>
                <w:bCs w:val="1"/>
                <w:color w:val="auto"/>
              </w:rPr>
              <w:t>Balance as of December 31, 2022</w:t>
            </w:r>
          </w:p>
        </w:tc>
        <w:tc>
          <w:tcPr>
            <w:tcW w:w="68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2"/>
                <w:szCs w:val="12"/>
                <w:color w:val="auto"/>
              </w:rPr>
            </w:pPr>
          </w:p>
        </w:tc>
        <w:tc>
          <w:tcPr>
            <w:tcW w:w="66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556</w:t>
            </w:r>
          </w:p>
        </w:tc>
        <w:tc>
          <w:tcPr>
            <w:tcW w:w="100" w:type="dxa"/>
            <w:vAlign w:val="bottom"/>
          </w:tcPr>
          <w:p>
            <w:pPr>
              <w:spacing w:after="0"/>
              <w:rPr>
                <w:sz w:val="12"/>
                <w:szCs w:val="12"/>
                <w:color w:val="auto"/>
              </w:rPr>
            </w:pPr>
          </w:p>
        </w:tc>
        <w:tc>
          <w:tcPr>
            <w:tcW w:w="80" w:type="dxa"/>
            <w:vAlign w:val="bottom"/>
            <w:tcBorders>
              <w:top w:val="single" w:sz="8" w:color="2C6937"/>
            </w:tcBorders>
          </w:tcPr>
          <w:p>
            <w:pPr>
              <w:spacing w:after="0"/>
              <w:rPr>
                <w:sz w:val="12"/>
                <w:szCs w:val="12"/>
                <w:color w:val="auto"/>
              </w:rPr>
            </w:pPr>
          </w:p>
        </w:tc>
        <w:tc>
          <w:tcPr>
            <w:tcW w:w="58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1,158</w:t>
            </w:r>
          </w:p>
        </w:tc>
        <w:tc>
          <w:tcPr>
            <w:tcW w:w="100" w:type="dxa"/>
            <w:vAlign w:val="bottom"/>
          </w:tcPr>
          <w:p>
            <w:pPr>
              <w:spacing w:after="0"/>
              <w:rPr>
                <w:sz w:val="12"/>
                <w:szCs w:val="12"/>
                <w:color w:val="auto"/>
              </w:rPr>
            </w:pPr>
          </w:p>
        </w:tc>
        <w:tc>
          <w:tcPr>
            <w:tcW w:w="140" w:type="dxa"/>
            <w:vAlign w:val="bottom"/>
            <w:tcBorders>
              <w:top w:val="single" w:sz="8" w:color="2C6937"/>
            </w:tcBorders>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120,836</w:t>
            </w:r>
          </w:p>
        </w:tc>
        <w:tc>
          <w:tcPr>
            <w:tcW w:w="12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19,130</w:t>
            </w:r>
          </w:p>
        </w:tc>
        <w:tc>
          <w:tcPr>
            <w:tcW w:w="100" w:type="dxa"/>
            <w:vAlign w:val="bottom"/>
          </w:tcPr>
          <w:p>
            <w:pPr>
              <w:spacing w:after="0"/>
              <w:rPr>
                <w:sz w:val="12"/>
                <w:szCs w:val="12"/>
                <w:color w:val="auto"/>
              </w:rPr>
            </w:pPr>
          </w:p>
        </w:tc>
        <w:tc>
          <w:tcPr>
            <w:tcW w:w="12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6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687</w:t>
            </w:r>
          </w:p>
        </w:tc>
        <w:tc>
          <w:tcPr>
            <w:tcW w:w="12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(73,011)</w:t>
            </w:r>
          </w:p>
        </w:tc>
        <w:tc>
          <w:tcPr>
            <w:tcW w:w="100" w:type="dxa"/>
            <w:vAlign w:val="bottom"/>
          </w:tcPr>
          <w:p>
            <w:pPr>
              <w:spacing w:after="0"/>
              <w:rPr>
                <w:sz w:val="12"/>
                <w:szCs w:val="12"/>
                <w:color w:val="auto"/>
              </w:rPr>
            </w:pPr>
          </w:p>
        </w:tc>
        <w:tc>
          <w:tcPr>
            <w:tcW w:w="12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900" w:type="dxa"/>
            <w:vAlign w:val="bottom"/>
            <w:tcBorders>
              <w:top w:val="single" w:sz="8" w:color="2C6937"/>
            </w:tcBorders>
          </w:tcPr>
          <w:p>
            <w:pPr>
              <w:jc w:val="right"/>
              <w:ind w:right="11"/>
              <w:spacing w:after="0"/>
              <w:rPr>
                <w:sz w:val="20"/>
                <w:szCs w:val="20"/>
                <w:color w:val="auto"/>
              </w:rPr>
            </w:pPr>
            <w:r>
              <w:rPr>
                <w:rFonts w:ascii="Arial" w:cs="Arial" w:eastAsia="Arial" w:hAnsi="Arial"/>
                <w:sz w:val="10"/>
                <w:szCs w:val="10"/>
                <w:color w:val="auto"/>
              </w:rPr>
              <w:t>35</w:t>
            </w:r>
          </w:p>
        </w:tc>
        <w:tc>
          <w:tcPr>
            <w:tcW w:w="10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(7,400)</w:t>
            </w:r>
          </w:p>
        </w:tc>
        <w:tc>
          <w:tcPr>
            <w:tcW w:w="100" w:type="dxa"/>
            <w:vAlign w:val="bottom"/>
          </w:tcPr>
          <w:p>
            <w:pPr>
              <w:spacing w:after="0"/>
              <w:rPr>
                <w:sz w:val="12"/>
                <w:szCs w:val="12"/>
                <w:color w:val="auto"/>
              </w:rPr>
            </w:pPr>
          </w:p>
        </w:tc>
        <w:tc>
          <w:tcPr>
            <w:tcW w:w="12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0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60,277</w:t>
            </w:r>
          </w:p>
        </w:tc>
        <w:tc>
          <w:tcPr>
            <w:tcW w:w="0" w:type="dxa"/>
            <w:vAlign w:val="bottom"/>
          </w:tcPr>
          <w:p>
            <w:pPr>
              <w:spacing w:after="0"/>
              <w:rPr>
                <w:sz w:val="1"/>
                <w:szCs w:val="1"/>
                <w:color w:val="auto"/>
              </w:rPr>
            </w:pPr>
          </w:p>
        </w:tc>
      </w:tr>
      <w:tr>
        <w:trPr>
          <w:trHeight w:val="149"/>
        </w:trPr>
        <w:tc>
          <w:tcPr>
            <w:tcW w:w="3000" w:type="dxa"/>
            <w:vAlign w:val="bottom"/>
            <w:gridSpan w:val="2"/>
          </w:tcPr>
          <w:p>
            <w:pPr>
              <w:ind w:left="20"/>
              <w:spacing w:after="0"/>
              <w:rPr>
                <w:sz w:val="20"/>
                <w:szCs w:val="20"/>
                <w:color w:val="auto"/>
              </w:rPr>
            </w:pPr>
            <w:r>
              <w:rPr>
                <w:rFonts w:ascii="Arial" w:cs="Arial" w:eastAsia="Arial" w:hAnsi="Arial"/>
                <w:sz w:val="10"/>
                <w:szCs w:val="10"/>
                <w:color w:val="auto"/>
              </w:rPr>
              <w:t>Comprehensive income:</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000" w:type="dxa"/>
            <w:vAlign w:val="bottom"/>
            <w:gridSpan w:val="2"/>
          </w:tcPr>
          <w:p>
            <w:pPr>
              <w:ind w:left="20"/>
              <w:spacing w:after="0"/>
              <w:rPr>
                <w:sz w:val="20"/>
                <w:szCs w:val="20"/>
                <w:color w:val="auto"/>
              </w:rPr>
            </w:pPr>
            <w:r>
              <w:rPr>
                <w:rFonts w:ascii="Arial" w:cs="Arial" w:eastAsia="Arial" w:hAnsi="Arial"/>
                <w:sz w:val="10"/>
                <w:szCs w:val="10"/>
                <w:color w:val="auto"/>
              </w:rPr>
              <w:t>Net income</w:t>
            </w:r>
          </w:p>
        </w:tc>
        <w:tc>
          <w:tcPr>
            <w:tcW w:w="7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840" w:type="dxa"/>
            <w:vAlign w:val="bottom"/>
            <w:gridSpan w:val="3"/>
          </w:tcPr>
          <w:p>
            <w:pPr>
              <w:jc w:val="right"/>
              <w:ind w:right="24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760" w:type="dxa"/>
            <w:vAlign w:val="bottom"/>
          </w:tcPr>
          <w:p>
            <w:pPr>
              <w:jc w:val="right"/>
              <w:ind w:right="10"/>
              <w:spacing w:after="0"/>
              <w:rPr>
                <w:sz w:val="20"/>
                <w:szCs w:val="20"/>
                <w:color w:val="auto"/>
              </w:rPr>
            </w:pPr>
            <w:r>
              <w:rPr>
                <w:rFonts w:ascii="Arial" w:cs="Arial" w:eastAsia="Arial" w:hAnsi="Arial"/>
                <w:sz w:val="10"/>
                <w:szCs w:val="10"/>
                <w:color w:val="auto"/>
              </w:rPr>
              <w:t>13,465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500" w:type="dxa"/>
            <w:vAlign w:val="bottom"/>
          </w:tcPr>
          <w:p>
            <w:pPr>
              <w:jc w:val="right"/>
              <w:ind w:right="10"/>
              <w:spacing w:after="0"/>
              <w:rPr>
                <w:sz w:val="20"/>
                <w:szCs w:val="20"/>
                <w:color w:val="auto"/>
              </w:rPr>
            </w:pPr>
            <w:r>
              <w:rPr>
                <w:rFonts w:ascii="Arial" w:cs="Arial" w:eastAsia="Arial" w:hAnsi="Arial"/>
                <w:sz w:val="10"/>
                <w:szCs w:val="10"/>
                <w:color w:val="auto"/>
              </w:rPr>
              <w:t>13,465</w:t>
            </w:r>
          </w:p>
        </w:tc>
        <w:tc>
          <w:tcPr>
            <w:tcW w:w="0" w:type="dxa"/>
            <w:vAlign w:val="bottom"/>
          </w:tcPr>
          <w:p>
            <w:pPr>
              <w:spacing w:after="0"/>
              <w:rPr>
                <w:sz w:val="1"/>
                <w:szCs w:val="1"/>
                <w:color w:val="auto"/>
              </w:rPr>
            </w:pPr>
          </w:p>
        </w:tc>
      </w:tr>
      <w:tr>
        <w:trPr>
          <w:trHeight w:val="155"/>
        </w:trPr>
        <w:tc>
          <w:tcPr>
            <w:tcW w:w="3000" w:type="dxa"/>
            <w:vAlign w:val="bottom"/>
            <w:gridSpan w:val="2"/>
          </w:tcPr>
          <w:p>
            <w:pPr>
              <w:ind w:left="20"/>
              <w:spacing w:after="0"/>
              <w:rPr>
                <w:sz w:val="20"/>
                <w:szCs w:val="20"/>
                <w:color w:val="auto"/>
              </w:rPr>
            </w:pPr>
            <w:r>
              <w:rPr>
                <w:rFonts w:ascii="Arial" w:cs="Arial" w:eastAsia="Arial" w:hAnsi="Arial"/>
                <w:sz w:val="10"/>
                <w:szCs w:val="10"/>
                <w:color w:val="auto"/>
              </w:rPr>
              <w:t>Other comprehensive income, net of tax effect:</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3000" w:type="dxa"/>
            <w:vAlign w:val="bottom"/>
            <w:gridSpan w:val="2"/>
          </w:tcPr>
          <w:p>
            <w:pPr>
              <w:ind w:left="180"/>
              <w:spacing w:after="0"/>
              <w:rPr>
                <w:sz w:val="20"/>
                <w:szCs w:val="20"/>
                <w:color w:val="auto"/>
              </w:rPr>
            </w:pPr>
            <w:r>
              <w:rPr>
                <w:rFonts w:ascii="Arial" w:cs="Arial" w:eastAsia="Arial" w:hAnsi="Arial"/>
                <w:sz w:val="10"/>
                <w:szCs w:val="10"/>
                <w:color w:val="auto"/>
              </w:rPr>
              <w:t>Changes in net unrealized gains (losses) on available-for-</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840" w:type="dxa"/>
            <w:vAlign w:val="bottom"/>
            <w:gridSpan w:val="3"/>
            <w:vMerge w:val="restart"/>
          </w:tcPr>
          <w:p>
            <w:pPr>
              <w:jc w:val="right"/>
              <w:ind w:right="240"/>
              <w:spacing w:after="0"/>
              <w:rPr>
                <w:sz w:val="20"/>
                <w:szCs w:val="20"/>
                <w:color w:val="auto"/>
              </w:rPr>
            </w:pPr>
            <w:r>
              <w:rPr>
                <w:rFonts w:ascii="Arial" w:cs="Arial" w:eastAsia="Arial" w:hAnsi="Arial"/>
                <w:sz w:val="10"/>
                <w:szCs w:val="10"/>
                <w:color w:val="auto"/>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0"/>
                <w:szCs w:val="10"/>
                <w:color w:val="auto"/>
              </w:rPr>
              <w:t>(12)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0"/>
                <w:szCs w:val="10"/>
                <w:color w:val="auto"/>
              </w:rPr>
              <w:t>(12)</w:t>
            </w:r>
          </w:p>
        </w:tc>
        <w:tc>
          <w:tcPr>
            <w:tcW w:w="0" w:type="dxa"/>
            <w:vAlign w:val="bottom"/>
          </w:tcPr>
          <w:p>
            <w:pPr>
              <w:spacing w:after="0"/>
              <w:rPr>
                <w:sz w:val="1"/>
                <w:szCs w:val="1"/>
                <w:color w:val="auto"/>
              </w:rPr>
            </w:pPr>
          </w:p>
        </w:tc>
      </w:tr>
      <w:tr>
        <w:trPr>
          <w:trHeight w:val="135"/>
        </w:trPr>
        <w:tc>
          <w:tcPr>
            <w:tcW w:w="3000" w:type="dxa"/>
            <w:vAlign w:val="bottom"/>
            <w:gridSpan w:val="2"/>
          </w:tcPr>
          <w:p>
            <w:pPr>
              <w:ind w:left="340"/>
              <w:spacing w:after="0"/>
              <w:rPr>
                <w:sz w:val="20"/>
                <w:szCs w:val="20"/>
                <w:color w:val="auto"/>
              </w:rPr>
            </w:pPr>
            <w:r>
              <w:rPr>
                <w:rFonts w:ascii="Arial" w:cs="Arial" w:eastAsia="Arial" w:hAnsi="Arial"/>
                <w:sz w:val="10"/>
                <w:szCs w:val="10"/>
                <w:color w:val="auto"/>
              </w:rPr>
              <w:t>sale securities (net of taxes of $3)</w:t>
            </w:r>
          </w:p>
        </w:tc>
        <w:tc>
          <w:tcPr>
            <w:tcW w:w="780" w:type="dxa"/>
            <w:vAlign w:val="bottom"/>
            <w:gridSpan w:val="2"/>
            <w:vMerge w:val="continue"/>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00" w:type="dxa"/>
            <w:vAlign w:val="bottom"/>
            <w:gridSpan w:val="2"/>
          </w:tcPr>
          <w:p>
            <w:pPr>
              <w:ind w:left="180"/>
              <w:spacing w:after="0"/>
              <w:rPr>
                <w:sz w:val="20"/>
                <w:szCs w:val="20"/>
                <w:color w:val="auto"/>
              </w:rPr>
            </w:pPr>
            <w:r>
              <w:rPr>
                <w:rFonts w:ascii="Arial" w:cs="Arial" w:eastAsia="Arial" w:hAnsi="Arial"/>
                <w:sz w:val="10"/>
                <w:szCs w:val="10"/>
                <w:color w:val="auto"/>
              </w:rPr>
              <w:t>Other (net of taxes of $1)</w:t>
            </w:r>
          </w:p>
        </w:tc>
        <w:tc>
          <w:tcPr>
            <w:tcW w:w="7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840" w:type="dxa"/>
            <w:vAlign w:val="bottom"/>
            <w:gridSpan w:val="3"/>
          </w:tcPr>
          <w:p>
            <w:pPr>
              <w:jc w:val="right"/>
              <w:ind w:right="24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2C6937"/>
            </w:tcBorders>
          </w:tcPr>
          <w:p>
            <w:pPr>
              <w:spacing w:after="0"/>
              <w:rPr>
                <w:sz w:val="14"/>
                <w:szCs w:val="14"/>
                <w:color w:val="auto"/>
              </w:rPr>
            </w:pPr>
          </w:p>
        </w:tc>
        <w:tc>
          <w:tcPr>
            <w:tcW w:w="500" w:type="dxa"/>
            <w:vAlign w:val="bottom"/>
            <w:tcBorders>
              <w:bottom w:val="single" w:sz="8" w:color="2C6937"/>
            </w:tcBorders>
          </w:tcPr>
          <w:p>
            <w:pPr>
              <w:jc w:val="right"/>
              <w:spacing w:after="0"/>
              <w:rPr>
                <w:sz w:val="20"/>
                <w:szCs w:val="20"/>
                <w:color w:val="auto"/>
              </w:rPr>
            </w:pPr>
            <w:r>
              <w:rPr>
                <w:rFonts w:ascii="Arial" w:cs="Arial" w:eastAsia="Arial" w:hAnsi="Arial"/>
                <w:sz w:val="10"/>
                <w:szCs w:val="10"/>
                <w:color w:val="auto"/>
              </w:rPr>
              <w:t>(5)</w:t>
            </w:r>
          </w:p>
        </w:tc>
        <w:tc>
          <w:tcPr>
            <w:tcW w:w="0" w:type="dxa"/>
            <w:vAlign w:val="bottom"/>
          </w:tcPr>
          <w:p>
            <w:pPr>
              <w:spacing w:after="0"/>
              <w:rPr>
                <w:sz w:val="1"/>
                <w:szCs w:val="1"/>
                <w:color w:val="auto"/>
              </w:rPr>
            </w:pPr>
          </w:p>
        </w:tc>
      </w:tr>
      <w:tr>
        <w:trPr>
          <w:trHeight w:val="148"/>
        </w:trPr>
        <w:tc>
          <w:tcPr>
            <w:tcW w:w="3000" w:type="dxa"/>
            <w:vAlign w:val="bottom"/>
            <w:gridSpan w:val="2"/>
          </w:tcPr>
          <w:p>
            <w:pPr>
              <w:ind w:left="20"/>
              <w:spacing w:after="0"/>
              <w:rPr>
                <w:sz w:val="20"/>
                <w:szCs w:val="20"/>
                <w:color w:val="auto"/>
              </w:rPr>
            </w:pPr>
            <w:r>
              <w:rPr>
                <w:rFonts w:ascii="Arial" w:cs="Arial" w:eastAsia="Arial" w:hAnsi="Arial"/>
                <w:sz w:val="10"/>
                <w:szCs w:val="10"/>
                <w:color w:val="auto"/>
              </w:rPr>
              <w:t>Total comprehensive income</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10"/>
              <w:spacing w:after="0"/>
              <w:rPr>
                <w:sz w:val="20"/>
                <w:szCs w:val="20"/>
                <w:color w:val="auto"/>
              </w:rPr>
            </w:pPr>
            <w:r>
              <w:rPr>
                <w:rFonts w:ascii="Arial" w:cs="Arial" w:eastAsia="Arial" w:hAnsi="Arial"/>
                <w:sz w:val="10"/>
                <w:szCs w:val="10"/>
                <w:color w:val="auto"/>
              </w:rPr>
              <w:t>13,448</w:t>
            </w:r>
          </w:p>
        </w:tc>
        <w:tc>
          <w:tcPr>
            <w:tcW w:w="0" w:type="dxa"/>
            <w:vAlign w:val="bottom"/>
          </w:tcPr>
          <w:p>
            <w:pPr>
              <w:spacing w:after="0"/>
              <w:rPr>
                <w:sz w:val="1"/>
                <w:szCs w:val="1"/>
                <w:color w:val="auto"/>
              </w:rPr>
            </w:pPr>
          </w:p>
        </w:tc>
      </w:tr>
      <w:tr>
        <w:trPr>
          <w:trHeight w:val="148"/>
        </w:trPr>
        <w:tc>
          <w:tcPr>
            <w:tcW w:w="2900" w:type="dxa"/>
            <w:vAlign w:val="bottom"/>
            <w:tcBorders>
              <w:top w:val="single" w:sz="8" w:color="2C6937"/>
              <w:bottom w:val="single" w:sz="8" w:color="2C6937"/>
            </w:tcBorders>
          </w:tcPr>
          <w:p>
            <w:pPr>
              <w:ind w:left="40"/>
              <w:spacing w:after="0"/>
              <w:rPr>
                <w:sz w:val="20"/>
                <w:szCs w:val="20"/>
                <w:color w:val="auto"/>
              </w:rPr>
            </w:pPr>
            <w:r>
              <w:rPr>
                <w:rFonts w:ascii="Arial" w:cs="Arial" w:eastAsia="Arial" w:hAnsi="Arial"/>
                <w:sz w:val="10"/>
                <w:szCs w:val="10"/>
                <w:b w:val="1"/>
                <w:bCs w:val="1"/>
                <w:color w:val="auto"/>
              </w:rPr>
              <w:t>Balance as of September 30, 2023</w:t>
            </w:r>
          </w:p>
        </w:tc>
        <w:tc>
          <w:tcPr>
            <w:tcW w:w="100" w:type="dxa"/>
            <w:vAlign w:val="bottom"/>
          </w:tcPr>
          <w:p>
            <w:pPr>
              <w:spacing w:after="0"/>
              <w:rPr>
                <w:sz w:val="12"/>
                <w:szCs w:val="12"/>
                <w:color w:val="auto"/>
              </w:rPr>
            </w:pPr>
          </w:p>
        </w:tc>
        <w:tc>
          <w:tcPr>
            <w:tcW w:w="68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2"/>
                <w:szCs w:val="12"/>
                <w:color w:val="auto"/>
              </w:rPr>
            </w:pPr>
          </w:p>
        </w:tc>
        <w:tc>
          <w:tcPr>
            <w:tcW w:w="66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556</w:t>
            </w:r>
          </w:p>
        </w:tc>
        <w:tc>
          <w:tcPr>
            <w:tcW w:w="100" w:type="dxa"/>
            <w:vAlign w:val="bottom"/>
          </w:tcPr>
          <w:p>
            <w:pPr>
              <w:spacing w:after="0"/>
              <w:rPr>
                <w:sz w:val="12"/>
                <w:szCs w:val="12"/>
                <w:color w:val="auto"/>
              </w:rPr>
            </w:pPr>
          </w:p>
        </w:tc>
        <w:tc>
          <w:tcPr>
            <w:tcW w:w="80" w:type="dxa"/>
            <w:vAlign w:val="bottom"/>
            <w:tcBorders>
              <w:top w:val="single" w:sz="8" w:color="2C6937"/>
              <w:bottom w:val="single" w:sz="8" w:color="2C6937"/>
            </w:tcBorders>
          </w:tcPr>
          <w:p>
            <w:pPr>
              <w:spacing w:after="0"/>
              <w:rPr>
                <w:sz w:val="12"/>
                <w:szCs w:val="12"/>
                <w:color w:val="auto"/>
              </w:rPr>
            </w:pPr>
          </w:p>
        </w:tc>
        <w:tc>
          <w:tcPr>
            <w:tcW w:w="58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1,158</w:t>
            </w:r>
          </w:p>
        </w:tc>
        <w:tc>
          <w:tcPr>
            <w:tcW w:w="100" w:type="dxa"/>
            <w:vAlign w:val="bottom"/>
          </w:tcPr>
          <w:p>
            <w:pPr>
              <w:spacing w:after="0"/>
              <w:rPr>
                <w:sz w:val="12"/>
                <w:szCs w:val="12"/>
                <w:color w:val="auto"/>
              </w:rPr>
            </w:pPr>
          </w:p>
        </w:tc>
        <w:tc>
          <w:tcPr>
            <w:tcW w:w="140" w:type="dxa"/>
            <w:vAlign w:val="bottom"/>
            <w:tcBorders>
              <w:top w:val="single" w:sz="8" w:color="2C6937"/>
              <w:bottom w:val="single" w:sz="8" w:color="2C6937"/>
            </w:tcBorders>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120,836</w:t>
            </w:r>
          </w:p>
        </w:tc>
        <w:tc>
          <w:tcPr>
            <w:tcW w:w="12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19,130</w:t>
            </w:r>
          </w:p>
        </w:tc>
        <w:tc>
          <w:tcPr>
            <w:tcW w:w="100" w:type="dxa"/>
            <w:vAlign w:val="bottom"/>
          </w:tcPr>
          <w:p>
            <w:pPr>
              <w:spacing w:after="0"/>
              <w:rPr>
                <w:sz w:val="12"/>
                <w:szCs w:val="12"/>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6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687</w:t>
            </w:r>
          </w:p>
        </w:tc>
        <w:tc>
          <w:tcPr>
            <w:tcW w:w="12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(59,546)</w:t>
            </w:r>
          </w:p>
        </w:tc>
        <w:tc>
          <w:tcPr>
            <w:tcW w:w="100" w:type="dxa"/>
            <w:vAlign w:val="bottom"/>
          </w:tcPr>
          <w:p>
            <w:pPr>
              <w:spacing w:after="0"/>
              <w:rPr>
                <w:sz w:val="12"/>
                <w:szCs w:val="12"/>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900" w:type="dxa"/>
            <w:vAlign w:val="bottom"/>
            <w:tcBorders>
              <w:top w:val="single" w:sz="8" w:color="2C6937"/>
              <w:bottom w:val="single" w:sz="8" w:color="2C6937"/>
            </w:tcBorders>
          </w:tcPr>
          <w:p>
            <w:pPr>
              <w:jc w:val="right"/>
              <w:ind w:right="11"/>
              <w:spacing w:after="0"/>
              <w:rPr>
                <w:sz w:val="20"/>
                <w:szCs w:val="20"/>
                <w:color w:val="auto"/>
              </w:rPr>
            </w:pPr>
            <w:r>
              <w:rPr>
                <w:rFonts w:ascii="Arial" w:cs="Arial" w:eastAsia="Arial" w:hAnsi="Arial"/>
                <w:sz w:val="10"/>
                <w:szCs w:val="10"/>
                <w:color w:val="auto"/>
              </w:rPr>
              <w:t>18</w:t>
            </w:r>
          </w:p>
        </w:tc>
        <w:tc>
          <w:tcPr>
            <w:tcW w:w="10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(7,400)</w:t>
            </w:r>
          </w:p>
        </w:tc>
        <w:tc>
          <w:tcPr>
            <w:tcW w:w="100" w:type="dxa"/>
            <w:vAlign w:val="bottom"/>
          </w:tcPr>
          <w:p>
            <w:pPr>
              <w:spacing w:after="0"/>
              <w:rPr>
                <w:sz w:val="12"/>
                <w:szCs w:val="12"/>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50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73,725</w:t>
            </w:r>
          </w:p>
        </w:tc>
        <w:tc>
          <w:tcPr>
            <w:tcW w:w="0" w:type="dxa"/>
            <w:vAlign w:val="bottom"/>
          </w:tcPr>
          <w:p>
            <w:pPr>
              <w:spacing w:after="0"/>
              <w:rPr>
                <w:sz w:val="1"/>
                <w:szCs w:val="1"/>
                <w:color w:val="auto"/>
              </w:rPr>
            </w:pPr>
          </w:p>
        </w:tc>
      </w:tr>
      <w:tr>
        <w:trPr>
          <w:trHeight w:val="25"/>
        </w:trPr>
        <w:tc>
          <w:tcPr>
            <w:tcW w:w="290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5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58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60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90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500" w:type="dxa"/>
            <w:vAlign w:val="bottom"/>
            <w:tcBorders>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1771650</wp:posOffset>
            </wp:positionV>
            <wp:extent cx="680593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20"/>
        <w:spacing w:after="0"/>
        <w:rPr>
          <w:sz w:val="20"/>
          <w:szCs w:val="20"/>
          <w:color w:val="auto"/>
        </w:rPr>
      </w:pPr>
      <w:r>
        <w:rPr>
          <w:rFonts w:ascii="Arial" w:cs="Arial" w:eastAsia="Arial" w:hAnsi="Arial"/>
          <w:sz w:val="14"/>
          <w:szCs w:val="14"/>
          <w:color w:val="05314D"/>
        </w:rPr>
        <w:t>Fannie Mae (In conservatorship)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160020</wp:posOffset>
            </wp:positionV>
            <wp:extent cx="7164070" cy="4191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40" w:top="248" w:right="359" w:bottom="1440" w:gutter="0" w:footer="0" w:header="0"/>
        </w:sectPr>
      </w:pPr>
    </w:p>
    <w:bookmarkStart w:id="71" w:name="page72"/>
    <w:bookmarkEnd w:id="71"/>
    <w:p>
      <w:pPr>
        <w:ind w:left="4960"/>
        <w:spacing w:after="0"/>
        <w:rPr>
          <w:sz w:val="20"/>
          <w:szCs w:val="20"/>
          <w:color w:val="auto"/>
        </w:rPr>
      </w:pPr>
      <w:r>
        <w:rPr>
          <w:rFonts w:ascii="Arial" w:cs="Arial" w:eastAsia="Arial" w:hAnsi="Arial"/>
          <w:sz w:val="13"/>
          <w:szCs w:val="13"/>
          <w:color w:val="05314D"/>
        </w:rPr>
        <w:t>Notes to Condensed Consolidated Financial Statements | 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Georgia" w:cs="Georgia" w:eastAsia="Georgia" w:hAnsi="Georgia"/>
          <w:sz w:val="31"/>
          <w:szCs w:val="31"/>
          <w:b w:val="1"/>
          <w:bCs w:val="1"/>
          <w:color w:val="05314D"/>
        </w:rPr>
        <w:t>FANNIE MAE</w:t>
      </w:r>
    </w:p>
    <w:p>
      <w:pPr>
        <w:spacing w:after="0" w:line="99" w:lineRule="exact"/>
        <w:rPr>
          <w:sz w:val="20"/>
          <w:szCs w:val="20"/>
          <w:color w:val="auto"/>
        </w:rPr>
      </w:pPr>
    </w:p>
    <w:p>
      <w:pPr>
        <w:jc w:val="center"/>
        <w:ind w:right="-19"/>
        <w:spacing w:after="0"/>
        <w:rPr>
          <w:sz w:val="20"/>
          <w:szCs w:val="20"/>
          <w:color w:val="auto"/>
        </w:rPr>
      </w:pPr>
      <w:r>
        <w:rPr>
          <w:rFonts w:ascii="Georgia" w:cs="Georgia" w:eastAsia="Georgia" w:hAnsi="Georgia"/>
          <w:sz w:val="17"/>
          <w:szCs w:val="17"/>
          <w:b w:val="1"/>
          <w:bCs w:val="1"/>
          <w:color w:val="001543"/>
        </w:rPr>
        <w:t>(In conservatorship)</w:t>
      </w:r>
    </w:p>
    <w:p>
      <w:pPr>
        <w:spacing w:after="0" w:line="176" w:lineRule="exact"/>
        <w:rPr>
          <w:sz w:val="20"/>
          <w:szCs w:val="20"/>
          <w:color w:val="auto"/>
        </w:rPr>
      </w:pPr>
    </w:p>
    <w:p>
      <w:pPr>
        <w:jc w:val="center"/>
        <w:ind w:right="-19"/>
        <w:spacing w:after="0"/>
        <w:rPr>
          <w:sz w:val="20"/>
          <w:szCs w:val="20"/>
          <w:color w:val="auto"/>
        </w:rPr>
      </w:pPr>
      <w:r>
        <w:rPr>
          <w:rFonts w:ascii="Georgia" w:cs="Georgia" w:eastAsia="Georgia" w:hAnsi="Georgia"/>
          <w:sz w:val="27"/>
          <w:szCs w:val="27"/>
          <w:b w:val="1"/>
          <w:bCs w:val="1"/>
          <w:color w:val="05314D"/>
        </w:rPr>
        <w:t>Notes to Condensed Consolidated Financial Statements</w:t>
      </w:r>
    </w:p>
    <w:p>
      <w:pPr>
        <w:spacing w:after="0" w:line="93" w:lineRule="exact"/>
        <w:rPr>
          <w:sz w:val="20"/>
          <w:szCs w:val="20"/>
          <w:color w:val="auto"/>
        </w:rPr>
      </w:pPr>
    </w:p>
    <w:p>
      <w:pPr>
        <w:jc w:val="center"/>
        <w:ind w:right="-19"/>
        <w:spacing w:after="0"/>
        <w:rPr>
          <w:sz w:val="20"/>
          <w:szCs w:val="20"/>
          <w:color w:val="auto"/>
        </w:rPr>
      </w:pPr>
      <w:r>
        <w:rPr>
          <w:rFonts w:ascii="Georgia" w:cs="Georgia" w:eastAsia="Georgia" w:hAnsi="Georgia"/>
          <w:sz w:val="27"/>
          <w:szCs w:val="27"/>
          <w:b w:val="1"/>
          <w:bCs w:val="1"/>
          <w:color w:val="05314D"/>
        </w:rPr>
        <w:t>(Unaudited)</w:t>
      </w:r>
    </w:p>
    <w:p>
      <w:pPr>
        <w:spacing w:after="0" w:line="175"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1. Summary of Significant Accounting Policies</w:t>
      </w:r>
    </w:p>
    <w:p>
      <w:pPr>
        <w:spacing w:after="0" w:line="80"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Fannie Mae is a leading source of financing for residential mortgages in the United States. We are a government-sponsored, stockholder-owned corporation, chartered by Congress to provide liquidity and stability to the U.S. housing market and to promote access to mortgage credit. We primarily do this by buying residential mortgage loans that are originated by lenders. We place these loans into trusts and issue guaranteed mortgage-backed securities (“MBS”) that global investors buy from us. We do not originate mortgage loans or lend money directly to borrowers.</w:t>
      </w:r>
    </w:p>
    <w:p>
      <w:pPr>
        <w:spacing w:after="0" w:line="48" w:lineRule="exact"/>
        <w:rPr>
          <w:sz w:val="20"/>
          <w:szCs w:val="20"/>
          <w:color w:val="auto"/>
        </w:rPr>
      </w:pPr>
    </w:p>
    <w:p>
      <w:pPr>
        <w:ind w:right="480"/>
        <w:spacing w:after="0" w:line="266" w:lineRule="auto"/>
        <w:rPr>
          <w:sz w:val="20"/>
          <w:szCs w:val="20"/>
          <w:color w:val="auto"/>
        </w:rPr>
      </w:pPr>
      <w:r>
        <w:rPr>
          <w:rFonts w:ascii="Arial" w:cs="Arial" w:eastAsia="Arial" w:hAnsi="Arial"/>
          <w:sz w:val="16"/>
          <w:szCs w:val="16"/>
          <w:color w:val="auto"/>
        </w:rPr>
        <w:t>We are currently operating under conservatorship, with the Federal Housing Finance Agency (“FHFA”) acting as conservator. See “Note 2, Conservatorship, Senior Preferred Stock Purchase Agreement and Related Matters” below and in our annual report on Form 10-K for the year ended December 31, 2023 (“2023 Form 10-K”) for information on our conservatorship, the senior preferred stock purchase agreement, the impact of U.S. government support of our business, and related party relationships.</w:t>
      </w:r>
    </w:p>
    <w:p>
      <w:pPr>
        <w:spacing w:after="0" w:line="81"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Basis of Presentation</w:t>
      </w:r>
    </w:p>
    <w:p>
      <w:pPr>
        <w:spacing w:after="0" w:line="81"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accompanying unaudited interim condensed consolidated financial statements have been prepared in accordance with accounting principles generally accepted in the United States of America (“GAAP”) for interim financial information. Accordingly, they do not include all of the information and note disclosures required by GAAP for complete consolidated financial statements and therefore should be read in conjunction with our audited consolidated financial statements and related notes included in our 2023 Form 10-K. In the opinion of management, our unaudited interim condensed consolidated financial statements contain all adjustments, which include only normal recurring adjustments, necessary for a fair presentation of our results. The nature of our business is such that the results of any interim period are not necessarily indicative of results for a full year. The accompanying condensed consolidated financial statements include our accounts as well as the accounts of other entities in which we have a controlling financial interest. All intercompany balances and transactions have been eliminated. To conform to our current-period presentation, we have reclassified certain amounts reported in our prior period consolidated financial statements.</w:t>
      </w:r>
    </w:p>
    <w:p>
      <w:pPr>
        <w:spacing w:after="0" w:line="90"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Use of Estimates</w:t>
      </w:r>
    </w:p>
    <w:p>
      <w:pPr>
        <w:spacing w:after="0" w:line="81"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Preparing condensed consolidated financial statements in accordance with GAAP requires management to make estimates and assumptions that affect our reported amounts of assets and liabilities and disclosure of contingent assets and liabilities as of the dates of our condensed consolidated financial statements, as well as our reported amounts of revenues and expenses during the reporting periods. Management has made significant estimates in a variety of areas including, but not limited to, the allowance for loan losses. Actual results could be different from these estimates.</w:t>
      </w:r>
    </w:p>
    <w:p>
      <w:pPr>
        <w:spacing w:after="0" w:line="94"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Earnings per Share</w:t>
      </w:r>
    </w:p>
    <w:p>
      <w:pPr>
        <w:spacing w:after="0" w:line="68"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Earnings per share (“EPS”) is presented for basic and diluted EPS. We include the shares of common stock that would be issuable upon full exercise of the common stock warrant in the weighted average shares outstanding for the computation of both basic and diluted earnings per share. Weighted average common shares include 4.7 billion shares for both the periods ended September 30, 2024 and 2023 that would have been issued upon the full exercise of the warrant issued to the U.S. Department of the Treasury (“Treasury”) from the date the warrant was issued through September 30, 2024 and 2023.</w:t>
      </w:r>
    </w:p>
    <w:p>
      <w:pPr>
        <w:spacing w:after="0" w:line="48"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color w:val="auto"/>
        </w:rPr>
        <w:t>For the calculation of diluted EPS, the weighted average shares outstanding is increased to include the number of additional common shares that would have been outstanding if the dilutive potential common shares had been issued. For the three months ended September 30, 2024, our diluted EPS weighted-average shares outstanding does not include the 26 million shares issuable upon the conversion of convertible preferred stock because it would have an anti-dilutive effect due to the net losses attributable to common stockholders recognized in that period. For the nine months ended September 30, 2024 and the three and nine months ended September 30, 2023, shares issuable upon the conversion of convertible preferred stock are included in the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484505</wp:posOffset>
            </wp:positionV>
            <wp:extent cx="680593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48" w:right="359" w:bottom="1440" w:gutter="0" w:footer="0" w:header="0"/>
        </w:sectPr>
      </w:pPr>
    </w:p>
    <w:bookmarkStart w:id="72" w:name="page73"/>
    <w:bookmarkEnd w:id="72"/>
    <w:p>
      <w:pPr>
        <w:ind w:left="4960"/>
        <w:spacing w:after="0"/>
        <w:rPr>
          <w:sz w:val="20"/>
          <w:szCs w:val="20"/>
          <w:color w:val="auto"/>
        </w:rPr>
      </w:pPr>
      <w:r>
        <w:rPr>
          <w:rFonts w:ascii="Arial" w:cs="Arial" w:eastAsia="Arial" w:hAnsi="Arial"/>
          <w:sz w:val="13"/>
          <w:szCs w:val="13"/>
          <w:color w:val="05314D"/>
        </w:rPr>
        <w:t>Notes to Condensed Consolidated Financial Statements | 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Foreclosed Property</w:t>
      </w:r>
    </w:p>
    <w:p>
      <w:pPr>
        <w:spacing w:after="0" w:line="68" w:lineRule="exact"/>
        <w:rPr>
          <w:sz w:val="20"/>
          <w:szCs w:val="20"/>
          <w:color w:val="auto"/>
        </w:rPr>
      </w:pPr>
    </w:p>
    <w:p>
      <w:pPr>
        <w:ind w:right="60"/>
        <w:spacing w:after="0" w:line="310" w:lineRule="auto"/>
        <w:rPr>
          <w:sz w:val="20"/>
          <w:szCs w:val="20"/>
          <w:color w:val="auto"/>
        </w:rPr>
      </w:pPr>
      <w:r>
        <w:rPr>
          <w:rFonts w:ascii="Arial" w:cs="Arial" w:eastAsia="Arial" w:hAnsi="Arial"/>
          <w:sz w:val="16"/>
          <w:szCs w:val="16"/>
          <w:color w:val="auto"/>
        </w:rPr>
        <w:t>We present foreclosed property in “Other assets” in our condensed consolidated balance sheets. We held $1.8 billion of acquired property as of September 30, 2024 and December 31, 2023.</w:t>
      </w:r>
    </w:p>
    <w:p>
      <w:pPr>
        <w:spacing w:after="0" w:line="48"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New Accounting Guidance</w:t>
      </w:r>
    </w:p>
    <w:p>
      <w:pPr>
        <w:spacing w:after="0" w:line="114" w:lineRule="exact"/>
        <w:rPr>
          <w:sz w:val="20"/>
          <w:szCs w:val="20"/>
          <w:color w:val="auto"/>
        </w:rPr>
      </w:pPr>
    </w:p>
    <w:p>
      <w:pPr>
        <w:spacing w:after="0"/>
        <w:rPr>
          <w:sz w:val="20"/>
          <w:szCs w:val="20"/>
          <w:color w:val="auto"/>
        </w:rPr>
      </w:pPr>
      <w:r>
        <w:rPr>
          <w:rFonts w:ascii="Georgia" w:cs="Georgia" w:eastAsia="Georgia" w:hAnsi="Georgia"/>
          <w:sz w:val="21"/>
          <w:szCs w:val="21"/>
          <w:i w:val="1"/>
          <w:iCs w:val="1"/>
          <w:color w:val="05314D"/>
        </w:rPr>
        <w:t>Segment Reporting</w:t>
      </w:r>
    </w:p>
    <w:p>
      <w:pPr>
        <w:spacing w:after="0" w:line="63"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 xml:space="preserve">On November 27, 2023, the Financial Accounting Standards Board (“FASB”) issued Accounting Standards Update (“ASU”) 2023-07,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w:t>
      </w:r>
      <w:r>
        <w:rPr>
          <w:rFonts w:ascii="Arial" w:cs="Arial" w:eastAsia="Arial" w:hAnsi="Arial"/>
          <w:sz w:val="16"/>
          <w:szCs w:val="16"/>
          <w:i w:val="1"/>
          <w:iCs w:val="1"/>
          <w:color w:val="auto"/>
        </w:rPr>
        <w:t>(Topic 280), Improvements to Reportable Segment Disclosures</w:t>
      </w:r>
      <w:r>
        <w:rPr>
          <w:rFonts w:ascii="Arial" w:cs="Arial" w:eastAsia="Arial" w:hAnsi="Arial"/>
          <w:sz w:val="16"/>
          <w:szCs w:val="16"/>
          <w:color w:val="auto"/>
        </w:rPr>
        <w:t>. The ASU enhances disclosure of an entity’s reportable segments by requiring additional</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about significant segment expenses, interim disclosures of certain segment information that previously were only required on an annual basis and other detailed segment-related disclosures. The ASU applies to all public entities that are required to report segment information and is effective starting in annual periods beginning after December 15, 2023 and interim periods beginning after December 15, 2024. The ASU is required to be adopted retrospectively to all prior periods presented in the financial statements. The adoption of this guidance is not expected to have a material impact on our financial statements.</w:t>
      </w:r>
    </w:p>
    <w:p>
      <w:pPr>
        <w:spacing w:after="0" w:line="103" w:lineRule="exact"/>
        <w:rPr>
          <w:sz w:val="20"/>
          <w:szCs w:val="20"/>
          <w:color w:val="auto"/>
        </w:rPr>
      </w:pPr>
    </w:p>
    <w:p>
      <w:pPr>
        <w:spacing w:after="0"/>
        <w:rPr>
          <w:sz w:val="20"/>
          <w:szCs w:val="20"/>
          <w:color w:val="auto"/>
        </w:rPr>
      </w:pPr>
      <w:r>
        <w:rPr>
          <w:rFonts w:ascii="Georgia" w:cs="Georgia" w:eastAsia="Georgia" w:hAnsi="Georgia"/>
          <w:sz w:val="21"/>
          <w:szCs w:val="21"/>
          <w:i w:val="1"/>
          <w:iCs w:val="1"/>
          <w:color w:val="05314D"/>
        </w:rPr>
        <w:t>Income Taxes</w:t>
      </w:r>
    </w:p>
    <w:p>
      <w:pPr>
        <w:spacing w:after="0" w:line="63"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 xml:space="preserve">On December 14, 2023, the FASB issued ASU 2023-09, </w:t>
      </w:r>
      <w:r>
        <w:rPr>
          <w:rFonts w:ascii="Arial" w:cs="Arial" w:eastAsia="Arial" w:hAnsi="Arial"/>
          <w:sz w:val="16"/>
          <w:szCs w:val="16"/>
          <w:i w:val="1"/>
          <w:iCs w:val="1"/>
          <w:color w:val="auto"/>
        </w:rPr>
        <w:t>Income Taxes (Topic 740): Improvements to Income Tax Disclosures</w:t>
      </w:r>
      <w:r>
        <w:rPr>
          <w:rFonts w:ascii="Arial" w:cs="Arial" w:eastAsia="Arial" w:hAnsi="Arial"/>
          <w:sz w:val="16"/>
          <w:szCs w:val="16"/>
          <w:color w:val="auto"/>
        </w:rPr>
        <w:t>, which enhances the required disclosures primarily related to the income tax rate reconciliation and income taxes paid. The ASU requires an entity’s income tax rate reconciliation to provide additional information for reconciling items meeting a quantitative threshold, and to disclose certain selected categories within the income tax rate reconciliation. The ASU also requires entities to disclose the amount of income taxes paid, disaggregated by federal, state and foreign taxes. The ASU is effective for annual periods beginning after December 15, 2024, though early adoption is permitted. The adoption of this guidance is not expected to have a material impact on our financial statements.</w:t>
      </w:r>
    </w:p>
    <w:p>
      <w:pPr>
        <w:spacing w:after="0" w:line="140" w:lineRule="exact"/>
        <w:rPr>
          <w:sz w:val="20"/>
          <w:szCs w:val="20"/>
          <w:color w:val="auto"/>
        </w:rPr>
      </w:pPr>
    </w:p>
    <w:p>
      <w:pPr>
        <w:ind w:right="220" w:firstLine="3"/>
        <w:spacing w:after="0" w:line="253" w:lineRule="auto"/>
        <w:tabs>
          <w:tab w:leader="none" w:pos="452" w:val="left"/>
        </w:tabs>
        <w:numPr>
          <w:ilvl w:val="0"/>
          <w:numId w:val="67"/>
        </w:numPr>
        <w:rPr>
          <w:rFonts w:ascii="Georgia" w:cs="Georgia" w:eastAsia="Georgia" w:hAnsi="Georgia"/>
          <w:sz w:val="31"/>
          <w:szCs w:val="31"/>
          <w:b w:val="1"/>
          <w:bCs w:val="1"/>
          <w:color w:val="05314D"/>
        </w:rPr>
      </w:pPr>
      <w:r>
        <w:rPr>
          <w:rFonts w:ascii="Georgia" w:cs="Georgia" w:eastAsia="Georgia" w:hAnsi="Georgia"/>
          <w:sz w:val="31"/>
          <w:szCs w:val="31"/>
          <w:b w:val="1"/>
          <w:bCs w:val="1"/>
          <w:color w:val="05314D"/>
        </w:rPr>
        <w:t>Conservatorship, Senior Preferred Stock Purchase Agreement and Related Matters</w:t>
      </w:r>
    </w:p>
    <w:p>
      <w:pPr>
        <w:spacing w:after="0" w:line="107"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Conservatorship</w:t>
      </w:r>
    </w:p>
    <w:p>
      <w:pPr>
        <w:spacing w:after="0" w:line="68" w:lineRule="exact"/>
        <w:rPr>
          <w:sz w:val="20"/>
          <w:szCs w:val="20"/>
          <w:color w:val="auto"/>
        </w:rPr>
      </w:pPr>
    </w:p>
    <w:p>
      <w:pPr>
        <w:ind w:right="600"/>
        <w:spacing w:after="0" w:line="293" w:lineRule="auto"/>
        <w:rPr>
          <w:sz w:val="20"/>
          <w:szCs w:val="20"/>
          <w:color w:val="auto"/>
        </w:rPr>
      </w:pPr>
      <w:r>
        <w:rPr>
          <w:rFonts w:ascii="Arial" w:cs="Arial" w:eastAsia="Arial" w:hAnsi="Arial"/>
          <w:sz w:val="16"/>
          <w:szCs w:val="16"/>
          <w:color w:val="auto"/>
        </w:rPr>
        <w:t>We are currently operating under conservatorship, with FHFA acting as conservator. The conservatorship and related matters significantly affect our management, business activities, financial condition and results of operations.</w:t>
      </w:r>
    </w:p>
    <w:p>
      <w:pPr>
        <w:spacing w:after="0" w:line="61"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Senior Preferred Stock Purchase Agreement</w:t>
      </w:r>
    </w:p>
    <w:p>
      <w:pPr>
        <w:spacing w:after="0" w:line="81"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FHFA, as conservator, entered into a senior preferred stock purchase agreement with Treasury on our behalf in September 2008. In connection with that agreement, we issued Treasury one million shares of Variable Liquidation Preference Senior Preferred Stock, Series 2008-2, which we refer to as the “senior preferred stock,” and a warrant to purchase shares equal to 79.9% of our common stock, on a fully diluted basis, for a nominal price. This agreement also provides funding to us under certain circumstances if we have a net worth deficit. Pursuant to the senior preferred stock purchase agreement, we have received a total of $119.8 billion from Treasury as of September 30, 2024, and the amount of remaining funding available to us under the agreement is $113.9 billion. We have not received any funding from Treasury under this commitment since the first quarter of 2018. We had a positive net worth of $90.5 billion as of September 30, 2024.</w:t>
      </w:r>
    </w:p>
    <w:p>
      <w:pPr>
        <w:spacing w:after="0" w:line="43"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The dividend provisions of the senior preferred stock permit us to retain increases in our net worth until our net worth exceeds the amount of adjusted total capital necessary for us to meet the capital requirements and buffers under the enterprise regulatory capital framework established by FHFA. As a result of our conservatorship status and the terms of the senior preferred stock, no amounts would be available to distribute as dividends to common or preferred stockholders (other than to Treasury as the holder of the senior preferred stock).</w:t>
      </w:r>
    </w:p>
    <w:p>
      <w:pPr>
        <w:spacing w:after="0" w:line="33" w:lineRule="exact"/>
        <w:rPr>
          <w:sz w:val="20"/>
          <w:szCs w:val="20"/>
          <w:color w:val="auto"/>
        </w:rPr>
      </w:pPr>
    </w:p>
    <w:p>
      <w:pPr>
        <w:jc w:val="both"/>
        <w:ind w:right="120"/>
        <w:spacing w:after="0" w:line="272" w:lineRule="auto"/>
        <w:rPr>
          <w:sz w:val="20"/>
          <w:szCs w:val="20"/>
          <w:color w:val="auto"/>
        </w:rPr>
      </w:pPr>
      <w:r>
        <w:rPr>
          <w:rFonts w:ascii="Arial" w:cs="Arial" w:eastAsia="Arial" w:hAnsi="Arial"/>
          <w:sz w:val="16"/>
          <w:szCs w:val="16"/>
          <w:color w:val="auto"/>
        </w:rPr>
        <w:t>The aggregate liquidation preference of the senior preferred stock increased to $208.0 billion as of September 30, 2024 from $203.5 billion as of June 30, 2024, due to the $4.5 billion increase in our net worth in the second quarter of 2024. The aggregate liquidation preference of the senior preferred stock will further increase to $212.0 billion as of December 31, 2024, due to the $4.0 billion increase in our net worth in the third quarter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361950</wp:posOffset>
            </wp:positionV>
            <wp:extent cx="680593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73" w:name="page74"/>
    <w:bookmarkEnd w:id="73"/>
    <w:p>
      <w:pPr>
        <w:ind w:left="2620"/>
        <w:spacing w:after="0"/>
        <w:rPr>
          <w:sz w:val="20"/>
          <w:szCs w:val="20"/>
          <w:color w:val="auto"/>
        </w:rPr>
      </w:pPr>
      <w:r>
        <w:rPr>
          <w:rFonts w:ascii="Arial" w:cs="Arial" w:eastAsia="Arial" w:hAnsi="Arial"/>
          <w:sz w:val="13"/>
          <w:szCs w:val="13"/>
          <w:color w:val="05314D"/>
        </w:rPr>
        <w:t>Notes to Condensed Consolidated Financial Statements | Conservatorship, Senior Preferred Stock Purchase Agreement and 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24130</wp:posOffset>
            </wp:positionV>
            <wp:extent cx="712216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Impact of U.S. Government Support</w:t>
      </w:r>
    </w:p>
    <w:p>
      <w:pPr>
        <w:spacing w:after="0" w:line="68"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We continue to rely on support from Treasury to eliminate any net worth deficits we may experience in the future, which would otherwise trigger our being placed into receivership. We are not aware of any plans of FHFA (1) to fundamentally change our business model, or (2) to reduce the aggregate amount available to or held by the company under our equity structure, which includes the senior preferred stock agreement. Based on consideration of all the relevant conditions and events affecting our operations, including our reliance on the U.S. government, we continue to operate as a going concern and in accordance with FHFA’s provision of authority.</w:t>
      </w:r>
    </w:p>
    <w:p>
      <w:pPr>
        <w:spacing w:after="0" w:line="84"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Related Parties</w:t>
      </w:r>
    </w:p>
    <w:p>
      <w:pPr>
        <w:spacing w:after="0" w:line="81"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Because Treasury holds a warrant to purchase shares of Fannie Mae common stock equal to 79.9% of the total number of shares of Fannie Mae common stock, we and Treasury are deemed related parties. As of September 30, 2024, Treasury held an investment in our senior preferred stock with an aggregate liquidation preference of $208.0 billion.</w:t>
      </w:r>
    </w:p>
    <w:p>
      <w:pPr>
        <w:spacing w:after="0" w:line="32" w:lineRule="exact"/>
        <w:rPr>
          <w:sz w:val="20"/>
          <w:szCs w:val="20"/>
          <w:color w:val="auto"/>
        </w:rPr>
      </w:pPr>
    </w:p>
    <w:p>
      <w:pPr>
        <w:ind w:right="260"/>
        <w:spacing w:after="0" w:line="271" w:lineRule="auto"/>
        <w:rPr>
          <w:sz w:val="20"/>
          <w:szCs w:val="20"/>
          <w:color w:val="auto"/>
        </w:rPr>
      </w:pPr>
      <w:r>
        <w:rPr>
          <w:rFonts w:ascii="Arial" w:cs="Arial" w:eastAsia="Arial" w:hAnsi="Arial"/>
          <w:sz w:val="16"/>
          <w:szCs w:val="16"/>
          <w:color w:val="auto"/>
        </w:rPr>
        <w:t>FHFA’s control of both Fannie Mae and Freddie Mac has caused Fannie Mae, FHFA and Freddie Mac to be deemed related parties. Additionally, Fannie Mae and Freddie Mac jointly own Common Securitization Solutions, LLC (“CSS”), a limited liability company created to operate a common securitization platform; as a result, CSS is deemed a related party. CSS operates as a separate company from us and Freddie Mac, with all funding and limited administrative support services and other resources provided to it by us and Freddie Mac.</w:t>
      </w:r>
    </w:p>
    <w:p>
      <w:pPr>
        <w:spacing w:after="0" w:line="33" w:lineRule="exact"/>
        <w:rPr>
          <w:sz w:val="20"/>
          <w:szCs w:val="20"/>
          <w:color w:val="auto"/>
        </w:rPr>
      </w:pPr>
    </w:p>
    <w:p>
      <w:pPr>
        <w:ind w:right="160"/>
        <w:spacing w:after="0" w:line="263" w:lineRule="auto"/>
        <w:rPr>
          <w:sz w:val="20"/>
          <w:szCs w:val="20"/>
          <w:color w:val="auto"/>
        </w:rPr>
      </w:pPr>
      <w:r>
        <w:rPr>
          <w:rFonts w:ascii="Arial" w:cs="Arial" w:eastAsia="Arial" w:hAnsi="Arial"/>
          <w:sz w:val="16"/>
          <w:szCs w:val="16"/>
          <w:color w:val="auto"/>
        </w:rPr>
        <w:t>In the ordinary course of business, Fannie Mae may purchase and sell securities issued by Treasury and Freddie Mac in the capital markets. Some of the structured securities we issue are backed in whole or in part by Freddie Mac securities. Fannie Mae and Freddie Mac each have agreed to indemnify the other party for losses caused by: its failure to meet its payment or other specified obligations under the trust agreements pursuant to which the underlying resecuritized securities were issued; its failure to meet its obligations under the customer services agreement; its violations of laws; or with respect to material misstatements or omissions in offering documents, ongoing disclosures and materials relating to the underlying resecuritized securities. We also make regular income tax payments to and receive tax refunds from the Internal Revenue Service (“IRS”), a bureau of Treasury.</w:t>
      </w:r>
    </w:p>
    <w:p>
      <w:pPr>
        <w:spacing w:after="0" w:line="41"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following table provides the income statement impact of our related party transactions for the periods presented in addition to the associated liability at period end. The associated liability represents amounts accrued with respect to the related party transactions that have not yet been paid to the applicable related parties</w:t>
      </w:r>
      <w:r>
        <w:rPr>
          <w:rFonts w:ascii="Arial" w:cs="Arial" w:eastAsia="Arial" w:hAnsi="Arial"/>
          <w:sz w:val="16"/>
          <w:szCs w:val="16"/>
          <w:color w:val="0070C0"/>
        </w:rPr>
        <w:t>.</w:t>
      </w:r>
      <w:r>
        <w:rPr>
          <w:rFonts w:ascii="Arial" w:cs="Arial" w:eastAsia="Arial" w:hAnsi="Arial"/>
          <w:sz w:val="16"/>
          <w:szCs w:val="16"/>
          <w:color w:val="auto"/>
        </w:rPr>
        <w:t xml:space="preserve"> In addition to the impact described in the table below, our investment in CSS, which is accounted for using the equity method, is classified as “Other assets” in our condensed consolidated balance sheets. We contributed $14 million and $13 million to CSS for the three months ended September 30, 2024 and 2023, respectively. We contributed $52 million and $55 million to CSS for the nine months ended September 30, 2024 and 2023, respectively.</w:t>
      </w:r>
    </w:p>
    <w:p>
      <w:pPr>
        <w:spacing w:after="0" w:line="261" w:lineRule="exact"/>
        <w:rPr>
          <w:sz w:val="20"/>
          <w:szCs w:val="20"/>
          <w:color w:val="auto"/>
        </w:rPr>
      </w:pPr>
    </w:p>
    <w:tbl>
      <w:tblPr>
        <w:tblLayout w:type="fixed"/>
        <w:tblInd w:w="380" w:type="dxa"/>
        <w:tblCellMar>
          <w:top w:w="0" w:type="dxa"/>
          <w:left w:w="0" w:type="dxa"/>
          <w:bottom w:w="0" w:type="dxa"/>
          <w:right w:w="0" w:type="dxa"/>
        </w:tblCellMar>
      </w:tblPr>
      <w:tr>
        <w:trPr>
          <w:trHeight w:val="172"/>
        </w:trPr>
        <w:tc>
          <w:tcPr>
            <w:tcW w:w="15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00" w:type="dxa"/>
            <w:vAlign w:val="bottom"/>
            <w:gridSpan w:val="3"/>
          </w:tcPr>
          <w:p>
            <w:pPr>
              <w:ind w:left="160"/>
              <w:spacing w:after="0"/>
              <w:rPr>
                <w:sz w:val="20"/>
                <w:szCs w:val="20"/>
                <w:color w:val="auto"/>
              </w:rPr>
            </w:pPr>
            <w:r>
              <w:rPr>
                <w:rFonts w:ascii="Arial" w:cs="Arial" w:eastAsia="Arial" w:hAnsi="Arial"/>
                <w:sz w:val="15"/>
                <w:szCs w:val="15"/>
                <w:b w:val="1"/>
                <w:bCs w:val="1"/>
                <w:color w:val="auto"/>
              </w:rPr>
              <w:t>For the Three Months</w:t>
            </w:r>
          </w:p>
        </w:tc>
        <w:tc>
          <w:tcPr>
            <w:tcW w:w="1920" w:type="dxa"/>
            <w:vAlign w:val="bottom"/>
            <w:gridSpan w:val="2"/>
          </w:tcPr>
          <w:p>
            <w:pPr>
              <w:jc w:val="center"/>
              <w:spacing w:after="0"/>
              <w:rPr>
                <w:sz w:val="20"/>
                <w:szCs w:val="20"/>
                <w:color w:val="auto"/>
              </w:rPr>
            </w:pPr>
            <w:r>
              <w:rPr>
                <w:rFonts w:ascii="Arial" w:cs="Arial" w:eastAsia="Arial" w:hAnsi="Arial"/>
                <w:sz w:val="15"/>
                <w:szCs w:val="15"/>
                <w:b w:val="1"/>
                <w:bCs w:val="1"/>
                <w:color w:val="auto"/>
              </w:rPr>
              <w:t>For the Nine Months</w:t>
            </w:r>
          </w:p>
        </w:tc>
        <w:tc>
          <w:tcPr>
            <w:tcW w:w="1680" w:type="dxa"/>
            <w:vAlign w:val="bottom"/>
          </w:tcPr>
          <w:p>
            <w:pPr>
              <w:spacing w:after="0"/>
              <w:rPr>
                <w:sz w:val="15"/>
                <w:szCs w:val="15"/>
                <w:color w:val="auto"/>
              </w:rPr>
            </w:pPr>
          </w:p>
        </w:tc>
      </w:tr>
      <w:tr>
        <w:trPr>
          <w:trHeight w:val="206"/>
        </w:trPr>
        <w:tc>
          <w:tcPr>
            <w:tcW w:w="15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120" w:type="dxa"/>
            <w:vAlign w:val="bottom"/>
          </w:tcPr>
          <w:p>
            <w:pPr>
              <w:jc w:val="center"/>
              <w:ind w:left="63"/>
              <w:spacing w:after="0"/>
              <w:rPr>
                <w:sz w:val="20"/>
                <w:szCs w:val="20"/>
                <w:color w:val="auto"/>
              </w:rPr>
            </w:pPr>
            <w:r>
              <w:rPr>
                <w:rFonts w:ascii="Arial" w:cs="Arial" w:eastAsia="Arial" w:hAnsi="Arial"/>
                <w:sz w:val="15"/>
                <w:szCs w:val="15"/>
                <w:b w:val="1"/>
                <w:bCs w:val="1"/>
                <w:color w:val="auto"/>
              </w:rPr>
              <w:t>Income Statement</w:t>
            </w:r>
          </w:p>
        </w:tc>
        <w:tc>
          <w:tcPr>
            <w:tcW w:w="2000" w:type="dxa"/>
            <w:vAlign w:val="bottom"/>
            <w:gridSpan w:val="3"/>
          </w:tcPr>
          <w:p>
            <w:pPr>
              <w:ind w:left="160"/>
              <w:spacing w:after="0"/>
              <w:rPr>
                <w:sz w:val="20"/>
                <w:szCs w:val="20"/>
                <w:color w:val="auto"/>
              </w:rPr>
            </w:pPr>
            <w:r>
              <w:rPr>
                <w:rFonts w:ascii="Arial" w:cs="Arial" w:eastAsia="Arial" w:hAnsi="Arial"/>
                <w:sz w:val="15"/>
                <w:szCs w:val="15"/>
                <w:b w:val="1"/>
                <w:bCs w:val="1"/>
                <w:color w:val="auto"/>
              </w:rPr>
              <w:t>Ended September 30,</w:t>
            </w:r>
          </w:p>
        </w:tc>
        <w:tc>
          <w:tcPr>
            <w:tcW w:w="1920" w:type="dxa"/>
            <w:vAlign w:val="bottom"/>
            <w:gridSpan w:val="2"/>
          </w:tcPr>
          <w:p>
            <w:pPr>
              <w:jc w:val="center"/>
              <w:spacing w:after="0"/>
              <w:rPr>
                <w:sz w:val="20"/>
                <w:szCs w:val="20"/>
                <w:color w:val="auto"/>
              </w:rPr>
            </w:pPr>
            <w:r>
              <w:rPr>
                <w:rFonts w:ascii="Arial" w:cs="Arial" w:eastAsia="Arial" w:hAnsi="Arial"/>
                <w:sz w:val="15"/>
                <w:szCs w:val="15"/>
                <w:b w:val="1"/>
                <w:bCs w:val="1"/>
                <w:color w:val="auto"/>
              </w:rPr>
              <w:t>Ended September 30,</w:t>
            </w:r>
          </w:p>
        </w:tc>
        <w:tc>
          <w:tcPr>
            <w:tcW w:w="1680" w:type="dxa"/>
            <w:vAlign w:val="bottom"/>
          </w:tcPr>
          <w:p>
            <w:pPr>
              <w:jc w:val="center"/>
              <w:ind w:left="43"/>
              <w:spacing w:after="0"/>
              <w:rPr>
                <w:sz w:val="20"/>
                <w:szCs w:val="20"/>
                <w:color w:val="auto"/>
              </w:rPr>
            </w:pPr>
            <w:r>
              <w:rPr>
                <w:rFonts w:ascii="Arial" w:cs="Arial" w:eastAsia="Arial" w:hAnsi="Arial"/>
                <w:sz w:val="15"/>
                <w:szCs w:val="15"/>
                <w:b w:val="1"/>
                <w:bCs w:val="1"/>
                <w:color w:val="auto"/>
              </w:rPr>
              <w:t>Other Liabilities as of</w:t>
            </w:r>
          </w:p>
        </w:tc>
      </w:tr>
      <w:tr>
        <w:trPr>
          <w:trHeight w:val="233"/>
        </w:trPr>
        <w:tc>
          <w:tcPr>
            <w:tcW w:w="1540" w:type="dxa"/>
            <w:vAlign w:val="bottom"/>
          </w:tcPr>
          <w:p>
            <w:pPr>
              <w:spacing w:after="0"/>
              <w:rPr>
                <w:sz w:val="20"/>
                <w:szCs w:val="20"/>
                <w:color w:val="auto"/>
              </w:rPr>
            </w:pPr>
            <w:r>
              <w:rPr>
                <w:rFonts w:ascii="Arial" w:cs="Arial" w:eastAsia="Arial" w:hAnsi="Arial"/>
                <w:sz w:val="15"/>
                <w:szCs w:val="15"/>
                <w:b w:val="1"/>
                <w:bCs w:val="1"/>
                <w:color w:val="auto"/>
              </w:rPr>
              <w:t>Related Party</w:t>
            </w:r>
          </w:p>
        </w:tc>
        <w:tc>
          <w:tcPr>
            <w:tcW w:w="1580" w:type="dxa"/>
            <w:vAlign w:val="bottom"/>
          </w:tcPr>
          <w:p>
            <w:pPr>
              <w:ind w:left="540"/>
              <w:spacing w:after="0"/>
              <w:rPr>
                <w:sz w:val="20"/>
                <w:szCs w:val="20"/>
                <w:color w:val="auto"/>
              </w:rPr>
            </w:pPr>
            <w:r>
              <w:rPr>
                <w:rFonts w:ascii="Arial" w:cs="Arial" w:eastAsia="Arial" w:hAnsi="Arial"/>
                <w:sz w:val="15"/>
                <w:szCs w:val="15"/>
                <w:b w:val="1"/>
                <w:bCs w:val="1"/>
                <w:color w:val="auto"/>
              </w:rPr>
              <w:t>Activity</w:t>
            </w:r>
          </w:p>
        </w:tc>
        <w:tc>
          <w:tcPr>
            <w:tcW w:w="2120" w:type="dxa"/>
            <w:vAlign w:val="bottom"/>
          </w:tcPr>
          <w:p>
            <w:pPr>
              <w:jc w:val="center"/>
              <w:ind w:left="43"/>
              <w:spacing w:after="0"/>
              <w:rPr>
                <w:sz w:val="20"/>
                <w:szCs w:val="20"/>
                <w:color w:val="auto"/>
              </w:rPr>
            </w:pPr>
            <w:r>
              <w:rPr>
                <w:rFonts w:ascii="Arial" w:cs="Arial" w:eastAsia="Arial" w:hAnsi="Arial"/>
                <w:sz w:val="15"/>
                <w:szCs w:val="15"/>
                <w:b w:val="1"/>
                <w:bCs w:val="1"/>
                <w:color w:val="auto"/>
              </w:rPr>
              <w:t>Classification</w:t>
            </w:r>
          </w:p>
        </w:tc>
        <w:tc>
          <w:tcPr>
            <w:tcW w:w="960" w:type="dxa"/>
            <w:vAlign w:val="bottom"/>
            <w:tcBorders>
              <w:top w:val="single" w:sz="8" w:color="2C6937"/>
            </w:tcBorders>
          </w:tcPr>
          <w:p>
            <w:pPr>
              <w:jc w:val="right"/>
              <w:ind w:right="263"/>
              <w:spacing w:after="0"/>
              <w:rPr>
                <w:sz w:val="20"/>
                <w:szCs w:val="20"/>
                <w:color w:val="auto"/>
              </w:rPr>
            </w:pPr>
            <w:r>
              <w:rPr>
                <w:rFonts w:ascii="Arial" w:cs="Arial" w:eastAsia="Arial" w:hAnsi="Arial"/>
                <w:sz w:val="15"/>
                <w:szCs w:val="15"/>
                <w:b w:val="1"/>
                <w:bCs w:val="1"/>
                <w:color w:val="auto"/>
              </w:rPr>
              <w:t>2024</w:t>
            </w:r>
          </w:p>
        </w:tc>
        <w:tc>
          <w:tcPr>
            <w:tcW w:w="960" w:type="dxa"/>
            <w:vAlign w:val="bottom"/>
            <w:tcBorders>
              <w:top w:val="single" w:sz="8" w:color="2C6937"/>
            </w:tcBorders>
          </w:tcPr>
          <w:p>
            <w:pPr>
              <w:jc w:val="right"/>
              <w:ind w:right="223"/>
              <w:spacing w:after="0"/>
              <w:rPr>
                <w:sz w:val="20"/>
                <w:szCs w:val="20"/>
                <w:color w:val="auto"/>
              </w:rPr>
            </w:pPr>
            <w:r>
              <w:rPr>
                <w:rFonts w:ascii="Arial" w:cs="Arial" w:eastAsia="Arial" w:hAnsi="Arial"/>
                <w:sz w:val="15"/>
                <w:szCs w:val="15"/>
                <w:b w:val="1"/>
                <w:bCs w:val="1"/>
                <w:color w:val="auto"/>
              </w:rPr>
              <w:t>2023</w:t>
            </w:r>
          </w:p>
        </w:tc>
        <w:tc>
          <w:tcPr>
            <w:tcW w:w="80" w:type="dxa"/>
            <w:vAlign w:val="bottom"/>
          </w:tcPr>
          <w:p>
            <w:pPr>
              <w:spacing w:after="0"/>
              <w:rPr>
                <w:sz w:val="20"/>
                <w:szCs w:val="20"/>
                <w:color w:val="auto"/>
              </w:rPr>
            </w:pPr>
          </w:p>
        </w:tc>
        <w:tc>
          <w:tcPr>
            <w:tcW w:w="960" w:type="dxa"/>
            <w:vAlign w:val="bottom"/>
            <w:tcBorders>
              <w:top w:val="single" w:sz="8" w:color="2C6937"/>
            </w:tcBorders>
          </w:tcPr>
          <w:p>
            <w:pPr>
              <w:jc w:val="right"/>
              <w:ind w:right="243"/>
              <w:spacing w:after="0"/>
              <w:rPr>
                <w:sz w:val="20"/>
                <w:szCs w:val="20"/>
                <w:color w:val="auto"/>
              </w:rPr>
            </w:pPr>
            <w:r>
              <w:rPr>
                <w:rFonts w:ascii="Arial" w:cs="Arial" w:eastAsia="Arial" w:hAnsi="Arial"/>
                <w:sz w:val="15"/>
                <w:szCs w:val="15"/>
                <w:b w:val="1"/>
                <w:bCs w:val="1"/>
                <w:color w:val="auto"/>
              </w:rPr>
              <w:t>2024</w:t>
            </w:r>
          </w:p>
        </w:tc>
        <w:tc>
          <w:tcPr>
            <w:tcW w:w="960" w:type="dxa"/>
            <w:vAlign w:val="bottom"/>
            <w:tcBorders>
              <w:top w:val="single" w:sz="8" w:color="2C6937"/>
            </w:tcBorders>
          </w:tcPr>
          <w:p>
            <w:pPr>
              <w:jc w:val="right"/>
              <w:ind w:right="203"/>
              <w:spacing w:after="0"/>
              <w:rPr>
                <w:sz w:val="20"/>
                <w:szCs w:val="20"/>
                <w:color w:val="auto"/>
              </w:rPr>
            </w:pPr>
            <w:r>
              <w:rPr>
                <w:rFonts w:ascii="Arial" w:cs="Arial" w:eastAsia="Arial" w:hAnsi="Arial"/>
                <w:sz w:val="15"/>
                <w:szCs w:val="15"/>
                <w:b w:val="1"/>
                <w:bCs w:val="1"/>
                <w:color w:val="auto"/>
              </w:rPr>
              <w:t>2023</w:t>
            </w:r>
          </w:p>
        </w:tc>
        <w:tc>
          <w:tcPr>
            <w:tcW w:w="1680" w:type="dxa"/>
            <w:vAlign w:val="bottom"/>
          </w:tcPr>
          <w:p>
            <w:pPr>
              <w:jc w:val="center"/>
              <w:ind w:left="43"/>
              <w:spacing w:after="0"/>
              <w:rPr>
                <w:sz w:val="20"/>
                <w:szCs w:val="20"/>
                <w:color w:val="auto"/>
              </w:rPr>
            </w:pPr>
            <w:r>
              <w:rPr>
                <w:rFonts w:ascii="Arial" w:cs="Arial" w:eastAsia="Arial" w:hAnsi="Arial"/>
                <w:sz w:val="15"/>
                <w:szCs w:val="15"/>
                <w:b w:val="1"/>
                <w:bCs w:val="1"/>
                <w:color w:val="auto"/>
              </w:rPr>
              <w:t>September 30, 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713867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ind w:left="7720"/>
        <w:spacing w:after="0"/>
        <w:rPr>
          <w:sz w:val="20"/>
          <w:szCs w:val="20"/>
          <w:color w:val="auto"/>
        </w:rPr>
      </w:pPr>
      <w:r>
        <w:rPr>
          <w:rFonts w:ascii="Arial" w:cs="Arial" w:eastAsia="Arial" w:hAnsi="Arial"/>
          <w:sz w:val="15"/>
          <w:szCs w:val="15"/>
          <w:b w:val="1"/>
          <w:bCs w:val="1"/>
          <w:color w:val="auto"/>
        </w:rPr>
        <w:t>(Dollars in millions)</w:t>
      </w:r>
    </w:p>
    <w:p>
      <w:pPr>
        <w:sectPr>
          <w:pgSz w:w="11900" w:h="16838" w:orient="portrait"/>
          <w:cols w:equalWidth="0" w:num="1">
            <w:col w:w="11220"/>
          </w:cols>
          <w:pgMar w:left="320" w:top="248" w:right="359" w:bottom="1440" w:gutter="0" w:footer="0" w:header="0"/>
        </w:sectPr>
      </w:pPr>
    </w:p>
    <w:p>
      <w:pPr>
        <w:spacing w:after="0" w:line="42"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Treasury</w:t>
      </w:r>
    </w:p>
    <w:p>
      <w:pPr>
        <w:spacing w:after="0" w:line="105"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Treasury</w:t>
      </w:r>
    </w:p>
    <w:p>
      <w:pPr>
        <w:spacing w:after="0" w:line="188" w:lineRule="exact"/>
        <w:rPr>
          <w:sz w:val="20"/>
          <w:szCs w:val="20"/>
          <w:color w:val="auto"/>
        </w:rPr>
      </w:pPr>
    </w:p>
    <w:p>
      <w:pPr>
        <w:ind w:left="680"/>
        <w:spacing w:after="0"/>
        <w:rPr>
          <w:sz w:val="20"/>
          <w:szCs w:val="20"/>
          <w:color w:val="auto"/>
        </w:rPr>
      </w:pPr>
      <w:r>
        <w:rPr>
          <w:rFonts w:ascii="Arial" w:cs="Arial" w:eastAsia="Arial" w:hAnsi="Arial"/>
          <w:sz w:val="15"/>
          <w:szCs w:val="15"/>
          <w:color w:val="auto"/>
        </w:rPr>
        <w:t>FHFA</w:t>
      </w:r>
    </w:p>
    <w:p>
      <w:pPr>
        <w:spacing w:after="0" w:line="107" w:lineRule="exact"/>
        <w:rPr>
          <w:sz w:val="20"/>
          <w:szCs w:val="20"/>
          <w:color w:val="auto"/>
        </w:rPr>
      </w:pPr>
    </w:p>
    <w:p>
      <w:pPr>
        <w:ind w:left="480"/>
        <w:spacing w:after="0"/>
        <w:rPr>
          <w:sz w:val="20"/>
          <w:szCs w:val="20"/>
          <w:color w:val="auto"/>
        </w:rPr>
      </w:pPr>
      <w:r>
        <w:rPr>
          <w:rFonts w:ascii="Arial" w:cs="Arial" w:eastAsia="Arial" w:hAnsi="Arial"/>
          <w:sz w:val="15"/>
          <w:szCs w:val="15"/>
          <w:color w:val="auto"/>
        </w:rPr>
        <w:t>Treasury &amp;</w:t>
      </w:r>
    </w:p>
    <w:p>
      <w:pPr>
        <w:ind w:left="460"/>
        <w:spacing w:after="0"/>
        <w:rPr>
          <w:sz w:val="20"/>
          <w:szCs w:val="20"/>
          <w:color w:val="auto"/>
        </w:rPr>
      </w:pPr>
      <w:r>
        <w:rPr>
          <w:rFonts w:ascii="Arial" w:cs="Arial" w:eastAsia="Arial" w:hAnsi="Arial"/>
          <w:sz w:val="15"/>
          <w:szCs w:val="15"/>
          <w:color w:val="auto"/>
        </w:rPr>
        <w:t>Freddie Mac</w:t>
      </w:r>
    </w:p>
    <w:p>
      <w:pPr>
        <w:spacing w:after="0" w:line="9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CSS &amp;</w:t>
      </w:r>
    </w:p>
    <w:p>
      <w:pPr>
        <w:ind w:left="460"/>
        <w:spacing w:after="0"/>
        <w:rPr>
          <w:sz w:val="20"/>
          <w:szCs w:val="20"/>
          <w:color w:val="auto"/>
        </w:rPr>
      </w:pPr>
      <w:r>
        <w:rPr>
          <w:rFonts w:ascii="Arial" w:cs="Arial" w:eastAsia="Arial" w:hAnsi="Arial"/>
          <w:sz w:val="15"/>
          <w:szCs w:val="15"/>
          <w:color w:val="auto"/>
        </w:rPr>
        <w:t>Freddie Mac</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TCCA fees</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Treasury’s Capital</w:t>
      </w:r>
    </w:p>
    <w:p>
      <w:pPr>
        <w:spacing w:after="0"/>
        <w:rPr>
          <w:sz w:val="20"/>
          <w:szCs w:val="20"/>
          <w:color w:val="auto"/>
        </w:rPr>
      </w:pPr>
      <w:r>
        <w:rPr>
          <w:rFonts w:ascii="Arial" w:cs="Arial" w:eastAsia="Arial" w:hAnsi="Arial"/>
          <w:sz w:val="15"/>
          <w:szCs w:val="15"/>
          <w:color w:val="auto"/>
        </w:rPr>
        <w:t>Magnet Fund</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FHFA regulatory</w:t>
      </w:r>
    </w:p>
    <w:p>
      <w:pPr>
        <w:spacing w:after="0"/>
        <w:rPr>
          <w:sz w:val="20"/>
          <w:szCs w:val="20"/>
          <w:color w:val="auto"/>
        </w:rPr>
      </w:pPr>
      <w:r>
        <w:rPr>
          <w:rFonts w:ascii="Arial" w:cs="Arial" w:eastAsia="Arial" w:hAnsi="Arial"/>
          <w:sz w:val="15"/>
          <w:szCs w:val="15"/>
          <w:color w:val="auto"/>
        </w:rPr>
        <w:t>assessment fees</w:t>
      </w:r>
    </w:p>
    <w:p>
      <w:pPr>
        <w:spacing w:after="0" w:line="20" w:lineRule="exact"/>
        <w:rPr>
          <w:sz w:val="20"/>
          <w:szCs w:val="20"/>
          <w:color w:val="auto"/>
        </w:rPr>
      </w:pPr>
    </w:p>
    <w:p>
      <w:pPr>
        <w:spacing w:after="0" w:line="251" w:lineRule="auto"/>
        <w:rPr>
          <w:sz w:val="20"/>
          <w:szCs w:val="20"/>
          <w:color w:val="auto"/>
        </w:rPr>
      </w:pPr>
      <w:r>
        <w:rPr>
          <w:rFonts w:ascii="Arial" w:cs="Arial" w:eastAsia="Arial" w:hAnsi="Arial"/>
          <w:sz w:val="15"/>
          <w:szCs w:val="15"/>
          <w:color w:val="auto"/>
        </w:rPr>
        <w:t>Making Home Affordable Program reimbursements</w:t>
      </w:r>
    </w:p>
    <w:p>
      <w:pPr>
        <w:jc w:val="both"/>
        <w:ind w:right="320"/>
        <w:spacing w:after="0" w:line="238" w:lineRule="auto"/>
        <w:rPr>
          <w:sz w:val="20"/>
          <w:szCs w:val="20"/>
          <w:color w:val="auto"/>
        </w:rPr>
      </w:pPr>
      <w:r>
        <w:rPr>
          <w:rFonts w:ascii="Arial" w:cs="Arial" w:eastAsia="Arial" w:hAnsi="Arial"/>
          <w:sz w:val="15"/>
          <w:szCs w:val="15"/>
          <w:color w:val="auto"/>
        </w:rPr>
        <w:t>Net operating losses associated with our investment in CSS</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1760" w:type="dxa"/>
            <w:vAlign w:val="bottom"/>
          </w:tcPr>
          <w:p>
            <w:pPr>
              <w:jc w:val="center"/>
              <w:ind w:right="3"/>
              <w:spacing w:after="0"/>
              <w:rPr>
                <w:sz w:val="20"/>
                <w:szCs w:val="20"/>
                <w:color w:val="auto"/>
              </w:rPr>
            </w:pPr>
            <w:r>
              <w:rPr>
                <w:rFonts w:ascii="Arial" w:cs="Arial" w:eastAsia="Arial" w:hAnsi="Arial"/>
                <w:sz w:val="15"/>
                <w:szCs w:val="15"/>
                <w:color w:val="auto"/>
                <w:w w:val="98"/>
              </w:rPr>
              <w:t>TCCA fees</w:t>
            </w:r>
            <w:r>
              <w:rPr>
                <w:rFonts w:ascii="Arial" w:cs="Arial" w:eastAsia="Arial" w:hAnsi="Arial"/>
                <w:sz w:val="20"/>
                <w:szCs w:val="20"/>
                <w:color w:val="auto"/>
                <w:w w:val="98"/>
                <w:vertAlign w:val="superscript"/>
              </w:rPr>
              <w:t>(1)</w:t>
            </w:r>
          </w:p>
        </w:tc>
        <w:tc>
          <w:tcPr>
            <w:tcW w:w="42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580" w:type="dxa"/>
            <w:vAlign w:val="bottom"/>
          </w:tcPr>
          <w:p>
            <w:pPr>
              <w:jc w:val="right"/>
              <w:ind w:right="3"/>
              <w:spacing w:after="0"/>
              <w:rPr>
                <w:sz w:val="20"/>
                <w:szCs w:val="20"/>
                <w:color w:val="auto"/>
              </w:rPr>
            </w:pPr>
            <w:r>
              <w:rPr>
                <w:rFonts w:ascii="Arial" w:cs="Arial" w:eastAsia="Arial" w:hAnsi="Arial"/>
                <w:sz w:val="15"/>
                <w:szCs w:val="15"/>
                <w:color w:val="auto"/>
              </w:rPr>
              <w:t>862</w:t>
            </w:r>
          </w:p>
        </w:tc>
        <w:tc>
          <w:tcPr>
            <w:tcW w:w="42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23"/>
              <w:spacing w:after="0"/>
              <w:rPr>
                <w:sz w:val="20"/>
                <w:szCs w:val="20"/>
                <w:color w:val="auto"/>
              </w:rPr>
            </w:pPr>
            <w:r>
              <w:rPr>
                <w:rFonts w:ascii="Arial" w:cs="Arial" w:eastAsia="Arial" w:hAnsi="Arial"/>
                <w:sz w:val="15"/>
                <w:szCs w:val="15"/>
                <w:color w:val="auto"/>
              </w:rPr>
              <w:t>860</w:t>
            </w:r>
          </w:p>
        </w:tc>
        <w:tc>
          <w:tcPr>
            <w:tcW w:w="34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23"/>
              <w:spacing w:after="0"/>
              <w:rPr>
                <w:sz w:val="20"/>
                <w:szCs w:val="20"/>
                <w:color w:val="auto"/>
              </w:rPr>
            </w:pPr>
            <w:r>
              <w:rPr>
                <w:rFonts w:ascii="Arial" w:cs="Arial" w:eastAsia="Arial" w:hAnsi="Arial"/>
                <w:sz w:val="15"/>
                <w:szCs w:val="15"/>
                <w:color w:val="auto"/>
              </w:rPr>
              <w:t>2,581</w:t>
            </w:r>
          </w:p>
        </w:tc>
        <w:tc>
          <w:tcPr>
            <w:tcW w:w="34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23"/>
              <w:spacing w:after="0"/>
              <w:rPr>
                <w:sz w:val="20"/>
                <w:szCs w:val="20"/>
                <w:color w:val="auto"/>
              </w:rPr>
            </w:pPr>
            <w:r>
              <w:rPr>
                <w:rFonts w:ascii="Arial" w:cs="Arial" w:eastAsia="Arial" w:hAnsi="Arial"/>
                <w:sz w:val="15"/>
                <w:szCs w:val="15"/>
                <w:color w:val="auto"/>
              </w:rPr>
              <w:t>2,571</w:t>
            </w:r>
          </w:p>
        </w:tc>
        <w:tc>
          <w:tcPr>
            <w:tcW w:w="740" w:type="dxa"/>
            <w:vAlign w:val="bottom"/>
          </w:tcPr>
          <w:p>
            <w:pPr>
              <w:jc w:val="right"/>
              <w:ind w:right="503"/>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862</w:t>
            </w:r>
          </w:p>
        </w:tc>
        <w:tc>
          <w:tcPr>
            <w:tcW w:w="0" w:type="dxa"/>
            <w:vAlign w:val="bottom"/>
          </w:tcPr>
          <w:p>
            <w:pPr>
              <w:spacing w:after="0"/>
              <w:rPr>
                <w:sz w:val="1"/>
                <w:szCs w:val="1"/>
                <w:color w:val="auto"/>
              </w:rPr>
            </w:pPr>
          </w:p>
        </w:tc>
      </w:tr>
      <w:tr>
        <w:trPr>
          <w:trHeight w:val="212"/>
        </w:trPr>
        <w:tc>
          <w:tcPr>
            <w:tcW w:w="1760" w:type="dxa"/>
            <w:vAlign w:val="bottom"/>
          </w:tcPr>
          <w:p>
            <w:pPr>
              <w:jc w:val="center"/>
              <w:ind w:right="3"/>
              <w:spacing w:after="0"/>
              <w:rPr>
                <w:sz w:val="20"/>
                <w:szCs w:val="20"/>
                <w:color w:val="auto"/>
              </w:rPr>
            </w:pPr>
            <w:r>
              <w:rPr>
                <w:rFonts w:ascii="Arial" w:cs="Arial" w:eastAsia="Arial" w:hAnsi="Arial"/>
                <w:sz w:val="15"/>
                <w:szCs w:val="15"/>
                <w:color w:val="auto"/>
              </w:rPr>
              <w:t>Other expenses, net</w:t>
            </w:r>
          </w:p>
        </w:tc>
        <w:tc>
          <w:tcPr>
            <w:tcW w:w="420" w:type="dxa"/>
            <w:vAlign w:val="bottom"/>
          </w:tcPr>
          <w:p>
            <w:pPr>
              <w:spacing w:after="0"/>
              <w:rPr>
                <w:sz w:val="18"/>
                <w:szCs w:val="18"/>
                <w:color w:val="auto"/>
              </w:rPr>
            </w:pPr>
          </w:p>
        </w:tc>
        <w:tc>
          <w:tcPr>
            <w:tcW w:w="580" w:type="dxa"/>
            <w:vAlign w:val="bottom"/>
            <w:vMerge w:val="restart"/>
          </w:tcPr>
          <w:p>
            <w:pPr>
              <w:jc w:val="right"/>
              <w:ind w:right="3"/>
              <w:spacing w:after="0"/>
              <w:rPr>
                <w:sz w:val="20"/>
                <w:szCs w:val="20"/>
                <w:color w:val="auto"/>
              </w:rPr>
            </w:pPr>
            <w:r>
              <w:rPr>
                <w:rFonts w:ascii="Arial" w:cs="Arial" w:eastAsia="Arial" w:hAnsi="Arial"/>
                <w:sz w:val="15"/>
                <w:szCs w:val="15"/>
                <w:color w:val="auto"/>
              </w:rPr>
              <w:t>15</w:t>
            </w:r>
          </w:p>
        </w:tc>
        <w:tc>
          <w:tcPr>
            <w:tcW w:w="420" w:type="dxa"/>
            <w:vAlign w:val="bottom"/>
          </w:tcPr>
          <w:p>
            <w:pPr>
              <w:spacing w:after="0"/>
              <w:rPr>
                <w:sz w:val="18"/>
                <w:szCs w:val="18"/>
                <w:color w:val="auto"/>
              </w:rPr>
            </w:pPr>
          </w:p>
        </w:tc>
        <w:tc>
          <w:tcPr>
            <w:tcW w:w="600" w:type="dxa"/>
            <w:vAlign w:val="bottom"/>
            <w:vMerge w:val="restart"/>
          </w:tcPr>
          <w:p>
            <w:pPr>
              <w:jc w:val="right"/>
              <w:ind w:right="23"/>
              <w:spacing w:after="0"/>
              <w:rPr>
                <w:sz w:val="20"/>
                <w:szCs w:val="20"/>
                <w:color w:val="auto"/>
              </w:rPr>
            </w:pPr>
            <w:r>
              <w:rPr>
                <w:rFonts w:ascii="Arial" w:cs="Arial" w:eastAsia="Arial" w:hAnsi="Arial"/>
                <w:sz w:val="15"/>
                <w:szCs w:val="15"/>
                <w:color w:val="auto"/>
              </w:rPr>
              <w:t>15</w:t>
            </w:r>
          </w:p>
        </w:tc>
        <w:tc>
          <w:tcPr>
            <w:tcW w:w="340" w:type="dxa"/>
            <w:vAlign w:val="bottom"/>
          </w:tcPr>
          <w:p>
            <w:pPr>
              <w:spacing w:after="0"/>
              <w:rPr>
                <w:sz w:val="18"/>
                <w:szCs w:val="18"/>
                <w:color w:val="auto"/>
              </w:rPr>
            </w:pPr>
          </w:p>
        </w:tc>
        <w:tc>
          <w:tcPr>
            <w:tcW w:w="660" w:type="dxa"/>
            <w:vAlign w:val="bottom"/>
            <w:vMerge w:val="restart"/>
          </w:tcPr>
          <w:p>
            <w:pPr>
              <w:jc w:val="right"/>
              <w:ind w:right="23"/>
              <w:spacing w:after="0"/>
              <w:rPr>
                <w:sz w:val="20"/>
                <w:szCs w:val="20"/>
                <w:color w:val="auto"/>
              </w:rPr>
            </w:pPr>
            <w:r>
              <w:rPr>
                <w:rFonts w:ascii="Arial" w:cs="Arial" w:eastAsia="Arial" w:hAnsi="Arial"/>
                <w:sz w:val="15"/>
                <w:szCs w:val="15"/>
                <w:color w:val="auto"/>
              </w:rPr>
              <w:t>40</w:t>
            </w:r>
          </w:p>
        </w:tc>
        <w:tc>
          <w:tcPr>
            <w:tcW w:w="34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42</w:t>
            </w:r>
          </w:p>
        </w:tc>
        <w:tc>
          <w:tcPr>
            <w:tcW w:w="74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77"/>
        </w:trPr>
        <w:tc>
          <w:tcPr>
            <w:tcW w:w="1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760" w:type="dxa"/>
            <w:vAlign w:val="bottom"/>
          </w:tcPr>
          <w:p>
            <w:pPr>
              <w:jc w:val="center"/>
              <w:spacing w:after="0" w:line="157" w:lineRule="exact"/>
              <w:rPr>
                <w:sz w:val="20"/>
                <w:szCs w:val="20"/>
                <w:color w:val="auto"/>
              </w:rPr>
            </w:pPr>
            <w:r>
              <w:rPr>
                <w:rFonts w:ascii="Arial" w:cs="Arial" w:eastAsia="Arial" w:hAnsi="Arial"/>
                <w:sz w:val="15"/>
                <w:szCs w:val="15"/>
                <w:color w:val="auto"/>
              </w:rPr>
              <w:t>Other administrative</w:t>
            </w:r>
          </w:p>
        </w:tc>
        <w:tc>
          <w:tcPr>
            <w:tcW w:w="420" w:type="dxa"/>
            <w:vAlign w:val="bottom"/>
          </w:tcPr>
          <w:p>
            <w:pPr>
              <w:spacing w:after="0"/>
              <w:rPr>
                <w:sz w:val="13"/>
                <w:szCs w:val="13"/>
                <w:color w:val="auto"/>
              </w:rPr>
            </w:pPr>
          </w:p>
        </w:tc>
        <w:tc>
          <w:tcPr>
            <w:tcW w:w="580" w:type="dxa"/>
            <w:vAlign w:val="bottom"/>
            <w:vMerge w:val="restart"/>
          </w:tcPr>
          <w:p>
            <w:pPr>
              <w:jc w:val="right"/>
              <w:ind w:right="3"/>
              <w:spacing w:after="0"/>
              <w:rPr>
                <w:sz w:val="20"/>
                <w:szCs w:val="20"/>
                <w:color w:val="auto"/>
              </w:rPr>
            </w:pPr>
            <w:r>
              <w:rPr>
                <w:rFonts w:ascii="Arial" w:cs="Arial" w:eastAsia="Arial" w:hAnsi="Arial"/>
                <w:sz w:val="15"/>
                <w:szCs w:val="15"/>
                <w:color w:val="auto"/>
              </w:rPr>
              <w:t>41</w:t>
            </w:r>
          </w:p>
        </w:tc>
        <w:tc>
          <w:tcPr>
            <w:tcW w:w="420" w:type="dxa"/>
            <w:vAlign w:val="bottom"/>
          </w:tcPr>
          <w:p>
            <w:pPr>
              <w:spacing w:after="0"/>
              <w:rPr>
                <w:sz w:val="13"/>
                <w:szCs w:val="13"/>
                <w:color w:val="auto"/>
              </w:rPr>
            </w:pPr>
          </w:p>
        </w:tc>
        <w:tc>
          <w:tcPr>
            <w:tcW w:w="600" w:type="dxa"/>
            <w:vAlign w:val="bottom"/>
            <w:vMerge w:val="restart"/>
          </w:tcPr>
          <w:p>
            <w:pPr>
              <w:jc w:val="right"/>
              <w:ind w:right="23"/>
              <w:spacing w:after="0"/>
              <w:rPr>
                <w:sz w:val="20"/>
                <w:szCs w:val="20"/>
                <w:color w:val="auto"/>
              </w:rPr>
            </w:pPr>
            <w:r>
              <w:rPr>
                <w:rFonts w:ascii="Arial" w:cs="Arial" w:eastAsia="Arial" w:hAnsi="Arial"/>
                <w:sz w:val="15"/>
                <w:szCs w:val="15"/>
                <w:color w:val="auto"/>
              </w:rPr>
              <w:t>39</w:t>
            </w:r>
          </w:p>
        </w:tc>
        <w:tc>
          <w:tcPr>
            <w:tcW w:w="340" w:type="dxa"/>
            <w:vAlign w:val="bottom"/>
          </w:tcPr>
          <w:p>
            <w:pPr>
              <w:spacing w:after="0"/>
              <w:rPr>
                <w:sz w:val="13"/>
                <w:szCs w:val="13"/>
                <w:color w:val="auto"/>
              </w:rPr>
            </w:pPr>
          </w:p>
        </w:tc>
        <w:tc>
          <w:tcPr>
            <w:tcW w:w="660" w:type="dxa"/>
            <w:vAlign w:val="bottom"/>
            <w:vMerge w:val="restart"/>
          </w:tcPr>
          <w:p>
            <w:pPr>
              <w:jc w:val="right"/>
              <w:ind w:right="23"/>
              <w:spacing w:after="0"/>
              <w:rPr>
                <w:sz w:val="20"/>
                <w:szCs w:val="20"/>
                <w:color w:val="auto"/>
              </w:rPr>
            </w:pPr>
            <w:r>
              <w:rPr>
                <w:rFonts w:ascii="Arial" w:cs="Arial" w:eastAsia="Arial" w:hAnsi="Arial"/>
                <w:sz w:val="15"/>
                <w:szCs w:val="15"/>
                <w:color w:val="auto"/>
              </w:rPr>
              <w:t>121</w:t>
            </w:r>
          </w:p>
        </w:tc>
        <w:tc>
          <w:tcPr>
            <w:tcW w:w="3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118</w:t>
            </w:r>
          </w:p>
        </w:tc>
        <w:tc>
          <w:tcPr>
            <w:tcW w:w="7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4"/>
        </w:trPr>
        <w:tc>
          <w:tcPr>
            <w:tcW w:w="1760" w:type="dxa"/>
            <w:vAlign w:val="bottom"/>
          </w:tcPr>
          <w:p>
            <w:pPr>
              <w:jc w:val="center"/>
              <w:spacing w:after="0"/>
              <w:rPr>
                <w:sz w:val="20"/>
                <w:szCs w:val="20"/>
                <w:color w:val="auto"/>
              </w:rPr>
            </w:pPr>
            <w:r>
              <w:rPr>
                <w:rFonts w:ascii="Arial" w:cs="Arial" w:eastAsia="Arial" w:hAnsi="Arial"/>
                <w:sz w:val="15"/>
                <w:szCs w:val="15"/>
                <w:color w:val="auto"/>
              </w:rPr>
              <w:t>expenses</w:t>
            </w:r>
          </w:p>
        </w:tc>
        <w:tc>
          <w:tcPr>
            <w:tcW w:w="42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1760" w:type="dxa"/>
            <w:vAlign w:val="bottom"/>
          </w:tcPr>
          <w:p>
            <w:pPr>
              <w:jc w:val="center"/>
              <w:ind w:right="3"/>
              <w:spacing w:after="0"/>
              <w:rPr>
                <w:sz w:val="20"/>
                <w:szCs w:val="20"/>
                <w:color w:val="auto"/>
              </w:rPr>
            </w:pPr>
            <w:r>
              <w:rPr>
                <w:rFonts w:ascii="Arial" w:cs="Arial" w:eastAsia="Arial" w:hAnsi="Arial"/>
                <w:sz w:val="15"/>
                <w:szCs w:val="15"/>
                <w:color w:val="auto"/>
              </w:rPr>
              <w:t>Administrative expenses</w:t>
            </w:r>
          </w:p>
        </w:tc>
        <w:tc>
          <w:tcPr>
            <w:tcW w:w="420" w:type="dxa"/>
            <w:vAlign w:val="bottom"/>
          </w:tcPr>
          <w:p>
            <w:pPr>
              <w:spacing w:after="0"/>
              <w:rPr>
                <w:sz w:val="24"/>
                <w:szCs w:val="24"/>
                <w:color w:val="auto"/>
              </w:rPr>
            </w:pPr>
          </w:p>
        </w:tc>
        <w:tc>
          <w:tcPr>
            <w:tcW w:w="58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24"/>
                <w:szCs w:val="24"/>
                <w:color w:val="auto"/>
              </w:rPr>
            </w:pPr>
          </w:p>
        </w:tc>
        <w:tc>
          <w:tcPr>
            <w:tcW w:w="600" w:type="dxa"/>
            <w:vAlign w:val="bottom"/>
            <w:vMerge w:val="restart"/>
          </w:tcPr>
          <w:p>
            <w:pPr>
              <w:jc w:val="right"/>
              <w:ind w:right="23"/>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24"/>
                <w:szCs w:val="24"/>
                <w:color w:val="auto"/>
              </w:rPr>
            </w:pPr>
          </w:p>
        </w:tc>
        <w:tc>
          <w:tcPr>
            <w:tcW w:w="660" w:type="dxa"/>
            <w:vAlign w:val="bottom"/>
            <w:vMerge w:val="restart"/>
          </w:tcPr>
          <w:p>
            <w:pPr>
              <w:jc w:val="right"/>
              <w:ind w:right="23"/>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24"/>
                <w:szCs w:val="24"/>
                <w:color w:val="auto"/>
              </w:rPr>
            </w:pPr>
          </w:p>
        </w:tc>
        <w:tc>
          <w:tcPr>
            <w:tcW w:w="680" w:type="dxa"/>
            <w:vAlign w:val="bottom"/>
            <w:vMerge w:val="restart"/>
          </w:tcPr>
          <w:p>
            <w:pPr>
              <w:jc w:val="right"/>
              <w:ind w:right="23"/>
              <w:spacing w:after="0"/>
              <w:rPr>
                <w:sz w:val="20"/>
                <w:szCs w:val="20"/>
                <w:color w:val="auto"/>
              </w:rPr>
            </w:pPr>
            <w:r>
              <w:rPr>
                <w:rFonts w:ascii="Arial" w:cs="Arial" w:eastAsia="Arial" w:hAnsi="Arial"/>
                <w:sz w:val="15"/>
                <w:szCs w:val="15"/>
                <w:color w:val="auto"/>
              </w:rPr>
              <w:t>6</w:t>
            </w:r>
          </w:p>
        </w:tc>
        <w:tc>
          <w:tcPr>
            <w:tcW w:w="74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77"/>
        </w:trPr>
        <w:tc>
          <w:tcPr>
            <w:tcW w:w="1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61"/>
        </w:trPr>
        <w:tc>
          <w:tcPr>
            <w:tcW w:w="1760" w:type="dxa"/>
            <w:vAlign w:val="bottom"/>
          </w:tcPr>
          <w:p>
            <w:pPr>
              <w:jc w:val="center"/>
              <w:ind w:right="3"/>
              <w:spacing w:after="0"/>
              <w:rPr>
                <w:sz w:val="20"/>
                <w:szCs w:val="20"/>
                <w:color w:val="auto"/>
              </w:rPr>
            </w:pPr>
            <w:r>
              <w:rPr>
                <w:rFonts w:ascii="Arial" w:cs="Arial" w:eastAsia="Arial" w:hAnsi="Arial"/>
                <w:sz w:val="15"/>
                <w:szCs w:val="15"/>
                <w:color w:val="auto"/>
              </w:rPr>
              <w:t>Other expenses, net</w:t>
            </w:r>
          </w:p>
        </w:tc>
        <w:tc>
          <w:tcPr>
            <w:tcW w:w="420" w:type="dxa"/>
            <w:vAlign w:val="bottom"/>
          </w:tcPr>
          <w:p>
            <w:pPr>
              <w:spacing w:after="0"/>
              <w:rPr>
                <w:sz w:val="24"/>
                <w:szCs w:val="24"/>
                <w:color w:val="auto"/>
              </w:rPr>
            </w:pPr>
          </w:p>
        </w:tc>
        <w:tc>
          <w:tcPr>
            <w:tcW w:w="580" w:type="dxa"/>
            <w:vAlign w:val="bottom"/>
            <w:vMerge w:val="restart"/>
          </w:tcPr>
          <w:p>
            <w:pPr>
              <w:jc w:val="right"/>
              <w:ind w:right="3"/>
              <w:spacing w:after="0"/>
              <w:rPr>
                <w:sz w:val="20"/>
                <w:szCs w:val="20"/>
                <w:color w:val="auto"/>
              </w:rPr>
            </w:pPr>
            <w:r>
              <w:rPr>
                <w:rFonts w:ascii="Arial" w:cs="Arial" w:eastAsia="Arial" w:hAnsi="Arial"/>
                <w:sz w:val="15"/>
                <w:szCs w:val="15"/>
                <w:color w:val="auto"/>
              </w:rPr>
              <w:t>14</w:t>
            </w:r>
          </w:p>
        </w:tc>
        <w:tc>
          <w:tcPr>
            <w:tcW w:w="420" w:type="dxa"/>
            <w:vAlign w:val="bottom"/>
          </w:tcPr>
          <w:p>
            <w:pPr>
              <w:spacing w:after="0"/>
              <w:rPr>
                <w:sz w:val="24"/>
                <w:szCs w:val="24"/>
                <w:color w:val="auto"/>
              </w:rPr>
            </w:pPr>
          </w:p>
        </w:tc>
        <w:tc>
          <w:tcPr>
            <w:tcW w:w="600" w:type="dxa"/>
            <w:vAlign w:val="bottom"/>
            <w:vMerge w:val="restart"/>
          </w:tcPr>
          <w:p>
            <w:pPr>
              <w:jc w:val="right"/>
              <w:ind w:right="23"/>
              <w:spacing w:after="0"/>
              <w:rPr>
                <w:sz w:val="20"/>
                <w:szCs w:val="20"/>
                <w:color w:val="auto"/>
              </w:rPr>
            </w:pPr>
            <w:r>
              <w:rPr>
                <w:rFonts w:ascii="Arial" w:cs="Arial" w:eastAsia="Arial" w:hAnsi="Arial"/>
                <w:sz w:val="15"/>
                <w:szCs w:val="15"/>
                <w:color w:val="auto"/>
              </w:rPr>
              <w:t>13</w:t>
            </w:r>
          </w:p>
        </w:tc>
        <w:tc>
          <w:tcPr>
            <w:tcW w:w="340" w:type="dxa"/>
            <w:vAlign w:val="bottom"/>
          </w:tcPr>
          <w:p>
            <w:pPr>
              <w:spacing w:after="0"/>
              <w:rPr>
                <w:sz w:val="24"/>
                <w:szCs w:val="24"/>
                <w:color w:val="auto"/>
              </w:rPr>
            </w:pPr>
          </w:p>
        </w:tc>
        <w:tc>
          <w:tcPr>
            <w:tcW w:w="660" w:type="dxa"/>
            <w:vAlign w:val="bottom"/>
            <w:vMerge w:val="restart"/>
          </w:tcPr>
          <w:p>
            <w:pPr>
              <w:jc w:val="right"/>
              <w:ind w:right="23"/>
              <w:spacing w:after="0"/>
              <w:rPr>
                <w:sz w:val="20"/>
                <w:szCs w:val="20"/>
                <w:color w:val="auto"/>
              </w:rPr>
            </w:pPr>
            <w:r>
              <w:rPr>
                <w:rFonts w:ascii="Arial" w:cs="Arial" w:eastAsia="Arial" w:hAnsi="Arial"/>
                <w:sz w:val="15"/>
                <w:szCs w:val="15"/>
                <w:color w:val="auto"/>
              </w:rPr>
              <w:t>52</w:t>
            </w:r>
          </w:p>
        </w:tc>
        <w:tc>
          <w:tcPr>
            <w:tcW w:w="340" w:type="dxa"/>
            <w:vAlign w:val="bottom"/>
          </w:tcPr>
          <w:p>
            <w:pPr>
              <w:spacing w:after="0"/>
              <w:rPr>
                <w:sz w:val="24"/>
                <w:szCs w:val="24"/>
                <w:color w:val="auto"/>
              </w:rPr>
            </w:pP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55</w:t>
            </w:r>
          </w:p>
        </w:tc>
        <w:tc>
          <w:tcPr>
            <w:tcW w:w="74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5"/>
        </w:trPr>
        <w:tc>
          <w:tcPr>
            <w:tcW w:w="1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74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sectPr>
          <w:pgSz w:w="11900" w:h="16838" w:orient="portrait"/>
          <w:cols w:equalWidth="0" w:num="3">
            <w:col w:w="1300" w:space="560"/>
            <w:col w:w="1740" w:space="180"/>
            <w:col w:w="7440"/>
          </w:cols>
          <w:pgMar w:left="320" w:top="248" w:right="359" w:bottom="1440" w:gutter="0" w:footer="0" w:header="0"/>
          <w:type w:val="continuous"/>
        </w:sectPr>
      </w:pPr>
    </w:p>
    <w:p>
      <w:pPr>
        <w:ind w:left="240" w:right="280" w:hanging="237"/>
        <w:spacing w:after="0" w:line="226" w:lineRule="auto"/>
        <w:tabs>
          <w:tab w:leader="none" w:pos="233" w:val="left"/>
        </w:tabs>
        <w:numPr>
          <w:ilvl w:val="0"/>
          <w:numId w:val="68"/>
        </w:numPr>
        <w:rPr>
          <w:rFonts w:ascii="Arial" w:cs="Arial" w:eastAsia="Arial" w:hAnsi="Arial"/>
          <w:sz w:val="18"/>
          <w:szCs w:val="18"/>
          <w:color w:val="auto"/>
          <w:vertAlign w:val="superscript"/>
        </w:rPr>
      </w:pPr>
      <w:r>
        <w:rPr>
          <w:rFonts w:ascii="Arial" w:cs="Arial" w:eastAsia="Arial" w:hAnsi="Arial"/>
          <w:sz w:val="14"/>
          <w:szCs w:val="14"/>
          <w:color w:val="auto"/>
        </w:rPr>
        <w:t>Consists of the portion of our single-family guaranty fees that is paid to Treasury pursuant to the TCCA. The resulting fee revenue and expense are recorded in “Interest income: Mortgage loans” and “TCCA fees,” respectively, in our condensed consolidated statements of operations and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365760</wp:posOffset>
            </wp:positionV>
            <wp:extent cx="680593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48" w:right="359" w:bottom="1440" w:gutter="0" w:footer="0" w:header="0"/>
          <w:type w:val="continuous"/>
        </w:sectPr>
      </w:pPr>
    </w:p>
    <w:bookmarkStart w:id="74" w:name="page75"/>
    <w:bookmarkEnd w:id="74"/>
    <w:p>
      <w:pPr>
        <w:ind w:left="4640"/>
        <w:spacing w:after="0"/>
        <w:rPr>
          <w:sz w:val="20"/>
          <w:szCs w:val="20"/>
          <w:color w:val="auto"/>
        </w:rPr>
      </w:pPr>
      <w:r>
        <w:rPr>
          <w:rFonts w:ascii="Arial" w:cs="Arial" w:eastAsia="Arial" w:hAnsi="Arial"/>
          <w:sz w:val="13"/>
          <w:szCs w:val="13"/>
          <w:color w:val="05314D"/>
        </w:rPr>
        <w:t>Notes to Condensed Consolidated Financial Statements | Consolidations and Transfers of Financial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3. Consolidations and Transfers of Financial Assets</w:t>
      </w:r>
    </w:p>
    <w:p>
      <w:pPr>
        <w:spacing w:after="0" w:line="80"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We have interests in various entities that are considered to be variable interest entities (“VIEs”). The primary types of VIEs are securitization and resecuritization trusts, limited partnerships and special purpose vehicles (“SPVs”). Variable interests from Freddie Mac and other issuers may include a guaranty that reduces our exposure to credit risk when we hold them as investments or resecuritize them in a resecuritization trust that issues MBS that are backed by our guaranty. We consolidate the substantial majority of our single-class securitization trusts because our role as guarantor and master servicer provides us with the power to direct activities (primarily the servicing of mortgage loans) that impact the credit risk to which we are exposed. In contrast, we do not consolidate single-class securitization trusts when other organizations have the power to direct these activities unless we have the unilateral ability to dissolve the trust. We also do not consolidate our resecuritization trusts unless we have the unilateral ability to dissolve the trust. We may include securities issued by Freddie Mac in some of our resecuritization trusts. The mortgage loans that serve as collateral for Freddie Mac-issued securities are not held in trusts that are consolidated by Fannie Mae.</w:t>
      </w:r>
    </w:p>
    <w:p>
      <w:pPr>
        <w:spacing w:after="0" w:line="90"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Unconsolidated VIEs</w:t>
      </w:r>
    </w:p>
    <w:p>
      <w:pPr>
        <w:spacing w:after="0" w:line="81"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We do not consolidate VIEs when we are not deemed to be the primary beneficiary. The following table displays the carrying amount and classification of our assets and liabilities that relate to our involvement with unconsolidated securitization and resecuritization trusts.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2140" w:type="dxa"/>
            <w:vAlign w:val="bottom"/>
            <w:tcBorders>
              <w:bottom w:val="single" w:sz="8" w:color="2C6937"/>
            </w:tcBorders>
            <w:gridSpan w:val="3"/>
          </w:tcPr>
          <w:p>
            <w:pPr>
              <w:jc w:val="right"/>
              <w:ind w:right="3"/>
              <w:spacing w:after="0"/>
              <w:rPr>
                <w:sz w:val="20"/>
                <w:szCs w:val="20"/>
                <w:color w:val="auto"/>
              </w:rPr>
            </w:pPr>
            <w:r>
              <w:rPr>
                <w:rFonts w:ascii="Arial" w:cs="Arial" w:eastAsia="Arial" w:hAnsi="Arial"/>
                <w:sz w:val="15"/>
                <w:szCs w:val="15"/>
                <w:b w:val="1"/>
                <w:bCs w:val="1"/>
                <w:color w:val="auto"/>
              </w:rPr>
              <w:t>As of</w:t>
            </w:r>
          </w:p>
        </w:tc>
        <w:tc>
          <w:tcPr>
            <w:tcW w:w="1800" w:type="dxa"/>
            <w:vAlign w:val="bottom"/>
            <w:tcBorders>
              <w:bottom w:val="single" w:sz="8" w:color="2C6937"/>
            </w:tcBorders>
          </w:tcPr>
          <w:p>
            <w:pPr>
              <w:spacing w:after="0"/>
              <w:rPr>
                <w:sz w:val="18"/>
                <w:szCs w:val="18"/>
                <w:color w:val="auto"/>
              </w:rPr>
            </w:pPr>
          </w:p>
        </w:tc>
      </w:tr>
      <w:tr>
        <w:trPr>
          <w:trHeight w:val="199"/>
        </w:trPr>
        <w:tc>
          <w:tcPr>
            <w:tcW w:w="7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920" w:type="dxa"/>
            <w:vAlign w:val="bottom"/>
            <w:tcBorders>
              <w:bottom w:val="single" w:sz="8" w:color="2C6937"/>
            </w:tcBorders>
            <w:gridSpan w:val="2"/>
          </w:tcPr>
          <w:p>
            <w:pPr>
              <w:ind w:left="80"/>
              <w:spacing w:after="0"/>
              <w:rPr>
                <w:sz w:val="20"/>
                <w:szCs w:val="20"/>
                <w:color w:val="auto"/>
              </w:rPr>
            </w:pPr>
            <w:r>
              <w:rPr>
                <w:rFonts w:ascii="Arial" w:cs="Arial" w:eastAsia="Arial" w:hAnsi="Arial"/>
                <w:sz w:val="15"/>
                <w:szCs w:val="15"/>
                <w:b w:val="1"/>
                <w:bCs w:val="1"/>
                <w:color w:val="auto"/>
              </w:rPr>
              <w:t>September 30, 2024</w:t>
            </w:r>
          </w:p>
        </w:tc>
        <w:tc>
          <w:tcPr>
            <w:tcW w:w="220" w:type="dxa"/>
            <w:vAlign w:val="bottom"/>
            <w:tcBorders>
              <w:bottom w:val="single" w:sz="8" w:color="2C6937"/>
            </w:tcBorders>
          </w:tcPr>
          <w:p>
            <w:pPr>
              <w:spacing w:after="0"/>
              <w:rPr>
                <w:sz w:val="17"/>
                <w:szCs w:val="17"/>
                <w:color w:val="auto"/>
              </w:rPr>
            </w:pPr>
          </w:p>
        </w:tc>
        <w:tc>
          <w:tcPr>
            <w:tcW w:w="1800" w:type="dxa"/>
            <w:vAlign w:val="bottom"/>
            <w:tcBorders>
              <w:bottom w:val="single" w:sz="8" w:color="2C6937"/>
            </w:tcBorders>
          </w:tcPr>
          <w:p>
            <w:pPr>
              <w:jc w:val="right"/>
              <w:ind w:right="243"/>
              <w:spacing w:after="0"/>
              <w:rPr>
                <w:sz w:val="20"/>
                <w:szCs w:val="20"/>
                <w:color w:val="auto"/>
              </w:rPr>
            </w:pPr>
            <w:r>
              <w:rPr>
                <w:rFonts w:ascii="Arial" w:cs="Arial" w:eastAsia="Arial" w:hAnsi="Arial"/>
                <w:sz w:val="15"/>
                <w:szCs w:val="15"/>
                <w:b w:val="1"/>
                <w:bCs w:val="1"/>
                <w:color w:val="auto"/>
              </w:rPr>
              <w:t>December 31, 2023</w:t>
            </w:r>
          </w:p>
        </w:tc>
      </w:tr>
      <w:tr>
        <w:trPr>
          <w:trHeight w:val="207"/>
        </w:trPr>
        <w:tc>
          <w:tcPr>
            <w:tcW w:w="7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40" w:type="dxa"/>
            <w:vAlign w:val="bottom"/>
            <w:gridSpan w:val="4"/>
          </w:tcPr>
          <w:p>
            <w:pPr>
              <w:jc w:val="right"/>
              <w:ind w:right="1283"/>
              <w:spacing w:after="0"/>
              <w:rPr>
                <w:sz w:val="20"/>
                <w:szCs w:val="20"/>
                <w:color w:val="auto"/>
              </w:rPr>
            </w:pPr>
            <w:r>
              <w:rPr>
                <w:rFonts w:ascii="Arial" w:cs="Arial" w:eastAsia="Arial" w:hAnsi="Arial"/>
                <w:sz w:val="15"/>
                <w:szCs w:val="15"/>
                <w:b w:val="1"/>
                <w:bCs w:val="1"/>
                <w:color w:val="auto"/>
              </w:rPr>
              <w:t>(Dollars in millions)</w:t>
            </w:r>
          </w:p>
        </w:tc>
      </w:tr>
      <w:tr>
        <w:trPr>
          <w:trHeight w:val="199"/>
        </w:trPr>
        <w:tc>
          <w:tcPr>
            <w:tcW w:w="7100" w:type="dxa"/>
            <w:vAlign w:val="bottom"/>
            <w:gridSpan w:val="2"/>
          </w:tcPr>
          <w:p>
            <w:pPr>
              <w:ind w:left="20"/>
              <w:spacing w:after="0"/>
              <w:rPr>
                <w:sz w:val="20"/>
                <w:szCs w:val="20"/>
                <w:color w:val="auto"/>
              </w:rPr>
            </w:pPr>
            <w:r>
              <w:rPr>
                <w:rFonts w:ascii="Arial" w:cs="Arial" w:eastAsia="Arial" w:hAnsi="Arial"/>
                <w:sz w:val="15"/>
                <w:szCs w:val="15"/>
                <w:color w:val="auto"/>
              </w:rPr>
              <w:t>Assets and liabilities recorded in our condensed consolidated balance sheets related to</w:t>
            </w:r>
          </w:p>
        </w:tc>
        <w:tc>
          <w:tcPr>
            <w:tcW w:w="2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4"/>
        </w:trPr>
        <w:tc>
          <w:tcPr>
            <w:tcW w:w="7100" w:type="dxa"/>
            <w:vAlign w:val="bottom"/>
            <w:gridSpan w:val="2"/>
          </w:tcPr>
          <w:p>
            <w:pPr>
              <w:ind w:left="180"/>
              <w:spacing w:after="0"/>
              <w:rPr>
                <w:sz w:val="20"/>
                <w:szCs w:val="20"/>
                <w:color w:val="auto"/>
              </w:rPr>
            </w:pPr>
            <w:r>
              <w:rPr>
                <w:rFonts w:ascii="Arial" w:cs="Arial" w:eastAsia="Arial" w:hAnsi="Arial"/>
                <w:sz w:val="15"/>
                <w:szCs w:val="15"/>
                <w:color w:val="auto"/>
              </w:rPr>
              <w:t>unconsolidated mortgage-backed trusts:</w:t>
            </w:r>
          </w:p>
        </w:tc>
        <w:tc>
          <w:tcPr>
            <w:tcW w:w="2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53"/>
        </w:trPr>
        <w:tc>
          <w:tcPr>
            <w:tcW w:w="7100" w:type="dxa"/>
            <w:vAlign w:val="bottom"/>
            <w:gridSpan w:val="2"/>
          </w:tcPr>
          <w:p>
            <w:pPr>
              <w:ind w:left="20"/>
              <w:spacing w:after="0"/>
              <w:rPr>
                <w:sz w:val="20"/>
                <w:szCs w:val="20"/>
                <w:color w:val="auto"/>
              </w:rPr>
            </w:pPr>
            <w:r>
              <w:rPr>
                <w:rFonts w:ascii="Arial" w:cs="Arial" w:eastAsia="Arial" w:hAnsi="Arial"/>
                <w:sz w:val="15"/>
                <w:szCs w:val="15"/>
                <w:color w:val="auto"/>
              </w:rPr>
              <w:t>Investments in securities, at fair value</w:t>
            </w: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1820" w:type="dxa"/>
            <w:vAlign w:val="bottom"/>
          </w:tcPr>
          <w:p>
            <w:pPr>
              <w:jc w:val="right"/>
              <w:ind w:right="3"/>
              <w:spacing w:after="0"/>
              <w:rPr>
                <w:sz w:val="20"/>
                <w:szCs w:val="20"/>
                <w:color w:val="auto"/>
              </w:rPr>
            </w:pPr>
            <w:r>
              <w:rPr>
                <w:rFonts w:ascii="Arial" w:cs="Arial" w:eastAsia="Arial" w:hAnsi="Arial"/>
                <w:sz w:val="15"/>
                <w:szCs w:val="15"/>
                <w:b w:val="1"/>
                <w:bCs w:val="1"/>
                <w:color w:val="auto"/>
              </w:rPr>
              <w:t>1,281</w:t>
            </w:r>
          </w:p>
        </w:tc>
        <w:tc>
          <w:tcPr>
            <w:tcW w:w="100" w:type="dxa"/>
            <w:vAlign w:val="bottom"/>
          </w:tcPr>
          <w:p>
            <w:pPr>
              <w:spacing w:after="0"/>
              <w:rPr>
                <w:sz w:val="21"/>
                <w:szCs w:val="21"/>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800" w:type="dxa"/>
            <w:vAlign w:val="bottom"/>
          </w:tcPr>
          <w:p>
            <w:pPr>
              <w:jc w:val="right"/>
              <w:spacing w:after="0"/>
              <w:rPr>
                <w:sz w:val="20"/>
                <w:szCs w:val="20"/>
                <w:color w:val="auto"/>
              </w:rPr>
            </w:pPr>
            <w:r>
              <w:rPr>
                <w:rFonts w:ascii="Arial" w:cs="Arial" w:eastAsia="Arial" w:hAnsi="Arial"/>
                <w:sz w:val="15"/>
                <w:szCs w:val="15"/>
                <w:color w:val="auto"/>
              </w:rPr>
              <w:t>4,863</w:t>
            </w:r>
          </w:p>
        </w:tc>
      </w:tr>
      <w:tr>
        <w:trPr>
          <w:trHeight w:val="224"/>
        </w:trPr>
        <w:tc>
          <w:tcPr>
            <w:tcW w:w="7100" w:type="dxa"/>
            <w:vAlign w:val="bottom"/>
            <w:gridSpan w:val="2"/>
          </w:tcPr>
          <w:p>
            <w:pPr>
              <w:ind w:left="20"/>
              <w:spacing w:after="0"/>
              <w:rPr>
                <w:sz w:val="20"/>
                <w:szCs w:val="20"/>
                <w:color w:val="auto"/>
              </w:rPr>
            </w:pPr>
            <w:r>
              <w:rPr>
                <w:rFonts w:ascii="Arial" w:cs="Arial" w:eastAsia="Arial" w:hAnsi="Arial"/>
                <w:sz w:val="15"/>
                <w:szCs w:val="15"/>
                <w:color w:val="auto"/>
              </w:rPr>
              <w:t>Other assets</w:t>
            </w:r>
          </w:p>
        </w:tc>
        <w:tc>
          <w:tcPr>
            <w:tcW w:w="200" w:type="dxa"/>
            <w:vAlign w:val="bottom"/>
          </w:tcPr>
          <w:p>
            <w:pPr>
              <w:spacing w:after="0"/>
              <w:rPr>
                <w:sz w:val="19"/>
                <w:szCs w:val="19"/>
                <w:color w:val="auto"/>
              </w:rPr>
            </w:pPr>
          </w:p>
        </w:tc>
        <w:tc>
          <w:tcPr>
            <w:tcW w:w="1820" w:type="dxa"/>
            <w:vAlign w:val="bottom"/>
          </w:tcPr>
          <w:p>
            <w:pPr>
              <w:jc w:val="right"/>
              <w:ind w:right="3"/>
              <w:spacing w:after="0"/>
              <w:rPr>
                <w:sz w:val="20"/>
                <w:szCs w:val="20"/>
                <w:color w:val="auto"/>
              </w:rPr>
            </w:pPr>
            <w:r>
              <w:rPr>
                <w:rFonts w:ascii="Arial" w:cs="Arial" w:eastAsia="Arial" w:hAnsi="Arial"/>
                <w:sz w:val="15"/>
                <w:szCs w:val="15"/>
                <w:b w:val="1"/>
                <w:bCs w:val="1"/>
                <w:color w:val="auto"/>
              </w:rPr>
              <w:t>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37</w:t>
            </w:r>
          </w:p>
        </w:tc>
      </w:tr>
      <w:tr>
        <w:trPr>
          <w:trHeight w:val="208"/>
        </w:trPr>
        <w:tc>
          <w:tcPr>
            <w:tcW w:w="70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Other liabilities</w:t>
            </w: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1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(39)</w:t>
            </w:r>
          </w:p>
        </w:tc>
        <w:tc>
          <w:tcPr>
            <w:tcW w:w="10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1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(42)</w:t>
            </w:r>
          </w:p>
        </w:tc>
      </w:tr>
      <w:tr>
        <w:trPr>
          <w:trHeight w:val="199"/>
        </w:trPr>
        <w:tc>
          <w:tcPr>
            <w:tcW w:w="7100" w:type="dxa"/>
            <w:vAlign w:val="bottom"/>
            <w:gridSpan w:val="2"/>
          </w:tcPr>
          <w:p>
            <w:pPr>
              <w:ind w:left="180"/>
              <w:spacing w:after="0"/>
              <w:rPr>
                <w:sz w:val="20"/>
                <w:szCs w:val="20"/>
                <w:color w:val="auto"/>
              </w:rPr>
            </w:pPr>
            <w:r>
              <w:rPr>
                <w:rFonts w:ascii="Arial" w:cs="Arial" w:eastAsia="Arial" w:hAnsi="Arial"/>
                <w:sz w:val="15"/>
                <w:szCs w:val="15"/>
                <w:color w:val="auto"/>
              </w:rPr>
              <w:t>Net carrying amount</w:t>
            </w: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1820" w:type="dxa"/>
            <w:vAlign w:val="bottom"/>
          </w:tcPr>
          <w:p>
            <w:pPr>
              <w:jc w:val="right"/>
              <w:ind w:right="3"/>
              <w:spacing w:after="0"/>
              <w:rPr>
                <w:sz w:val="20"/>
                <w:szCs w:val="20"/>
                <w:color w:val="auto"/>
              </w:rPr>
            </w:pPr>
            <w:r>
              <w:rPr>
                <w:rFonts w:ascii="Arial" w:cs="Arial" w:eastAsia="Arial" w:hAnsi="Arial"/>
                <w:sz w:val="15"/>
                <w:szCs w:val="15"/>
                <w:b w:val="1"/>
                <w:bCs w:val="1"/>
                <w:color w:val="auto"/>
              </w:rPr>
              <w:t>1,276</w:t>
            </w:r>
          </w:p>
        </w:tc>
        <w:tc>
          <w:tcPr>
            <w:tcW w:w="1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800" w:type="dxa"/>
            <w:vAlign w:val="bottom"/>
          </w:tcPr>
          <w:p>
            <w:pPr>
              <w:jc w:val="right"/>
              <w:spacing w:after="0"/>
              <w:rPr>
                <w:sz w:val="20"/>
                <w:szCs w:val="20"/>
                <w:color w:val="auto"/>
              </w:rPr>
            </w:pPr>
            <w:r>
              <w:rPr>
                <w:rFonts w:ascii="Arial" w:cs="Arial" w:eastAsia="Arial" w:hAnsi="Arial"/>
                <w:sz w:val="15"/>
                <w:szCs w:val="15"/>
                <w:color w:val="auto"/>
              </w:rPr>
              <w:t>4,858</w:t>
            </w:r>
          </w:p>
        </w:tc>
      </w:tr>
      <w:tr>
        <w:trPr>
          <w:trHeight w:val="20"/>
        </w:trPr>
        <w:tc>
          <w:tcPr>
            <w:tcW w:w="70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8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1800" w:type="dxa"/>
            <w:vAlign w:val="bottom"/>
            <w:tcBorders>
              <w:top w:val="single" w:sz="8" w:color="2C6937"/>
              <w:bottom w:val="single" w:sz="8" w:color="2C6937"/>
            </w:tcBorders>
          </w:tcPr>
          <w:p>
            <w:pPr>
              <w:spacing w:after="0" w:line="20" w:lineRule="exact"/>
              <w:rPr>
                <w:sz w:val="1"/>
                <w:szCs w:val="1"/>
                <w:color w:val="auto"/>
              </w:rPr>
            </w:pPr>
          </w:p>
        </w:tc>
      </w:tr>
    </w:tbl>
    <w:p>
      <w:pPr>
        <w:spacing w:after="0" w:line="171"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Our maximum exposure to loss generally represents the greater of our carrying amount related to our involvement with unconsolidated securitization and resecuritization trusts or the unpaid principal balance of the assets covered by our guaranty. Our involvement in unconsolidated resecuritization trusts may give rise to additional exposure to loss depending on the type of resecuritization trust. Fannie Mae resecuritization trusts that are backed entirely by Fannie Mae MBS are not consolidated and do not give rise to any additional exposure to loss as we already consolidate the underlying collateral. In contrast, Fannie Mae resecuritization trusts that are backed in whole or in part by Freddie Mac securities may increase our exposure to loss to the extent that we are providing a guaranty for the timely payment and interest on the underlying Freddie Mac securities that we have not previously guaranteed. Our maximum exposure to loss for these unconsolidated trusts is measured by the amount of Freddie Mac securities that are held in these resecuritization trusts.</w:t>
      </w:r>
    </w:p>
    <w:p>
      <w:pPr>
        <w:spacing w:after="0" w:line="43"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Our maximum exposure to loss related to unconsolidated securitization and resecuritization trusts, which includes but is not limited to our exposure to these Freddie Mac securities, was approximately $207 billion and $223 billion as of September 30, 2024 and December 31, 2023, respectively. The total assets of our unconsolidated securitization and resecuritization trusts were approximately $208 billion and $273 billion as of September 30, 2024 and December 31, 2023, respectively.</w:t>
      </w:r>
    </w:p>
    <w:p>
      <w:pPr>
        <w:spacing w:after="0" w:line="33"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The maximum exposure to loss for our unconsolidated limited partnerships and similar legal entities, which consist of low income housing tax credit (“LIHTC”) investments, community investments and investments in other entities, was $633 million and the related net carrying value was $633 million as of September 30, 2024. As of December 31, 2023, the maximum exposure to loss was $530 million and the related net carrying value was $528 million. The total assets of these limited partnership investments were $6.2 billion and $5.8 billion as of September 30, 2024 and December 31, 2023, respectively.</w:t>
      </w:r>
    </w:p>
    <w:p>
      <w:pPr>
        <w:spacing w:after="0" w:line="33" w:lineRule="exact"/>
        <w:rPr>
          <w:sz w:val="20"/>
          <w:szCs w:val="20"/>
          <w:color w:val="auto"/>
        </w:rPr>
      </w:pPr>
    </w:p>
    <w:p>
      <w:pPr>
        <w:ind w:right="60"/>
        <w:spacing w:after="0" w:line="243" w:lineRule="auto"/>
        <w:rPr>
          <w:sz w:val="20"/>
          <w:szCs w:val="20"/>
          <w:color w:val="auto"/>
        </w:rPr>
      </w:pPr>
      <w:r>
        <w:rPr>
          <w:rFonts w:ascii="Arial" w:cs="Arial" w:eastAsia="Arial" w:hAnsi="Arial"/>
          <w:sz w:val="16"/>
          <w:szCs w:val="16"/>
          <w:color w:val="auto"/>
        </w:rPr>
        <w:t>The maximum exposure to loss related to our involvement with unconsolidated SPVs that transfer credit risk represents the unpaid principal balance and accrued interest payable of obligations issued by our Connecticut Avenue Securities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(“CAS”) and Multifamily Connecticut Avenue Securities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(“MCAS</w:t>
      </w:r>
      <w:r>
        <w:rPr>
          <w:rFonts w:ascii="Arial" w:cs="Arial" w:eastAsia="Arial" w:hAnsi="Arial"/>
          <w:sz w:val="8"/>
          <w:szCs w:val="8"/>
          <w:color w:val="auto"/>
        </w:rPr>
        <w:t>TM</w:t>
      </w:r>
      <w:r>
        <w:rPr>
          <w:rFonts w:ascii="Arial" w:cs="Arial" w:eastAsia="Arial" w:hAnsi="Arial"/>
          <w:sz w:val="16"/>
          <w:szCs w:val="16"/>
          <w:color w:val="auto"/>
        </w:rPr>
        <w:t>”) SPVs. The maximum exposure to loss related to these unconsolidated SPVs was $23.9 billion and $21.4 billion as of September 30, 2024 and December 31, 2023, respectively. The total assets related to these unconsolidated SPVs were $23.9 billion and $21.4 billion as of September 30, 2024 and December 31,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375920</wp:posOffset>
            </wp:positionV>
            <wp:extent cx="680593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75" w:name="page76"/>
    <w:bookmarkEnd w:id="75"/>
    <w:p>
      <w:pPr>
        <w:ind w:left="4640"/>
        <w:spacing w:after="0"/>
        <w:rPr>
          <w:sz w:val="20"/>
          <w:szCs w:val="20"/>
          <w:color w:val="auto"/>
        </w:rPr>
      </w:pPr>
      <w:r>
        <w:rPr>
          <w:rFonts w:ascii="Arial" w:cs="Arial" w:eastAsia="Arial" w:hAnsi="Arial"/>
          <w:sz w:val="13"/>
          <w:szCs w:val="13"/>
          <w:color w:val="05314D"/>
        </w:rPr>
        <w:t>Notes to Condensed Consolidated Financial Statements | Consolidations and Transfers of Financial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As our lending relationship does not provide us with a controlling financial interest in the borrower entity for loans in our multifamily loan portfolio, we do not consolidate these borrowers regardless of their status as either a VIE or a voting interest entity. We have excluded these entities from our VIE disclosures. As of September 30, 2024, the unpaid principal balance of our multifamily loan portfolio was $476.5 billion. However, the disclosures we have provided in “Note 4, Mortgage Loans,” “Note 5, Allowance for Loan Losses” and “Note 7, Financial Guarantees” with respect to this population are consistent with the FASB’s stated objectives for the disclosures related to unconsolidated VIEs.</w:t>
      </w:r>
    </w:p>
    <w:p>
      <w:pPr>
        <w:spacing w:after="0" w:line="84"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Transfers of Financial Assets and Portfolio Securitizations</w:t>
      </w:r>
    </w:p>
    <w:p>
      <w:pPr>
        <w:spacing w:after="0" w:line="68"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We issue Fannie Mae MBS through portfolio securitization transactions by transferring pools of mortgage loans or mortgage-related securities to one or more trusts or special purpose entities. For the three months ended September 30, 2024 and 2023, the unpaid principal balance of portfolio securitizations was $35.3 billion. For the nine months ended September 30, 2024 and 2023, the unpaid principal balance of portfolio securitizations was $102.0 billion and $100.5 billion, respectively. The substantial majority of these portfolio securitization transactions generally do not qualify for sale treatment. Portfolio securitization trusts that do qualify for sale treatment primarily consist of loans that are guaranteed or insured, in whole or in part, by the U.S. government.</w:t>
      </w:r>
    </w:p>
    <w:p>
      <w:pPr>
        <w:spacing w:after="0" w:line="38"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We retain interests from the transfer and sale of mortgage-related securities to unconsolidated single-class and multi-class portfolio securitization trusts. As of September 30, 2024, the unpaid principal balance of retained interests was $672 million and its related fair value was $1.1 billion. As of December 31, 2023, the unpaid principal balance of retained interests was $821 million and its related fair value was $1.3 billion. For the three months ended September 30, 2024 and 2023, the principal, interest and other fees received on retained interests was $66 million and $72 million, respectively. For the nine months ended September 30, 2024 and 2023, the principal, interest and other fees received on retained interests was $193 million and $220 million, respectively.</w:t>
      </w:r>
    </w:p>
    <w:p>
      <w:pPr>
        <w:spacing w:after="0" w:line="134"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4. Mortgage Loans</w:t>
      </w:r>
    </w:p>
    <w:p>
      <w:pPr>
        <w:spacing w:after="0" w:line="80"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We own single-family mortgage loans, which are secured by four or fewer residential dwelling units, and multifamily mortgage loans, which are secured by five or more residential dwelling units. We classify these loans as either held for investment (“HFI”) or held for sale (“HFS”). Unless otherwise noted, within “Note 4, Mortgage Loans,” we report the amortized cost of HFI loans for which we have not elected the fair value option at the unpaid principal balance, net of unamortized premiums and discounts, hedge-related basis adjustments, other cost basis adjustments, and accrued interest receivable. Within our condensed consolidated balance sheets, we present accrued interest receivable, net separately from the amortized cost of our loans held for investment. We report the carrying value of HFS loans at the lower of cost or fair value and record valuation changes in “Investment gains (losses), net” in our condensed consolidated statements of operations and comprehensive income.</w:t>
      </w:r>
    </w:p>
    <w:p>
      <w:pPr>
        <w:spacing w:after="0" w:line="43" w:lineRule="exact"/>
        <w:rPr>
          <w:sz w:val="20"/>
          <w:szCs w:val="20"/>
          <w:color w:val="auto"/>
        </w:rPr>
      </w:pPr>
    </w:p>
    <w:p>
      <w:pPr>
        <w:ind w:right="240"/>
        <w:spacing w:after="0" w:line="281" w:lineRule="auto"/>
        <w:rPr>
          <w:sz w:val="20"/>
          <w:szCs w:val="20"/>
          <w:color w:val="auto"/>
        </w:rPr>
      </w:pPr>
      <w:r>
        <w:rPr>
          <w:rFonts w:ascii="Arial" w:cs="Arial" w:eastAsia="Arial" w:hAnsi="Arial"/>
          <w:sz w:val="16"/>
          <w:szCs w:val="16"/>
          <w:color w:val="auto"/>
        </w:rPr>
        <w:t>Within our single-family mortgage loan disclosures below, we display loans by class of financing receivable type. Financing receivable classes used for disclosure consist of: “20- and 30-year or more, amortizing fixed-rate,” “15-year or less, amortizing fixed-rate,” “Adjustable-rate,” and “Other.” The “Other” class primarily consists of reverse mortgage loans, interest-only loans, negative-amortizing loans and second liens.</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displays the carrying value of our mortgage loans and allowance for loan losses.</w:t>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Arial" w:cs="Arial" w:eastAsia="Arial" w:hAnsi="Arial"/>
          <w:sz w:val="15"/>
          <w:szCs w:val="15"/>
          <w:color w:val="auto"/>
        </w:rPr>
        <w:t>Single-family</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5"/>
          <w:szCs w:val="15"/>
          <w:color w:val="auto"/>
        </w:rPr>
        <w:t>Multifamily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443674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436745" cy="8255"/>
                    </a:xfrm>
                    <a:prstGeom prst="rect">
                      <a:avLst/>
                    </a:prstGeom>
                    <a:noFill/>
                  </pic:spPr>
                </pic:pic>
              </a:graphicData>
            </a:graphic>
          </wp:anchor>
        </w:drawing>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Total unpaid principal balance of mortgage loans</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5"/>
          <w:szCs w:val="15"/>
          <w:color w:val="auto"/>
        </w:rPr>
        <w:t>Cost basis and fair value adjustments, net</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5"/>
          <w:szCs w:val="15"/>
          <w:color w:val="auto"/>
        </w:rPr>
        <w:t>Allowance for loan losses for HFI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443674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436745" cy="8255"/>
                    </a:xfrm>
                    <a:prstGeom prst="rect">
                      <a:avLst/>
                    </a:prstGeom>
                    <a:noFill/>
                  </pic:spPr>
                </pic:pic>
              </a:graphicData>
            </a:graphic>
          </wp:anchor>
        </w:drawing>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Total mortgage loans</w:t>
      </w:r>
      <w:r>
        <w:rPr>
          <w:rFonts w:ascii="Arial" w:cs="Arial" w:eastAsia="Arial" w:hAnsi="Arial"/>
          <w:sz w:val="20"/>
          <w:szCs w:val="20"/>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443674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4367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wp:posOffset>
            </wp:positionV>
            <wp:extent cx="443674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4367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ind w:left="1880"/>
        <w:spacing w:after="0"/>
        <w:rPr>
          <w:sz w:val="20"/>
          <w:szCs w:val="20"/>
          <w:color w:val="auto"/>
        </w:rPr>
      </w:pPr>
      <w:r>
        <w:rPr>
          <w:rFonts w:ascii="Arial" w:cs="Arial" w:eastAsia="Arial" w:hAnsi="Arial"/>
          <w:sz w:val="15"/>
          <w:szCs w:val="15"/>
          <w:b w:val="1"/>
          <w:bCs w:val="1"/>
          <w:color w:val="auto"/>
        </w:rPr>
        <w:t>As of</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0" w:type="dxa"/>
            <w:vAlign w:val="bottom"/>
            <w:tcBorders>
              <w:top w:val="single" w:sz="8" w:color="2C6937"/>
              <w:bottom w:val="single" w:sz="8" w:color="2C6937"/>
            </w:tcBorders>
          </w:tcPr>
          <w:p>
            <w:pPr>
              <w:spacing w:after="0"/>
              <w:rPr>
                <w:sz w:val="17"/>
                <w:szCs w:val="17"/>
                <w:color w:val="auto"/>
              </w:rPr>
            </w:pPr>
          </w:p>
        </w:tc>
        <w:tc>
          <w:tcPr>
            <w:tcW w:w="1920" w:type="dxa"/>
            <w:vAlign w:val="bottom"/>
            <w:tcBorders>
              <w:top w:val="single" w:sz="8" w:color="2C6937"/>
              <w:bottom w:val="single" w:sz="8" w:color="2C6937"/>
            </w:tcBorders>
            <w:gridSpan w:val="2"/>
          </w:tcPr>
          <w:p>
            <w:pPr>
              <w:ind w:left="80"/>
              <w:spacing w:after="0"/>
              <w:rPr>
                <w:sz w:val="20"/>
                <w:szCs w:val="20"/>
                <w:color w:val="auto"/>
              </w:rPr>
            </w:pPr>
            <w:r>
              <w:rPr>
                <w:rFonts w:ascii="Arial" w:cs="Arial" w:eastAsia="Arial" w:hAnsi="Arial"/>
                <w:sz w:val="15"/>
                <w:szCs w:val="15"/>
                <w:b w:val="1"/>
                <w:bCs w:val="1"/>
                <w:color w:val="auto"/>
              </w:rPr>
              <w:t>September 30, 2024</w:t>
            </w:r>
          </w:p>
        </w:tc>
        <w:tc>
          <w:tcPr>
            <w:tcW w:w="220" w:type="dxa"/>
            <w:vAlign w:val="bottom"/>
            <w:tcBorders>
              <w:top w:val="single" w:sz="8" w:color="2C6937"/>
              <w:bottom w:val="single" w:sz="8" w:color="2C6937"/>
            </w:tcBorders>
          </w:tcPr>
          <w:p>
            <w:pPr>
              <w:spacing w:after="0"/>
              <w:rPr>
                <w:sz w:val="17"/>
                <w:szCs w:val="17"/>
                <w:color w:val="auto"/>
              </w:rPr>
            </w:pPr>
          </w:p>
        </w:tc>
        <w:tc>
          <w:tcPr>
            <w:tcW w:w="1800" w:type="dxa"/>
            <w:vAlign w:val="bottom"/>
            <w:tcBorders>
              <w:top w:val="single" w:sz="8" w:color="2C6937"/>
              <w:bottom w:val="single" w:sz="8" w:color="2C6937"/>
            </w:tcBorders>
          </w:tcPr>
          <w:p>
            <w:pPr>
              <w:jc w:val="right"/>
              <w:ind w:right="243"/>
              <w:spacing w:after="0"/>
              <w:rPr>
                <w:sz w:val="20"/>
                <w:szCs w:val="20"/>
                <w:color w:val="auto"/>
              </w:rPr>
            </w:pPr>
            <w:r>
              <w:rPr>
                <w:rFonts w:ascii="Arial" w:cs="Arial" w:eastAsia="Arial" w:hAnsi="Arial"/>
                <w:sz w:val="15"/>
                <w:szCs w:val="15"/>
                <w:b w:val="1"/>
                <w:bCs w:val="1"/>
                <w:color w:val="auto"/>
              </w:rPr>
              <w:t>December 31, 2023</w:t>
            </w:r>
          </w:p>
        </w:tc>
      </w:tr>
      <w:tr>
        <w:trPr>
          <w:trHeight w:val="296"/>
        </w:trPr>
        <w:tc>
          <w:tcPr>
            <w:tcW w:w="200" w:type="dxa"/>
            <w:vAlign w:val="bottom"/>
          </w:tcPr>
          <w:p>
            <w:pPr>
              <w:spacing w:after="0"/>
              <w:rPr>
                <w:sz w:val="24"/>
                <w:szCs w:val="24"/>
                <w:color w:val="auto"/>
              </w:rPr>
            </w:pPr>
          </w:p>
        </w:tc>
        <w:tc>
          <w:tcPr>
            <w:tcW w:w="3940" w:type="dxa"/>
            <w:vAlign w:val="bottom"/>
            <w:gridSpan w:val="4"/>
          </w:tcPr>
          <w:p>
            <w:pPr>
              <w:jc w:val="right"/>
              <w:ind w:right="1283"/>
              <w:spacing w:after="0"/>
              <w:rPr>
                <w:sz w:val="20"/>
                <w:szCs w:val="20"/>
                <w:color w:val="auto"/>
              </w:rPr>
            </w:pPr>
            <w:r>
              <w:rPr>
                <w:rFonts w:ascii="Arial" w:cs="Arial" w:eastAsia="Arial" w:hAnsi="Arial"/>
                <w:sz w:val="15"/>
                <w:szCs w:val="15"/>
                <w:b w:val="1"/>
                <w:bCs w:val="1"/>
                <w:color w:val="auto"/>
              </w:rPr>
              <w:t>(Dollars in millions)</w:t>
            </w:r>
          </w:p>
        </w:tc>
      </w:tr>
      <w:tr>
        <w:trPr>
          <w:trHeight w:val="322"/>
        </w:trPr>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1820" w:type="dxa"/>
            <w:vAlign w:val="bottom"/>
          </w:tcPr>
          <w:p>
            <w:pPr>
              <w:jc w:val="right"/>
              <w:ind w:right="3"/>
              <w:spacing w:after="0"/>
              <w:rPr>
                <w:sz w:val="20"/>
                <w:szCs w:val="20"/>
                <w:color w:val="auto"/>
              </w:rPr>
            </w:pPr>
            <w:r>
              <w:rPr>
                <w:rFonts w:ascii="Arial" w:cs="Arial" w:eastAsia="Arial" w:hAnsi="Arial"/>
                <w:sz w:val="15"/>
                <w:szCs w:val="15"/>
                <w:b w:val="1"/>
                <w:bCs w:val="1"/>
                <w:color w:val="auto"/>
              </w:rPr>
              <w:t>3,630,285</w:t>
            </w:r>
          </w:p>
        </w:tc>
        <w:tc>
          <w:tcPr>
            <w:tcW w:w="100" w:type="dxa"/>
            <w:vAlign w:val="bottom"/>
          </w:tcPr>
          <w:p>
            <w:pPr>
              <w:spacing w:after="0"/>
              <w:rPr>
                <w:sz w:val="24"/>
                <w:szCs w:val="24"/>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800" w:type="dxa"/>
            <w:vAlign w:val="bottom"/>
          </w:tcPr>
          <w:p>
            <w:pPr>
              <w:jc w:val="right"/>
              <w:spacing w:after="0"/>
              <w:rPr>
                <w:sz w:val="20"/>
                <w:szCs w:val="20"/>
                <w:color w:val="auto"/>
              </w:rPr>
            </w:pPr>
            <w:r>
              <w:rPr>
                <w:rFonts w:ascii="Arial" w:cs="Arial" w:eastAsia="Arial" w:hAnsi="Arial"/>
                <w:sz w:val="15"/>
                <w:szCs w:val="15"/>
                <w:color w:val="auto"/>
              </w:rPr>
              <w:t>3,641,385</w:t>
            </w:r>
          </w:p>
        </w:tc>
      </w:tr>
      <w:tr>
        <w:trPr>
          <w:trHeight w:val="303"/>
        </w:trPr>
        <w:tc>
          <w:tcPr>
            <w:tcW w:w="200" w:type="dxa"/>
            <w:vAlign w:val="bottom"/>
            <w:tcBorders>
              <w:bottom w:val="single" w:sz="8" w:color="2C6937"/>
            </w:tcBorders>
          </w:tcPr>
          <w:p>
            <w:pPr>
              <w:spacing w:after="0"/>
              <w:rPr>
                <w:sz w:val="24"/>
                <w:szCs w:val="24"/>
                <w:color w:val="auto"/>
              </w:rPr>
            </w:pPr>
          </w:p>
        </w:tc>
        <w:tc>
          <w:tcPr>
            <w:tcW w:w="18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476,472</w:t>
            </w:r>
          </w:p>
        </w:tc>
        <w:tc>
          <w:tcPr>
            <w:tcW w:w="100" w:type="dxa"/>
            <w:vAlign w:val="bottom"/>
          </w:tcPr>
          <w:p>
            <w:pPr>
              <w:spacing w:after="0"/>
              <w:rPr>
                <w:sz w:val="24"/>
                <w:szCs w:val="24"/>
                <w:color w:val="auto"/>
              </w:rPr>
            </w:pPr>
          </w:p>
        </w:tc>
        <w:tc>
          <w:tcPr>
            <w:tcW w:w="220" w:type="dxa"/>
            <w:vAlign w:val="bottom"/>
            <w:tcBorders>
              <w:bottom w:val="single" w:sz="8" w:color="2C6937"/>
            </w:tcBorders>
          </w:tcPr>
          <w:p>
            <w:pPr>
              <w:spacing w:after="0"/>
              <w:rPr>
                <w:sz w:val="24"/>
                <w:szCs w:val="24"/>
                <w:color w:val="auto"/>
              </w:rPr>
            </w:pPr>
          </w:p>
        </w:tc>
        <w:tc>
          <w:tcPr>
            <w:tcW w:w="1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461,247</w:t>
            </w:r>
          </w:p>
        </w:tc>
      </w:tr>
      <w:tr>
        <w:trPr>
          <w:trHeight w:val="309"/>
        </w:trPr>
        <w:tc>
          <w:tcPr>
            <w:tcW w:w="200" w:type="dxa"/>
            <w:vAlign w:val="bottom"/>
          </w:tcPr>
          <w:p>
            <w:pPr>
              <w:spacing w:after="0"/>
              <w:rPr>
                <w:sz w:val="24"/>
                <w:szCs w:val="24"/>
                <w:color w:val="auto"/>
              </w:rPr>
            </w:pPr>
          </w:p>
        </w:tc>
        <w:tc>
          <w:tcPr>
            <w:tcW w:w="1820" w:type="dxa"/>
            <w:vAlign w:val="bottom"/>
          </w:tcPr>
          <w:p>
            <w:pPr>
              <w:jc w:val="right"/>
              <w:ind w:right="3"/>
              <w:spacing w:after="0"/>
              <w:rPr>
                <w:sz w:val="20"/>
                <w:szCs w:val="20"/>
                <w:color w:val="auto"/>
              </w:rPr>
            </w:pPr>
            <w:r>
              <w:rPr>
                <w:rFonts w:ascii="Arial" w:cs="Arial" w:eastAsia="Arial" w:hAnsi="Arial"/>
                <w:sz w:val="15"/>
                <w:szCs w:val="15"/>
                <w:b w:val="1"/>
                <w:bCs w:val="1"/>
                <w:color w:val="auto"/>
              </w:rPr>
              <w:t>4,106,757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4,102,632</w:t>
            </w:r>
          </w:p>
        </w:tc>
      </w:tr>
      <w:tr>
        <w:trPr>
          <w:trHeight w:val="309"/>
        </w:trPr>
        <w:tc>
          <w:tcPr>
            <w:tcW w:w="200" w:type="dxa"/>
            <w:vAlign w:val="bottom"/>
          </w:tcPr>
          <w:p>
            <w:pPr>
              <w:spacing w:after="0"/>
              <w:rPr>
                <w:sz w:val="24"/>
                <w:szCs w:val="24"/>
                <w:color w:val="auto"/>
              </w:rPr>
            </w:pPr>
          </w:p>
        </w:tc>
        <w:tc>
          <w:tcPr>
            <w:tcW w:w="1820" w:type="dxa"/>
            <w:vAlign w:val="bottom"/>
          </w:tcPr>
          <w:p>
            <w:pPr>
              <w:jc w:val="right"/>
              <w:ind w:right="3"/>
              <w:spacing w:after="0"/>
              <w:rPr>
                <w:sz w:val="20"/>
                <w:szCs w:val="20"/>
                <w:color w:val="auto"/>
              </w:rPr>
            </w:pPr>
            <w:r>
              <w:rPr>
                <w:rFonts w:ascii="Arial" w:cs="Arial" w:eastAsia="Arial" w:hAnsi="Arial"/>
                <w:sz w:val="15"/>
                <w:szCs w:val="15"/>
                <w:b w:val="1"/>
                <w:bCs w:val="1"/>
                <w:color w:val="auto"/>
              </w:rPr>
              <w:t>39,557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41,729</w:t>
            </w:r>
          </w:p>
        </w:tc>
      </w:tr>
      <w:tr>
        <w:trPr>
          <w:trHeight w:val="303"/>
        </w:trPr>
        <w:tc>
          <w:tcPr>
            <w:tcW w:w="200" w:type="dxa"/>
            <w:vAlign w:val="bottom"/>
            <w:tcBorders>
              <w:bottom w:val="single" w:sz="8" w:color="2C6937"/>
            </w:tcBorders>
          </w:tcPr>
          <w:p>
            <w:pPr>
              <w:spacing w:after="0"/>
              <w:rPr>
                <w:sz w:val="24"/>
                <w:szCs w:val="24"/>
                <w:color w:val="auto"/>
              </w:rPr>
            </w:pPr>
          </w:p>
        </w:tc>
        <w:tc>
          <w:tcPr>
            <w:tcW w:w="1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(7,656)</w:t>
            </w:r>
          </w:p>
        </w:tc>
        <w:tc>
          <w:tcPr>
            <w:tcW w:w="100" w:type="dxa"/>
            <w:vAlign w:val="bottom"/>
          </w:tcPr>
          <w:p>
            <w:pPr>
              <w:spacing w:after="0"/>
              <w:rPr>
                <w:sz w:val="24"/>
                <w:szCs w:val="24"/>
                <w:color w:val="auto"/>
              </w:rPr>
            </w:pPr>
          </w:p>
        </w:tc>
        <w:tc>
          <w:tcPr>
            <w:tcW w:w="220" w:type="dxa"/>
            <w:vAlign w:val="bottom"/>
            <w:tcBorders>
              <w:bottom w:val="single" w:sz="8" w:color="2C6937"/>
            </w:tcBorders>
          </w:tcPr>
          <w:p>
            <w:pPr>
              <w:spacing w:after="0"/>
              <w:rPr>
                <w:sz w:val="24"/>
                <w:szCs w:val="24"/>
                <w:color w:val="auto"/>
              </w:rPr>
            </w:pPr>
          </w:p>
        </w:tc>
        <w:tc>
          <w:tcPr>
            <w:tcW w:w="1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(8,730)</w:t>
            </w:r>
          </w:p>
        </w:tc>
      </w:tr>
      <w:tr>
        <w:trPr>
          <w:trHeight w:val="302"/>
        </w:trPr>
        <w:tc>
          <w:tcPr>
            <w:tcW w:w="200" w:type="dxa"/>
            <w:vAlign w:val="bottom"/>
            <w:tcBorders>
              <w:bottom w:val="single" w:sz="8" w:color="2C6937"/>
            </w:tcBorders>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18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4,138,658</w:t>
            </w:r>
          </w:p>
        </w:tc>
        <w:tc>
          <w:tcPr>
            <w:tcW w:w="100" w:type="dxa"/>
            <w:vAlign w:val="bottom"/>
          </w:tcPr>
          <w:p>
            <w:pPr>
              <w:spacing w:after="0"/>
              <w:rPr>
                <w:sz w:val="24"/>
                <w:szCs w:val="24"/>
                <w:color w:val="auto"/>
              </w:rPr>
            </w:pPr>
          </w:p>
        </w:tc>
        <w:tc>
          <w:tcPr>
            <w:tcW w:w="220" w:type="dxa"/>
            <w:vAlign w:val="bottom"/>
            <w:tcBorders>
              <w:bottom w:val="single" w:sz="8" w:color="2C6937"/>
            </w:tcBorders>
          </w:tcPr>
          <w:p>
            <w:pPr>
              <w:jc w:val="right"/>
              <w:ind w:right="43"/>
              <w:spacing w:after="0"/>
              <w:rPr>
                <w:sz w:val="20"/>
                <w:szCs w:val="20"/>
                <w:color w:val="auto"/>
              </w:rPr>
            </w:pPr>
            <w:r>
              <w:rPr>
                <w:rFonts w:ascii="Arial" w:cs="Arial" w:eastAsia="Arial" w:hAnsi="Arial"/>
                <w:sz w:val="15"/>
                <w:szCs w:val="15"/>
                <w:color w:val="auto"/>
                <w:w w:val="95"/>
              </w:rPr>
              <w:t>$</w:t>
            </w:r>
          </w:p>
        </w:tc>
        <w:tc>
          <w:tcPr>
            <w:tcW w:w="1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4,135,631</w:t>
            </w:r>
          </w:p>
        </w:tc>
      </w:tr>
      <w:tr>
        <w:trPr>
          <w:trHeight w:val="20"/>
        </w:trPr>
        <w:tc>
          <w:tcPr>
            <w:tcW w:w="200" w:type="dxa"/>
            <w:vAlign w:val="bottom"/>
            <w:tcBorders>
              <w:bottom w:val="single" w:sz="8" w:color="2C6937"/>
            </w:tcBorders>
          </w:tcPr>
          <w:p>
            <w:pPr>
              <w:spacing w:after="0" w:line="20" w:lineRule="exact"/>
              <w:rPr>
                <w:sz w:val="1"/>
                <w:szCs w:val="1"/>
                <w:color w:val="auto"/>
              </w:rPr>
            </w:pPr>
          </w:p>
        </w:tc>
        <w:tc>
          <w:tcPr>
            <w:tcW w:w="18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2C6937"/>
            </w:tcBorders>
          </w:tcPr>
          <w:p>
            <w:pPr>
              <w:spacing w:after="0" w:line="20" w:lineRule="exact"/>
              <w:rPr>
                <w:sz w:val="1"/>
                <w:szCs w:val="1"/>
                <w:color w:val="auto"/>
              </w:rPr>
            </w:pPr>
          </w:p>
        </w:tc>
        <w:tc>
          <w:tcPr>
            <w:tcW w:w="1800" w:type="dxa"/>
            <w:vAlign w:val="bottom"/>
            <w:tcBorders>
              <w:bottom w:val="single" w:sz="8" w:color="2C6937"/>
            </w:tcBorders>
          </w:tcPr>
          <w:p>
            <w:pPr>
              <w:spacing w:after="0" w:line="20" w:lineRule="exact"/>
              <w:rPr>
                <w:sz w:val="1"/>
                <w:szCs w:val="1"/>
                <w:color w:val="auto"/>
              </w:rPr>
            </w:pPr>
          </w:p>
        </w:tc>
      </w:tr>
    </w:tbl>
    <w:p>
      <w:pPr>
        <w:spacing w:after="0" w:line="106" w:lineRule="exact"/>
        <w:rPr>
          <w:sz w:val="20"/>
          <w:szCs w:val="20"/>
          <w:color w:val="auto"/>
        </w:rPr>
      </w:pPr>
    </w:p>
    <w:p>
      <w:pPr>
        <w:sectPr>
          <w:pgSz w:w="11900" w:h="16838" w:orient="portrait"/>
          <w:cols w:equalWidth="0" w:num="2">
            <w:col w:w="6380" w:space="720"/>
            <w:col w:w="4140"/>
          </w:cols>
          <w:pgMar w:left="320" w:top="248" w:right="339" w:bottom="1440" w:gutter="0" w:footer="0" w:header="0"/>
          <w:type w:val="continuous"/>
        </w:sectPr>
      </w:pPr>
    </w:p>
    <w:p>
      <w:pPr>
        <w:ind w:left="220" w:hanging="217"/>
        <w:spacing w:after="0"/>
        <w:tabs>
          <w:tab w:leader="none" w:pos="220" w:val="left"/>
        </w:tabs>
        <w:numPr>
          <w:ilvl w:val="0"/>
          <w:numId w:val="69"/>
        </w:numPr>
        <w:rPr>
          <w:rFonts w:ascii="Arial" w:cs="Arial" w:eastAsia="Arial" w:hAnsi="Arial"/>
          <w:sz w:val="17"/>
          <w:szCs w:val="17"/>
          <w:color w:val="auto"/>
          <w:vertAlign w:val="superscript"/>
        </w:rPr>
      </w:pPr>
      <w:r>
        <w:rPr>
          <w:rFonts w:ascii="Arial" w:cs="Arial" w:eastAsia="Arial" w:hAnsi="Arial"/>
          <w:sz w:val="13"/>
          <w:szCs w:val="13"/>
          <w:color w:val="auto"/>
        </w:rPr>
        <w:t>Excludes $10.9 billion and $10.4 billion of accrued interest receivable as of September 30, 2024 and December 31, 2023, respectively.</w:t>
      </w:r>
    </w:p>
    <w:p>
      <w:pPr>
        <w:spacing w:after="0" w:line="200" w:lineRule="exact"/>
        <w:rPr>
          <w:rFonts w:ascii="Arial" w:cs="Arial" w:eastAsia="Arial" w:hAnsi="Arial"/>
          <w:sz w:val="17"/>
          <w:szCs w:val="17"/>
          <w:color w:val="auto"/>
          <w:vertAlign w:val="superscript"/>
        </w:rPr>
      </w:pPr>
    </w:p>
    <w:p>
      <w:pPr>
        <w:spacing w:after="0" w:line="393" w:lineRule="exact"/>
        <w:rPr>
          <w:rFonts w:ascii="Arial" w:cs="Arial" w:eastAsia="Arial" w:hAnsi="Arial"/>
          <w:sz w:val="17"/>
          <w:szCs w:val="17"/>
          <w:color w:val="auto"/>
          <w:vertAlign w:val="superscript"/>
        </w:rPr>
      </w:pPr>
    </w:p>
    <w:p>
      <w:pPr>
        <w:ind w:left="640"/>
        <w:spacing w:after="0"/>
        <w:rPr>
          <w:rFonts w:ascii="Arial" w:cs="Arial" w:eastAsia="Arial" w:hAnsi="Arial"/>
          <w:sz w:val="17"/>
          <w:szCs w:val="17"/>
          <w:color w:val="auto"/>
          <w:vertAlign w:val="superscript"/>
        </w:rPr>
      </w:pPr>
      <w:r>
        <w:rPr>
          <w:rFonts w:ascii="Arial" w:cs="Arial" w:eastAsia="Arial" w:hAnsi="Arial"/>
          <w:sz w:val="14"/>
          <w:szCs w:val="14"/>
          <w:color w:val="05314D"/>
        </w:rPr>
        <w:t>Fannie Mae (In conservatorship)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-113030</wp:posOffset>
            </wp:positionV>
            <wp:extent cx="680593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76" w:name="page77"/>
    <w:bookmarkEnd w:id="76"/>
    <w:p>
      <w:pPr>
        <w:jc w:val="right"/>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displays information about our purchase of HFI loans, redesignation of loans and the sales of mortgage loans during the period.</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5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60" w:type="dxa"/>
            <w:vAlign w:val="bottom"/>
            <w:gridSpan w:val="5"/>
          </w:tcPr>
          <w:p>
            <w:pPr>
              <w:jc w:val="center"/>
              <w:ind w:right="280"/>
              <w:spacing w:after="0"/>
              <w:rPr>
                <w:sz w:val="20"/>
                <w:szCs w:val="20"/>
                <w:color w:val="auto"/>
              </w:rPr>
            </w:pPr>
            <w:r>
              <w:rPr>
                <w:rFonts w:ascii="Arial" w:cs="Arial" w:eastAsia="Arial" w:hAnsi="Arial"/>
                <w:sz w:val="15"/>
                <w:szCs w:val="15"/>
                <w:b w:val="1"/>
                <w:bCs w:val="1"/>
                <w:color w:val="auto"/>
              </w:rPr>
              <w:t>For the Three Months Ended</w:t>
            </w:r>
          </w:p>
        </w:tc>
        <w:tc>
          <w:tcPr>
            <w:tcW w:w="180" w:type="dxa"/>
            <w:vAlign w:val="bottom"/>
          </w:tcPr>
          <w:p>
            <w:pPr>
              <w:spacing w:after="0"/>
              <w:rPr>
                <w:sz w:val="14"/>
                <w:szCs w:val="14"/>
                <w:color w:val="auto"/>
              </w:rPr>
            </w:pPr>
          </w:p>
        </w:tc>
        <w:tc>
          <w:tcPr>
            <w:tcW w:w="2360" w:type="dxa"/>
            <w:vAlign w:val="bottom"/>
            <w:gridSpan w:val="4"/>
          </w:tcPr>
          <w:p>
            <w:pPr>
              <w:jc w:val="right"/>
              <w:ind w:right="183"/>
              <w:spacing w:after="0"/>
              <w:rPr>
                <w:sz w:val="20"/>
                <w:szCs w:val="20"/>
                <w:color w:val="auto"/>
              </w:rPr>
            </w:pPr>
            <w:r>
              <w:rPr>
                <w:rFonts w:ascii="Arial" w:cs="Arial" w:eastAsia="Arial" w:hAnsi="Arial"/>
                <w:sz w:val="15"/>
                <w:szCs w:val="15"/>
                <w:b w:val="1"/>
                <w:bCs w:val="1"/>
                <w:color w:val="auto"/>
              </w:rPr>
              <w:t>For the Nine Months Ended</w:t>
            </w:r>
          </w:p>
        </w:tc>
      </w:tr>
      <w:tr>
        <w:trPr>
          <w:trHeight w:val="206"/>
        </w:trPr>
        <w:tc>
          <w:tcPr>
            <w:tcW w:w="5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60" w:type="dxa"/>
            <w:vAlign w:val="bottom"/>
            <w:gridSpan w:val="5"/>
          </w:tcPr>
          <w:p>
            <w:pPr>
              <w:jc w:val="center"/>
              <w:ind w:right="280"/>
              <w:spacing w:after="0"/>
              <w:rPr>
                <w:sz w:val="20"/>
                <w:szCs w:val="20"/>
                <w:color w:val="auto"/>
              </w:rPr>
            </w:pPr>
            <w:r>
              <w:rPr>
                <w:rFonts w:ascii="Arial" w:cs="Arial" w:eastAsia="Arial" w:hAnsi="Arial"/>
                <w:sz w:val="15"/>
                <w:szCs w:val="15"/>
                <w:b w:val="1"/>
                <w:bCs w:val="1"/>
                <w:color w:val="auto"/>
              </w:rPr>
              <w:t>September 30,</w:t>
            </w:r>
          </w:p>
        </w:tc>
        <w:tc>
          <w:tcPr>
            <w:tcW w:w="180" w:type="dxa"/>
            <w:vAlign w:val="bottom"/>
          </w:tcPr>
          <w:p>
            <w:pPr>
              <w:spacing w:after="0"/>
              <w:rPr>
                <w:sz w:val="17"/>
                <w:szCs w:val="17"/>
                <w:color w:val="auto"/>
              </w:rPr>
            </w:pPr>
          </w:p>
        </w:tc>
        <w:tc>
          <w:tcPr>
            <w:tcW w:w="2360" w:type="dxa"/>
            <w:vAlign w:val="bottom"/>
            <w:gridSpan w:val="4"/>
          </w:tcPr>
          <w:p>
            <w:pPr>
              <w:jc w:val="right"/>
              <w:ind w:right="663"/>
              <w:spacing w:after="0"/>
              <w:rPr>
                <w:sz w:val="20"/>
                <w:szCs w:val="20"/>
                <w:color w:val="auto"/>
              </w:rPr>
            </w:pPr>
            <w:r>
              <w:rPr>
                <w:rFonts w:ascii="Arial" w:cs="Arial" w:eastAsia="Arial" w:hAnsi="Arial"/>
                <w:sz w:val="15"/>
                <w:szCs w:val="15"/>
                <w:b w:val="1"/>
                <w:bCs w:val="1"/>
                <w:color w:val="auto"/>
              </w:rPr>
              <w:t>September 30,</w:t>
            </w:r>
          </w:p>
        </w:tc>
      </w:tr>
      <w:tr>
        <w:trPr>
          <w:trHeight w:val="199"/>
        </w:trPr>
        <w:tc>
          <w:tcPr>
            <w:tcW w:w="5920" w:type="dxa"/>
            <w:vAlign w:val="bottom"/>
          </w:tcPr>
          <w:p>
            <w:pPr>
              <w:spacing w:after="0"/>
              <w:rPr>
                <w:sz w:val="17"/>
                <w:szCs w:val="17"/>
                <w:color w:val="auto"/>
              </w:rPr>
            </w:pPr>
          </w:p>
        </w:tc>
        <w:tc>
          <w:tcPr>
            <w:tcW w:w="160" w:type="dxa"/>
            <w:vAlign w:val="bottom"/>
            <w:tcBorders>
              <w:top w:val="single" w:sz="8" w:color="2C6937"/>
              <w:bottom w:val="single" w:sz="8" w:color="2C6937"/>
            </w:tcBorders>
          </w:tcPr>
          <w:p>
            <w:pPr>
              <w:spacing w:after="0"/>
              <w:rPr>
                <w:sz w:val="17"/>
                <w:szCs w:val="17"/>
                <w:color w:val="auto"/>
              </w:rPr>
            </w:pPr>
          </w:p>
        </w:tc>
        <w:tc>
          <w:tcPr>
            <w:tcW w:w="1040" w:type="dxa"/>
            <w:vAlign w:val="bottom"/>
            <w:tcBorders>
              <w:top w:val="single" w:sz="8" w:color="2C6937"/>
              <w:bottom w:val="single" w:sz="8" w:color="2C6937"/>
            </w:tcBorders>
          </w:tcPr>
          <w:p>
            <w:pPr>
              <w:jc w:val="right"/>
              <w:ind w:right="343"/>
              <w:spacing w:after="0"/>
              <w:rPr>
                <w:sz w:val="20"/>
                <w:szCs w:val="20"/>
                <w:color w:val="auto"/>
              </w:rPr>
            </w:pPr>
            <w:r>
              <w:rPr>
                <w:rFonts w:ascii="Arial" w:cs="Arial" w:eastAsia="Arial" w:hAnsi="Arial"/>
                <w:sz w:val="15"/>
                <w:szCs w:val="15"/>
                <w:b w:val="1"/>
                <w:bCs w:val="1"/>
                <w:color w:val="auto"/>
              </w:rPr>
              <w:t>2024</w:t>
            </w:r>
          </w:p>
        </w:tc>
        <w:tc>
          <w:tcPr>
            <w:tcW w:w="100" w:type="dxa"/>
            <w:vAlign w:val="bottom"/>
            <w:tcBorders>
              <w:top w:val="single" w:sz="8" w:color="2C6937"/>
            </w:tcBorders>
          </w:tcPr>
          <w:p>
            <w:pPr>
              <w:spacing w:after="0"/>
              <w:rPr>
                <w:sz w:val="17"/>
                <w:szCs w:val="17"/>
                <w:color w:val="auto"/>
              </w:rPr>
            </w:pPr>
          </w:p>
        </w:tc>
        <w:tc>
          <w:tcPr>
            <w:tcW w:w="280" w:type="dxa"/>
            <w:vAlign w:val="bottom"/>
            <w:tcBorders>
              <w:top w:val="single" w:sz="8" w:color="2C6937"/>
              <w:bottom w:val="single" w:sz="8" w:color="2C6937"/>
            </w:tcBorders>
          </w:tcPr>
          <w:p>
            <w:pPr>
              <w:spacing w:after="0"/>
              <w:rPr>
                <w:sz w:val="17"/>
                <w:szCs w:val="17"/>
                <w:color w:val="auto"/>
              </w:rPr>
            </w:pPr>
          </w:p>
        </w:tc>
        <w:tc>
          <w:tcPr>
            <w:tcW w:w="940" w:type="dxa"/>
            <w:vAlign w:val="bottom"/>
            <w:tcBorders>
              <w:top w:val="single" w:sz="8" w:color="2C6937"/>
              <w:bottom w:val="single" w:sz="8" w:color="2C6937"/>
            </w:tcBorders>
          </w:tcPr>
          <w:p>
            <w:pPr>
              <w:jc w:val="right"/>
              <w:ind w:right="363"/>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7"/>
                <w:szCs w:val="17"/>
                <w:color w:val="auto"/>
              </w:rPr>
            </w:pPr>
          </w:p>
        </w:tc>
        <w:tc>
          <w:tcPr>
            <w:tcW w:w="180" w:type="dxa"/>
            <w:vAlign w:val="bottom"/>
            <w:tcBorders>
              <w:top w:val="single" w:sz="8" w:color="2C6937"/>
              <w:bottom w:val="single" w:sz="8" w:color="2C6937"/>
            </w:tcBorders>
          </w:tcPr>
          <w:p>
            <w:pPr>
              <w:spacing w:after="0"/>
              <w:rPr>
                <w:sz w:val="17"/>
                <w:szCs w:val="17"/>
                <w:color w:val="auto"/>
              </w:rPr>
            </w:pPr>
          </w:p>
        </w:tc>
        <w:tc>
          <w:tcPr>
            <w:tcW w:w="1040" w:type="dxa"/>
            <w:vAlign w:val="bottom"/>
            <w:tcBorders>
              <w:top w:val="single" w:sz="8" w:color="2C6937"/>
              <w:bottom w:val="single" w:sz="8" w:color="2C6937"/>
            </w:tcBorders>
          </w:tcPr>
          <w:p>
            <w:pPr>
              <w:jc w:val="right"/>
              <w:ind w:right="363"/>
              <w:spacing w:after="0"/>
              <w:rPr>
                <w:sz w:val="20"/>
                <w:szCs w:val="20"/>
                <w:color w:val="auto"/>
              </w:rPr>
            </w:pPr>
            <w:r>
              <w:rPr>
                <w:rFonts w:ascii="Arial" w:cs="Arial" w:eastAsia="Arial" w:hAnsi="Arial"/>
                <w:sz w:val="15"/>
                <w:szCs w:val="15"/>
                <w:b w:val="1"/>
                <w:bCs w:val="1"/>
                <w:color w:val="auto"/>
              </w:rPr>
              <w:t>2024</w:t>
            </w:r>
          </w:p>
        </w:tc>
        <w:tc>
          <w:tcPr>
            <w:tcW w:w="100" w:type="dxa"/>
            <w:vAlign w:val="bottom"/>
            <w:tcBorders>
              <w:top w:val="single" w:sz="8" w:color="2C6937"/>
            </w:tcBorders>
          </w:tcPr>
          <w:p>
            <w:pPr>
              <w:spacing w:after="0"/>
              <w:rPr>
                <w:sz w:val="17"/>
                <w:szCs w:val="17"/>
                <w:color w:val="auto"/>
              </w:rPr>
            </w:pPr>
          </w:p>
        </w:tc>
        <w:tc>
          <w:tcPr>
            <w:tcW w:w="260" w:type="dxa"/>
            <w:vAlign w:val="bottom"/>
            <w:tcBorders>
              <w:top w:val="single" w:sz="8" w:color="2C6937"/>
              <w:bottom w:val="single" w:sz="8" w:color="2C6937"/>
            </w:tcBorders>
          </w:tcPr>
          <w:p>
            <w:pPr>
              <w:spacing w:after="0"/>
              <w:rPr>
                <w:sz w:val="17"/>
                <w:szCs w:val="17"/>
                <w:color w:val="auto"/>
              </w:rPr>
            </w:pPr>
          </w:p>
        </w:tc>
        <w:tc>
          <w:tcPr>
            <w:tcW w:w="960" w:type="dxa"/>
            <w:vAlign w:val="bottom"/>
            <w:tcBorders>
              <w:top w:val="single" w:sz="8" w:color="2C6937"/>
              <w:bottom w:val="single" w:sz="8" w:color="2C6937"/>
            </w:tcBorders>
          </w:tcPr>
          <w:p>
            <w:pPr>
              <w:jc w:val="right"/>
              <w:ind w:right="363"/>
              <w:spacing w:after="0"/>
              <w:rPr>
                <w:sz w:val="20"/>
                <w:szCs w:val="20"/>
                <w:color w:val="auto"/>
              </w:rPr>
            </w:pPr>
            <w:r>
              <w:rPr>
                <w:rFonts w:ascii="Arial" w:cs="Arial" w:eastAsia="Arial" w:hAnsi="Arial"/>
                <w:sz w:val="15"/>
                <w:szCs w:val="15"/>
                <w:b w:val="1"/>
                <w:bCs w:val="1"/>
                <w:color w:val="auto"/>
              </w:rPr>
              <w:t>2023</w:t>
            </w:r>
          </w:p>
        </w:tc>
      </w:tr>
      <w:tr>
        <w:trPr>
          <w:trHeight w:val="283"/>
        </w:trPr>
        <w:tc>
          <w:tcPr>
            <w:tcW w:w="5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60" w:type="dxa"/>
            <w:vAlign w:val="bottom"/>
            <w:gridSpan w:val="5"/>
          </w:tcPr>
          <w:p>
            <w:pPr>
              <w:ind w:left="220"/>
              <w:spacing w:after="0"/>
              <w:rPr>
                <w:sz w:val="20"/>
                <w:szCs w:val="20"/>
                <w:color w:val="auto"/>
              </w:rPr>
            </w:pPr>
            <w:r>
              <w:rPr>
                <w:rFonts w:ascii="Arial" w:cs="Arial" w:eastAsia="Arial" w:hAnsi="Arial"/>
                <w:sz w:val="15"/>
                <w:szCs w:val="15"/>
                <w:b w:val="1"/>
                <w:bCs w:val="1"/>
                <w:color w:val="auto"/>
              </w:rPr>
              <w:t>(Dollars in millions)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4"/>
        </w:trPr>
        <w:tc>
          <w:tcPr>
            <w:tcW w:w="5920" w:type="dxa"/>
            <w:vAlign w:val="bottom"/>
          </w:tcPr>
          <w:p>
            <w:pPr>
              <w:spacing w:after="0"/>
              <w:rPr>
                <w:sz w:val="20"/>
                <w:szCs w:val="20"/>
                <w:color w:val="auto"/>
              </w:rPr>
            </w:pPr>
            <w:r>
              <w:rPr>
                <w:rFonts w:ascii="Arial" w:cs="Arial" w:eastAsia="Arial" w:hAnsi="Arial"/>
                <w:sz w:val="15"/>
                <w:szCs w:val="15"/>
                <w:color w:val="auto"/>
              </w:rPr>
              <w:t>Purchase of HFI loans:</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53"/>
        </w:trPr>
        <w:tc>
          <w:tcPr>
            <w:tcW w:w="5920" w:type="dxa"/>
            <w:vAlign w:val="bottom"/>
          </w:tcPr>
          <w:p>
            <w:pPr>
              <w:ind w:left="160"/>
              <w:spacing w:after="0"/>
              <w:rPr>
                <w:sz w:val="20"/>
                <w:szCs w:val="20"/>
                <w:color w:val="auto"/>
              </w:rPr>
            </w:pPr>
            <w:r>
              <w:rPr>
                <w:rFonts w:ascii="Arial" w:cs="Arial" w:eastAsia="Arial" w:hAnsi="Arial"/>
                <w:sz w:val="15"/>
                <w:szCs w:val="15"/>
                <w:color w:val="auto"/>
              </w:rPr>
              <w:t>Single-family unpaid principal balance</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93,114</w:t>
            </w:r>
          </w:p>
        </w:tc>
        <w:tc>
          <w:tcPr>
            <w:tcW w:w="100" w:type="dxa"/>
            <w:vAlign w:val="bottom"/>
          </w:tcPr>
          <w:p>
            <w:pPr>
              <w:spacing w:after="0"/>
              <w:rPr>
                <w:sz w:val="21"/>
                <w:szCs w:val="21"/>
                <w:color w:val="auto"/>
              </w:rPr>
            </w:pPr>
          </w:p>
        </w:tc>
        <w:tc>
          <w:tcPr>
            <w:tcW w:w="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89,228</w:t>
            </w:r>
          </w:p>
        </w:tc>
        <w:tc>
          <w:tcPr>
            <w:tcW w:w="100" w:type="dxa"/>
            <w:vAlign w:val="bottom"/>
          </w:tcPr>
          <w:p>
            <w:pPr>
              <w:spacing w:after="0"/>
              <w:rPr>
                <w:sz w:val="21"/>
                <w:szCs w:val="21"/>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1040" w:type="dxa"/>
            <w:vAlign w:val="bottom"/>
          </w:tcPr>
          <w:p>
            <w:pPr>
              <w:jc w:val="right"/>
              <w:ind w:right="3"/>
              <w:spacing w:after="0"/>
              <w:rPr>
                <w:sz w:val="20"/>
                <w:szCs w:val="20"/>
                <w:color w:val="auto"/>
              </w:rPr>
            </w:pPr>
            <w:r>
              <w:rPr>
                <w:rFonts w:ascii="Arial" w:cs="Arial" w:eastAsia="Arial" w:hAnsi="Arial"/>
                <w:sz w:val="15"/>
                <w:szCs w:val="15"/>
                <w:b w:val="1"/>
                <w:bCs w:val="1"/>
                <w:color w:val="auto"/>
              </w:rPr>
              <w:t>241,180</w:t>
            </w:r>
          </w:p>
        </w:tc>
        <w:tc>
          <w:tcPr>
            <w:tcW w:w="100" w:type="dxa"/>
            <w:vAlign w:val="bottom"/>
          </w:tcPr>
          <w:p>
            <w:pPr>
              <w:spacing w:after="0"/>
              <w:rPr>
                <w:sz w:val="21"/>
                <w:szCs w:val="21"/>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245,870</w:t>
            </w:r>
          </w:p>
        </w:tc>
      </w:tr>
      <w:tr>
        <w:trPr>
          <w:trHeight w:val="232"/>
        </w:trPr>
        <w:tc>
          <w:tcPr>
            <w:tcW w:w="5920" w:type="dxa"/>
            <w:vAlign w:val="bottom"/>
          </w:tcPr>
          <w:p>
            <w:pPr>
              <w:ind w:left="160"/>
              <w:spacing w:after="0"/>
              <w:rPr>
                <w:sz w:val="20"/>
                <w:szCs w:val="20"/>
                <w:color w:val="auto"/>
              </w:rPr>
            </w:pPr>
            <w:r>
              <w:rPr>
                <w:rFonts w:ascii="Arial" w:cs="Arial" w:eastAsia="Arial" w:hAnsi="Arial"/>
                <w:sz w:val="15"/>
                <w:szCs w:val="15"/>
                <w:color w:val="auto"/>
              </w:rPr>
              <w:t>Multifamily unpaid principal balance</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13,153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16,415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3"/>
              <w:spacing w:after="0"/>
              <w:rPr>
                <w:sz w:val="20"/>
                <w:szCs w:val="20"/>
                <w:color w:val="auto"/>
              </w:rPr>
            </w:pPr>
            <w:r>
              <w:rPr>
                <w:rFonts w:ascii="Arial" w:cs="Arial" w:eastAsia="Arial" w:hAnsi="Arial"/>
                <w:sz w:val="15"/>
                <w:szCs w:val="15"/>
                <w:b w:val="1"/>
                <w:bCs w:val="1"/>
                <w:color w:val="auto"/>
              </w:rPr>
              <w:t>32,492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41,761</w:t>
            </w:r>
          </w:p>
        </w:tc>
      </w:tr>
    </w:tbl>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5220" w:type="dxa"/>
            <w:vAlign w:val="bottom"/>
          </w:tcPr>
          <w:p>
            <w:pPr>
              <w:spacing w:after="0"/>
              <w:rPr>
                <w:sz w:val="20"/>
                <w:szCs w:val="20"/>
                <w:color w:val="auto"/>
              </w:rPr>
            </w:pPr>
            <w:r>
              <w:rPr>
                <w:rFonts w:ascii="Arial" w:cs="Arial" w:eastAsia="Arial" w:hAnsi="Arial"/>
                <w:sz w:val="15"/>
                <w:szCs w:val="15"/>
                <w:color w:val="auto"/>
              </w:rPr>
              <w:t>Single-family loans redesignated from HFI to HFS:</w:t>
            </w: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330"/>
        </w:trPr>
        <w:tc>
          <w:tcPr>
            <w:tcW w:w="5220" w:type="dxa"/>
            <w:vAlign w:val="bottom"/>
          </w:tcPr>
          <w:p>
            <w:pPr>
              <w:ind w:left="160"/>
              <w:spacing w:after="0"/>
              <w:rPr>
                <w:sz w:val="20"/>
                <w:szCs w:val="20"/>
                <w:color w:val="auto"/>
              </w:rPr>
            </w:pPr>
            <w:r>
              <w:rPr>
                <w:rFonts w:ascii="Arial" w:cs="Arial" w:eastAsia="Arial" w:hAnsi="Arial"/>
                <w:sz w:val="15"/>
                <w:szCs w:val="15"/>
                <w:color w:val="auto"/>
              </w:rPr>
              <w:t>Amortized cost</w:t>
            </w:r>
          </w:p>
        </w:tc>
        <w:tc>
          <w:tcPr>
            <w:tcW w:w="1160" w:type="dxa"/>
            <w:vAlign w:val="bottom"/>
          </w:tcPr>
          <w:p>
            <w:pPr>
              <w:jc w:val="right"/>
              <w:ind w:right="283"/>
              <w:spacing w:after="0"/>
              <w:rPr>
                <w:sz w:val="20"/>
                <w:szCs w:val="20"/>
                <w:color w:val="auto"/>
              </w:rPr>
            </w:pPr>
            <w:r>
              <w:rPr>
                <w:rFonts w:ascii="Arial" w:cs="Arial" w:eastAsia="Arial" w:hAnsi="Arial"/>
                <w:sz w:val="15"/>
                <w:szCs w:val="15"/>
                <w:b w:val="1"/>
                <w:bCs w:val="1"/>
                <w:color w:val="auto"/>
              </w:rPr>
              <w:t>$</w:t>
            </w:r>
          </w:p>
        </w:tc>
        <w:tc>
          <w:tcPr>
            <w:tcW w:w="800" w:type="dxa"/>
            <w:vAlign w:val="bottom"/>
          </w:tcPr>
          <w:p>
            <w:pPr>
              <w:jc w:val="right"/>
              <w:ind w:right="43"/>
              <w:spacing w:after="0"/>
              <w:rPr>
                <w:sz w:val="20"/>
                <w:szCs w:val="20"/>
                <w:color w:val="auto"/>
              </w:rPr>
            </w:pPr>
            <w:r>
              <w:rPr>
                <w:rFonts w:ascii="Arial" w:cs="Arial" w:eastAsia="Arial" w:hAnsi="Arial"/>
                <w:sz w:val="15"/>
                <w:szCs w:val="15"/>
                <w:b w:val="1"/>
                <w:bCs w:val="1"/>
                <w:color w:val="auto"/>
              </w:rPr>
              <w:t>820</w:t>
            </w:r>
          </w:p>
        </w:tc>
        <w:tc>
          <w:tcPr>
            <w:tcW w:w="480" w:type="dxa"/>
            <w:vAlign w:val="bottom"/>
          </w:tcPr>
          <w:p>
            <w:pPr>
              <w:jc w:val="right"/>
              <w:ind w:right="243"/>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23"/>
              <w:spacing w:after="0"/>
              <w:rPr>
                <w:sz w:val="20"/>
                <w:szCs w:val="20"/>
                <w:color w:val="auto"/>
              </w:rPr>
            </w:pPr>
            <w:r>
              <w:rPr>
                <w:rFonts w:ascii="Arial" w:cs="Arial" w:eastAsia="Arial" w:hAnsi="Arial"/>
                <w:sz w:val="15"/>
                <w:szCs w:val="15"/>
                <w:color w:val="auto"/>
              </w:rPr>
              <w:t>3,122</w:t>
            </w:r>
          </w:p>
        </w:tc>
        <w:tc>
          <w:tcPr>
            <w:tcW w:w="500" w:type="dxa"/>
            <w:vAlign w:val="bottom"/>
          </w:tcPr>
          <w:p>
            <w:pPr>
              <w:jc w:val="right"/>
              <w:ind w:right="263"/>
              <w:spacing w:after="0"/>
              <w:rPr>
                <w:sz w:val="20"/>
                <w:szCs w:val="20"/>
                <w:color w:val="auto"/>
              </w:rPr>
            </w:pPr>
            <w:r>
              <w:rPr>
                <w:rFonts w:ascii="Arial" w:cs="Arial" w:eastAsia="Arial" w:hAnsi="Arial"/>
                <w:sz w:val="15"/>
                <w:szCs w:val="15"/>
                <w:b w:val="1"/>
                <w:bCs w:val="1"/>
                <w:color w:val="auto"/>
              </w:rPr>
              <w:t>$</w:t>
            </w:r>
          </w:p>
        </w:tc>
        <w:tc>
          <w:tcPr>
            <w:tcW w:w="820" w:type="dxa"/>
            <w:vAlign w:val="bottom"/>
          </w:tcPr>
          <w:p>
            <w:pPr>
              <w:jc w:val="right"/>
              <w:ind w:right="43"/>
              <w:spacing w:after="0"/>
              <w:rPr>
                <w:sz w:val="20"/>
                <w:szCs w:val="20"/>
                <w:color w:val="auto"/>
              </w:rPr>
            </w:pPr>
            <w:r>
              <w:rPr>
                <w:rFonts w:ascii="Arial" w:cs="Arial" w:eastAsia="Arial" w:hAnsi="Arial"/>
                <w:sz w:val="15"/>
                <w:szCs w:val="15"/>
                <w:b w:val="1"/>
                <w:bCs w:val="1"/>
                <w:color w:val="auto"/>
              </w:rPr>
              <w:t>1,272</w:t>
            </w:r>
          </w:p>
        </w:tc>
        <w:tc>
          <w:tcPr>
            <w:tcW w:w="480" w:type="dxa"/>
            <w:vAlign w:val="bottom"/>
          </w:tcPr>
          <w:p>
            <w:pPr>
              <w:jc w:val="right"/>
              <w:ind w:right="243"/>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3,122</w:t>
            </w:r>
          </w:p>
        </w:tc>
      </w:tr>
      <w:tr>
        <w:trPr>
          <w:trHeight w:val="355"/>
        </w:trPr>
        <w:tc>
          <w:tcPr>
            <w:tcW w:w="5220" w:type="dxa"/>
            <w:vAlign w:val="bottom"/>
          </w:tcPr>
          <w:p>
            <w:pPr>
              <w:ind w:left="160"/>
              <w:spacing w:after="0"/>
              <w:rPr>
                <w:sz w:val="20"/>
                <w:szCs w:val="20"/>
                <w:color w:val="auto"/>
              </w:rPr>
            </w:pPr>
            <w:r>
              <w:rPr>
                <w:rFonts w:ascii="Arial" w:cs="Arial" w:eastAsia="Arial" w:hAnsi="Arial"/>
                <w:sz w:val="15"/>
                <w:szCs w:val="15"/>
                <w:color w:val="auto"/>
              </w:rPr>
              <w:t>Lower of cost or fair value adjustment at time of redesignation</w:t>
            </w:r>
            <w:r>
              <w:rPr>
                <w:rFonts w:ascii="Arial" w:cs="Arial" w:eastAsia="Arial" w:hAnsi="Arial"/>
                <w:sz w:val="20"/>
                <w:szCs w:val="20"/>
                <w:color w:val="auto"/>
                <w:vertAlign w:val="superscript"/>
              </w:rPr>
              <w:t>(1)</w:t>
            </w:r>
          </w:p>
        </w:tc>
        <w:tc>
          <w:tcPr>
            <w:tcW w:w="1160" w:type="dxa"/>
            <w:vAlign w:val="bottom"/>
          </w:tcPr>
          <w:p>
            <w:pPr>
              <w:spacing w:after="0"/>
              <w:rPr>
                <w:sz w:val="24"/>
                <w:szCs w:val="24"/>
                <w:color w:val="auto"/>
              </w:rPr>
            </w:pPr>
          </w:p>
        </w:tc>
        <w:tc>
          <w:tcPr>
            <w:tcW w:w="800" w:type="dxa"/>
            <w:vAlign w:val="bottom"/>
          </w:tcPr>
          <w:p>
            <w:pPr>
              <w:jc w:val="right"/>
              <w:ind w:right="3"/>
              <w:spacing w:after="0"/>
              <w:rPr>
                <w:sz w:val="20"/>
                <w:szCs w:val="20"/>
                <w:color w:val="auto"/>
              </w:rPr>
            </w:pPr>
            <w:r>
              <w:rPr>
                <w:rFonts w:ascii="Arial" w:cs="Arial" w:eastAsia="Arial" w:hAnsi="Arial"/>
                <w:sz w:val="15"/>
                <w:szCs w:val="15"/>
                <w:b w:val="1"/>
                <w:bCs w:val="1"/>
                <w:color w:val="auto"/>
              </w:rPr>
              <w:t>(101)</w:t>
            </w:r>
          </w:p>
        </w:tc>
        <w:tc>
          <w:tcPr>
            <w:tcW w:w="4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(638)</w:t>
            </w:r>
          </w:p>
        </w:tc>
        <w:tc>
          <w:tcPr>
            <w:tcW w:w="500" w:type="dxa"/>
            <w:vAlign w:val="bottom"/>
          </w:tcPr>
          <w:p>
            <w:pPr>
              <w:spacing w:after="0"/>
              <w:rPr>
                <w:sz w:val="24"/>
                <w:szCs w:val="24"/>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b w:val="1"/>
                <w:bCs w:val="1"/>
                <w:color w:val="auto"/>
              </w:rPr>
              <w:t>(139)</w:t>
            </w:r>
          </w:p>
        </w:tc>
        <w:tc>
          <w:tcPr>
            <w:tcW w:w="4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(638)</w:t>
            </w:r>
          </w:p>
        </w:tc>
      </w:tr>
      <w:tr>
        <w:trPr>
          <w:trHeight w:val="263"/>
        </w:trPr>
        <w:tc>
          <w:tcPr>
            <w:tcW w:w="5220" w:type="dxa"/>
            <w:vAlign w:val="bottom"/>
          </w:tcPr>
          <w:p>
            <w:pPr>
              <w:ind w:left="160"/>
              <w:spacing w:after="0"/>
              <w:rPr>
                <w:sz w:val="20"/>
                <w:szCs w:val="20"/>
                <w:color w:val="auto"/>
              </w:rPr>
            </w:pPr>
            <w:r>
              <w:rPr>
                <w:rFonts w:ascii="Arial" w:cs="Arial" w:eastAsia="Arial" w:hAnsi="Arial"/>
                <w:sz w:val="15"/>
                <w:szCs w:val="15"/>
                <w:color w:val="auto"/>
              </w:rPr>
              <w:t>Allowance reversed at time of redesignation</w:t>
            </w:r>
          </w:p>
        </w:tc>
        <w:tc>
          <w:tcPr>
            <w:tcW w:w="1160" w:type="dxa"/>
            <w:vAlign w:val="bottom"/>
          </w:tcPr>
          <w:p>
            <w:pPr>
              <w:spacing w:after="0"/>
              <w:rPr>
                <w:sz w:val="22"/>
                <w:szCs w:val="22"/>
                <w:color w:val="auto"/>
              </w:rPr>
            </w:pPr>
          </w:p>
        </w:tc>
        <w:tc>
          <w:tcPr>
            <w:tcW w:w="800" w:type="dxa"/>
            <w:vAlign w:val="bottom"/>
          </w:tcPr>
          <w:p>
            <w:pPr>
              <w:jc w:val="right"/>
              <w:ind w:right="43"/>
              <w:spacing w:after="0"/>
              <w:rPr>
                <w:sz w:val="20"/>
                <w:szCs w:val="20"/>
                <w:color w:val="auto"/>
              </w:rPr>
            </w:pPr>
            <w:r>
              <w:rPr>
                <w:rFonts w:ascii="Arial" w:cs="Arial" w:eastAsia="Arial" w:hAnsi="Arial"/>
                <w:sz w:val="15"/>
                <w:szCs w:val="15"/>
                <w:b w:val="1"/>
                <w:bCs w:val="1"/>
                <w:color w:val="auto"/>
              </w:rPr>
              <w:t>5</w:t>
            </w:r>
          </w:p>
        </w:tc>
        <w:tc>
          <w:tcPr>
            <w:tcW w:w="480" w:type="dxa"/>
            <w:vAlign w:val="bottom"/>
          </w:tcPr>
          <w:p>
            <w:pPr>
              <w:spacing w:after="0"/>
              <w:rPr>
                <w:sz w:val="22"/>
                <w:szCs w:val="22"/>
                <w:color w:val="auto"/>
              </w:rPr>
            </w:pPr>
          </w:p>
        </w:tc>
        <w:tc>
          <w:tcPr>
            <w:tcW w:w="820" w:type="dxa"/>
            <w:vAlign w:val="bottom"/>
          </w:tcPr>
          <w:p>
            <w:pPr>
              <w:jc w:val="right"/>
              <w:ind w:right="23"/>
              <w:spacing w:after="0"/>
              <w:rPr>
                <w:sz w:val="20"/>
                <w:szCs w:val="20"/>
                <w:color w:val="auto"/>
              </w:rPr>
            </w:pPr>
            <w:r>
              <w:rPr>
                <w:rFonts w:ascii="Arial" w:cs="Arial" w:eastAsia="Arial" w:hAnsi="Arial"/>
                <w:sz w:val="15"/>
                <w:szCs w:val="15"/>
                <w:color w:val="auto"/>
              </w:rPr>
              <w:t>47</w:t>
            </w:r>
          </w:p>
        </w:tc>
        <w:tc>
          <w:tcPr>
            <w:tcW w:w="500" w:type="dxa"/>
            <w:vAlign w:val="bottom"/>
          </w:tcPr>
          <w:p>
            <w:pPr>
              <w:spacing w:after="0"/>
              <w:rPr>
                <w:sz w:val="22"/>
                <w:szCs w:val="22"/>
                <w:color w:val="auto"/>
              </w:rPr>
            </w:pPr>
          </w:p>
        </w:tc>
        <w:tc>
          <w:tcPr>
            <w:tcW w:w="820" w:type="dxa"/>
            <w:vAlign w:val="bottom"/>
          </w:tcPr>
          <w:p>
            <w:pPr>
              <w:jc w:val="right"/>
              <w:ind w:right="43"/>
              <w:spacing w:after="0"/>
              <w:rPr>
                <w:sz w:val="20"/>
                <w:szCs w:val="20"/>
                <w:color w:val="auto"/>
              </w:rPr>
            </w:pPr>
            <w:r>
              <w:rPr>
                <w:rFonts w:ascii="Arial" w:cs="Arial" w:eastAsia="Arial" w:hAnsi="Arial"/>
                <w:sz w:val="15"/>
                <w:szCs w:val="15"/>
                <w:b w:val="1"/>
                <w:bCs w:val="1"/>
                <w:color w:val="auto"/>
              </w:rPr>
              <w:t>8</w:t>
            </w:r>
          </w:p>
        </w:tc>
        <w:tc>
          <w:tcPr>
            <w:tcW w:w="4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47</w:t>
            </w:r>
          </w:p>
        </w:tc>
      </w:tr>
      <w:tr>
        <w:trPr>
          <w:trHeight w:val="392"/>
        </w:trPr>
        <w:tc>
          <w:tcPr>
            <w:tcW w:w="5220" w:type="dxa"/>
            <w:vAlign w:val="bottom"/>
          </w:tcPr>
          <w:p>
            <w:pPr>
              <w:spacing w:after="0"/>
              <w:rPr>
                <w:sz w:val="20"/>
                <w:szCs w:val="20"/>
                <w:color w:val="auto"/>
              </w:rPr>
            </w:pPr>
            <w:r>
              <w:rPr>
                <w:rFonts w:ascii="Arial" w:cs="Arial" w:eastAsia="Arial" w:hAnsi="Arial"/>
                <w:sz w:val="15"/>
                <w:szCs w:val="15"/>
                <w:color w:val="auto"/>
              </w:rPr>
              <w:t>Single-family loans redesignated from HFS to HFI:</w:t>
            </w: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30"/>
        </w:trPr>
        <w:tc>
          <w:tcPr>
            <w:tcW w:w="5220" w:type="dxa"/>
            <w:vAlign w:val="bottom"/>
          </w:tcPr>
          <w:p>
            <w:pPr>
              <w:ind w:left="160"/>
              <w:spacing w:after="0"/>
              <w:rPr>
                <w:sz w:val="20"/>
                <w:szCs w:val="20"/>
                <w:color w:val="auto"/>
              </w:rPr>
            </w:pPr>
            <w:r>
              <w:rPr>
                <w:rFonts w:ascii="Arial" w:cs="Arial" w:eastAsia="Arial" w:hAnsi="Arial"/>
                <w:sz w:val="15"/>
                <w:szCs w:val="15"/>
                <w:color w:val="auto"/>
              </w:rPr>
              <w:t>Amortized cost</w:t>
            </w:r>
          </w:p>
        </w:tc>
        <w:tc>
          <w:tcPr>
            <w:tcW w:w="1160" w:type="dxa"/>
            <w:vAlign w:val="bottom"/>
          </w:tcPr>
          <w:p>
            <w:pPr>
              <w:jc w:val="right"/>
              <w:ind w:right="283"/>
              <w:spacing w:after="0"/>
              <w:rPr>
                <w:sz w:val="20"/>
                <w:szCs w:val="20"/>
                <w:color w:val="auto"/>
              </w:rPr>
            </w:pPr>
            <w:r>
              <w:rPr>
                <w:rFonts w:ascii="Arial" w:cs="Arial" w:eastAsia="Arial" w:hAnsi="Arial"/>
                <w:sz w:val="15"/>
                <w:szCs w:val="15"/>
                <w:b w:val="1"/>
                <w:bCs w:val="1"/>
                <w:color w:val="auto"/>
              </w:rPr>
              <w:t>$</w:t>
            </w:r>
          </w:p>
        </w:tc>
        <w:tc>
          <w:tcPr>
            <w:tcW w:w="800" w:type="dxa"/>
            <w:vAlign w:val="bottom"/>
          </w:tcPr>
          <w:p>
            <w:pPr>
              <w:jc w:val="right"/>
              <w:ind w:right="43"/>
              <w:spacing w:after="0"/>
              <w:rPr>
                <w:sz w:val="20"/>
                <w:szCs w:val="20"/>
                <w:color w:val="auto"/>
              </w:rPr>
            </w:pPr>
            <w:r>
              <w:rPr>
                <w:rFonts w:ascii="Arial" w:cs="Arial" w:eastAsia="Arial" w:hAnsi="Arial"/>
                <w:sz w:val="15"/>
                <w:szCs w:val="15"/>
                <w:b w:val="1"/>
                <w:bCs w:val="1"/>
                <w:color w:val="auto"/>
              </w:rPr>
              <w:t>77</w:t>
            </w:r>
          </w:p>
        </w:tc>
        <w:tc>
          <w:tcPr>
            <w:tcW w:w="480" w:type="dxa"/>
            <w:vAlign w:val="bottom"/>
          </w:tcPr>
          <w:p>
            <w:pPr>
              <w:jc w:val="right"/>
              <w:ind w:right="243"/>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23"/>
              <w:spacing w:after="0"/>
              <w:rPr>
                <w:sz w:val="20"/>
                <w:szCs w:val="20"/>
                <w:color w:val="auto"/>
              </w:rPr>
            </w:pPr>
            <w:r>
              <w:rPr>
                <w:rFonts w:ascii="Arial" w:cs="Arial" w:eastAsia="Arial" w:hAnsi="Arial"/>
                <w:sz w:val="15"/>
                <w:szCs w:val="15"/>
                <w:color w:val="auto"/>
              </w:rPr>
              <w:t>372</w:t>
            </w:r>
          </w:p>
        </w:tc>
        <w:tc>
          <w:tcPr>
            <w:tcW w:w="500" w:type="dxa"/>
            <w:vAlign w:val="bottom"/>
          </w:tcPr>
          <w:p>
            <w:pPr>
              <w:jc w:val="right"/>
              <w:ind w:right="263"/>
              <w:spacing w:after="0"/>
              <w:rPr>
                <w:sz w:val="20"/>
                <w:szCs w:val="20"/>
                <w:color w:val="auto"/>
              </w:rPr>
            </w:pPr>
            <w:r>
              <w:rPr>
                <w:rFonts w:ascii="Arial" w:cs="Arial" w:eastAsia="Arial" w:hAnsi="Arial"/>
                <w:sz w:val="15"/>
                <w:szCs w:val="15"/>
                <w:b w:val="1"/>
                <w:bCs w:val="1"/>
                <w:color w:val="auto"/>
              </w:rPr>
              <w:t>$</w:t>
            </w:r>
          </w:p>
        </w:tc>
        <w:tc>
          <w:tcPr>
            <w:tcW w:w="820" w:type="dxa"/>
            <w:vAlign w:val="bottom"/>
          </w:tcPr>
          <w:p>
            <w:pPr>
              <w:jc w:val="right"/>
              <w:ind w:right="43"/>
              <w:spacing w:after="0"/>
              <w:rPr>
                <w:sz w:val="20"/>
                <w:szCs w:val="20"/>
                <w:color w:val="auto"/>
              </w:rPr>
            </w:pPr>
            <w:r>
              <w:rPr>
                <w:rFonts w:ascii="Arial" w:cs="Arial" w:eastAsia="Arial" w:hAnsi="Arial"/>
                <w:sz w:val="15"/>
                <w:szCs w:val="15"/>
                <w:b w:val="1"/>
                <w:bCs w:val="1"/>
                <w:color w:val="auto"/>
              </w:rPr>
              <w:t>77</w:t>
            </w:r>
          </w:p>
        </w:tc>
        <w:tc>
          <w:tcPr>
            <w:tcW w:w="480" w:type="dxa"/>
            <w:vAlign w:val="bottom"/>
          </w:tcPr>
          <w:p>
            <w:pPr>
              <w:jc w:val="right"/>
              <w:ind w:right="243"/>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372</w:t>
            </w:r>
          </w:p>
        </w:tc>
      </w:tr>
      <w:tr>
        <w:trPr>
          <w:trHeight w:val="379"/>
        </w:trPr>
        <w:tc>
          <w:tcPr>
            <w:tcW w:w="5220" w:type="dxa"/>
            <w:vAlign w:val="bottom"/>
          </w:tcPr>
          <w:p>
            <w:pPr>
              <w:spacing w:after="0"/>
              <w:rPr>
                <w:sz w:val="20"/>
                <w:szCs w:val="20"/>
                <w:color w:val="auto"/>
              </w:rPr>
            </w:pPr>
            <w:r>
              <w:rPr>
                <w:rFonts w:ascii="Arial" w:cs="Arial" w:eastAsia="Arial" w:hAnsi="Arial"/>
                <w:sz w:val="15"/>
                <w:szCs w:val="15"/>
                <w:color w:val="auto"/>
              </w:rPr>
              <w:t>Single-family loans sold:</w:t>
            </w: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30"/>
        </w:trPr>
        <w:tc>
          <w:tcPr>
            <w:tcW w:w="5220" w:type="dxa"/>
            <w:vAlign w:val="bottom"/>
          </w:tcPr>
          <w:p>
            <w:pPr>
              <w:ind w:left="160"/>
              <w:spacing w:after="0"/>
              <w:rPr>
                <w:sz w:val="20"/>
                <w:szCs w:val="20"/>
                <w:color w:val="auto"/>
              </w:rPr>
            </w:pPr>
            <w:r>
              <w:rPr>
                <w:rFonts w:ascii="Arial" w:cs="Arial" w:eastAsia="Arial" w:hAnsi="Arial"/>
                <w:sz w:val="15"/>
                <w:szCs w:val="15"/>
                <w:color w:val="auto"/>
              </w:rPr>
              <w:t>Unpaid principal balance</w:t>
            </w:r>
          </w:p>
        </w:tc>
        <w:tc>
          <w:tcPr>
            <w:tcW w:w="1160" w:type="dxa"/>
            <w:vAlign w:val="bottom"/>
          </w:tcPr>
          <w:p>
            <w:pPr>
              <w:jc w:val="right"/>
              <w:ind w:right="283"/>
              <w:spacing w:after="0"/>
              <w:rPr>
                <w:sz w:val="20"/>
                <w:szCs w:val="20"/>
                <w:color w:val="auto"/>
              </w:rPr>
            </w:pPr>
            <w:r>
              <w:rPr>
                <w:rFonts w:ascii="Arial" w:cs="Arial" w:eastAsia="Arial" w:hAnsi="Arial"/>
                <w:sz w:val="15"/>
                <w:szCs w:val="15"/>
                <w:b w:val="1"/>
                <w:bCs w:val="1"/>
                <w:color w:val="auto"/>
              </w:rPr>
              <w:t>$</w:t>
            </w:r>
          </w:p>
        </w:tc>
        <w:tc>
          <w:tcPr>
            <w:tcW w:w="800" w:type="dxa"/>
            <w:vAlign w:val="bottom"/>
          </w:tcPr>
          <w:p>
            <w:pPr>
              <w:jc w:val="right"/>
              <w:ind w:right="43"/>
              <w:spacing w:after="0"/>
              <w:rPr>
                <w:sz w:val="20"/>
                <w:szCs w:val="20"/>
                <w:color w:val="auto"/>
              </w:rPr>
            </w:pPr>
            <w:r>
              <w:rPr>
                <w:rFonts w:ascii="Arial" w:cs="Arial" w:eastAsia="Arial" w:hAnsi="Arial"/>
                <w:sz w:val="15"/>
                <w:szCs w:val="15"/>
                <w:b w:val="1"/>
                <w:bCs w:val="1"/>
                <w:color w:val="auto"/>
              </w:rPr>
              <w:t>14</w:t>
            </w:r>
          </w:p>
        </w:tc>
        <w:tc>
          <w:tcPr>
            <w:tcW w:w="480" w:type="dxa"/>
            <w:vAlign w:val="bottom"/>
          </w:tcPr>
          <w:p>
            <w:pPr>
              <w:jc w:val="right"/>
              <w:ind w:right="243"/>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500" w:type="dxa"/>
            <w:vAlign w:val="bottom"/>
          </w:tcPr>
          <w:p>
            <w:pPr>
              <w:jc w:val="right"/>
              <w:ind w:right="263"/>
              <w:spacing w:after="0"/>
              <w:rPr>
                <w:sz w:val="20"/>
                <w:szCs w:val="20"/>
                <w:color w:val="auto"/>
              </w:rPr>
            </w:pPr>
            <w:r>
              <w:rPr>
                <w:rFonts w:ascii="Arial" w:cs="Arial" w:eastAsia="Arial" w:hAnsi="Arial"/>
                <w:sz w:val="15"/>
                <w:szCs w:val="15"/>
                <w:b w:val="1"/>
                <w:bCs w:val="1"/>
                <w:color w:val="auto"/>
              </w:rPr>
              <w:t>$</w:t>
            </w:r>
          </w:p>
        </w:tc>
        <w:tc>
          <w:tcPr>
            <w:tcW w:w="820" w:type="dxa"/>
            <w:vAlign w:val="bottom"/>
          </w:tcPr>
          <w:p>
            <w:pPr>
              <w:jc w:val="right"/>
              <w:ind w:right="43"/>
              <w:spacing w:after="0"/>
              <w:rPr>
                <w:sz w:val="20"/>
                <w:szCs w:val="20"/>
                <w:color w:val="auto"/>
              </w:rPr>
            </w:pPr>
            <w:r>
              <w:rPr>
                <w:rFonts w:ascii="Arial" w:cs="Arial" w:eastAsia="Arial" w:hAnsi="Arial"/>
                <w:sz w:val="15"/>
                <w:szCs w:val="15"/>
                <w:b w:val="1"/>
                <w:bCs w:val="1"/>
                <w:color w:val="auto"/>
              </w:rPr>
              <w:t>2,345</w:t>
            </w:r>
          </w:p>
        </w:tc>
        <w:tc>
          <w:tcPr>
            <w:tcW w:w="480" w:type="dxa"/>
            <w:vAlign w:val="bottom"/>
          </w:tcPr>
          <w:p>
            <w:pPr>
              <w:jc w:val="right"/>
              <w:ind w:right="243"/>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1,842</w:t>
            </w:r>
          </w:p>
        </w:tc>
      </w:tr>
      <w:tr>
        <w:trPr>
          <w:trHeight w:val="309"/>
        </w:trPr>
        <w:tc>
          <w:tcPr>
            <w:tcW w:w="5220" w:type="dxa"/>
            <w:vAlign w:val="bottom"/>
          </w:tcPr>
          <w:p>
            <w:pPr>
              <w:ind w:left="160"/>
              <w:spacing w:after="0"/>
              <w:rPr>
                <w:sz w:val="20"/>
                <w:szCs w:val="20"/>
                <w:color w:val="auto"/>
              </w:rPr>
            </w:pPr>
            <w:r>
              <w:rPr>
                <w:rFonts w:ascii="Arial" w:cs="Arial" w:eastAsia="Arial" w:hAnsi="Arial"/>
                <w:sz w:val="15"/>
                <w:szCs w:val="15"/>
                <w:color w:val="auto"/>
              </w:rPr>
              <w:t>Realized gains (losses), net</w:t>
            </w:r>
          </w:p>
        </w:tc>
        <w:tc>
          <w:tcPr>
            <w:tcW w:w="1160" w:type="dxa"/>
            <w:vAlign w:val="bottom"/>
          </w:tcPr>
          <w:p>
            <w:pPr>
              <w:spacing w:after="0"/>
              <w:rPr>
                <w:sz w:val="24"/>
                <w:szCs w:val="24"/>
                <w:color w:val="auto"/>
              </w:rPr>
            </w:pPr>
          </w:p>
        </w:tc>
        <w:tc>
          <w:tcPr>
            <w:tcW w:w="800" w:type="dxa"/>
            <w:vAlign w:val="bottom"/>
          </w:tcPr>
          <w:p>
            <w:pPr>
              <w:jc w:val="right"/>
              <w:ind w:right="43"/>
              <w:spacing w:after="0"/>
              <w:rPr>
                <w:sz w:val="20"/>
                <w:szCs w:val="20"/>
                <w:color w:val="auto"/>
              </w:rPr>
            </w:pPr>
            <w:r>
              <w:rPr>
                <w:rFonts w:ascii="Arial" w:cs="Arial" w:eastAsia="Arial" w:hAnsi="Arial"/>
                <w:sz w:val="15"/>
                <w:szCs w:val="15"/>
                <w:b w:val="1"/>
                <w:bCs w:val="1"/>
                <w:color w:val="auto"/>
              </w:rPr>
              <w:t>—</w:t>
            </w:r>
          </w:p>
        </w:tc>
        <w:tc>
          <w:tcPr>
            <w:tcW w:w="480" w:type="dxa"/>
            <w:vAlign w:val="bottom"/>
          </w:tcPr>
          <w:p>
            <w:pPr>
              <w:spacing w:after="0"/>
              <w:rPr>
                <w:sz w:val="24"/>
                <w:szCs w:val="24"/>
                <w:color w:val="auto"/>
              </w:rPr>
            </w:pPr>
          </w:p>
        </w:tc>
        <w:tc>
          <w:tcPr>
            <w:tcW w:w="8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24"/>
                <w:szCs w:val="24"/>
                <w:color w:val="auto"/>
              </w:rPr>
            </w:pPr>
          </w:p>
        </w:tc>
        <w:tc>
          <w:tcPr>
            <w:tcW w:w="820" w:type="dxa"/>
            <w:vAlign w:val="bottom"/>
          </w:tcPr>
          <w:p>
            <w:pPr>
              <w:jc w:val="right"/>
              <w:ind w:right="43"/>
              <w:spacing w:after="0"/>
              <w:rPr>
                <w:sz w:val="20"/>
                <w:szCs w:val="20"/>
                <w:color w:val="auto"/>
              </w:rPr>
            </w:pPr>
            <w:r>
              <w:rPr>
                <w:rFonts w:ascii="Arial" w:cs="Arial" w:eastAsia="Arial" w:hAnsi="Arial"/>
                <w:sz w:val="15"/>
                <w:szCs w:val="15"/>
                <w:b w:val="1"/>
                <w:bCs w:val="1"/>
                <w:color w:val="auto"/>
              </w:rPr>
              <w:t>13</w:t>
            </w:r>
          </w:p>
        </w:tc>
        <w:tc>
          <w:tcPr>
            <w:tcW w:w="4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17</w:t>
            </w:r>
          </w:p>
        </w:tc>
      </w:tr>
    </w:tbl>
    <w:p>
      <w:pPr>
        <w:spacing w:after="0" w:line="88" w:lineRule="exact"/>
        <w:rPr>
          <w:sz w:val="20"/>
          <w:szCs w:val="20"/>
          <w:color w:val="auto"/>
        </w:rPr>
      </w:pPr>
    </w:p>
    <w:p>
      <w:pPr>
        <w:ind w:left="220" w:hanging="217"/>
        <w:spacing w:after="0"/>
        <w:tabs>
          <w:tab w:leader="none" w:pos="220" w:val="left"/>
        </w:tabs>
        <w:numPr>
          <w:ilvl w:val="0"/>
          <w:numId w:val="70"/>
        </w:numPr>
        <w:rPr>
          <w:rFonts w:ascii="Arial" w:cs="Arial" w:eastAsia="Arial" w:hAnsi="Arial"/>
          <w:sz w:val="18"/>
          <w:szCs w:val="18"/>
          <w:color w:val="auto"/>
          <w:vertAlign w:val="superscript"/>
        </w:rPr>
      </w:pPr>
      <w:r>
        <w:rPr>
          <w:rFonts w:ascii="Arial" w:cs="Arial" w:eastAsia="Arial" w:hAnsi="Arial"/>
          <w:sz w:val="14"/>
          <w:szCs w:val="14"/>
          <w:color w:val="auto"/>
        </w:rPr>
        <w:t>Consists of the write-off against the allowance at the time of redesignation.</w:t>
      </w:r>
    </w:p>
    <w:p>
      <w:pPr>
        <w:spacing w:after="0" w:line="200" w:lineRule="exact"/>
        <w:rPr>
          <w:rFonts w:ascii="Arial" w:cs="Arial" w:eastAsia="Arial" w:hAnsi="Arial"/>
          <w:sz w:val="18"/>
          <w:szCs w:val="18"/>
          <w:color w:val="auto"/>
          <w:vertAlign w:val="superscript"/>
        </w:rPr>
      </w:pPr>
    </w:p>
    <w:p>
      <w:pPr>
        <w:spacing w:after="0" w:line="200" w:lineRule="exact"/>
        <w:rPr>
          <w:rFonts w:ascii="Arial" w:cs="Arial" w:eastAsia="Arial" w:hAnsi="Arial"/>
          <w:sz w:val="18"/>
          <w:szCs w:val="18"/>
          <w:color w:val="auto"/>
          <w:vertAlign w:val="superscript"/>
        </w:rPr>
      </w:pPr>
    </w:p>
    <w:p>
      <w:pPr>
        <w:spacing w:after="0" w:line="200" w:lineRule="exact"/>
        <w:rPr>
          <w:rFonts w:ascii="Arial" w:cs="Arial" w:eastAsia="Arial" w:hAnsi="Arial"/>
          <w:sz w:val="18"/>
          <w:szCs w:val="18"/>
          <w:color w:val="auto"/>
          <w:vertAlign w:val="superscript"/>
        </w:rPr>
      </w:pPr>
    </w:p>
    <w:p>
      <w:pPr>
        <w:spacing w:after="0" w:line="328" w:lineRule="exact"/>
        <w:rPr>
          <w:rFonts w:ascii="Arial" w:cs="Arial" w:eastAsia="Arial" w:hAnsi="Arial"/>
          <w:sz w:val="18"/>
          <w:szCs w:val="18"/>
          <w:color w:val="auto"/>
          <w:vertAlign w:val="superscript"/>
        </w:rPr>
      </w:pPr>
    </w:p>
    <w:p>
      <w:pPr>
        <w:ind w:left="640"/>
        <w:spacing w:after="0"/>
        <w:rPr>
          <w:rFonts w:ascii="Arial" w:cs="Arial" w:eastAsia="Arial" w:hAnsi="Arial"/>
          <w:sz w:val="18"/>
          <w:szCs w:val="18"/>
          <w:color w:val="auto"/>
          <w:vertAlign w:val="superscript"/>
        </w:rPr>
      </w:pPr>
      <w:r>
        <w:rPr>
          <w:rFonts w:ascii="Arial" w:cs="Arial" w:eastAsia="Arial" w:hAnsi="Arial"/>
          <w:sz w:val="14"/>
          <w:szCs w:val="14"/>
          <w:color w:val="05314D"/>
        </w:rPr>
        <w:t>Fannie Mae (In conservatorship)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-113030</wp:posOffset>
            </wp:positionV>
            <wp:extent cx="680593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ectPr>
          <w:pgSz w:w="11900" w:h="16838" w:orient="portrait"/>
          <w:cols w:equalWidth="0" w:num="1">
            <w:col w:w="11140"/>
          </w:cols>
          <w:pgMar w:left="320" w:top="248" w:right="439" w:bottom="1440" w:gutter="0" w:footer="0" w:header="0"/>
        </w:sectPr>
      </w:pPr>
    </w:p>
    <w:bookmarkStart w:id="77" w:name="page78"/>
    <w:bookmarkEnd w:id="77"/>
    <w:p>
      <w:pPr>
        <w:jc w:val="right"/>
        <w:ind w:right="10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Aging Analysis</w:t>
      </w:r>
    </w:p>
    <w:p>
      <w:pPr>
        <w:spacing w:after="0" w:line="68" w:lineRule="exact"/>
        <w:rPr>
          <w:sz w:val="20"/>
          <w:szCs w:val="20"/>
          <w:color w:val="auto"/>
        </w:rPr>
      </w:pPr>
    </w:p>
    <w:p>
      <w:pPr>
        <w:ind w:right="120"/>
        <w:spacing w:after="0" w:line="310" w:lineRule="auto"/>
        <w:rPr>
          <w:sz w:val="20"/>
          <w:szCs w:val="20"/>
          <w:color w:val="auto"/>
        </w:rPr>
      </w:pPr>
      <w:r>
        <w:rPr>
          <w:rFonts w:ascii="Arial" w:cs="Arial" w:eastAsia="Arial" w:hAnsi="Arial"/>
          <w:sz w:val="16"/>
          <w:szCs w:val="16"/>
          <w:color w:val="auto"/>
        </w:rPr>
        <w:t>The following tables display an aging analysis of the total amortized cost of our HFI mortgage loans by portfolio segment and class of financing receivable, excluding loans for which we have elected the fair value option.</w:t>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0"/>
        <w:spacing w:after="0"/>
        <w:rPr>
          <w:sz w:val="20"/>
          <w:szCs w:val="20"/>
          <w:color w:val="auto"/>
        </w:rPr>
      </w:pPr>
      <w:r>
        <w:rPr>
          <w:rFonts w:ascii="Arial" w:cs="Arial" w:eastAsia="Arial" w:hAnsi="Arial"/>
          <w:sz w:val="14"/>
          <w:szCs w:val="14"/>
          <w:color w:val="auto"/>
        </w:rPr>
        <w:t>Single-family:</w:t>
      </w:r>
    </w:p>
    <w:p>
      <w:pPr>
        <w:spacing w:after="0" w:line="136" w:lineRule="exact"/>
        <w:rPr>
          <w:sz w:val="20"/>
          <w:szCs w:val="20"/>
          <w:color w:val="auto"/>
        </w:rPr>
      </w:pPr>
    </w:p>
    <w:p>
      <w:pPr>
        <w:jc w:val="both"/>
        <w:ind w:left="320" w:right="220" w:hanging="154"/>
        <w:spacing w:after="0" w:line="283" w:lineRule="auto"/>
        <w:rPr>
          <w:sz w:val="20"/>
          <w:szCs w:val="20"/>
          <w:color w:val="auto"/>
        </w:rPr>
      </w:pPr>
      <w:r>
        <w:rPr>
          <w:rFonts w:ascii="Arial" w:cs="Arial" w:eastAsia="Arial" w:hAnsi="Arial"/>
          <w:sz w:val="13"/>
          <w:szCs w:val="13"/>
          <w:color w:val="auto"/>
        </w:rPr>
        <w:t>20- and 30-year or more, amortizing fixed-rate</w:t>
      </w:r>
    </w:p>
    <w:p>
      <w:pPr>
        <w:spacing w:after="0" w:line="90" w:lineRule="exact"/>
        <w:rPr>
          <w:sz w:val="20"/>
          <w:szCs w:val="20"/>
          <w:color w:val="auto"/>
        </w:rPr>
      </w:pPr>
    </w:p>
    <w:p>
      <w:pPr>
        <w:ind w:left="320" w:hanging="154"/>
        <w:spacing w:after="0" w:line="318" w:lineRule="auto"/>
        <w:rPr>
          <w:sz w:val="20"/>
          <w:szCs w:val="20"/>
          <w:color w:val="auto"/>
        </w:rPr>
      </w:pPr>
      <w:r>
        <w:rPr>
          <w:rFonts w:ascii="Arial" w:cs="Arial" w:eastAsia="Arial" w:hAnsi="Arial"/>
          <w:sz w:val="13"/>
          <w:szCs w:val="13"/>
          <w:color w:val="auto"/>
        </w:rPr>
        <w:t>15-year or less, amortizing fixed-rate</w:t>
      </w:r>
    </w:p>
    <w:p>
      <w:pPr>
        <w:spacing w:after="0" w:line="68"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Adjustable-rate</w:t>
      </w:r>
    </w:p>
    <w:p>
      <w:pPr>
        <w:spacing w:after="0" w:line="13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w:t>
      </w:r>
      <w:r>
        <w:rPr>
          <w:rFonts w:ascii="Arial" w:cs="Arial" w:eastAsia="Arial" w:hAnsi="Arial"/>
          <w:sz w:val="17"/>
          <w:szCs w:val="17"/>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105600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056005" cy="8255"/>
                    </a:xfrm>
                    <a:prstGeom prst="rect">
                      <a:avLst/>
                    </a:prstGeom>
                    <a:noFill/>
                  </pic:spPr>
                </pic:pic>
              </a:graphicData>
            </a:graphic>
          </wp:anchor>
        </w:drawing>
      </w:r>
    </w:p>
    <w:p>
      <w:pPr>
        <w:spacing w:after="0" w:line="98"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single-family</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4"/>
          <w:szCs w:val="14"/>
          <w:color w:val="auto"/>
        </w:rPr>
        <w:t>Multifamily</w:t>
      </w:r>
      <w:r>
        <w:rPr>
          <w:rFonts w:ascii="Arial" w:cs="Arial" w:eastAsia="Arial" w:hAnsi="Arial"/>
          <w:sz w:val="17"/>
          <w:szCs w:val="17"/>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105600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056005" cy="8255"/>
                    </a:xfrm>
                    <a:prstGeom prst="rect">
                      <a:avLst/>
                    </a:prstGeom>
                    <a:noFill/>
                  </pic:spPr>
                </pic:pic>
              </a:graphicData>
            </a:graphic>
          </wp:anchor>
        </w:drawing>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105600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0560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50165</wp:posOffset>
            </wp:positionV>
            <wp:extent cx="105600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0560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4"/>
          <w:szCs w:val="14"/>
          <w:color w:val="auto"/>
        </w:rPr>
        <w:t>Single-family:</w:t>
      </w:r>
    </w:p>
    <w:p>
      <w:pPr>
        <w:spacing w:after="0" w:line="136" w:lineRule="exact"/>
        <w:rPr>
          <w:sz w:val="20"/>
          <w:szCs w:val="20"/>
          <w:color w:val="auto"/>
        </w:rPr>
      </w:pPr>
    </w:p>
    <w:p>
      <w:pPr>
        <w:jc w:val="both"/>
        <w:ind w:left="320" w:right="220" w:hanging="154"/>
        <w:spacing w:after="0" w:line="293" w:lineRule="auto"/>
        <w:rPr>
          <w:sz w:val="20"/>
          <w:szCs w:val="20"/>
          <w:color w:val="auto"/>
        </w:rPr>
      </w:pPr>
      <w:r>
        <w:rPr>
          <w:rFonts w:ascii="Arial" w:cs="Arial" w:eastAsia="Arial" w:hAnsi="Arial"/>
          <w:sz w:val="13"/>
          <w:szCs w:val="13"/>
          <w:color w:val="auto"/>
        </w:rPr>
        <w:t>20- and 30-year or more, amortizing fixed-rate</w:t>
      </w:r>
    </w:p>
    <w:p>
      <w:pPr>
        <w:spacing w:after="0" w:line="71" w:lineRule="exact"/>
        <w:rPr>
          <w:sz w:val="20"/>
          <w:szCs w:val="20"/>
          <w:color w:val="auto"/>
        </w:rPr>
      </w:pPr>
    </w:p>
    <w:p>
      <w:pPr>
        <w:ind w:left="320" w:hanging="154"/>
        <w:spacing w:after="0" w:line="318" w:lineRule="auto"/>
        <w:rPr>
          <w:sz w:val="20"/>
          <w:szCs w:val="20"/>
          <w:color w:val="auto"/>
        </w:rPr>
      </w:pPr>
      <w:r>
        <w:rPr>
          <w:rFonts w:ascii="Arial" w:cs="Arial" w:eastAsia="Arial" w:hAnsi="Arial"/>
          <w:sz w:val="13"/>
          <w:szCs w:val="13"/>
          <w:color w:val="auto"/>
        </w:rPr>
        <w:t>15-year or less, amortizing fixed-rate</w:t>
      </w:r>
    </w:p>
    <w:p>
      <w:pPr>
        <w:spacing w:after="0" w:line="68" w:lineRule="exact"/>
        <w:rPr>
          <w:sz w:val="20"/>
          <w:szCs w:val="20"/>
          <w:color w:val="auto"/>
        </w:rPr>
      </w:pPr>
    </w:p>
    <w:p>
      <w:pPr>
        <w:ind w:left="180" w:right="480"/>
        <w:spacing w:after="0" w:line="451" w:lineRule="auto"/>
        <w:rPr>
          <w:sz w:val="20"/>
          <w:szCs w:val="20"/>
          <w:color w:val="auto"/>
        </w:rPr>
      </w:pPr>
      <w:r>
        <w:rPr>
          <w:rFonts w:ascii="Arial" w:cs="Arial" w:eastAsia="Arial" w:hAnsi="Arial"/>
          <w:sz w:val="14"/>
          <w:szCs w:val="14"/>
          <w:color w:val="auto"/>
        </w:rPr>
        <w:t>Adjustable-rate Other</w:t>
      </w:r>
      <w:r>
        <w:rPr>
          <w:rFonts w:ascii="Arial" w:cs="Arial" w:eastAsia="Arial" w:hAnsi="Arial"/>
          <w:sz w:val="8"/>
          <w:szCs w:val="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108077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080770" cy="8255"/>
                    </a:xfrm>
                    <a:prstGeom prst="rect">
                      <a:avLst/>
                    </a:prstGeom>
                    <a:noFill/>
                  </pic:spPr>
                </pic:pic>
              </a:graphicData>
            </a:graphic>
          </wp:anchor>
        </w:drawing>
      </w:r>
    </w:p>
    <w:p>
      <w:pPr>
        <w:ind w:left="20" w:right="460"/>
        <w:spacing w:after="0" w:line="486" w:lineRule="auto"/>
        <w:rPr>
          <w:sz w:val="20"/>
          <w:szCs w:val="20"/>
          <w:color w:val="auto"/>
        </w:rPr>
      </w:pPr>
      <w:r>
        <w:rPr>
          <w:rFonts w:ascii="Arial" w:cs="Arial" w:eastAsia="Arial" w:hAnsi="Arial"/>
          <w:sz w:val="13"/>
          <w:szCs w:val="13"/>
          <w:color w:val="auto"/>
        </w:rPr>
        <w:t>Total single-family Multifamily</w:t>
      </w:r>
      <w:r>
        <w:rPr>
          <w:rFonts w:ascii="Arial" w:cs="Arial" w:eastAsia="Arial" w:hAnsi="Arial"/>
          <w:sz w:val="7"/>
          <w:szCs w:val="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108077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080770" cy="825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108077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0807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50165</wp:posOffset>
            </wp:positionV>
            <wp:extent cx="108077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0807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As of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18415</wp:posOffset>
            </wp:positionV>
            <wp:extent cx="600075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000750" cy="8255"/>
                    </a:xfrm>
                    <a:prstGeom prst="rect">
                      <a:avLst/>
                    </a:prstGeom>
                    <a:noFill/>
                  </pic:spPr>
                </pic:pic>
              </a:graphicData>
            </a:graphic>
          </wp:anchor>
        </w:drawing>
      </w:r>
    </w:p>
    <w:p>
      <w:pPr>
        <w:spacing w:after="0" w:line="116" w:lineRule="exact"/>
        <w:rPr>
          <w:sz w:val="20"/>
          <w:szCs w:val="20"/>
          <w:color w:val="auto"/>
        </w:rPr>
      </w:pPr>
    </w:p>
    <w:tbl>
      <w:tblPr>
        <w:tblLayout w:type="fixed"/>
        <w:tblInd w:w="140" w:type="dxa"/>
        <w:tblCellMar>
          <w:top w:w="0" w:type="dxa"/>
          <w:left w:w="0" w:type="dxa"/>
          <w:bottom w:w="0" w:type="dxa"/>
          <w:right w:w="0" w:type="dxa"/>
        </w:tblCellMar>
      </w:tblPr>
      <w:tr>
        <w:trPr>
          <w:trHeight w:val="168"/>
        </w:trPr>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60" w:type="dxa"/>
            <w:vAlign w:val="bottom"/>
          </w:tcPr>
          <w:p>
            <w:pPr>
              <w:jc w:val="center"/>
              <w:ind w:left="91"/>
              <w:spacing w:after="0"/>
              <w:rPr>
                <w:sz w:val="20"/>
                <w:szCs w:val="20"/>
                <w:color w:val="auto"/>
              </w:rPr>
            </w:pPr>
            <w:r>
              <w:rPr>
                <w:rFonts w:ascii="Arial" w:cs="Arial" w:eastAsia="Arial" w:hAnsi="Arial"/>
                <w:sz w:val="14"/>
                <w:szCs w:val="14"/>
                <w:b w:val="1"/>
                <w:bCs w:val="1"/>
                <w:color w:val="auto"/>
                <w:w w:val="97"/>
              </w:rPr>
              <w:t>Loans 90 Days</w:t>
            </w:r>
          </w:p>
        </w:tc>
        <w:tc>
          <w:tcPr>
            <w:tcW w:w="1060" w:type="dxa"/>
            <w:vAlign w:val="bottom"/>
          </w:tcPr>
          <w:p>
            <w:pPr>
              <w:spacing w:after="0"/>
              <w:rPr>
                <w:sz w:val="14"/>
                <w:szCs w:val="14"/>
                <w:color w:val="auto"/>
              </w:rPr>
            </w:pPr>
          </w:p>
        </w:tc>
      </w:tr>
      <w:tr>
        <w:trPr>
          <w:trHeight w:val="155"/>
        </w:trPr>
        <w:tc>
          <w:tcPr>
            <w:tcW w:w="9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60" w:type="dxa"/>
            <w:vAlign w:val="bottom"/>
          </w:tcPr>
          <w:p>
            <w:pPr>
              <w:jc w:val="center"/>
              <w:ind w:left="91"/>
              <w:spacing w:after="0" w:line="155" w:lineRule="exact"/>
              <w:rPr>
                <w:sz w:val="20"/>
                <w:szCs w:val="20"/>
                <w:color w:val="auto"/>
              </w:rPr>
            </w:pPr>
            <w:r>
              <w:rPr>
                <w:rFonts w:ascii="Arial" w:cs="Arial" w:eastAsia="Arial" w:hAnsi="Arial"/>
                <w:sz w:val="14"/>
                <w:szCs w:val="14"/>
                <w:b w:val="1"/>
                <w:bCs w:val="1"/>
                <w:color w:val="auto"/>
              </w:rPr>
              <w:t>or More</w:t>
            </w:r>
          </w:p>
        </w:tc>
        <w:tc>
          <w:tcPr>
            <w:tcW w:w="1060" w:type="dxa"/>
            <w:vAlign w:val="bottom"/>
          </w:tcPr>
          <w:p>
            <w:pPr>
              <w:spacing w:after="0"/>
              <w:rPr>
                <w:sz w:val="13"/>
                <w:szCs w:val="13"/>
                <w:color w:val="auto"/>
              </w:rPr>
            </w:pPr>
          </w:p>
        </w:tc>
      </w:tr>
      <w:tr>
        <w:trPr>
          <w:trHeight w:val="168"/>
        </w:trPr>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60" w:type="dxa"/>
            <w:vAlign w:val="bottom"/>
          </w:tcPr>
          <w:p>
            <w:pPr>
              <w:jc w:val="center"/>
              <w:ind w:left="91"/>
              <w:spacing w:after="0"/>
              <w:rPr>
                <w:sz w:val="20"/>
                <w:szCs w:val="20"/>
                <w:color w:val="auto"/>
              </w:rPr>
            </w:pPr>
            <w:r>
              <w:rPr>
                <w:rFonts w:ascii="Arial" w:cs="Arial" w:eastAsia="Arial" w:hAnsi="Arial"/>
                <w:sz w:val="14"/>
                <w:szCs w:val="14"/>
                <w:b w:val="1"/>
                <w:bCs w:val="1"/>
                <w:color w:val="auto"/>
                <w:w w:val="98"/>
              </w:rPr>
              <w:t>Delinquent and</w:t>
            </w:r>
          </w:p>
        </w:tc>
        <w:tc>
          <w:tcPr>
            <w:tcW w:w="1060" w:type="dxa"/>
            <w:vAlign w:val="bottom"/>
          </w:tcPr>
          <w:p>
            <w:pPr>
              <w:jc w:val="center"/>
              <w:ind w:left="51"/>
              <w:spacing w:after="0"/>
              <w:rPr>
                <w:sz w:val="20"/>
                <w:szCs w:val="20"/>
                <w:color w:val="auto"/>
              </w:rPr>
            </w:pPr>
            <w:r>
              <w:rPr>
                <w:rFonts w:ascii="Arial" w:cs="Arial" w:eastAsia="Arial" w:hAnsi="Arial"/>
                <w:sz w:val="14"/>
                <w:szCs w:val="14"/>
                <w:b w:val="1"/>
                <w:bCs w:val="1"/>
                <w:color w:val="auto"/>
                <w:w w:val="96"/>
              </w:rPr>
              <w:t>Nonaccrual</w:t>
            </w:r>
          </w:p>
        </w:tc>
      </w:tr>
      <w:tr>
        <w:trPr>
          <w:trHeight w:val="166"/>
        </w:trPr>
        <w:tc>
          <w:tcPr>
            <w:tcW w:w="980" w:type="dxa"/>
            <w:vAlign w:val="bottom"/>
          </w:tcPr>
          <w:p>
            <w:pPr>
              <w:jc w:val="center"/>
              <w:ind w:right="111"/>
              <w:spacing w:after="0"/>
              <w:rPr>
                <w:sz w:val="20"/>
                <w:szCs w:val="20"/>
                <w:color w:val="auto"/>
              </w:rPr>
            </w:pPr>
            <w:r>
              <w:rPr>
                <w:rFonts w:ascii="Arial" w:cs="Arial" w:eastAsia="Arial" w:hAnsi="Arial"/>
                <w:sz w:val="14"/>
                <w:szCs w:val="14"/>
                <w:b w:val="1"/>
                <w:bCs w:val="1"/>
                <w:color w:val="auto"/>
                <w:w w:val="98"/>
              </w:rPr>
              <w:t>30 - 59 Days</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8"/>
              </w:rPr>
              <w:t>60 - 89 Days</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8"/>
              </w:rPr>
              <w:t>Seriously</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60" w:type="dxa"/>
            <w:vAlign w:val="bottom"/>
          </w:tcPr>
          <w:p>
            <w:pPr>
              <w:jc w:val="center"/>
              <w:ind w:left="91"/>
              <w:spacing w:after="0"/>
              <w:rPr>
                <w:sz w:val="20"/>
                <w:szCs w:val="20"/>
                <w:color w:val="auto"/>
              </w:rPr>
            </w:pPr>
            <w:r>
              <w:rPr>
                <w:rFonts w:ascii="Arial" w:cs="Arial" w:eastAsia="Arial" w:hAnsi="Arial"/>
                <w:sz w:val="14"/>
                <w:szCs w:val="14"/>
                <w:b w:val="1"/>
                <w:bCs w:val="1"/>
                <w:color w:val="auto"/>
                <w:w w:val="98"/>
              </w:rPr>
              <w:t>Accruing</w:t>
            </w:r>
          </w:p>
        </w:tc>
        <w:tc>
          <w:tcPr>
            <w:tcW w:w="1060" w:type="dxa"/>
            <w:vAlign w:val="bottom"/>
          </w:tcPr>
          <w:p>
            <w:pPr>
              <w:jc w:val="center"/>
              <w:ind w:left="51"/>
              <w:spacing w:after="0"/>
              <w:rPr>
                <w:sz w:val="20"/>
                <w:szCs w:val="20"/>
                <w:color w:val="auto"/>
              </w:rPr>
            </w:pPr>
            <w:r>
              <w:rPr>
                <w:rFonts w:ascii="Arial" w:cs="Arial" w:eastAsia="Arial" w:hAnsi="Arial"/>
                <w:sz w:val="14"/>
                <w:szCs w:val="14"/>
                <w:b w:val="1"/>
                <w:bCs w:val="1"/>
                <w:color w:val="auto"/>
                <w:w w:val="98"/>
              </w:rPr>
              <w:t>Loans with No</w:t>
            </w:r>
          </w:p>
        </w:tc>
      </w:tr>
      <w:tr>
        <w:trPr>
          <w:trHeight w:val="242"/>
        </w:trPr>
        <w:tc>
          <w:tcPr>
            <w:tcW w:w="980" w:type="dxa"/>
            <w:vAlign w:val="bottom"/>
          </w:tcPr>
          <w:p>
            <w:pPr>
              <w:jc w:val="center"/>
              <w:ind w:right="111"/>
              <w:spacing w:after="0"/>
              <w:rPr>
                <w:sz w:val="20"/>
                <w:szCs w:val="20"/>
                <w:color w:val="auto"/>
              </w:rPr>
            </w:pPr>
            <w:r>
              <w:rPr>
                <w:rFonts w:ascii="Arial" w:cs="Arial" w:eastAsia="Arial" w:hAnsi="Arial"/>
                <w:sz w:val="14"/>
                <w:szCs w:val="14"/>
                <w:b w:val="1"/>
                <w:bCs w:val="1"/>
                <w:color w:val="auto"/>
                <w:w w:val="99"/>
              </w:rPr>
              <w:t>Delinquent</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9"/>
              </w:rPr>
              <w:t>Delinquent</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5"/>
              </w:rPr>
              <w:t>Delinquent</w:t>
            </w:r>
            <w:r>
              <w:rPr>
                <w:rFonts w:ascii="Arial" w:cs="Arial" w:eastAsia="Arial" w:hAnsi="Arial"/>
                <w:sz w:val="17"/>
                <w:szCs w:val="17"/>
                <w:b w:val="1"/>
                <w:bCs w:val="1"/>
                <w:color w:val="auto"/>
                <w:w w:val="95"/>
                <w:vertAlign w:val="superscript"/>
              </w:rPr>
              <w:t>(1)</w:t>
            </w:r>
          </w:p>
        </w:tc>
        <w:tc>
          <w:tcPr>
            <w:tcW w:w="1220" w:type="dxa"/>
            <w:vAlign w:val="bottom"/>
          </w:tcPr>
          <w:p>
            <w:pPr>
              <w:jc w:val="center"/>
              <w:ind w:right="11"/>
              <w:spacing w:after="0"/>
              <w:rPr>
                <w:sz w:val="20"/>
                <w:szCs w:val="20"/>
                <w:color w:val="auto"/>
              </w:rPr>
            </w:pPr>
            <w:r>
              <w:rPr>
                <w:rFonts w:ascii="Arial" w:cs="Arial" w:eastAsia="Arial" w:hAnsi="Arial"/>
                <w:sz w:val="14"/>
                <w:szCs w:val="14"/>
                <w:b w:val="1"/>
                <w:bCs w:val="1"/>
                <w:color w:val="auto"/>
                <w:w w:val="96"/>
              </w:rPr>
              <w:t>Delinquent</w:t>
            </w:r>
          </w:p>
        </w:tc>
        <w:tc>
          <w:tcPr>
            <w:tcW w:w="1200" w:type="dxa"/>
            <w:vAlign w:val="bottom"/>
          </w:tcPr>
          <w:p>
            <w:pPr>
              <w:ind w:left="300"/>
              <w:spacing w:after="0"/>
              <w:rPr>
                <w:sz w:val="20"/>
                <w:szCs w:val="20"/>
                <w:color w:val="auto"/>
              </w:rPr>
            </w:pPr>
            <w:r>
              <w:rPr>
                <w:rFonts w:ascii="Arial" w:cs="Arial" w:eastAsia="Arial" w:hAnsi="Arial"/>
                <w:sz w:val="14"/>
                <w:szCs w:val="14"/>
                <w:b w:val="1"/>
                <w:bCs w:val="1"/>
                <w:color w:val="auto"/>
              </w:rPr>
              <w:t>Current</w:t>
            </w:r>
          </w:p>
        </w:tc>
        <w:tc>
          <w:tcPr>
            <w:tcW w:w="980" w:type="dxa"/>
            <w:vAlign w:val="bottom"/>
          </w:tcPr>
          <w:p>
            <w:pPr>
              <w:ind w:left="400"/>
              <w:spacing w:after="0"/>
              <w:rPr>
                <w:sz w:val="20"/>
                <w:szCs w:val="20"/>
                <w:color w:val="auto"/>
              </w:rPr>
            </w:pPr>
            <w:r>
              <w:rPr>
                <w:rFonts w:ascii="Arial" w:cs="Arial" w:eastAsia="Arial" w:hAnsi="Arial"/>
                <w:sz w:val="14"/>
                <w:szCs w:val="14"/>
                <w:b w:val="1"/>
                <w:bCs w:val="1"/>
                <w:color w:val="auto"/>
              </w:rPr>
              <w:t>Total</w:t>
            </w:r>
          </w:p>
        </w:tc>
        <w:tc>
          <w:tcPr>
            <w:tcW w:w="1360" w:type="dxa"/>
            <w:vAlign w:val="bottom"/>
          </w:tcPr>
          <w:p>
            <w:pPr>
              <w:jc w:val="center"/>
              <w:ind w:left="91"/>
              <w:spacing w:after="0"/>
              <w:rPr>
                <w:sz w:val="20"/>
                <w:szCs w:val="20"/>
                <w:color w:val="auto"/>
              </w:rPr>
            </w:pPr>
            <w:r>
              <w:rPr>
                <w:rFonts w:ascii="Arial" w:cs="Arial" w:eastAsia="Arial" w:hAnsi="Arial"/>
                <w:sz w:val="14"/>
                <w:szCs w:val="14"/>
                <w:b w:val="1"/>
                <w:bCs w:val="1"/>
                <w:color w:val="auto"/>
                <w:w w:val="94"/>
              </w:rPr>
              <w:t>Interest</w:t>
            </w:r>
          </w:p>
        </w:tc>
        <w:tc>
          <w:tcPr>
            <w:tcW w:w="1060" w:type="dxa"/>
            <w:vAlign w:val="bottom"/>
          </w:tcPr>
          <w:p>
            <w:pPr>
              <w:jc w:val="center"/>
              <w:ind w:left="31"/>
              <w:spacing w:after="0"/>
              <w:rPr>
                <w:sz w:val="20"/>
                <w:szCs w:val="20"/>
                <w:color w:val="auto"/>
              </w:rPr>
            </w:pPr>
            <w:r>
              <w:rPr>
                <w:rFonts w:ascii="Arial" w:cs="Arial" w:eastAsia="Arial" w:hAnsi="Arial"/>
                <w:sz w:val="14"/>
                <w:szCs w:val="14"/>
                <w:b w:val="1"/>
                <w:bCs w:val="1"/>
                <w:color w:val="auto"/>
                <w:w w:val="98"/>
              </w:rPr>
              <w:t>Allowance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-22860</wp:posOffset>
            </wp:positionV>
            <wp:extent cx="600075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000750" cy="825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4"/>
          <w:szCs w:val="14"/>
          <w:b w:val="1"/>
          <w:bCs w:val="1"/>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40" w:type="dxa"/>
            <w:vAlign w:val="bottom"/>
          </w:tcPr>
          <w:p>
            <w:pPr>
              <w:jc w:val="right"/>
              <w:ind w:right="171"/>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32,625</w:t>
            </w:r>
          </w:p>
        </w:tc>
        <w:tc>
          <w:tcPr>
            <w:tcW w:w="100" w:type="dxa"/>
            <w:vAlign w:val="bottom"/>
          </w:tcPr>
          <w:p>
            <w:pPr>
              <w:spacing w:after="0"/>
              <w:rPr>
                <w:sz w:val="15"/>
                <w:szCs w:val="15"/>
                <w:color w:val="auto"/>
              </w:rPr>
            </w:pPr>
          </w:p>
        </w:tc>
        <w:tc>
          <w:tcPr>
            <w:tcW w:w="380" w:type="dxa"/>
            <w:vAlign w:val="bottom"/>
          </w:tcPr>
          <w:p>
            <w:pPr>
              <w:jc w:val="right"/>
              <w:ind w:right="211"/>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8,534</w:t>
            </w:r>
          </w:p>
        </w:tc>
        <w:tc>
          <w:tcPr>
            <w:tcW w:w="100" w:type="dxa"/>
            <w:vAlign w:val="bottom"/>
          </w:tcPr>
          <w:p>
            <w:pPr>
              <w:spacing w:after="0"/>
              <w:rPr>
                <w:sz w:val="15"/>
                <w:szCs w:val="15"/>
                <w:color w:val="auto"/>
              </w:rPr>
            </w:pPr>
          </w:p>
        </w:tc>
        <w:tc>
          <w:tcPr>
            <w:tcW w:w="400" w:type="dxa"/>
            <w:vAlign w:val="bottom"/>
          </w:tcPr>
          <w:p>
            <w:pPr>
              <w:jc w:val="right"/>
              <w:ind w:right="231"/>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17,678</w:t>
            </w:r>
          </w:p>
        </w:tc>
        <w:tc>
          <w:tcPr>
            <w:tcW w:w="100" w:type="dxa"/>
            <w:vAlign w:val="bottom"/>
          </w:tcPr>
          <w:p>
            <w:pPr>
              <w:spacing w:after="0"/>
              <w:rPr>
                <w:sz w:val="15"/>
                <w:szCs w:val="15"/>
                <w:color w:val="auto"/>
              </w:rPr>
            </w:pPr>
          </w:p>
        </w:tc>
        <w:tc>
          <w:tcPr>
            <w:tcW w:w="340" w:type="dxa"/>
            <w:vAlign w:val="bottom"/>
          </w:tcPr>
          <w:p>
            <w:pPr>
              <w:jc w:val="right"/>
              <w:ind w:right="171"/>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58,837</w:t>
            </w:r>
          </w:p>
        </w:tc>
        <w:tc>
          <w:tcPr>
            <w:tcW w:w="100" w:type="dxa"/>
            <w:vAlign w:val="bottom"/>
          </w:tcPr>
          <w:p>
            <w:pPr>
              <w:spacing w:after="0"/>
              <w:rPr>
                <w:sz w:val="15"/>
                <w:szCs w:val="15"/>
                <w:color w:val="auto"/>
              </w:rPr>
            </w:pPr>
          </w:p>
        </w:tc>
        <w:tc>
          <w:tcPr>
            <w:tcW w:w="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3,186,644</w:t>
            </w:r>
          </w:p>
        </w:tc>
        <w:tc>
          <w:tcPr>
            <w:tcW w:w="100" w:type="dxa"/>
            <w:vAlign w:val="bottom"/>
          </w:tcPr>
          <w:p>
            <w:pPr>
              <w:spacing w:after="0"/>
              <w:rPr>
                <w:sz w:val="15"/>
                <w:szCs w:val="15"/>
                <w:color w:val="auto"/>
              </w:rPr>
            </w:pPr>
          </w:p>
        </w:tc>
        <w:tc>
          <w:tcPr>
            <w:tcW w:w="26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3,245,481</w:t>
            </w:r>
          </w:p>
        </w:tc>
        <w:tc>
          <w:tcPr>
            <w:tcW w:w="120" w:type="dxa"/>
            <w:vAlign w:val="bottom"/>
          </w:tcPr>
          <w:p>
            <w:pPr>
              <w:spacing w:after="0"/>
              <w:rPr>
                <w:sz w:val="15"/>
                <w:szCs w:val="15"/>
                <w:color w:val="auto"/>
              </w:rPr>
            </w:pPr>
          </w:p>
        </w:tc>
        <w:tc>
          <w:tcPr>
            <w:tcW w:w="420" w:type="dxa"/>
            <w:vAlign w:val="bottom"/>
          </w:tcPr>
          <w:p>
            <w:pPr>
              <w:jc w:val="right"/>
              <w:ind w:right="271"/>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401</w:t>
            </w:r>
          </w:p>
        </w:tc>
        <w:tc>
          <w:tcPr>
            <w:tcW w:w="120" w:type="dxa"/>
            <w:vAlign w:val="bottom"/>
          </w:tcPr>
          <w:p>
            <w:pPr>
              <w:spacing w:after="0"/>
              <w:rPr>
                <w:sz w:val="15"/>
                <w:szCs w:val="15"/>
                <w:color w:val="auto"/>
              </w:rPr>
            </w:pPr>
          </w:p>
        </w:tc>
        <w:tc>
          <w:tcPr>
            <w:tcW w:w="380" w:type="dxa"/>
            <w:vAlign w:val="bottom"/>
          </w:tcPr>
          <w:p>
            <w:pPr>
              <w:jc w:val="right"/>
              <w:ind w:right="231"/>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3,589</w:t>
            </w:r>
          </w:p>
        </w:tc>
      </w:tr>
      <w:tr>
        <w:trPr>
          <w:trHeight w:val="464"/>
        </w:trPr>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1,636</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316</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566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2,518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380,704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383,222</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196</w:t>
            </w:r>
          </w:p>
        </w:tc>
      </w:tr>
      <w:tr>
        <w:trPr>
          <w:trHeight w:val="297"/>
        </w:trPr>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286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25,446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25,732</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300"/>
        </w:trPr>
        <w:tc>
          <w:tcPr>
            <w:tcW w:w="340" w:type="dxa"/>
            <w:vAlign w:val="bottom"/>
            <w:tcBorders>
              <w:bottom w:val="single" w:sz="8" w:color="2C6937"/>
            </w:tcBorders>
          </w:tcPr>
          <w:p>
            <w:pPr>
              <w:spacing w:after="0"/>
              <w:rPr>
                <w:sz w:val="24"/>
                <w:szCs w:val="24"/>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530</w:t>
            </w:r>
          </w:p>
        </w:tc>
        <w:tc>
          <w:tcPr>
            <w:tcW w:w="100" w:type="dxa"/>
            <w:vAlign w:val="bottom"/>
          </w:tcPr>
          <w:p>
            <w:pPr>
              <w:spacing w:after="0"/>
              <w:rPr>
                <w:sz w:val="24"/>
                <w:szCs w:val="24"/>
                <w:color w:val="auto"/>
              </w:rPr>
            </w:pPr>
          </w:p>
        </w:tc>
        <w:tc>
          <w:tcPr>
            <w:tcW w:w="380" w:type="dxa"/>
            <w:vAlign w:val="bottom"/>
            <w:tcBorders>
              <w:bottom w:val="single" w:sz="8" w:color="2C6937"/>
            </w:tcBorders>
          </w:tcPr>
          <w:p>
            <w:pPr>
              <w:spacing w:after="0"/>
              <w:rPr>
                <w:sz w:val="24"/>
                <w:szCs w:val="24"/>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24"/>
                <w:szCs w:val="24"/>
                <w:color w:val="auto"/>
              </w:rPr>
            </w:pPr>
          </w:p>
        </w:tc>
        <w:tc>
          <w:tcPr>
            <w:tcW w:w="400" w:type="dxa"/>
            <w:vAlign w:val="bottom"/>
            <w:tcBorders>
              <w:bottom w:val="single" w:sz="8" w:color="2C6937"/>
            </w:tcBorders>
          </w:tcPr>
          <w:p>
            <w:pPr>
              <w:spacing w:after="0"/>
              <w:rPr>
                <w:sz w:val="24"/>
                <w:szCs w:val="24"/>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417</w:t>
            </w:r>
          </w:p>
        </w:tc>
        <w:tc>
          <w:tcPr>
            <w:tcW w:w="100" w:type="dxa"/>
            <w:vAlign w:val="bottom"/>
          </w:tcPr>
          <w:p>
            <w:pPr>
              <w:spacing w:after="0"/>
              <w:rPr>
                <w:sz w:val="24"/>
                <w:szCs w:val="24"/>
                <w:color w:val="auto"/>
              </w:rPr>
            </w:pPr>
          </w:p>
        </w:tc>
        <w:tc>
          <w:tcPr>
            <w:tcW w:w="340" w:type="dxa"/>
            <w:vAlign w:val="bottom"/>
            <w:tcBorders>
              <w:bottom w:val="single" w:sz="8" w:color="2C6937"/>
            </w:tcBorders>
          </w:tcPr>
          <w:p>
            <w:pPr>
              <w:spacing w:after="0"/>
              <w:rPr>
                <w:sz w:val="24"/>
                <w:szCs w:val="24"/>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1,091</w:t>
            </w:r>
          </w:p>
        </w:tc>
        <w:tc>
          <w:tcPr>
            <w:tcW w:w="100" w:type="dxa"/>
            <w:vAlign w:val="bottom"/>
          </w:tcPr>
          <w:p>
            <w:pPr>
              <w:spacing w:after="0"/>
              <w:rPr>
                <w:sz w:val="24"/>
                <w:szCs w:val="24"/>
                <w:color w:val="auto"/>
              </w:rPr>
            </w:pPr>
          </w:p>
        </w:tc>
        <w:tc>
          <w:tcPr>
            <w:tcW w:w="280" w:type="dxa"/>
            <w:vAlign w:val="bottom"/>
            <w:tcBorders>
              <w:bottom w:val="single" w:sz="8" w:color="2C6937"/>
            </w:tcBorders>
          </w:tcPr>
          <w:p>
            <w:pPr>
              <w:spacing w:after="0"/>
              <w:rPr>
                <w:sz w:val="24"/>
                <w:szCs w:val="24"/>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20,556</w:t>
            </w:r>
          </w:p>
        </w:tc>
        <w:tc>
          <w:tcPr>
            <w:tcW w:w="100" w:type="dxa"/>
            <w:vAlign w:val="bottom"/>
          </w:tcPr>
          <w:p>
            <w:pPr>
              <w:spacing w:after="0"/>
              <w:rPr>
                <w:sz w:val="24"/>
                <w:szCs w:val="24"/>
                <w:color w:val="auto"/>
              </w:rPr>
            </w:pPr>
          </w:p>
        </w:tc>
        <w:tc>
          <w:tcPr>
            <w:tcW w:w="260" w:type="dxa"/>
            <w:vAlign w:val="bottom"/>
            <w:tcBorders>
              <w:bottom w:val="single" w:sz="8" w:color="2C6937"/>
            </w:tcBorders>
          </w:tcPr>
          <w:p>
            <w:pPr>
              <w:spacing w:after="0"/>
              <w:rPr>
                <w:sz w:val="24"/>
                <w:szCs w:val="24"/>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21,647</w:t>
            </w:r>
          </w:p>
        </w:tc>
        <w:tc>
          <w:tcPr>
            <w:tcW w:w="120" w:type="dxa"/>
            <w:vAlign w:val="bottom"/>
          </w:tcPr>
          <w:p>
            <w:pPr>
              <w:spacing w:after="0"/>
              <w:rPr>
                <w:sz w:val="24"/>
                <w:szCs w:val="24"/>
                <w:color w:val="auto"/>
              </w:rPr>
            </w:pPr>
          </w:p>
        </w:tc>
        <w:tc>
          <w:tcPr>
            <w:tcW w:w="420" w:type="dxa"/>
            <w:vAlign w:val="bottom"/>
            <w:tcBorders>
              <w:bottom w:val="single" w:sz="8" w:color="2C6937"/>
            </w:tcBorders>
          </w:tcPr>
          <w:p>
            <w:pPr>
              <w:spacing w:after="0"/>
              <w:rPr>
                <w:sz w:val="24"/>
                <w:szCs w:val="24"/>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4"/>
                <w:szCs w:val="24"/>
                <w:color w:val="auto"/>
              </w:rPr>
            </w:pPr>
          </w:p>
        </w:tc>
        <w:tc>
          <w:tcPr>
            <w:tcW w:w="380" w:type="dxa"/>
            <w:vAlign w:val="bottom"/>
            <w:tcBorders>
              <w:bottom w:val="single" w:sz="8" w:color="2C6937"/>
            </w:tcBorders>
          </w:tcPr>
          <w:p>
            <w:pPr>
              <w:spacing w:after="0"/>
              <w:rPr>
                <w:sz w:val="24"/>
                <w:szCs w:val="24"/>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187</w:t>
            </w:r>
          </w:p>
        </w:tc>
      </w:tr>
      <w:tr>
        <w:trPr>
          <w:trHeight w:val="286"/>
        </w:trPr>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34,956</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9,026</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18,750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62,732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3,613,350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3,676,082</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452</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3,992</w:t>
            </w:r>
          </w:p>
        </w:tc>
      </w:tr>
      <w:tr>
        <w:trPr>
          <w:trHeight w:val="300"/>
        </w:trPr>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604</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gridSpan w:val="2"/>
          </w:tcPr>
          <w:p>
            <w:pPr>
              <w:ind w:left="440"/>
              <w:spacing w:after="0"/>
              <w:rPr>
                <w:sz w:val="20"/>
                <w:szCs w:val="20"/>
                <w:color w:val="auto"/>
              </w:rPr>
            </w:pPr>
            <w:r>
              <w:rPr>
                <w:rFonts w:ascii="Arial" w:cs="Arial" w:eastAsia="Arial" w:hAnsi="Arial"/>
                <w:sz w:val="14"/>
                <w:szCs w:val="14"/>
                <w:color w:val="auto"/>
              </w:rPr>
              <w:t>N/A</w:t>
            </w: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2,620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473,949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476,569</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984</w:t>
            </w:r>
          </w:p>
        </w:tc>
      </w:tr>
      <w:tr>
        <w:trPr>
          <w:trHeight w:val="289"/>
        </w:trPr>
        <w:tc>
          <w:tcPr>
            <w:tcW w:w="340" w:type="dxa"/>
            <w:vAlign w:val="bottom"/>
            <w:tcBorders>
              <w:top w:val="single" w:sz="8" w:color="2C6937"/>
              <w:bottom w:val="single" w:sz="8" w:color="2C6937"/>
            </w:tcBorders>
          </w:tcPr>
          <w:p>
            <w:pPr>
              <w:jc w:val="right"/>
              <w:ind w:right="171"/>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35,560</w:t>
            </w:r>
          </w:p>
        </w:tc>
        <w:tc>
          <w:tcPr>
            <w:tcW w:w="100" w:type="dxa"/>
            <w:vAlign w:val="bottom"/>
          </w:tcPr>
          <w:p>
            <w:pPr>
              <w:spacing w:after="0"/>
              <w:rPr>
                <w:sz w:val="24"/>
                <w:szCs w:val="24"/>
                <w:color w:val="auto"/>
              </w:rPr>
            </w:pPr>
          </w:p>
        </w:tc>
        <w:tc>
          <w:tcPr>
            <w:tcW w:w="380" w:type="dxa"/>
            <w:vAlign w:val="bottom"/>
            <w:tcBorders>
              <w:top w:val="single" w:sz="8" w:color="2C6937"/>
              <w:bottom w:val="single" w:sz="8" w:color="2C6937"/>
            </w:tcBorders>
          </w:tcPr>
          <w:p>
            <w:pPr>
              <w:jc w:val="right"/>
              <w:ind w:right="211"/>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9,026</w:t>
            </w:r>
          </w:p>
        </w:tc>
        <w:tc>
          <w:tcPr>
            <w:tcW w:w="100" w:type="dxa"/>
            <w:vAlign w:val="bottom"/>
          </w:tcPr>
          <w:p>
            <w:pPr>
              <w:spacing w:after="0"/>
              <w:rPr>
                <w:sz w:val="24"/>
                <w:szCs w:val="24"/>
                <w:color w:val="auto"/>
              </w:rPr>
            </w:pPr>
          </w:p>
        </w:tc>
        <w:tc>
          <w:tcPr>
            <w:tcW w:w="400" w:type="dxa"/>
            <w:vAlign w:val="bottom"/>
            <w:tcBorders>
              <w:top w:val="single" w:sz="8" w:color="2C6937"/>
              <w:bottom w:val="single" w:sz="8" w:color="2C6937"/>
            </w:tcBorders>
          </w:tcPr>
          <w:p>
            <w:pPr>
              <w:jc w:val="right"/>
              <w:ind w:right="23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20,766</w:t>
            </w:r>
          </w:p>
        </w:tc>
        <w:tc>
          <w:tcPr>
            <w:tcW w:w="100" w:type="dxa"/>
            <w:vAlign w:val="bottom"/>
          </w:tcPr>
          <w:p>
            <w:pPr>
              <w:spacing w:after="0"/>
              <w:rPr>
                <w:sz w:val="24"/>
                <w:szCs w:val="24"/>
                <w:color w:val="auto"/>
              </w:rPr>
            </w:pPr>
          </w:p>
        </w:tc>
        <w:tc>
          <w:tcPr>
            <w:tcW w:w="340" w:type="dxa"/>
            <w:vAlign w:val="bottom"/>
            <w:tcBorders>
              <w:top w:val="single" w:sz="8" w:color="2C6937"/>
              <w:bottom w:val="single" w:sz="8" w:color="2C6937"/>
            </w:tcBorders>
          </w:tcPr>
          <w:p>
            <w:pPr>
              <w:jc w:val="right"/>
              <w:ind w:right="171"/>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65,352</w:t>
            </w:r>
          </w:p>
        </w:tc>
        <w:tc>
          <w:tcPr>
            <w:tcW w:w="100" w:type="dxa"/>
            <w:vAlign w:val="bottom"/>
          </w:tcPr>
          <w:p>
            <w:pPr>
              <w:spacing w:after="0"/>
              <w:rPr>
                <w:sz w:val="24"/>
                <w:szCs w:val="24"/>
                <w:color w:val="auto"/>
              </w:rPr>
            </w:pPr>
          </w:p>
        </w:tc>
        <w:tc>
          <w:tcPr>
            <w:tcW w:w="280" w:type="dxa"/>
            <w:vAlign w:val="bottom"/>
            <w:tcBorders>
              <w:top w:val="single" w:sz="8" w:color="2C6937"/>
              <w:bottom w:val="single" w:sz="8" w:color="2C6937"/>
            </w:tcBorders>
          </w:tcPr>
          <w:p>
            <w:pPr>
              <w:jc w:val="right"/>
              <w:ind w:right="111"/>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4,087,299</w:t>
            </w:r>
          </w:p>
        </w:tc>
        <w:tc>
          <w:tcPr>
            <w:tcW w:w="100" w:type="dxa"/>
            <w:vAlign w:val="bottom"/>
          </w:tcPr>
          <w:p>
            <w:pPr>
              <w:spacing w:after="0"/>
              <w:rPr>
                <w:sz w:val="24"/>
                <w:szCs w:val="24"/>
                <w:color w:val="auto"/>
              </w:rPr>
            </w:pPr>
          </w:p>
        </w:tc>
        <w:tc>
          <w:tcPr>
            <w:tcW w:w="260" w:type="dxa"/>
            <w:vAlign w:val="bottom"/>
            <w:tcBorders>
              <w:top w:val="single" w:sz="8" w:color="2C6937"/>
              <w:bottom w:val="single" w:sz="8" w:color="2C6937"/>
            </w:tcBorders>
          </w:tcPr>
          <w:p>
            <w:pPr>
              <w:jc w:val="right"/>
              <w:ind w:right="91"/>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4,152,651</w:t>
            </w:r>
          </w:p>
        </w:tc>
        <w:tc>
          <w:tcPr>
            <w:tcW w:w="120" w:type="dxa"/>
            <w:vAlign w:val="bottom"/>
          </w:tcPr>
          <w:p>
            <w:pPr>
              <w:spacing w:after="0"/>
              <w:rPr>
                <w:sz w:val="24"/>
                <w:szCs w:val="24"/>
                <w:color w:val="auto"/>
              </w:rPr>
            </w:pPr>
          </w:p>
        </w:tc>
        <w:tc>
          <w:tcPr>
            <w:tcW w:w="420" w:type="dxa"/>
            <w:vAlign w:val="bottom"/>
            <w:tcBorders>
              <w:top w:val="single" w:sz="8" w:color="2C6937"/>
              <w:bottom w:val="single" w:sz="8" w:color="2C6937"/>
            </w:tcBorders>
          </w:tcPr>
          <w:p>
            <w:pPr>
              <w:jc w:val="right"/>
              <w:ind w:right="271"/>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537</w:t>
            </w:r>
          </w:p>
        </w:tc>
        <w:tc>
          <w:tcPr>
            <w:tcW w:w="120" w:type="dxa"/>
            <w:vAlign w:val="bottom"/>
          </w:tcPr>
          <w:p>
            <w:pPr>
              <w:spacing w:after="0"/>
              <w:rPr>
                <w:sz w:val="24"/>
                <w:szCs w:val="24"/>
                <w:color w:val="auto"/>
              </w:rPr>
            </w:pPr>
          </w:p>
        </w:tc>
        <w:tc>
          <w:tcPr>
            <w:tcW w:w="380" w:type="dxa"/>
            <w:vAlign w:val="bottom"/>
            <w:tcBorders>
              <w:top w:val="single" w:sz="8" w:color="2C6937"/>
              <w:bottom w:val="single" w:sz="8" w:color="2C6937"/>
            </w:tcBorders>
          </w:tcPr>
          <w:p>
            <w:pPr>
              <w:jc w:val="right"/>
              <w:ind w:right="231"/>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4,976</w:t>
            </w:r>
          </w:p>
        </w:tc>
      </w:tr>
      <w:tr>
        <w:trPr>
          <w:trHeight w:val="22"/>
        </w:trPr>
        <w:tc>
          <w:tcPr>
            <w:tcW w:w="34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2C6937"/>
            </w:tcBorders>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2C6937"/>
            </w:tcBorders>
          </w:tcPr>
          <w:p>
            <w:pPr>
              <w:spacing w:after="0" w:line="20" w:lineRule="exact"/>
              <w:rPr>
                <w:sz w:val="1"/>
                <w:szCs w:val="1"/>
                <w:color w:val="auto"/>
              </w:rPr>
            </w:pPr>
          </w:p>
        </w:tc>
        <w:tc>
          <w:tcPr>
            <w:tcW w:w="7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2C6937"/>
            </w:tcBorders>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2C6937"/>
            </w:tcBorders>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2C6937"/>
            </w:tcBorders>
          </w:tcPr>
          <w:p>
            <w:pPr>
              <w:spacing w:after="0" w:line="20" w:lineRule="exact"/>
              <w:rPr>
                <w:sz w:val="1"/>
                <w:szCs w:val="1"/>
                <w:color w:val="auto"/>
              </w:rPr>
            </w:pPr>
          </w:p>
        </w:tc>
        <w:tc>
          <w:tcPr>
            <w:tcW w:w="62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r>
    </w:tbl>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18415</wp:posOffset>
            </wp:positionV>
            <wp:extent cx="599249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992495" cy="8255"/>
                    </a:xfrm>
                    <a:prstGeom prst="rect">
                      <a:avLst/>
                    </a:prstGeom>
                    <a:noFill/>
                  </pic:spPr>
                </pic:pic>
              </a:graphicData>
            </a:graphic>
          </wp:anchor>
        </w:drawing>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tcPr>
          <w:p>
            <w:pPr>
              <w:jc w:val="center"/>
              <w:ind w:left="71"/>
              <w:spacing w:after="0"/>
              <w:rPr>
                <w:sz w:val="20"/>
                <w:szCs w:val="20"/>
                <w:color w:val="auto"/>
              </w:rPr>
            </w:pPr>
            <w:r>
              <w:rPr>
                <w:rFonts w:ascii="Arial" w:cs="Arial" w:eastAsia="Arial" w:hAnsi="Arial"/>
                <w:sz w:val="14"/>
                <w:szCs w:val="14"/>
                <w:b w:val="1"/>
                <w:bCs w:val="1"/>
                <w:color w:val="auto"/>
                <w:w w:val="97"/>
              </w:rPr>
              <w:t>Loans 90 Days</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tcPr>
          <w:p>
            <w:pPr>
              <w:jc w:val="center"/>
              <w:ind w:left="91"/>
              <w:spacing w:after="0"/>
              <w:rPr>
                <w:sz w:val="20"/>
                <w:szCs w:val="20"/>
                <w:color w:val="auto"/>
              </w:rPr>
            </w:pPr>
            <w:r>
              <w:rPr>
                <w:rFonts w:ascii="Arial" w:cs="Arial" w:eastAsia="Arial" w:hAnsi="Arial"/>
                <w:sz w:val="14"/>
                <w:szCs w:val="14"/>
                <w:b w:val="1"/>
                <w:bCs w:val="1"/>
                <w:color w:val="auto"/>
                <w:w w:val="97"/>
              </w:rPr>
              <w:t>or More</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30 - 59 Days</w:t>
            </w: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60 - 89 Days</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Seriously</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tcPr>
          <w:p>
            <w:pPr>
              <w:jc w:val="center"/>
              <w:ind w:left="71"/>
              <w:spacing w:after="0"/>
              <w:rPr>
                <w:sz w:val="20"/>
                <w:szCs w:val="20"/>
                <w:color w:val="auto"/>
              </w:rPr>
            </w:pPr>
            <w:r>
              <w:rPr>
                <w:rFonts w:ascii="Arial" w:cs="Arial" w:eastAsia="Arial" w:hAnsi="Arial"/>
                <w:sz w:val="14"/>
                <w:szCs w:val="14"/>
                <w:b w:val="1"/>
                <w:bCs w:val="1"/>
                <w:color w:val="auto"/>
                <w:w w:val="98"/>
              </w:rPr>
              <w:t>Delinquent and</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6"/>
              </w:rPr>
              <w:t>Nonaccrual</w:t>
            </w: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118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1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80" w:type="dxa"/>
            <w:vAlign w:val="bottom"/>
          </w:tcPr>
          <w:p>
            <w:pPr>
              <w:jc w:val="center"/>
              <w:ind w:left="71"/>
              <w:spacing w:after="0" w:line="155" w:lineRule="exact"/>
              <w:rPr>
                <w:sz w:val="20"/>
                <w:szCs w:val="20"/>
                <w:color w:val="auto"/>
              </w:rPr>
            </w:pPr>
            <w:r>
              <w:rPr>
                <w:rFonts w:ascii="Arial" w:cs="Arial" w:eastAsia="Arial" w:hAnsi="Arial"/>
                <w:sz w:val="14"/>
                <w:szCs w:val="14"/>
                <w:b w:val="1"/>
                <w:bCs w:val="1"/>
                <w:color w:val="auto"/>
                <w:w w:val="98"/>
              </w:rPr>
              <w:t>Accruing</w:t>
            </w:r>
          </w:p>
        </w:tc>
        <w:tc>
          <w:tcPr>
            <w:tcW w:w="11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8"/>
              </w:rPr>
              <w:t>Loans with No</w:t>
            </w:r>
          </w:p>
        </w:tc>
        <w:tc>
          <w:tcPr>
            <w:tcW w:w="0" w:type="dxa"/>
            <w:vAlign w:val="bottom"/>
          </w:tcPr>
          <w:p>
            <w:pPr>
              <w:spacing w:after="0"/>
              <w:rPr>
                <w:sz w:val="1"/>
                <w:szCs w:val="1"/>
                <w:color w:val="auto"/>
              </w:rPr>
            </w:pPr>
          </w:p>
        </w:tc>
      </w:tr>
      <w:tr>
        <w:trPr>
          <w:trHeight w:val="202"/>
        </w:trPr>
        <w:tc>
          <w:tcPr>
            <w:tcW w:w="112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9"/>
              </w:rPr>
              <w:t>Delinquent</w:t>
            </w:r>
          </w:p>
        </w:tc>
        <w:tc>
          <w:tcPr>
            <w:tcW w:w="118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9"/>
              </w:rPr>
              <w:t>Delinquent</w:t>
            </w:r>
          </w:p>
        </w:tc>
        <w:tc>
          <w:tcPr>
            <w:tcW w:w="124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9"/>
              </w:rPr>
              <w:t>Delinquent</w:t>
            </w:r>
            <w:r>
              <w:rPr>
                <w:rFonts w:ascii="Arial" w:cs="Arial" w:eastAsia="Arial" w:hAnsi="Arial"/>
                <w:sz w:val="8"/>
                <w:szCs w:val="8"/>
                <w:b w:val="1"/>
                <w:bCs w:val="1"/>
                <w:color w:val="auto"/>
                <w:w w:val="99"/>
              </w:rPr>
              <w:t>(1)</w:t>
            </w:r>
          </w:p>
        </w:tc>
        <w:tc>
          <w:tcPr>
            <w:tcW w:w="122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9"/>
              </w:rPr>
              <w:t>Delinquent</w:t>
            </w:r>
          </w:p>
        </w:tc>
        <w:tc>
          <w:tcPr>
            <w:tcW w:w="1200" w:type="dxa"/>
            <w:vAlign w:val="bottom"/>
            <w:tcBorders>
              <w:bottom w:val="single" w:sz="8" w:color="2C6937"/>
            </w:tcBorders>
          </w:tcPr>
          <w:p>
            <w:pPr>
              <w:ind w:left="300"/>
              <w:spacing w:after="0"/>
              <w:rPr>
                <w:sz w:val="20"/>
                <w:szCs w:val="20"/>
                <w:color w:val="auto"/>
              </w:rPr>
            </w:pPr>
            <w:r>
              <w:rPr>
                <w:rFonts w:ascii="Arial" w:cs="Arial" w:eastAsia="Arial" w:hAnsi="Arial"/>
                <w:sz w:val="14"/>
                <w:szCs w:val="14"/>
                <w:b w:val="1"/>
                <w:bCs w:val="1"/>
                <w:color w:val="auto"/>
              </w:rPr>
              <w:t>Current</w:t>
            </w:r>
          </w:p>
        </w:tc>
        <w:tc>
          <w:tcPr>
            <w:tcW w:w="980" w:type="dxa"/>
            <w:vAlign w:val="bottom"/>
            <w:tcBorders>
              <w:bottom w:val="single" w:sz="8" w:color="2C6937"/>
            </w:tcBorders>
          </w:tcPr>
          <w:p>
            <w:pPr>
              <w:ind w:left="400"/>
              <w:spacing w:after="0"/>
              <w:rPr>
                <w:sz w:val="20"/>
                <w:szCs w:val="20"/>
                <w:color w:val="auto"/>
              </w:rPr>
            </w:pPr>
            <w:r>
              <w:rPr>
                <w:rFonts w:ascii="Arial" w:cs="Arial" w:eastAsia="Arial" w:hAnsi="Arial"/>
                <w:sz w:val="14"/>
                <w:szCs w:val="14"/>
                <w:b w:val="1"/>
                <w:bCs w:val="1"/>
                <w:color w:val="auto"/>
              </w:rPr>
              <w:t>Total</w:t>
            </w:r>
          </w:p>
        </w:tc>
        <w:tc>
          <w:tcPr>
            <w:tcW w:w="1380" w:type="dxa"/>
            <w:vAlign w:val="bottom"/>
            <w:tcBorders>
              <w:bottom w:val="single" w:sz="8" w:color="2C6937"/>
            </w:tcBorders>
          </w:tcPr>
          <w:p>
            <w:pPr>
              <w:jc w:val="center"/>
              <w:ind w:left="91"/>
              <w:spacing w:after="0"/>
              <w:rPr>
                <w:sz w:val="20"/>
                <w:szCs w:val="20"/>
                <w:color w:val="auto"/>
              </w:rPr>
            </w:pPr>
            <w:r>
              <w:rPr>
                <w:rFonts w:ascii="Arial" w:cs="Arial" w:eastAsia="Arial" w:hAnsi="Arial"/>
                <w:sz w:val="14"/>
                <w:szCs w:val="14"/>
                <w:b w:val="1"/>
                <w:bCs w:val="1"/>
                <w:color w:val="auto"/>
                <w:w w:val="98"/>
              </w:rPr>
              <w:t>Interest</w:t>
            </w:r>
          </w:p>
        </w:tc>
        <w:tc>
          <w:tcPr>
            <w:tcW w:w="112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8"/>
              </w:rPr>
              <w:t>Allowance</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340" w:type="dxa"/>
            <w:vAlign w:val="bottom"/>
          </w:tcPr>
          <w:p>
            <w:pPr>
              <w:jc w:val="right"/>
              <w:ind w:right="171"/>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33,119</w:t>
            </w:r>
          </w:p>
        </w:tc>
        <w:tc>
          <w:tcPr>
            <w:tcW w:w="100" w:type="dxa"/>
            <w:vAlign w:val="bottom"/>
          </w:tcPr>
          <w:p>
            <w:pPr>
              <w:spacing w:after="0"/>
              <w:rPr>
                <w:sz w:val="15"/>
                <w:szCs w:val="15"/>
                <w:color w:val="auto"/>
              </w:rPr>
            </w:pPr>
          </w:p>
        </w:tc>
        <w:tc>
          <w:tcPr>
            <w:tcW w:w="380" w:type="dxa"/>
            <w:vAlign w:val="bottom"/>
          </w:tcPr>
          <w:p>
            <w:pPr>
              <w:jc w:val="right"/>
              <w:ind w:right="211"/>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8,093</w:t>
            </w:r>
          </w:p>
        </w:tc>
        <w:tc>
          <w:tcPr>
            <w:tcW w:w="100" w:type="dxa"/>
            <w:vAlign w:val="bottom"/>
          </w:tcPr>
          <w:p>
            <w:pPr>
              <w:spacing w:after="0"/>
              <w:rPr>
                <w:sz w:val="15"/>
                <w:szCs w:val="15"/>
                <w:color w:val="auto"/>
              </w:rPr>
            </w:pPr>
          </w:p>
        </w:tc>
        <w:tc>
          <w:tcPr>
            <w:tcW w:w="400" w:type="dxa"/>
            <w:vAlign w:val="bottom"/>
          </w:tcPr>
          <w:p>
            <w:pPr>
              <w:jc w:val="right"/>
              <w:ind w:right="231"/>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18,659</w:t>
            </w:r>
          </w:p>
        </w:tc>
        <w:tc>
          <w:tcPr>
            <w:tcW w:w="100" w:type="dxa"/>
            <w:vAlign w:val="bottom"/>
          </w:tcPr>
          <w:p>
            <w:pPr>
              <w:spacing w:after="0"/>
              <w:rPr>
                <w:sz w:val="15"/>
                <w:szCs w:val="15"/>
                <w:color w:val="auto"/>
              </w:rPr>
            </w:pPr>
          </w:p>
        </w:tc>
        <w:tc>
          <w:tcPr>
            <w:tcW w:w="320" w:type="dxa"/>
            <w:vAlign w:val="bottom"/>
          </w:tcPr>
          <w:p>
            <w:pPr>
              <w:jc w:val="right"/>
              <w:ind w:right="171"/>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59,871</w:t>
            </w:r>
          </w:p>
        </w:tc>
        <w:tc>
          <w:tcPr>
            <w:tcW w:w="120" w:type="dxa"/>
            <w:vAlign w:val="bottom"/>
          </w:tcPr>
          <w:p>
            <w:pPr>
              <w:spacing w:after="0"/>
              <w:rPr>
                <w:sz w:val="15"/>
                <w:szCs w:val="15"/>
                <w:color w:val="auto"/>
              </w:rPr>
            </w:pP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3,148,171</w:t>
            </w:r>
          </w:p>
        </w:tc>
        <w:tc>
          <w:tcPr>
            <w:tcW w:w="100" w:type="dxa"/>
            <w:vAlign w:val="bottom"/>
          </w:tcPr>
          <w:p>
            <w:pPr>
              <w:spacing w:after="0"/>
              <w:rPr>
                <w:sz w:val="15"/>
                <w:szCs w:val="15"/>
                <w:color w:val="auto"/>
              </w:rPr>
            </w:pPr>
          </w:p>
        </w:tc>
        <w:tc>
          <w:tcPr>
            <w:tcW w:w="26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3,208,042</w:t>
            </w:r>
          </w:p>
        </w:tc>
        <w:tc>
          <w:tcPr>
            <w:tcW w:w="100" w:type="dxa"/>
            <w:vAlign w:val="bottom"/>
          </w:tcPr>
          <w:p>
            <w:pPr>
              <w:spacing w:after="0"/>
              <w:rPr>
                <w:sz w:val="15"/>
                <w:szCs w:val="15"/>
                <w:color w:val="auto"/>
              </w:rPr>
            </w:pPr>
          </w:p>
        </w:tc>
        <w:tc>
          <w:tcPr>
            <w:tcW w:w="360" w:type="dxa"/>
            <w:vAlign w:val="bottom"/>
          </w:tcPr>
          <w:p>
            <w:pPr>
              <w:jc w:val="right"/>
              <w:ind w:right="211"/>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1,371</w:t>
            </w:r>
          </w:p>
        </w:tc>
        <w:tc>
          <w:tcPr>
            <w:tcW w:w="100" w:type="dxa"/>
            <w:vAlign w:val="bottom"/>
          </w:tcPr>
          <w:p>
            <w:pPr>
              <w:spacing w:after="0"/>
              <w:rPr>
                <w:sz w:val="15"/>
                <w:szCs w:val="15"/>
                <w:color w:val="auto"/>
              </w:rPr>
            </w:pPr>
          </w:p>
        </w:tc>
        <w:tc>
          <w:tcPr>
            <w:tcW w:w="400" w:type="dxa"/>
            <w:vAlign w:val="bottom"/>
          </w:tcPr>
          <w:p>
            <w:pPr>
              <w:jc w:val="right"/>
              <w:ind w:right="251"/>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3,457</w:t>
            </w:r>
          </w:p>
        </w:tc>
      </w:tr>
      <w:tr>
        <w:trPr>
          <w:trHeight w:val="464"/>
        </w:trPr>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1,846</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319</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650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2,815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425,598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428,413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176</w:t>
            </w:r>
          </w:p>
        </w:tc>
      </w:tr>
      <w:tr>
        <w:trPr>
          <w:trHeight w:val="297"/>
        </w:trPr>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26,032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26,358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300"/>
        </w:trPr>
        <w:tc>
          <w:tcPr>
            <w:tcW w:w="340" w:type="dxa"/>
            <w:vAlign w:val="bottom"/>
            <w:tcBorders>
              <w:bottom w:val="single" w:sz="8" w:color="2C6937"/>
            </w:tcBorders>
          </w:tcPr>
          <w:p>
            <w:pPr>
              <w:spacing w:after="0"/>
              <w:rPr>
                <w:sz w:val="24"/>
                <w:szCs w:val="24"/>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586</w:t>
            </w:r>
          </w:p>
        </w:tc>
        <w:tc>
          <w:tcPr>
            <w:tcW w:w="100" w:type="dxa"/>
            <w:vAlign w:val="bottom"/>
          </w:tcPr>
          <w:p>
            <w:pPr>
              <w:spacing w:after="0"/>
              <w:rPr>
                <w:sz w:val="24"/>
                <w:szCs w:val="24"/>
                <w:color w:val="auto"/>
              </w:rPr>
            </w:pPr>
          </w:p>
        </w:tc>
        <w:tc>
          <w:tcPr>
            <w:tcW w:w="380" w:type="dxa"/>
            <w:vAlign w:val="bottom"/>
            <w:tcBorders>
              <w:bottom w:val="single" w:sz="8" w:color="2C6937"/>
            </w:tcBorders>
          </w:tcPr>
          <w:p>
            <w:pPr>
              <w:spacing w:after="0"/>
              <w:rPr>
                <w:sz w:val="24"/>
                <w:szCs w:val="24"/>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24"/>
                <w:szCs w:val="24"/>
                <w:color w:val="auto"/>
              </w:rPr>
            </w:pPr>
          </w:p>
        </w:tc>
        <w:tc>
          <w:tcPr>
            <w:tcW w:w="400" w:type="dxa"/>
            <w:vAlign w:val="bottom"/>
            <w:tcBorders>
              <w:bottom w:val="single" w:sz="8" w:color="2C6937"/>
            </w:tcBorders>
          </w:tcPr>
          <w:p>
            <w:pPr>
              <w:spacing w:after="0"/>
              <w:rPr>
                <w:sz w:val="24"/>
                <w:szCs w:val="24"/>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562</w:t>
            </w:r>
          </w:p>
        </w:tc>
        <w:tc>
          <w:tcPr>
            <w:tcW w:w="100" w:type="dxa"/>
            <w:vAlign w:val="bottom"/>
          </w:tcPr>
          <w:p>
            <w:pPr>
              <w:spacing w:after="0"/>
              <w:rPr>
                <w:sz w:val="24"/>
                <w:szCs w:val="24"/>
                <w:color w:val="auto"/>
              </w:rPr>
            </w:pPr>
          </w:p>
        </w:tc>
        <w:tc>
          <w:tcPr>
            <w:tcW w:w="320" w:type="dxa"/>
            <w:vAlign w:val="bottom"/>
            <w:tcBorders>
              <w:bottom w:val="single" w:sz="8" w:color="2C6937"/>
            </w:tcBorders>
          </w:tcPr>
          <w:p>
            <w:pPr>
              <w:spacing w:after="0"/>
              <w:rPr>
                <w:sz w:val="24"/>
                <w:szCs w:val="24"/>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1,319</w:t>
            </w:r>
          </w:p>
        </w:tc>
        <w:tc>
          <w:tcPr>
            <w:tcW w:w="120" w:type="dxa"/>
            <w:vAlign w:val="bottom"/>
          </w:tcPr>
          <w:p>
            <w:pPr>
              <w:spacing w:after="0"/>
              <w:rPr>
                <w:sz w:val="24"/>
                <w:szCs w:val="24"/>
                <w:color w:val="auto"/>
              </w:rPr>
            </w:pPr>
          </w:p>
        </w:tc>
        <w:tc>
          <w:tcPr>
            <w:tcW w:w="260" w:type="dxa"/>
            <w:vAlign w:val="bottom"/>
            <w:tcBorders>
              <w:bottom w:val="single" w:sz="8" w:color="2C6937"/>
            </w:tcBorders>
          </w:tcPr>
          <w:p>
            <w:pPr>
              <w:spacing w:after="0"/>
              <w:rPr>
                <w:sz w:val="24"/>
                <w:szCs w:val="24"/>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23,772</w:t>
            </w:r>
          </w:p>
        </w:tc>
        <w:tc>
          <w:tcPr>
            <w:tcW w:w="100" w:type="dxa"/>
            <w:vAlign w:val="bottom"/>
          </w:tcPr>
          <w:p>
            <w:pPr>
              <w:spacing w:after="0"/>
              <w:rPr>
                <w:sz w:val="24"/>
                <w:szCs w:val="24"/>
                <w:color w:val="auto"/>
              </w:rPr>
            </w:pPr>
          </w:p>
        </w:tc>
        <w:tc>
          <w:tcPr>
            <w:tcW w:w="260" w:type="dxa"/>
            <w:vAlign w:val="bottom"/>
            <w:tcBorders>
              <w:bottom w:val="single" w:sz="8" w:color="2C6937"/>
            </w:tcBorders>
          </w:tcPr>
          <w:p>
            <w:pPr>
              <w:spacing w:after="0"/>
              <w:rPr>
                <w:sz w:val="24"/>
                <w:szCs w:val="24"/>
                <w:color w:val="auto"/>
              </w:rPr>
            </w:pPr>
          </w:p>
        </w:tc>
        <w:tc>
          <w:tcPr>
            <w:tcW w:w="8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25,091</w:t>
            </w:r>
          </w:p>
        </w:tc>
        <w:tc>
          <w:tcPr>
            <w:tcW w:w="100" w:type="dxa"/>
            <w:vAlign w:val="bottom"/>
          </w:tcPr>
          <w:p>
            <w:pPr>
              <w:spacing w:after="0"/>
              <w:rPr>
                <w:sz w:val="24"/>
                <w:szCs w:val="24"/>
                <w:color w:val="auto"/>
              </w:rPr>
            </w:pPr>
          </w:p>
        </w:tc>
        <w:tc>
          <w:tcPr>
            <w:tcW w:w="36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24"/>
                <w:szCs w:val="24"/>
                <w:color w:val="auto"/>
              </w:rPr>
            </w:pPr>
          </w:p>
        </w:tc>
        <w:tc>
          <w:tcPr>
            <w:tcW w:w="4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228</w:t>
            </w:r>
          </w:p>
        </w:tc>
      </w:tr>
      <w:tr>
        <w:trPr>
          <w:trHeight w:val="286"/>
        </w:trPr>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35,735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8,625</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19,971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64,331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3,623,573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3,687,904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1,604</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3,882</w:t>
            </w:r>
          </w:p>
        </w:tc>
      </w:tr>
      <w:tr>
        <w:trPr>
          <w:trHeight w:val="300"/>
        </w:trPr>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449</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gridSpan w:val="2"/>
          </w:tcPr>
          <w:p>
            <w:pPr>
              <w:ind w:left="440"/>
              <w:spacing w:after="0"/>
              <w:rPr>
                <w:sz w:val="20"/>
                <w:szCs w:val="20"/>
                <w:color w:val="auto"/>
              </w:rPr>
            </w:pPr>
            <w:r>
              <w:rPr>
                <w:rFonts w:ascii="Arial" w:cs="Arial" w:eastAsia="Arial" w:hAnsi="Arial"/>
                <w:sz w:val="14"/>
                <w:szCs w:val="14"/>
                <w:color w:val="auto"/>
              </w:rPr>
              <w:t>N/A</w:t>
            </w: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1,699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2,148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459,206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461,354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594</w:t>
            </w:r>
          </w:p>
        </w:tc>
      </w:tr>
      <w:tr>
        <w:trPr>
          <w:trHeight w:val="289"/>
        </w:trPr>
        <w:tc>
          <w:tcPr>
            <w:tcW w:w="340" w:type="dxa"/>
            <w:vAlign w:val="bottom"/>
            <w:tcBorders>
              <w:top w:val="single" w:sz="8" w:color="2C6937"/>
              <w:bottom w:val="single" w:sz="8" w:color="2C6937"/>
            </w:tcBorders>
          </w:tcPr>
          <w:p>
            <w:pPr>
              <w:jc w:val="right"/>
              <w:ind w:right="171"/>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36,184</w:t>
            </w:r>
          </w:p>
        </w:tc>
        <w:tc>
          <w:tcPr>
            <w:tcW w:w="100" w:type="dxa"/>
            <w:vAlign w:val="bottom"/>
          </w:tcPr>
          <w:p>
            <w:pPr>
              <w:spacing w:after="0"/>
              <w:rPr>
                <w:sz w:val="24"/>
                <w:szCs w:val="24"/>
                <w:color w:val="auto"/>
              </w:rPr>
            </w:pPr>
          </w:p>
        </w:tc>
        <w:tc>
          <w:tcPr>
            <w:tcW w:w="380" w:type="dxa"/>
            <w:vAlign w:val="bottom"/>
            <w:tcBorders>
              <w:top w:val="single" w:sz="8" w:color="2C6937"/>
              <w:bottom w:val="single" w:sz="8" w:color="2C6937"/>
            </w:tcBorders>
          </w:tcPr>
          <w:p>
            <w:pPr>
              <w:jc w:val="right"/>
              <w:ind w:right="211"/>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8,625</w:t>
            </w:r>
          </w:p>
        </w:tc>
        <w:tc>
          <w:tcPr>
            <w:tcW w:w="100" w:type="dxa"/>
            <w:vAlign w:val="bottom"/>
          </w:tcPr>
          <w:p>
            <w:pPr>
              <w:spacing w:after="0"/>
              <w:rPr>
                <w:sz w:val="24"/>
                <w:szCs w:val="24"/>
                <w:color w:val="auto"/>
              </w:rPr>
            </w:pPr>
          </w:p>
        </w:tc>
        <w:tc>
          <w:tcPr>
            <w:tcW w:w="400" w:type="dxa"/>
            <w:vAlign w:val="bottom"/>
            <w:tcBorders>
              <w:top w:val="single" w:sz="8" w:color="2C6937"/>
              <w:bottom w:val="single" w:sz="8" w:color="2C6937"/>
            </w:tcBorders>
          </w:tcPr>
          <w:p>
            <w:pPr>
              <w:jc w:val="right"/>
              <w:ind w:right="23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21,670</w:t>
            </w:r>
          </w:p>
        </w:tc>
        <w:tc>
          <w:tcPr>
            <w:tcW w:w="100" w:type="dxa"/>
            <w:vAlign w:val="bottom"/>
          </w:tcPr>
          <w:p>
            <w:pPr>
              <w:spacing w:after="0"/>
              <w:rPr>
                <w:sz w:val="24"/>
                <w:szCs w:val="24"/>
                <w:color w:val="auto"/>
              </w:rPr>
            </w:pPr>
          </w:p>
        </w:tc>
        <w:tc>
          <w:tcPr>
            <w:tcW w:w="320" w:type="dxa"/>
            <w:vAlign w:val="bottom"/>
            <w:tcBorders>
              <w:top w:val="single" w:sz="8" w:color="2C6937"/>
              <w:bottom w:val="single" w:sz="8" w:color="2C6937"/>
            </w:tcBorders>
          </w:tcPr>
          <w:p>
            <w:pPr>
              <w:jc w:val="right"/>
              <w:ind w:right="171"/>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66,479</w:t>
            </w:r>
          </w:p>
        </w:tc>
        <w:tc>
          <w:tcPr>
            <w:tcW w:w="120" w:type="dxa"/>
            <w:vAlign w:val="bottom"/>
          </w:tcPr>
          <w:p>
            <w:pPr>
              <w:spacing w:after="0"/>
              <w:rPr>
                <w:sz w:val="24"/>
                <w:szCs w:val="24"/>
                <w:color w:val="auto"/>
              </w:rPr>
            </w:pPr>
          </w:p>
        </w:tc>
        <w:tc>
          <w:tcPr>
            <w:tcW w:w="260" w:type="dxa"/>
            <w:vAlign w:val="bottom"/>
            <w:tcBorders>
              <w:top w:val="single" w:sz="8" w:color="2C6937"/>
              <w:bottom w:val="single" w:sz="8" w:color="2C6937"/>
            </w:tcBorders>
          </w:tcPr>
          <w:p>
            <w:pPr>
              <w:jc w:val="right"/>
              <w:ind w:right="111"/>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4,082,779</w:t>
            </w:r>
          </w:p>
        </w:tc>
        <w:tc>
          <w:tcPr>
            <w:tcW w:w="100" w:type="dxa"/>
            <w:vAlign w:val="bottom"/>
          </w:tcPr>
          <w:p>
            <w:pPr>
              <w:spacing w:after="0"/>
              <w:rPr>
                <w:sz w:val="24"/>
                <w:szCs w:val="24"/>
                <w:color w:val="auto"/>
              </w:rPr>
            </w:pPr>
          </w:p>
        </w:tc>
        <w:tc>
          <w:tcPr>
            <w:tcW w:w="260" w:type="dxa"/>
            <w:vAlign w:val="bottom"/>
            <w:tcBorders>
              <w:top w:val="single" w:sz="8" w:color="2C6937"/>
              <w:bottom w:val="single" w:sz="8" w:color="2C6937"/>
            </w:tcBorders>
          </w:tcPr>
          <w:p>
            <w:pPr>
              <w:jc w:val="right"/>
              <w:ind w:right="91"/>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2C6937"/>
              <w:bottom w:val="single" w:sz="8" w:color="2C6937"/>
            </w:tcBorders>
          </w:tcPr>
          <w:p>
            <w:pPr>
              <w:jc w:val="right"/>
              <w:ind w:right="11"/>
              <w:spacing w:after="0"/>
              <w:rPr>
                <w:sz w:val="20"/>
                <w:szCs w:val="20"/>
                <w:color w:val="auto"/>
              </w:rPr>
            </w:pPr>
            <w:r>
              <w:rPr>
                <w:rFonts w:ascii="Arial" w:cs="Arial" w:eastAsia="Arial" w:hAnsi="Arial"/>
                <w:sz w:val="14"/>
                <w:szCs w:val="14"/>
                <w:color w:val="auto"/>
              </w:rPr>
              <w:t>4,149,258</w:t>
            </w:r>
          </w:p>
        </w:tc>
        <w:tc>
          <w:tcPr>
            <w:tcW w:w="100" w:type="dxa"/>
            <w:vAlign w:val="bottom"/>
          </w:tcPr>
          <w:p>
            <w:pPr>
              <w:spacing w:after="0"/>
              <w:rPr>
                <w:sz w:val="24"/>
                <w:szCs w:val="24"/>
                <w:color w:val="auto"/>
              </w:rPr>
            </w:pPr>
          </w:p>
        </w:tc>
        <w:tc>
          <w:tcPr>
            <w:tcW w:w="360" w:type="dxa"/>
            <w:vAlign w:val="bottom"/>
            <w:tcBorders>
              <w:top w:val="single" w:sz="8" w:color="2C6937"/>
              <w:bottom w:val="single" w:sz="8" w:color="2C6937"/>
            </w:tcBorders>
          </w:tcPr>
          <w:p>
            <w:pPr>
              <w:jc w:val="right"/>
              <w:ind w:right="21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2C6937"/>
              <w:bottom w:val="single" w:sz="8" w:color="2C6937"/>
            </w:tcBorders>
          </w:tcPr>
          <w:p>
            <w:pPr>
              <w:jc w:val="right"/>
              <w:ind w:right="11"/>
              <w:spacing w:after="0"/>
              <w:rPr>
                <w:sz w:val="20"/>
                <w:szCs w:val="20"/>
                <w:color w:val="auto"/>
              </w:rPr>
            </w:pPr>
            <w:r>
              <w:rPr>
                <w:rFonts w:ascii="Arial" w:cs="Arial" w:eastAsia="Arial" w:hAnsi="Arial"/>
                <w:sz w:val="14"/>
                <w:szCs w:val="14"/>
                <w:color w:val="auto"/>
              </w:rPr>
              <w:t>1,775</w:t>
            </w:r>
          </w:p>
        </w:tc>
        <w:tc>
          <w:tcPr>
            <w:tcW w:w="100" w:type="dxa"/>
            <w:vAlign w:val="bottom"/>
          </w:tcPr>
          <w:p>
            <w:pPr>
              <w:spacing w:after="0"/>
              <w:rPr>
                <w:sz w:val="24"/>
                <w:szCs w:val="24"/>
                <w:color w:val="auto"/>
              </w:rPr>
            </w:pPr>
          </w:p>
        </w:tc>
        <w:tc>
          <w:tcPr>
            <w:tcW w:w="400" w:type="dxa"/>
            <w:vAlign w:val="bottom"/>
            <w:tcBorders>
              <w:top w:val="single" w:sz="8" w:color="2C6937"/>
              <w:bottom w:val="single" w:sz="8" w:color="2C6937"/>
            </w:tcBorders>
          </w:tcPr>
          <w:p>
            <w:pPr>
              <w:jc w:val="right"/>
              <w:ind w:right="2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4,476</w:t>
            </w:r>
          </w:p>
        </w:tc>
      </w:tr>
      <w:tr>
        <w:trPr>
          <w:trHeight w:val="22"/>
        </w:trPr>
        <w:tc>
          <w:tcPr>
            <w:tcW w:w="34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2C6937"/>
            </w:tcBorders>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2C6937"/>
            </w:tcBorders>
          </w:tcPr>
          <w:p>
            <w:pPr>
              <w:spacing w:after="0" w:line="20" w:lineRule="exact"/>
              <w:rPr>
                <w:sz w:val="1"/>
                <w:szCs w:val="1"/>
                <w:color w:val="auto"/>
              </w:rPr>
            </w:pPr>
          </w:p>
        </w:tc>
        <w:tc>
          <w:tcPr>
            <w:tcW w:w="7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2C6937"/>
            </w:tcBorders>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2C6937"/>
            </w:tcBorders>
          </w:tcPr>
          <w:p>
            <w:pPr>
              <w:spacing w:after="0" w:line="20" w:lineRule="exact"/>
              <w:rPr>
                <w:sz w:val="1"/>
                <w:szCs w:val="1"/>
                <w:color w:val="auto"/>
              </w:rPr>
            </w:pPr>
          </w:p>
        </w:tc>
        <w:tc>
          <w:tcPr>
            <w:tcW w:w="8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2C6937"/>
            </w:tcBorders>
          </w:tcPr>
          <w:p>
            <w:pPr>
              <w:spacing w:after="0" w:line="20" w:lineRule="exact"/>
              <w:rPr>
                <w:sz w:val="1"/>
                <w:szCs w:val="1"/>
                <w:color w:val="auto"/>
              </w:rPr>
            </w:pPr>
          </w:p>
        </w:tc>
        <w:tc>
          <w:tcPr>
            <w:tcW w:w="7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2C6937"/>
            </w:tcBorders>
          </w:tcPr>
          <w:p>
            <w:pPr>
              <w:spacing w:after="0" w:line="20" w:lineRule="exact"/>
              <w:rPr>
                <w:sz w:val="1"/>
                <w:szCs w:val="1"/>
                <w:color w:val="auto"/>
              </w:rPr>
            </w:pPr>
          </w:p>
        </w:tc>
        <w:tc>
          <w:tcPr>
            <w:tcW w:w="700" w:type="dxa"/>
            <w:vAlign w:val="bottom"/>
            <w:tcBorders>
              <w:bottom w:val="single" w:sz="8" w:color="2C6937"/>
            </w:tcBorders>
          </w:tcPr>
          <w:p>
            <w:pPr>
              <w:spacing w:after="0" w:line="20" w:lineRule="exact"/>
              <w:rPr>
                <w:sz w:val="1"/>
                <w:szCs w:val="1"/>
                <w:color w:val="auto"/>
              </w:rPr>
            </w:pPr>
          </w:p>
        </w:tc>
      </w:tr>
    </w:tbl>
    <w:p>
      <w:pPr>
        <w:spacing w:after="0" w:line="121" w:lineRule="exact"/>
        <w:rPr>
          <w:sz w:val="20"/>
          <w:szCs w:val="20"/>
          <w:color w:val="auto"/>
        </w:rPr>
      </w:pPr>
    </w:p>
    <w:p>
      <w:pPr>
        <w:sectPr>
          <w:pgSz w:w="11900" w:h="16838" w:orient="portrait"/>
          <w:cols w:equalWidth="0" w:num="2">
            <w:col w:w="1580" w:space="180"/>
            <w:col w:w="9480"/>
          </w:cols>
          <w:pgMar w:left="320" w:top="248" w:right="339" w:bottom="1440" w:gutter="0" w:footer="0" w:header="0"/>
          <w:type w:val="continuous"/>
        </w:sectPr>
      </w:pPr>
    </w:p>
    <w:p>
      <w:pPr>
        <w:ind w:left="240" w:right="160" w:hanging="237"/>
        <w:spacing w:after="0" w:line="226" w:lineRule="auto"/>
        <w:tabs>
          <w:tab w:leader="none" w:pos="233" w:val="left"/>
        </w:tabs>
        <w:numPr>
          <w:ilvl w:val="0"/>
          <w:numId w:val="71"/>
        </w:numPr>
        <w:rPr>
          <w:rFonts w:ascii="Arial" w:cs="Arial" w:eastAsia="Arial" w:hAnsi="Arial"/>
          <w:sz w:val="18"/>
          <w:szCs w:val="18"/>
          <w:color w:val="auto"/>
          <w:vertAlign w:val="superscript"/>
        </w:rPr>
      </w:pPr>
      <w:r>
        <w:rPr>
          <w:rFonts w:ascii="Arial" w:cs="Arial" w:eastAsia="Arial" w:hAnsi="Arial"/>
          <w:sz w:val="14"/>
          <w:szCs w:val="14"/>
          <w:color w:val="auto"/>
        </w:rPr>
        <w:t>Single-family seriously delinquent loans are loans that are 90 days or more past due or in the foreclosure process. Multifamily seriously delinquent loans are loans that are 60 days or more past due.</w:t>
      </w:r>
    </w:p>
    <w:p>
      <w:pPr>
        <w:spacing w:after="0" w:line="1"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71"/>
        </w:numPr>
        <w:rPr>
          <w:rFonts w:ascii="Arial" w:cs="Arial" w:eastAsia="Arial" w:hAnsi="Arial"/>
          <w:sz w:val="18"/>
          <w:szCs w:val="18"/>
          <w:color w:val="auto"/>
          <w:vertAlign w:val="superscript"/>
        </w:rPr>
      </w:pPr>
      <w:r>
        <w:rPr>
          <w:rFonts w:ascii="Arial" w:cs="Arial" w:eastAsia="Arial" w:hAnsi="Arial"/>
          <w:sz w:val="14"/>
          <w:szCs w:val="14"/>
          <w:color w:val="auto"/>
        </w:rPr>
        <w:t>Reverse mortgage loans included in “Other” are not aged due to their nature and are included in the current column.</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71"/>
        </w:numPr>
        <w:rPr>
          <w:rFonts w:ascii="Arial" w:cs="Arial" w:eastAsia="Arial" w:hAnsi="Arial"/>
          <w:sz w:val="18"/>
          <w:szCs w:val="18"/>
          <w:color w:val="auto"/>
          <w:vertAlign w:val="superscript"/>
        </w:rPr>
      </w:pPr>
      <w:r>
        <w:rPr>
          <w:rFonts w:ascii="Arial" w:cs="Arial" w:eastAsia="Arial" w:hAnsi="Arial"/>
          <w:sz w:val="14"/>
          <w:szCs w:val="14"/>
          <w:color w:val="auto"/>
        </w:rPr>
        <w:t>Multifamily loans 60-89 days delinquent are included in the seriously delinquent column.</w:t>
      </w:r>
    </w:p>
    <w:p>
      <w:pPr>
        <w:spacing w:after="0" w:line="53"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The amortized cost of single-family mortgage loans for which formal foreclosure proceedings were in process was $4.6 billion as of September 30, 2024 and December 31, 2023. As a result of our various loss mitigation and foreclosure prevention efforts, we expect that a portion of the loans in the process of formal foreclosure proceedings will not ultimately foreclose.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354330</wp:posOffset>
            </wp:positionV>
            <wp:extent cx="680593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p>
      <w:pPr>
        <w:spacing w:after="0" w:line="200" w:lineRule="exact"/>
        <w:rPr>
          <w:sz w:val="20"/>
          <w:szCs w:val="20"/>
          <w:color w:val="auto"/>
        </w:rPr>
      </w:pPr>
    </w:p>
    <w:p>
      <w:pPr>
        <w:spacing w:after="0" w:line="376" w:lineRule="exact"/>
        <w:rPr>
          <w:sz w:val="20"/>
          <w:szCs w:val="20"/>
          <w:color w:val="auto"/>
        </w:rPr>
      </w:pPr>
    </w:p>
    <w:p>
      <w:pPr>
        <w:ind w:left="640"/>
        <w:spacing w:after="0"/>
        <w:rPr>
          <w:sz w:val="20"/>
          <w:szCs w:val="20"/>
          <w:color w:val="auto"/>
        </w:rPr>
      </w:pPr>
      <w:r>
        <w:rPr>
          <w:rFonts w:ascii="Arial" w:cs="Arial" w:eastAsia="Arial" w:hAnsi="Arial"/>
          <w:sz w:val="13"/>
          <w:szCs w:val="13"/>
          <w:color w:val="05314D"/>
        </w:rPr>
        <w:t>Fannie Mae (In conservatorship)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167005</wp:posOffset>
            </wp:positionV>
            <wp:extent cx="7164070" cy="4191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78" w:name="page79"/>
    <w:bookmarkEnd w:id="78"/>
    <w:p>
      <w:pPr>
        <w:ind w:left="6620"/>
        <w:spacing w:after="0"/>
        <w:rPr>
          <w:sz w:val="20"/>
          <w:szCs w:val="20"/>
          <w:color w:val="auto"/>
        </w:rPr>
      </w:pPr>
      <w:r>
        <w:rPr>
          <w:rFonts w:ascii="Arial" w:cs="Arial" w:eastAsia="Arial" w:hAnsi="Arial"/>
          <w:sz w:val="13"/>
          <w:szCs w:val="13"/>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Credit Quality Indicators and Write-offs by Year of Origination</w:t>
      </w:r>
    </w:p>
    <w:p>
      <w:pPr>
        <w:spacing w:after="0" w:line="68" w:lineRule="exact"/>
        <w:rPr>
          <w:sz w:val="20"/>
          <w:szCs w:val="20"/>
          <w:color w:val="auto"/>
        </w:rPr>
      </w:pPr>
    </w:p>
    <w:p>
      <w:pPr>
        <w:jc w:val="both"/>
        <w:ind w:right="240"/>
        <w:spacing w:after="0" w:line="281" w:lineRule="auto"/>
        <w:rPr>
          <w:sz w:val="20"/>
          <w:szCs w:val="20"/>
          <w:color w:val="auto"/>
        </w:rPr>
      </w:pPr>
      <w:r>
        <w:rPr>
          <w:rFonts w:ascii="Arial" w:cs="Arial" w:eastAsia="Arial" w:hAnsi="Arial"/>
          <w:sz w:val="16"/>
          <w:szCs w:val="16"/>
          <w:color w:val="auto"/>
        </w:rPr>
        <w:t>The estimated mark-to-market loan-to-value (“LTV”) ratio is a primary factor we consider when estimating our allowance for loan losses for single-family loans. As LTV ratios increase, the borrower’s equity in the home decreases, which may negatively affect the borrower’s ability to refinance or to sell the property for an amount at or above the outstanding balance of the loan.</w:t>
      </w:r>
    </w:p>
    <w:p>
      <w:pPr>
        <w:spacing w:after="0" w:line="24"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The following tables display information about the credit quality of our single-family HFI loans, based on total amortized cost. The tables below also include current year write-offs of our single-family HFI mortgage loans by class of financing receivable and year of origination, excluding loans for which we have elected the fair value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361950</wp:posOffset>
            </wp:positionV>
            <wp:extent cx="680593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248" w:right="439" w:bottom="1440" w:gutter="0" w:footer="0" w:header="0"/>
        </w:sectPr>
      </w:pPr>
    </w:p>
    <w:bookmarkStart w:id="79" w:name="page80"/>
    <w:bookmarkEnd w:id="79"/>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3960"/>
        <w:spacing w:after="0"/>
        <w:rPr>
          <w:sz w:val="20"/>
          <w:szCs w:val="20"/>
          <w:color w:val="auto"/>
        </w:rPr>
      </w:pPr>
      <w:r>
        <w:rPr>
          <w:rFonts w:ascii="Arial" w:cs="Arial" w:eastAsia="Arial" w:hAnsi="Arial"/>
          <w:sz w:val="14"/>
          <w:szCs w:val="14"/>
          <w:b w:val="1"/>
          <w:bCs w:val="1"/>
          <w:color w:val="auto"/>
        </w:rPr>
        <w:t>Credit Quality Indicators as of September 30, 2024 and Write-offs for the Nine Months Ended September 30,</w:t>
      </w:r>
    </w:p>
    <w:p>
      <w:pPr>
        <w:spacing w:after="0" w:line="13" w:lineRule="exact"/>
        <w:rPr>
          <w:sz w:val="20"/>
          <w:szCs w:val="20"/>
          <w:color w:val="auto"/>
        </w:rPr>
      </w:pPr>
    </w:p>
    <w:p>
      <w:pPr>
        <w:jc w:val="center"/>
        <w:ind w:left="3960"/>
        <w:spacing w:after="0"/>
        <w:rPr>
          <w:sz w:val="20"/>
          <w:szCs w:val="20"/>
          <w:color w:val="auto"/>
        </w:rPr>
      </w:pPr>
      <w:r>
        <w:rPr>
          <w:rFonts w:ascii="Arial" w:cs="Arial" w:eastAsia="Arial" w:hAnsi="Arial"/>
          <w:sz w:val="14"/>
          <w:szCs w:val="14"/>
          <w:b w:val="1"/>
          <w:bCs w:val="1"/>
          <w:color w:val="auto"/>
        </w:rPr>
        <w:t>2024, by Year of Origination</w:t>
      </w:r>
      <w:r>
        <w:rPr>
          <w:rFonts w:ascii="Arial" w:cs="Arial" w:eastAsia="Arial" w:hAnsi="Arial"/>
          <w:sz w:val="17"/>
          <w:szCs w:val="17"/>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2523490</wp:posOffset>
            </wp:positionH>
            <wp:positionV relativeFrom="paragraph">
              <wp:posOffset>635</wp:posOffset>
            </wp:positionV>
            <wp:extent cx="461708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617085" cy="8255"/>
                    </a:xfrm>
                    <a:prstGeom prst="rect">
                      <a:avLst/>
                    </a:prstGeom>
                    <a:noFill/>
                  </pic:spPr>
                </pic:pic>
              </a:graphicData>
            </a:graphic>
          </wp:anchor>
        </w:drawing>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tcPr>
          <w:p>
            <w:pPr>
              <w:jc w:val="right"/>
              <w:ind w:right="260"/>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tcPr>
          <w:p>
            <w:pPr>
              <w:jc w:val="right"/>
              <w:ind w:right="26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700" w:type="dxa"/>
            <w:vAlign w:val="bottom"/>
            <w:tcBorders>
              <w:bottom w:val="single" w:sz="8" w:color="2C6937"/>
            </w:tcBorders>
          </w:tcPr>
          <w:p>
            <w:pPr>
              <w:jc w:val="right"/>
              <w:ind w:right="200"/>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760" w:type="dxa"/>
            <w:vAlign w:val="bottom"/>
            <w:tcBorders>
              <w:bottom w:val="single" w:sz="8" w:color="2C6937"/>
            </w:tcBorders>
          </w:tcPr>
          <w:p>
            <w:pPr>
              <w:jc w:val="right"/>
              <w:ind w:right="28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760" w:type="dxa"/>
            <w:vAlign w:val="bottom"/>
            <w:tcBorders>
              <w:bottom w:val="single" w:sz="8" w:color="2C6937"/>
            </w:tcBorders>
          </w:tcPr>
          <w:p>
            <w:pPr>
              <w:jc w:val="right"/>
              <w:ind w:right="2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860" w:type="dxa"/>
            <w:vAlign w:val="bottom"/>
            <w:tcBorders>
              <w:bottom w:val="single" w:sz="8" w:color="2C6937"/>
            </w:tcBorders>
            <w:gridSpan w:val="2"/>
          </w:tcPr>
          <w:p>
            <w:pPr>
              <w:ind w:left="120"/>
              <w:spacing w:after="0"/>
              <w:rPr>
                <w:sz w:val="20"/>
                <w:szCs w:val="20"/>
                <w:color w:val="auto"/>
              </w:rPr>
            </w:pPr>
            <w:r>
              <w:rPr>
                <w:rFonts w:ascii="Arial" w:cs="Arial" w:eastAsia="Arial" w:hAnsi="Arial"/>
                <w:sz w:val="14"/>
                <w:szCs w:val="14"/>
                <w:b w:val="1"/>
                <w:bCs w:val="1"/>
                <w:color w:val="auto"/>
              </w:rPr>
              <w:t>Prior</w:t>
            </w:r>
          </w:p>
        </w:tc>
        <w:tc>
          <w:tcPr>
            <w:tcW w:w="20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tcPr>
          <w:p>
            <w:pPr>
              <w:jc w:val="right"/>
              <w:ind w:right="260"/>
              <w:spacing w:after="0"/>
              <w:rPr>
                <w:sz w:val="20"/>
                <w:szCs w:val="20"/>
                <w:color w:val="auto"/>
              </w:rPr>
            </w:pPr>
            <w:r>
              <w:rPr>
                <w:rFonts w:ascii="Arial" w:cs="Arial" w:eastAsia="Arial" w:hAnsi="Arial"/>
                <w:sz w:val="14"/>
                <w:szCs w:val="14"/>
                <w:b w:val="1"/>
                <w:bCs w:val="1"/>
                <w:color w:val="auto"/>
              </w:rPr>
              <w:t>Total</w:t>
            </w:r>
          </w:p>
        </w:tc>
      </w:tr>
      <w:tr>
        <w:trPr>
          <w:trHeight w:val="276"/>
        </w:trPr>
        <w:tc>
          <w:tcPr>
            <w:tcW w:w="3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2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w w:val="96"/>
              </w:rPr>
              <w:t>(Dollars in millions)</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312"/>
        </w:trPr>
        <w:tc>
          <w:tcPr>
            <w:tcW w:w="3980" w:type="dxa"/>
            <w:vAlign w:val="bottom"/>
            <w:gridSpan w:val="2"/>
          </w:tcPr>
          <w:p>
            <w:pPr>
              <w:ind w:left="20"/>
              <w:spacing w:after="0"/>
              <w:rPr>
                <w:sz w:val="20"/>
                <w:szCs w:val="20"/>
                <w:color w:val="auto"/>
              </w:rPr>
            </w:pPr>
            <w:r>
              <w:rPr>
                <w:rFonts w:ascii="Arial" w:cs="Arial" w:eastAsia="Arial" w:hAnsi="Arial"/>
                <w:sz w:val="12"/>
                <w:szCs w:val="12"/>
                <w:color w:val="auto"/>
              </w:rPr>
              <w:t>Estimated mark-to-market LTV ratio:</w:t>
            </w:r>
            <w:r>
              <w:rPr>
                <w:rFonts w:ascii="Arial" w:cs="Arial" w:eastAsia="Arial" w:hAnsi="Arial"/>
                <w:sz w:val="15"/>
                <w:szCs w:val="15"/>
                <w:color w:val="auto"/>
                <w:vertAlign w:val="superscript"/>
              </w:rPr>
              <w:t>(2)</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7"/>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20- and 30-year or more, amortizing fixed-rate:</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120,077</w:t>
            </w:r>
          </w:p>
        </w:tc>
        <w:tc>
          <w:tcPr>
            <w:tcW w:w="10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170,564</w:t>
            </w:r>
          </w:p>
        </w:tc>
        <w:tc>
          <w:tcPr>
            <w:tcW w:w="10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332,411</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866,580</w:t>
            </w:r>
          </w:p>
        </w:tc>
        <w:tc>
          <w:tcPr>
            <w:tcW w:w="10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728,375</w:t>
            </w:r>
          </w:p>
        </w:tc>
        <w:tc>
          <w:tcPr>
            <w:tcW w:w="10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728,941</w:t>
            </w:r>
          </w:p>
        </w:tc>
        <w:tc>
          <w:tcPr>
            <w:tcW w:w="12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2,946,948</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36,801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71,312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74,354</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17,637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2,121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1,394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203,619</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49,061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27,096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14,991</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1,575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188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196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93,107</w:t>
            </w:r>
          </w:p>
        </w:tc>
      </w:tr>
      <w:tr>
        <w:trPr>
          <w:trHeight w:val="278"/>
        </w:trPr>
        <w:tc>
          <w:tcPr>
            <w:tcW w:w="388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345</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1,124</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137</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40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141</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1,807</w:t>
            </w:r>
          </w:p>
        </w:tc>
      </w:tr>
      <w:tr>
        <w:trPr>
          <w:trHeight w:val="264"/>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Total 20- and 30-year or more, amortizing fixed-rate</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205,959</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269,317</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422,880</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885,929</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730,724</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730,672</w:t>
            </w:r>
          </w:p>
        </w:tc>
        <w:tc>
          <w:tcPr>
            <w:tcW w:w="12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3,245,481</w:t>
            </w:r>
          </w:p>
        </w:tc>
      </w:tr>
      <w:tr>
        <w:trPr>
          <w:trHeight w:val="150"/>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Current-year 20- and 30-year or more,</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72"/>
        </w:trPr>
        <w:tc>
          <w:tcPr>
            <w:tcW w:w="3980" w:type="dxa"/>
            <w:vAlign w:val="bottom"/>
            <w:gridSpan w:val="2"/>
          </w:tcPr>
          <w:p>
            <w:pPr>
              <w:ind w:left="500"/>
              <w:spacing w:after="0"/>
              <w:rPr>
                <w:sz w:val="20"/>
                <w:szCs w:val="20"/>
                <w:color w:val="auto"/>
              </w:rPr>
            </w:pPr>
            <w:r>
              <w:rPr>
                <w:rFonts w:ascii="Arial" w:cs="Arial" w:eastAsia="Arial" w:hAnsi="Arial"/>
                <w:sz w:val="12"/>
                <w:szCs w:val="12"/>
                <w:color w:val="auto"/>
              </w:rPr>
              <w:t>amortizing fixed-rate write-offs</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29</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94</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83</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45</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169</w:t>
            </w:r>
          </w:p>
        </w:tc>
        <w:tc>
          <w:tcPr>
            <w:tcW w:w="12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420</w:t>
            </w:r>
          </w:p>
        </w:tc>
      </w:tr>
      <w:tr>
        <w:trPr>
          <w:trHeight w:val="258"/>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15-year or less, amortizing fixed-rate:</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4,872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6,874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32,279</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150,217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105,901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81,919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382,062</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320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369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186</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887</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222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19</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272</w:t>
            </w:r>
          </w:p>
        </w:tc>
      </w:tr>
      <w:tr>
        <w:trPr>
          <w:trHeight w:val="278"/>
        </w:trPr>
        <w:tc>
          <w:tcPr>
            <w:tcW w:w="388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w:t>
            </w:r>
          </w:p>
        </w:tc>
      </w:tr>
      <w:tr>
        <w:trPr>
          <w:trHeight w:val="264"/>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Total 15-year or less, amortizing fixed-rate</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5,414</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7,274</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32,484</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150,228</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105,901</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81,921</w:t>
            </w:r>
          </w:p>
        </w:tc>
        <w:tc>
          <w:tcPr>
            <w:tcW w:w="12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383,222</w:t>
            </w:r>
          </w:p>
        </w:tc>
      </w:tr>
      <w:tr>
        <w:trPr>
          <w:trHeight w:val="150"/>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Current-year 15-year or less, amortizing</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72"/>
        </w:trPr>
        <w:tc>
          <w:tcPr>
            <w:tcW w:w="3980" w:type="dxa"/>
            <w:vAlign w:val="bottom"/>
            <w:gridSpan w:val="2"/>
          </w:tcPr>
          <w:p>
            <w:pPr>
              <w:ind w:left="500"/>
              <w:spacing w:after="0"/>
              <w:rPr>
                <w:sz w:val="20"/>
                <w:szCs w:val="20"/>
                <w:color w:val="auto"/>
              </w:rPr>
            </w:pPr>
            <w:r>
              <w:rPr>
                <w:rFonts w:ascii="Arial" w:cs="Arial" w:eastAsia="Arial" w:hAnsi="Arial"/>
                <w:sz w:val="12"/>
                <w:szCs w:val="12"/>
                <w:color w:val="auto"/>
              </w:rPr>
              <w:t>fixed-rate write-offs</w:t>
            </w:r>
          </w:p>
        </w:tc>
        <w:tc>
          <w:tcPr>
            <w:tcW w:w="2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w:t>
            </w:r>
          </w:p>
        </w:tc>
      </w:tr>
      <w:tr>
        <w:trPr>
          <w:trHeight w:val="258"/>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Adjustable-rate:</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1,392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1,884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4,521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5,544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1,520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8,693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23,554</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355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520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753</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1,672</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189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145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144</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483</w:t>
            </w:r>
          </w:p>
        </w:tc>
      </w:tr>
      <w:tr>
        <w:trPr>
          <w:trHeight w:val="278"/>
        </w:trPr>
        <w:tc>
          <w:tcPr>
            <w:tcW w:w="388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20</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23</w:t>
            </w:r>
          </w:p>
        </w:tc>
      </w:tr>
      <w:tr>
        <w:trPr>
          <w:trHeight w:val="264"/>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Total adjustable-rate</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1,936</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2,552</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5,438</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5,585</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1,525</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8,696</w:t>
            </w:r>
          </w:p>
        </w:tc>
        <w:tc>
          <w:tcPr>
            <w:tcW w:w="12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25,732</w:t>
            </w:r>
          </w:p>
        </w:tc>
      </w:tr>
      <w:tr>
        <w:trPr>
          <w:trHeight w:val="179"/>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Current-year adjustable-rate write-offs</w:t>
            </w:r>
          </w:p>
        </w:tc>
        <w:tc>
          <w:tcPr>
            <w:tcW w:w="2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w:t>
            </w:r>
          </w:p>
        </w:tc>
      </w:tr>
      <w:tr>
        <w:trPr>
          <w:trHeight w:val="258"/>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Other:</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17,669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17,669</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61</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32</w:t>
            </w:r>
          </w:p>
        </w:tc>
      </w:tr>
      <w:tr>
        <w:trPr>
          <w:trHeight w:val="278"/>
        </w:trPr>
        <w:tc>
          <w:tcPr>
            <w:tcW w:w="388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26</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26</w:t>
            </w:r>
          </w:p>
        </w:tc>
      </w:tr>
      <w:tr>
        <w:trPr>
          <w:trHeight w:val="264"/>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Total other</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17,788</w:t>
            </w:r>
          </w:p>
        </w:tc>
        <w:tc>
          <w:tcPr>
            <w:tcW w:w="12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17,788</w:t>
            </w:r>
          </w:p>
        </w:tc>
      </w:tr>
      <w:tr>
        <w:trPr>
          <w:trHeight w:val="179"/>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Current-year other write-offs</w:t>
            </w:r>
          </w:p>
        </w:tc>
        <w:tc>
          <w:tcPr>
            <w:tcW w:w="2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15</w:t>
            </w:r>
          </w:p>
        </w:tc>
      </w:tr>
      <w:tr>
        <w:trPr>
          <w:trHeight w:val="414"/>
        </w:trPr>
        <w:tc>
          <w:tcPr>
            <w:tcW w:w="3980" w:type="dxa"/>
            <w:vAlign w:val="bottom"/>
            <w:gridSpan w:val="2"/>
          </w:tcPr>
          <w:p>
            <w:pPr>
              <w:ind w:left="20"/>
              <w:spacing w:after="0"/>
              <w:rPr>
                <w:sz w:val="20"/>
                <w:szCs w:val="20"/>
                <w:color w:val="auto"/>
              </w:rPr>
            </w:pPr>
            <w:r>
              <w:rPr>
                <w:rFonts w:ascii="Arial" w:cs="Arial" w:eastAsia="Arial" w:hAnsi="Arial"/>
                <w:sz w:val="12"/>
                <w:szCs w:val="12"/>
                <w:color w:val="auto"/>
              </w:rPr>
              <w:t>Total for all classes by LTV ratio:</w:t>
            </w:r>
            <w:r>
              <w:rPr>
                <w:rFonts w:ascii="Arial" w:cs="Arial" w:eastAsia="Arial" w:hAnsi="Arial"/>
                <w:sz w:val="15"/>
                <w:szCs w:val="15"/>
                <w:color w:val="auto"/>
                <w:vertAlign w:val="superscript"/>
              </w:rPr>
              <w:t>(2)</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0"/>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126,341</w:t>
            </w:r>
          </w:p>
        </w:tc>
        <w:tc>
          <w:tcPr>
            <w:tcW w:w="10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179,322</w:t>
            </w:r>
          </w:p>
        </w:tc>
        <w:tc>
          <w:tcPr>
            <w:tcW w:w="10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369,211</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1,022,341</w:t>
            </w:r>
          </w:p>
        </w:tc>
        <w:tc>
          <w:tcPr>
            <w:tcW w:w="10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835,796</w:t>
            </w:r>
          </w:p>
        </w:tc>
        <w:tc>
          <w:tcPr>
            <w:tcW w:w="10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837,222</w:t>
            </w:r>
          </w:p>
        </w:tc>
        <w:tc>
          <w:tcPr>
            <w:tcW w:w="12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3,370,233</w:t>
            </w:r>
          </w:p>
        </w:tc>
      </w:tr>
      <w:tr>
        <w:trPr>
          <w:trHeight w:val="271"/>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37,476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72,201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75,293</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17,685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2,126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1,458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206,239</w:t>
            </w:r>
          </w:p>
        </w:tc>
      </w:tr>
      <w:tr>
        <w:trPr>
          <w:trHeight w:val="271"/>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49,472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27,272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15,154</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1,579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188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229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93,894</w:t>
            </w:r>
          </w:p>
        </w:tc>
      </w:tr>
      <w:tr>
        <w:trPr>
          <w:trHeight w:val="278"/>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348</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1,144</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137</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40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168</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1,857</w:t>
            </w:r>
          </w:p>
        </w:tc>
      </w:tr>
      <w:tr>
        <w:trPr>
          <w:trHeight w:val="24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Total</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213,309</w:t>
            </w:r>
          </w:p>
        </w:tc>
        <w:tc>
          <w:tcPr>
            <w:tcW w:w="100" w:type="dxa"/>
            <w:vAlign w:val="bottom"/>
          </w:tcPr>
          <w:p>
            <w:pPr>
              <w:spacing w:after="0"/>
              <w:rPr>
                <w:sz w:val="21"/>
                <w:szCs w:val="21"/>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279,143</w:t>
            </w:r>
          </w:p>
        </w:tc>
        <w:tc>
          <w:tcPr>
            <w:tcW w:w="100" w:type="dxa"/>
            <w:vAlign w:val="bottom"/>
          </w:tcPr>
          <w:p>
            <w:pPr>
              <w:spacing w:after="0"/>
              <w:rPr>
                <w:sz w:val="21"/>
                <w:szCs w:val="21"/>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460,802</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1,041,742</w:t>
            </w:r>
          </w:p>
        </w:tc>
        <w:tc>
          <w:tcPr>
            <w:tcW w:w="100" w:type="dxa"/>
            <w:vAlign w:val="bottom"/>
          </w:tcPr>
          <w:p>
            <w:pPr>
              <w:spacing w:after="0"/>
              <w:rPr>
                <w:sz w:val="21"/>
                <w:szCs w:val="21"/>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838,150</w:t>
            </w:r>
          </w:p>
        </w:tc>
        <w:tc>
          <w:tcPr>
            <w:tcW w:w="100" w:type="dxa"/>
            <w:vAlign w:val="bottom"/>
          </w:tcPr>
          <w:p>
            <w:pPr>
              <w:spacing w:after="0"/>
              <w:rPr>
                <w:sz w:val="21"/>
                <w:szCs w:val="21"/>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839,077</w:t>
            </w:r>
          </w:p>
        </w:tc>
        <w:tc>
          <w:tcPr>
            <w:tcW w:w="120" w:type="dxa"/>
            <w:vAlign w:val="bottom"/>
          </w:tcPr>
          <w:p>
            <w:pPr>
              <w:spacing w:after="0"/>
              <w:rPr>
                <w:sz w:val="21"/>
                <w:szCs w:val="21"/>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3,672,223</w:t>
            </w:r>
          </w:p>
        </w:tc>
      </w:tr>
      <w:tr>
        <w:trPr>
          <w:trHeight w:val="26"/>
        </w:trPr>
        <w:tc>
          <w:tcPr>
            <w:tcW w:w="38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00" w:type="dxa"/>
            <w:vAlign w:val="bottom"/>
            <w:tcBorders>
              <w:bottom w:val="single" w:sz="8" w:color="2C6937"/>
            </w:tcBorders>
          </w:tcPr>
          <w:p>
            <w:pPr>
              <w:spacing w:after="0"/>
              <w:rPr>
                <w:sz w:val="2"/>
                <w:szCs w:val="2"/>
                <w:color w:val="auto"/>
              </w:rPr>
            </w:pPr>
          </w:p>
        </w:tc>
        <w:tc>
          <w:tcPr>
            <w:tcW w:w="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r>
      <w:tr>
        <w:trPr>
          <w:trHeight w:val="20"/>
        </w:trPr>
        <w:tc>
          <w:tcPr>
            <w:tcW w:w="38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00" w:type="dxa"/>
            <w:vAlign w:val="bottom"/>
            <w:tcBorders>
              <w:bottom w:val="single" w:sz="8" w:color="2C6937"/>
            </w:tcBorders>
          </w:tcPr>
          <w:p>
            <w:pPr>
              <w:spacing w:after="0" w:line="20" w:lineRule="exact"/>
              <w:rPr>
                <w:sz w:val="1"/>
                <w:szCs w:val="1"/>
                <w:color w:val="auto"/>
              </w:rPr>
            </w:pPr>
          </w:p>
        </w:tc>
        <w:tc>
          <w:tcPr>
            <w:tcW w:w="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r>
      <w:tr>
        <w:trPr>
          <w:trHeight w:val="171"/>
        </w:trPr>
        <w:tc>
          <w:tcPr>
            <w:tcW w:w="3980" w:type="dxa"/>
            <w:vAlign w:val="bottom"/>
            <w:gridSpan w:val="2"/>
          </w:tcPr>
          <w:p>
            <w:pPr>
              <w:ind w:left="440"/>
              <w:spacing w:after="0"/>
              <w:rPr>
                <w:sz w:val="20"/>
                <w:szCs w:val="20"/>
                <w:color w:val="auto"/>
              </w:rPr>
            </w:pPr>
            <w:r>
              <w:rPr>
                <w:rFonts w:ascii="Arial" w:cs="Arial" w:eastAsia="Arial" w:hAnsi="Arial"/>
                <w:sz w:val="12"/>
                <w:szCs w:val="12"/>
                <w:color w:val="auto"/>
              </w:rPr>
              <w:t>Total current-year write-offs</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30</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96</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85</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46</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187</w:t>
            </w:r>
          </w:p>
        </w:tc>
        <w:tc>
          <w:tcPr>
            <w:tcW w:w="12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444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434340</wp:posOffset>
            </wp:positionV>
            <wp:extent cx="680593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80" w:name="page81"/>
    <w:bookmarkEnd w:id="80"/>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3960"/>
        <w:spacing w:after="0"/>
        <w:rPr>
          <w:sz w:val="20"/>
          <w:szCs w:val="20"/>
          <w:color w:val="auto"/>
        </w:rPr>
      </w:pPr>
      <w:r>
        <w:rPr>
          <w:rFonts w:ascii="Arial" w:cs="Arial" w:eastAsia="Arial" w:hAnsi="Arial"/>
          <w:sz w:val="14"/>
          <w:szCs w:val="14"/>
          <w:b w:val="1"/>
          <w:bCs w:val="1"/>
          <w:color w:val="auto"/>
        </w:rPr>
        <w:t>Credit Quality Indicators as of December 31, 2023 and Write-offs for the Year Ended December 31, 2023, by</w:t>
      </w:r>
    </w:p>
    <w:p>
      <w:pPr>
        <w:spacing w:after="0" w:line="13" w:lineRule="exact"/>
        <w:rPr>
          <w:sz w:val="20"/>
          <w:szCs w:val="20"/>
          <w:color w:val="auto"/>
        </w:rPr>
      </w:pPr>
    </w:p>
    <w:p>
      <w:pPr>
        <w:jc w:val="center"/>
        <w:ind w:left="3960"/>
        <w:spacing w:after="0"/>
        <w:rPr>
          <w:sz w:val="20"/>
          <w:szCs w:val="20"/>
          <w:color w:val="auto"/>
        </w:rPr>
      </w:pPr>
      <w:r>
        <w:rPr>
          <w:rFonts w:ascii="Arial" w:cs="Arial" w:eastAsia="Arial" w:hAnsi="Arial"/>
          <w:sz w:val="14"/>
          <w:szCs w:val="14"/>
          <w:b w:val="1"/>
          <w:bCs w:val="1"/>
          <w:color w:val="auto"/>
        </w:rPr>
        <w:t>Year of Origination</w:t>
      </w:r>
      <w:r>
        <w:rPr>
          <w:rFonts w:ascii="Arial" w:cs="Arial" w:eastAsia="Arial" w:hAnsi="Arial"/>
          <w:sz w:val="17"/>
          <w:szCs w:val="17"/>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2523490</wp:posOffset>
            </wp:positionH>
            <wp:positionV relativeFrom="paragraph">
              <wp:posOffset>635</wp:posOffset>
            </wp:positionV>
            <wp:extent cx="461708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617085" cy="8255"/>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ind w:right="26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2C6937"/>
            </w:tcBorders>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ind w:right="26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2C6937"/>
            </w:tcBorders>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00" w:type="dxa"/>
            <w:vAlign w:val="bottom"/>
            <w:tcBorders>
              <w:bottom w:val="single" w:sz="8" w:color="2C6937"/>
            </w:tcBorders>
          </w:tcPr>
          <w:p>
            <w:pPr>
              <w:jc w:val="right"/>
              <w:ind w:right="200"/>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jc w:val="right"/>
              <w:ind w:right="2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2C6937"/>
            </w:tcBorders>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jc w:val="right"/>
              <w:ind w:right="28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2C6937"/>
            </w:tcBorders>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gridSpan w:val="2"/>
          </w:tcPr>
          <w:p>
            <w:pPr>
              <w:ind w:left="120"/>
              <w:spacing w:after="0"/>
              <w:rPr>
                <w:sz w:val="20"/>
                <w:szCs w:val="20"/>
                <w:color w:val="auto"/>
              </w:rPr>
            </w:pPr>
            <w:r>
              <w:rPr>
                <w:rFonts w:ascii="Arial" w:cs="Arial" w:eastAsia="Arial" w:hAnsi="Arial"/>
                <w:sz w:val="14"/>
                <w:szCs w:val="14"/>
                <w:b w:val="1"/>
                <w:bCs w:val="1"/>
                <w:color w:val="auto"/>
              </w:rPr>
              <w:t>Prior</w:t>
            </w:r>
          </w:p>
        </w:tc>
        <w:tc>
          <w:tcPr>
            <w:tcW w:w="20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ind w:right="260"/>
              <w:spacing w:after="0"/>
              <w:rPr>
                <w:sz w:val="20"/>
                <w:szCs w:val="20"/>
                <w:color w:val="auto"/>
              </w:rPr>
            </w:pPr>
            <w:r>
              <w:rPr>
                <w:rFonts w:ascii="Arial" w:cs="Arial" w:eastAsia="Arial" w:hAnsi="Arial"/>
                <w:sz w:val="14"/>
                <w:szCs w:val="14"/>
                <w:b w:val="1"/>
                <w:bCs w:val="1"/>
                <w:color w:val="auto"/>
              </w:rPr>
              <w:t>Total</w:t>
            </w:r>
          </w:p>
        </w:tc>
      </w:tr>
      <w:tr>
        <w:trPr>
          <w:trHeight w:val="276"/>
        </w:trPr>
        <w:tc>
          <w:tcPr>
            <w:tcW w:w="3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2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w w:val="96"/>
              </w:rPr>
              <w:t>(Dollars in millions)</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312"/>
        </w:trPr>
        <w:tc>
          <w:tcPr>
            <w:tcW w:w="3980" w:type="dxa"/>
            <w:vAlign w:val="bottom"/>
            <w:gridSpan w:val="2"/>
          </w:tcPr>
          <w:p>
            <w:pPr>
              <w:ind w:left="20"/>
              <w:spacing w:after="0"/>
              <w:rPr>
                <w:sz w:val="20"/>
                <w:szCs w:val="20"/>
                <w:color w:val="auto"/>
              </w:rPr>
            </w:pPr>
            <w:r>
              <w:rPr>
                <w:rFonts w:ascii="Arial" w:cs="Arial" w:eastAsia="Arial" w:hAnsi="Arial"/>
                <w:sz w:val="12"/>
                <w:szCs w:val="12"/>
                <w:color w:val="auto"/>
              </w:rPr>
              <w:t>Estimated mark-to-market LTV ratio:</w:t>
            </w:r>
            <w:r>
              <w:rPr>
                <w:rFonts w:ascii="Arial" w:cs="Arial" w:eastAsia="Arial" w:hAnsi="Arial"/>
                <w:sz w:val="15"/>
                <w:szCs w:val="15"/>
                <w:color w:val="auto"/>
                <w:vertAlign w:val="superscript"/>
              </w:rPr>
              <w:t>(2)</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7"/>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20- and 30-year or more, amortizing fixed-rate:</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148,641</w:t>
            </w:r>
          </w:p>
        </w:tc>
        <w:tc>
          <w:tcPr>
            <w:tcW w:w="10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314,384</w:t>
            </w:r>
          </w:p>
        </w:tc>
        <w:tc>
          <w:tcPr>
            <w:tcW w:w="10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889,434</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767,596</w:t>
            </w:r>
          </w:p>
        </w:tc>
        <w:tc>
          <w:tcPr>
            <w:tcW w:w="10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136,654</w:t>
            </w:r>
          </w:p>
        </w:tc>
        <w:tc>
          <w:tcPr>
            <w:tcW w:w="10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648,964</w:t>
            </w:r>
          </w:p>
        </w:tc>
        <w:tc>
          <w:tcPr>
            <w:tcW w:w="12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2,905,673</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57,686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95,509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38,790</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3,424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804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1,082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197,295</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61,658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35,602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4,002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363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189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101,885</w:t>
            </w:r>
          </w:p>
        </w:tc>
      </w:tr>
      <w:tr>
        <w:trPr>
          <w:trHeight w:val="278"/>
        </w:trPr>
        <w:tc>
          <w:tcPr>
            <w:tcW w:w="388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1,000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1,764</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189</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47</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17</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172</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3,189</w:t>
            </w:r>
          </w:p>
        </w:tc>
      </w:tr>
      <w:tr>
        <w:trPr>
          <w:trHeight w:val="264"/>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Total 20- and 30-year or more, amortizing fixed-rate</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268,985</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447,259</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932,415</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771,430</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137,546</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650,407</w:t>
            </w:r>
          </w:p>
        </w:tc>
        <w:tc>
          <w:tcPr>
            <w:tcW w:w="12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3,208,042</w:t>
            </w:r>
          </w:p>
        </w:tc>
      </w:tr>
      <w:tr>
        <w:trPr>
          <w:trHeight w:val="150"/>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Current-year 20- and 30-year or more,</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72"/>
        </w:trPr>
        <w:tc>
          <w:tcPr>
            <w:tcW w:w="3980" w:type="dxa"/>
            <w:vAlign w:val="bottom"/>
            <w:gridSpan w:val="2"/>
          </w:tcPr>
          <w:p>
            <w:pPr>
              <w:ind w:left="500"/>
              <w:spacing w:after="0"/>
              <w:rPr>
                <w:sz w:val="20"/>
                <w:szCs w:val="20"/>
                <w:color w:val="auto"/>
              </w:rPr>
            </w:pPr>
            <w:r>
              <w:rPr>
                <w:rFonts w:ascii="Arial" w:cs="Arial" w:eastAsia="Arial" w:hAnsi="Arial"/>
                <w:sz w:val="12"/>
                <w:szCs w:val="12"/>
                <w:color w:val="auto"/>
              </w:rPr>
              <w:t>amortizing fixed-rate write-offs</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35</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53</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45</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108</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560</w:t>
            </w:r>
          </w:p>
        </w:tc>
        <w:tc>
          <w:tcPr>
            <w:tcW w:w="12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803</w:t>
            </w:r>
          </w:p>
        </w:tc>
      </w:tr>
      <w:tr>
        <w:trPr>
          <w:trHeight w:val="258"/>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15-year or less, amortizing fixed-rate:</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7,110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35,224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165,294</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117,795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17,162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84,222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426,807</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581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647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1,283</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259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319</w:t>
            </w:r>
          </w:p>
        </w:tc>
      </w:tr>
      <w:tr>
        <w:trPr>
          <w:trHeight w:val="278"/>
        </w:trPr>
        <w:tc>
          <w:tcPr>
            <w:tcW w:w="388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4</w:t>
            </w:r>
          </w:p>
        </w:tc>
      </w:tr>
      <w:tr>
        <w:trPr>
          <w:trHeight w:val="264"/>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Total 15-year or less, amortizing fixed-rate</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7,951</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35,931</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165,347</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117,797</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17,162</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84,225</w:t>
            </w:r>
          </w:p>
        </w:tc>
        <w:tc>
          <w:tcPr>
            <w:tcW w:w="12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428,413</w:t>
            </w:r>
          </w:p>
        </w:tc>
      </w:tr>
      <w:tr>
        <w:trPr>
          <w:trHeight w:val="150"/>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Current-year 15-year or less, amortizing</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72"/>
        </w:trPr>
        <w:tc>
          <w:tcPr>
            <w:tcW w:w="3980" w:type="dxa"/>
            <w:vAlign w:val="bottom"/>
            <w:gridSpan w:val="2"/>
          </w:tcPr>
          <w:p>
            <w:pPr>
              <w:ind w:left="500"/>
              <w:spacing w:after="0"/>
              <w:rPr>
                <w:sz w:val="20"/>
                <w:szCs w:val="20"/>
                <w:color w:val="auto"/>
              </w:rPr>
            </w:pPr>
            <w:r>
              <w:rPr>
                <w:rFonts w:ascii="Arial" w:cs="Arial" w:eastAsia="Arial" w:hAnsi="Arial"/>
                <w:sz w:val="12"/>
                <w:szCs w:val="12"/>
                <w:color w:val="auto"/>
              </w:rPr>
              <w:t>fixed-rate write-offs</w:t>
            </w:r>
          </w:p>
        </w:tc>
        <w:tc>
          <w:tcPr>
            <w:tcW w:w="2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w:t>
            </w:r>
          </w:p>
        </w:tc>
      </w:tr>
      <w:tr>
        <w:trPr>
          <w:trHeight w:val="258"/>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Adjustable-rate:</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1,566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4,452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5,945</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1,654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710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9,716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24,043</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499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1,030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90</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1,630</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299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330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11</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641</w:t>
            </w:r>
          </w:p>
        </w:tc>
      </w:tr>
      <w:tr>
        <w:trPr>
          <w:trHeight w:val="278"/>
        </w:trPr>
        <w:tc>
          <w:tcPr>
            <w:tcW w:w="388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29</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44</w:t>
            </w:r>
          </w:p>
        </w:tc>
      </w:tr>
      <w:tr>
        <w:trPr>
          <w:trHeight w:val="264"/>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Total adjustable-rate</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2,378</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5,841</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6,047</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1,660</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712</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9,720</w:t>
            </w:r>
          </w:p>
        </w:tc>
        <w:tc>
          <w:tcPr>
            <w:tcW w:w="12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26,358</w:t>
            </w:r>
          </w:p>
        </w:tc>
      </w:tr>
      <w:tr>
        <w:trPr>
          <w:trHeight w:val="179"/>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Current-year adjustable-rate write-offs</w:t>
            </w:r>
          </w:p>
        </w:tc>
        <w:tc>
          <w:tcPr>
            <w:tcW w:w="2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w:t>
            </w:r>
          </w:p>
        </w:tc>
      </w:tr>
      <w:tr>
        <w:trPr>
          <w:trHeight w:val="258"/>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Other:</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19,418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19,445</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81</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39</w:t>
            </w:r>
          </w:p>
        </w:tc>
      </w:tr>
      <w:tr>
        <w:trPr>
          <w:trHeight w:val="278"/>
        </w:trPr>
        <w:tc>
          <w:tcPr>
            <w:tcW w:w="388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35</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35</w:t>
            </w:r>
          </w:p>
        </w:tc>
      </w:tr>
      <w:tr>
        <w:trPr>
          <w:trHeight w:val="264"/>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Total other</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27</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19,573</w:t>
            </w:r>
          </w:p>
        </w:tc>
        <w:tc>
          <w:tcPr>
            <w:tcW w:w="12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19,600</w:t>
            </w:r>
          </w:p>
        </w:tc>
      </w:tr>
      <w:tr>
        <w:trPr>
          <w:trHeight w:val="179"/>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Current-year other write-offs</w:t>
            </w:r>
          </w:p>
        </w:tc>
        <w:tc>
          <w:tcPr>
            <w:tcW w:w="2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52</w:t>
            </w:r>
          </w:p>
        </w:tc>
      </w:tr>
      <w:tr>
        <w:trPr>
          <w:trHeight w:val="311"/>
        </w:trPr>
        <w:tc>
          <w:tcPr>
            <w:tcW w:w="3980" w:type="dxa"/>
            <w:vAlign w:val="bottom"/>
            <w:gridSpan w:val="2"/>
          </w:tcPr>
          <w:p>
            <w:pPr>
              <w:ind w:left="20"/>
              <w:spacing w:after="0"/>
              <w:rPr>
                <w:sz w:val="20"/>
                <w:szCs w:val="20"/>
                <w:color w:val="auto"/>
              </w:rPr>
            </w:pPr>
            <w:r>
              <w:rPr>
                <w:rFonts w:ascii="Arial" w:cs="Arial" w:eastAsia="Arial" w:hAnsi="Arial"/>
                <w:sz w:val="12"/>
                <w:szCs w:val="12"/>
                <w:color w:val="auto"/>
              </w:rPr>
              <w:t>Total for all classes by LTV ratio:</w:t>
            </w:r>
            <w:r>
              <w:rPr>
                <w:rFonts w:ascii="Arial" w:cs="Arial" w:eastAsia="Arial" w:hAnsi="Arial"/>
                <w:sz w:val="15"/>
                <w:szCs w:val="15"/>
                <w:color w:val="auto"/>
                <w:vertAlign w:val="superscript"/>
              </w:rPr>
              <w:t>(2)</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0"/>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157,317</w:t>
            </w:r>
          </w:p>
        </w:tc>
        <w:tc>
          <w:tcPr>
            <w:tcW w:w="10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354,060</w:t>
            </w:r>
          </w:p>
        </w:tc>
        <w:tc>
          <w:tcPr>
            <w:tcW w:w="10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1,060,673</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887,045</w:t>
            </w:r>
          </w:p>
        </w:tc>
        <w:tc>
          <w:tcPr>
            <w:tcW w:w="10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154,553</w:t>
            </w:r>
          </w:p>
        </w:tc>
        <w:tc>
          <w:tcPr>
            <w:tcW w:w="10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762,320</w:t>
            </w:r>
          </w:p>
        </w:tc>
        <w:tc>
          <w:tcPr>
            <w:tcW w:w="12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3,375,968</w:t>
            </w:r>
          </w:p>
        </w:tc>
      </w:tr>
      <w:tr>
        <w:trPr>
          <w:trHeight w:val="271"/>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58,766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97,186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38,932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3,432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806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1,167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200,289</w:t>
            </w:r>
          </w:p>
        </w:tc>
      </w:tr>
      <w:tr>
        <w:trPr>
          <w:trHeight w:val="271"/>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62,216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35,990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4,014</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363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230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102,884</w:t>
            </w:r>
          </w:p>
        </w:tc>
      </w:tr>
      <w:tr>
        <w:trPr>
          <w:trHeight w:val="278"/>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1,015</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1,795</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190</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47</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17</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208</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3,272</w:t>
            </w:r>
          </w:p>
        </w:tc>
      </w:tr>
      <w:tr>
        <w:trPr>
          <w:trHeight w:val="24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Total</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279,314</w:t>
            </w:r>
          </w:p>
        </w:tc>
        <w:tc>
          <w:tcPr>
            <w:tcW w:w="100" w:type="dxa"/>
            <w:vAlign w:val="bottom"/>
          </w:tcPr>
          <w:p>
            <w:pPr>
              <w:spacing w:after="0"/>
              <w:rPr>
                <w:sz w:val="21"/>
                <w:szCs w:val="21"/>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489,031</w:t>
            </w:r>
          </w:p>
        </w:tc>
        <w:tc>
          <w:tcPr>
            <w:tcW w:w="100" w:type="dxa"/>
            <w:vAlign w:val="bottom"/>
          </w:tcPr>
          <w:p>
            <w:pPr>
              <w:spacing w:after="0"/>
              <w:rPr>
                <w:sz w:val="21"/>
                <w:szCs w:val="21"/>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1,103,809</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890,887</w:t>
            </w:r>
          </w:p>
        </w:tc>
        <w:tc>
          <w:tcPr>
            <w:tcW w:w="100" w:type="dxa"/>
            <w:vAlign w:val="bottom"/>
          </w:tcPr>
          <w:p>
            <w:pPr>
              <w:spacing w:after="0"/>
              <w:rPr>
                <w:sz w:val="21"/>
                <w:szCs w:val="21"/>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155,447</w:t>
            </w:r>
          </w:p>
        </w:tc>
        <w:tc>
          <w:tcPr>
            <w:tcW w:w="100" w:type="dxa"/>
            <w:vAlign w:val="bottom"/>
          </w:tcPr>
          <w:p>
            <w:pPr>
              <w:spacing w:after="0"/>
              <w:rPr>
                <w:sz w:val="21"/>
                <w:szCs w:val="21"/>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763,925</w:t>
            </w:r>
          </w:p>
        </w:tc>
        <w:tc>
          <w:tcPr>
            <w:tcW w:w="120" w:type="dxa"/>
            <w:vAlign w:val="bottom"/>
          </w:tcPr>
          <w:p>
            <w:pPr>
              <w:spacing w:after="0"/>
              <w:rPr>
                <w:sz w:val="21"/>
                <w:szCs w:val="21"/>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3,682,413</w:t>
            </w:r>
          </w:p>
        </w:tc>
      </w:tr>
      <w:tr>
        <w:trPr>
          <w:trHeight w:val="26"/>
        </w:trPr>
        <w:tc>
          <w:tcPr>
            <w:tcW w:w="38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00" w:type="dxa"/>
            <w:vAlign w:val="bottom"/>
            <w:tcBorders>
              <w:bottom w:val="single" w:sz="8" w:color="2C6937"/>
            </w:tcBorders>
          </w:tcPr>
          <w:p>
            <w:pPr>
              <w:spacing w:after="0"/>
              <w:rPr>
                <w:sz w:val="2"/>
                <w:szCs w:val="2"/>
                <w:color w:val="auto"/>
              </w:rPr>
            </w:pPr>
          </w:p>
        </w:tc>
        <w:tc>
          <w:tcPr>
            <w:tcW w:w="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r>
      <w:tr>
        <w:trPr>
          <w:trHeight w:val="20"/>
        </w:trPr>
        <w:tc>
          <w:tcPr>
            <w:tcW w:w="38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00" w:type="dxa"/>
            <w:vAlign w:val="bottom"/>
            <w:tcBorders>
              <w:bottom w:val="single" w:sz="8" w:color="2C6937"/>
            </w:tcBorders>
          </w:tcPr>
          <w:p>
            <w:pPr>
              <w:spacing w:after="0" w:line="20" w:lineRule="exact"/>
              <w:rPr>
                <w:sz w:val="1"/>
                <w:szCs w:val="1"/>
                <w:color w:val="auto"/>
              </w:rPr>
            </w:pPr>
          </w:p>
        </w:tc>
        <w:tc>
          <w:tcPr>
            <w:tcW w:w="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r>
      <w:tr>
        <w:trPr>
          <w:trHeight w:val="171"/>
        </w:trPr>
        <w:tc>
          <w:tcPr>
            <w:tcW w:w="3980" w:type="dxa"/>
            <w:vAlign w:val="bottom"/>
            <w:gridSpan w:val="2"/>
          </w:tcPr>
          <w:p>
            <w:pPr>
              <w:ind w:left="440"/>
              <w:spacing w:after="0"/>
              <w:rPr>
                <w:sz w:val="20"/>
                <w:szCs w:val="20"/>
                <w:color w:val="auto"/>
              </w:rPr>
            </w:pPr>
            <w:r>
              <w:rPr>
                <w:rFonts w:ascii="Arial" w:cs="Arial" w:eastAsia="Arial" w:hAnsi="Arial"/>
                <w:sz w:val="12"/>
                <w:szCs w:val="12"/>
                <w:color w:val="auto"/>
              </w:rPr>
              <w:t>Total current-year write-offs</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36</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54</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46</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109</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619</w:t>
            </w:r>
          </w:p>
        </w:tc>
        <w:tc>
          <w:tcPr>
            <w:tcW w:w="12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866</w:t>
            </w:r>
          </w:p>
        </w:tc>
      </w:tr>
    </w:tbl>
    <w:p>
      <w:pPr>
        <w:spacing w:after="0" w:line="135" w:lineRule="exact"/>
        <w:rPr>
          <w:sz w:val="20"/>
          <w:szCs w:val="20"/>
          <w:color w:val="auto"/>
        </w:rPr>
      </w:pPr>
    </w:p>
    <w:p>
      <w:pPr>
        <w:ind w:left="240" w:right="40" w:hanging="237"/>
        <w:spacing w:after="0" w:line="252" w:lineRule="auto"/>
        <w:tabs>
          <w:tab w:leader="none" w:pos="233" w:val="left"/>
        </w:tabs>
        <w:numPr>
          <w:ilvl w:val="0"/>
          <w:numId w:val="72"/>
        </w:numPr>
        <w:rPr>
          <w:rFonts w:ascii="Arial" w:cs="Arial" w:eastAsia="Arial" w:hAnsi="Arial"/>
          <w:sz w:val="17"/>
          <w:szCs w:val="17"/>
          <w:color w:val="auto"/>
          <w:vertAlign w:val="superscript"/>
        </w:rPr>
      </w:pPr>
      <w:r>
        <w:rPr>
          <w:rFonts w:ascii="Arial" w:cs="Arial" w:eastAsia="Arial" w:hAnsi="Arial"/>
          <w:sz w:val="13"/>
          <w:szCs w:val="13"/>
          <w:color w:val="auto"/>
        </w:rPr>
        <w:t>Excludes amortized cost of $3.9 billion and $5.5 billion as of September 30, 2024 and December 31, 2023, respectively, of mortgage loans guaranteed or insured, in whole or in part, by the U.S. government or one of its agencies, which represents primarily reverse mortgages for which we do not calculate an estimated mark-to-market LTV ratio. For the nine months ended September 30, 2024 and year ended December 31, 2023, it also excludes write-offs of $43 million and $7 million, respectively, of mortgage loans guaranteed or insured, in whole or in part, by the U.S. government or one of its agencies. Year of loan origination may not be the same as the period in which we subsequently acquired the loan.</w:t>
      </w:r>
    </w:p>
    <w:p>
      <w:pPr>
        <w:spacing w:after="0" w:line="20" w:lineRule="exact"/>
        <w:rPr>
          <w:rFonts w:ascii="Arial" w:cs="Arial" w:eastAsia="Arial" w:hAnsi="Arial"/>
          <w:sz w:val="17"/>
          <w:szCs w:val="17"/>
          <w:color w:val="auto"/>
          <w:vertAlign w:val="superscript"/>
        </w:rPr>
      </w:pPr>
    </w:p>
    <w:p>
      <w:pPr>
        <w:ind w:left="240" w:right="160" w:hanging="237"/>
        <w:spacing w:after="0" w:line="226" w:lineRule="auto"/>
        <w:tabs>
          <w:tab w:leader="none" w:pos="233" w:val="left"/>
        </w:tabs>
        <w:numPr>
          <w:ilvl w:val="0"/>
          <w:numId w:val="72"/>
        </w:numPr>
        <w:rPr>
          <w:rFonts w:ascii="Arial" w:cs="Arial" w:eastAsia="Arial" w:hAnsi="Arial"/>
          <w:sz w:val="18"/>
          <w:szCs w:val="18"/>
          <w:color w:val="auto"/>
          <w:vertAlign w:val="superscript"/>
        </w:rPr>
      </w:pPr>
      <w:r>
        <w:rPr>
          <w:rFonts w:ascii="Arial" w:cs="Arial" w:eastAsia="Arial" w:hAnsi="Arial"/>
          <w:sz w:val="14"/>
          <w:szCs w:val="14"/>
          <w:color w:val="auto"/>
        </w:rPr>
        <w:t>The aggregate estimated mark-to-market LTV ratio is based on the unpaid principal balance of the loan divided by the estimated current value of the property as of the end of each reported period, which we calculate using an internal valuation model that estimates periodic changes in home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365760</wp:posOffset>
            </wp:positionV>
            <wp:extent cx="680593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ind w:left="640"/>
        <w:spacing w:after="0"/>
        <w:rPr>
          <w:sz w:val="20"/>
          <w:szCs w:val="20"/>
          <w:color w:val="auto"/>
        </w:rPr>
      </w:pPr>
      <w:r>
        <w:rPr>
          <w:rFonts w:ascii="Arial" w:cs="Arial" w:eastAsia="Arial" w:hAnsi="Arial"/>
          <w:sz w:val="13"/>
          <w:szCs w:val="13"/>
          <w:color w:val="05314D"/>
        </w:rPr>
        <w:t>Fannie Mae (In conservatorship)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167005</wp:posOffset>
            </wp:positionV>
            <wp:extent cx="7164070" cy="4191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81" w:name="page82"/>
    <w:bookmarkEnd w:id="81"/>
    <w:p>
      <w:pPr>
        <w:jc w:val="right"/>
        <w:ind w:right="10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right="240"/>
        <w:spacing w:after="0" w:line="271" w:lineRule="auto"/>
        <w:rPr>
          <w:sz w:val="20"/>
          <w:szCs w:val="20"/>
          <w:color w:val="auto"/>
        </w:rPr>
      </w:pPr>
      <w:r>
        <w:rPr>
          <w:rFonts w:ascii="Arial" w:cs="Arial" w:eastAsia="Arial" w:hAnsi="Arial"/>
          <w:sz w:val="16"/>
          <w:szCs w:val="16"/>
          <w:color w:val="auto"/>
        </w:rPr>
        <w:t>The following tables display the total amortized cost of our multifamily HFI loans by year of origination and credit-risk rating, excluding loans for which we have elected the fair value option. Property rental income and property valuations are key inputs to our internally assigned credit risk ratings. The tables below also include current year write-offs of our multifamily HFI mortgage loans by year of origination, excluding loans for which we have elected the fair value option.</w:t>
      </w:r>
    </w:p>
    <w:p>
      <w:pPr>
        <w:spacing w:after="0" w:line="200" w:lineRule="exact"/>
        <w:rPr>
          <w:sz w:val="20"/>
          <w:szCs w:val="20"/>
          <w:color w:val="auto"/>
        </w:rPr>
      </w:pPr>
    </w:p>
    <w:p>
      <w:pPr>
        <w:jc w:val="center"/>
        <w:ind w:left="3680"/>
        <w:spacing w:after="0"/>
        <w:rPr>
          <w:sz w:val="20"/>
          <w:szCs w:val="20"/>
          <w:color w:val="auto"/>
        </w:rPr>
      </w:pPr>
      <w:r>
        <w:rPr>
          <w:rFonts w:ascii="Arial" w:cs="Arial" w:eastAsia="Arial" w:hAnsi="Arial"/>
          <w:sz w:val="14"/>
          <w:szCs w:val="14"/>
          <w:b w:val="1"/>
          <w:bCs w:val="1"/>
          <w:color w:val="auto"/>
        </w:rPr>
        <w:t>Credit Quality Indicators as of September 30, 2024 and Write-offs for the Nine Months Ended September 30,</w:t>
      </w:r>
    </w:p>
    <w:p>
      <w:pPr>
        <w:spacing w:after="0" w:line="13" w:lineRule="exact"/>
        <w:rPr>
          <w:sz w:val="20"/>
          <w:szCs w:val="20"/>
          <w:color w:val="auto"/>
        </w:rPr>
      </w:pPr>
    </w:p>
    <w:p>
      <w:pPr>
        <w:jc w:val="center"/>
        <w:ind w:left="3680"/>
        <w:spacing w:after="0"/>
        <w:rPr>
          <w:sz w:val="20"/>
          <w:szCs w:val="20"/>
          <w:color w:val="auto"/>
        </w:rPr>
      </w:pPr>
      <w:r>
        <w:rPr>
          <w:rFonts w:ascii="Arial" w:cs="Arial" w:eastAsia="Arial" w:hAnsi="Arial"/>
          <w:sz w:val="14"/>
          <w:szCs w:val="14"/>
          <w:b w:val="1"/>
          <w:bCs w:val="1"/>
          <w:color w:val="auto"/>
        </w:rPr>
        <w:t>2024, by Year of Origination</w:t>
      </w:r>
      <w:r>
        <w:rPr>
          <w:rFonts w:ascii="Arial" w:cs="Arial" w:eastAsia="Arial" w:hAnsi="Arial"/>
          <w:sz w:val="17"/>
          <w:szCs w:val="17"/>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2490470</wp:posOffset>
            </wp:positionH>
            <wp:positionV relativeFrom="paragraph">
              <wp:posOffset>635</wp:posOffset>
            </wp:positionV>
            <wp:extent cx="450278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502785" cy="8255"/>
                    </a:xfrm>
                    <a:prstGeom prst="rect">
                      <a:avLst/>
                    </a:prstGeom>
                    <a:noFill/>
                  </pic:spPr>
                </pic:pic>
              </a:graphicData>
            </a:graphic>
          </wp:anchor>
        </w:drawing>
      </w:r>
    </w:p>
    <w:p>
      <w:pPr>
        <w:spacing w:after="0" w:line="88" w:lineRule="exact"/>
        <w:rPr>
          <w:sz w:val="20"/>
          <w:szCs w:val="20"/>
          <w:color w:val="auto"/>
        </w:rPr>
      </w:pPr>
    </w:p>
    <w:p>
      <w:pPr>
        <w:ind w:left="4220"/>
        <w:spacing w:after="0"/>
        <w:tabs>
          <w:tab w:leader="none" w:pos="5200" w:val="left"/>
          <w:tab w:leader="none" w:pos="6220" w:val="left"/>
          <w:tab w:leader="none" w:pos="7220" w:val="left"/>
          <w:tab w:leader="none" w:pos="8220" w:val="left"/>
          <w:tab w:leader="none" w:pos="9260" w:val="left"/>
          <w:tab w:leader="none" w:pos="10340" w:val="left"/>
        </w:tabs>
        <w:rPr>
          <w:sz w:val="20"/>
          <w:szCs w:val="20"/>
          <w:color w:val="auto"/>
        </w:rPr>
      </w:pP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Prior</w:t>
      </w:r>
      <w:r>
        <w:rPr>
          <w:sz w:val="20"/>
          <w:szCs w:val="20"/>
          <w:color w:val="auto"/>
        </w:rPr>
        <w:tab/>
      </w:r>
      <w:r>
        <w:rPr>
          <w:rFonts w:ascii="Arial" w:cs="Arial" w:eastAsia="Arial" w:hAnsi="Arial"/>
          <w:sz w:val="13"/>
          <w:szCs w:val="13"/>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2490470</wp:posOffset>
            </wp:positionH>
            <wp:positionV relativeFrom="paragraph">
              <wp:posOffset>26670</wp:posOffset>
            </wp:positionV>
            <wp:extent cx="450278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502785" cy="8255"/>
                    </a:xfrm>
                    <a:prstGeom prst="rect">
                      <a:avLst/>
                    </a:prstGeom>
                    <a:noFill/>
                  </pic:spPr>
                </pic:pic>
              </a:graphicData>
            </a:graphic>
          </wp:anchor>
        </w:drawing>
      </w:r>
    </w:p>
    <w:p>
      <w:pPr>
        <w:spacing w:after="0" w:line="128" w:lineRule="exact"/>
        <w:rPr>
          <w:sz w:val="20"/>
          <w:szCs w:val="20"/>
          <w:color w:val="auto"/>
        </w:rPr>
      </w:pPr>
    </w:p>
    <w:p>
      <w:pPr>
        <w:ind w:left="6840"/>
        <w:spacing w:after="0"/>
        <w:rPr>
          <w:sz w:val="20"/>
          <w:szCs w:val="20"/>
          <w:color w:val="auto"/>
        </w:rPr>
      </w:pPr>
      <w:r>
        <w:rPr>
          <w:rFonts w:ascii="Arial" w:cs="Arial" w:eastAsia="Arial" w:hAnsi="Arial"/>
          <w:sz w:val="14"/>
          <w:szCs w:val="14"/>
          <w:b w:val="1"/>
          <w:bCs w:val="1"/>
          <w:color w:val="auto"/>
        </w:rPr>
        <w:t>(Dollars in millions)</w:t>
      </w:r>
    </w:p>
    <w:p>
      <w:pPr>
        <w:sectPr>
          <w:pgSz w:w="11900" w:h="16838" w:orient="portrait"/>
          <w:cols w:equalWidth="0" w:num="1">
            <w:col w:w="11240"/>
          </w:cols>
          <w:pgMar w:left="320" w:top="248" w:right="339" w:bottom="1440" w:gutter="0" w:footer="0" w:header="0"/>
        </w:sectPr>
      </w:pPr>
    </w:p>
    <w:p>
      <w:pPr>
        <w:spacing w:after="0" w:line="133" w:lineRule="exact"/>
        <w:rPr>
          <w:sz w:val="20"/>
          <w:szCs w:val="20"/>
          <w:color w:val="auto"/>
        </w:rPr>
      </w:pPr>
    </w:p>
    <w:p>
      <w:pPr>
        <w:ind w:left="20"/>
        <w:spacing w:after="0"/>
        <w:rPr>
          <w:sz w:val="20"/>
          <w:szCs w:val="20"/>
          <w:color w:val="auto"/>
        </w:rPr>
      </w:pPr>
      <w:r>
        <w:rPr>
          <w:rFonts w:ascii="Arial" w:cs="Arial" w:eastAsia="Arial" w:hAnsi="Arial"/>
          <w:sz w:val="15"/>
          <w:szCs w:val="15"/>
          <w:color w:val="auto"/>
        </w:rPr>
        <w:t>Internally assigned credit risk rating:</w:t>
      </w:r>
    </w:p>
    <w:p>
      <w:pPr>
        <w:spacing w:after="0" w:line="137" w:lineRule="exact"/>
        <w:rPr>
          <w:sz w:val="20"/>
          <w:szCs w:val="20"/>
          <w:color w:val="auto"/>
        </w:rPr>
      </w:pPr>
    </w:p>
    <w:p>
      <w:pPr>
        <w:ind w:left="180"/>
        <w:spacing w:after="0"/>
        <w:rPr>
          <w:sz w:val="20"/>
          <w:szCs w:val="20"/>
          <w:color w:val="auto"/>
        </w:rPr>
      </w:pPr>
      <w:r>
        <w:rPr>
          <w:rFonts w:ascii="Arial" w:cs="Arial" w:eastAsia="Arial" w:hAnsi="Arial"/>
          <w:sz w:val="15"/>
          <w:szCs w:val="15"/>
          <w:color w:val="auto"/>
        </w:rPr>
        <w:t>Pass</w:t>
      </w:r>
      <w:r>
        <w:rPr>
          <w:rFonts w:ascii="Arial" w:cs="Arial" w:eastAsia="Arial" w:hAnsi="Arial"/>
          <w:sz w:val="20"/>
          <w:szCs w:val="20"/>
          <w:color w:val="auto"/>
          <w:vertAlign w:val="superscript"/>
        </w:rPr>
        <w:t>(2)</w:t>
      </w:r>
    </w:p>
    <w:p>
      <w:pPr>
        <w:spacing w:after="0" w:line="14" w:lineRule="exact"/>
        <w:rPr>
          <w:sz w:val="20"/>
          <w:szCs w:val="20"/>
          <w:color w:val="auto"/>
        </w:rPr>
      </w:pPr>
    </w:p>
    <w:p>
      <w:pPr>
        <w:ind w:left="180"/>
        <w:spacing w:after="0"/>
        <w:rPr>
          <w:sz w:val="20"/>
          <w:szCs w:val="20"/>
          <w:color w:val="auto"/>
        </w:rPr>
      </w:pPr>
      <w:r>
        <w:rPr>
          <w:rFonts w:ascii="Arial" w:cs="Arial" w:eastAsia="Arial" w:hAnsi="Arial"/>
          <w:sz w:val="15"/>
          <w:szCs w:val="15"/>
          <w:color w:val="auto"/>
        </w:rPr>
        <w:t>Special mention</w:t>
      </w:r>
      <w:r>
        <w:rPr>
          <w:rFonts w:ascii="Arial" w:cs="Arial" w:eastAsia="Arial" w:hAnsi="Arial"/>
          <w:sz w:val="20"/>
          <w:szCs w:val="20"/>
          <w:color w:val="auto"/>
          <w:vertAlign w:val="superscript"/>
        </w:rPr>
        <w:t>(3)</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Substandard</w:t>
      </w:r>
      <w:r>
        <w:rPr>
          <w:rFonts w:ascii="Arial" w:cs="Arial" w:eastAsia="Arial" w:hAnsi="Arial"/>
          <w:sz w:val="20"/>
          <w:szCs w:val="20"/>
          <w:color w:val="auto"/>
          <w:vertAlign w:val="superscript"/>
        </w:rPr>
        <w:t>(4)</w:t>
      </w:r>
    </w:p>
    <w:p>
      <w:pPr>
        <w:spacing w:after="0" w:line="6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Doubtful</w:t>
      </w:r>
      <w:r>
        <w:rPr>
          <w:rFonts w:ascii="Arial" w:cs="Arial" w:eastAsia="Arial" w:hAnsi="Arial"/>
          <w:sz w:val="20"/>
          <w:szCs w:val="20"/>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242316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423160" cy="8255"/>
                    </a:xfrm>
                    <a:prstGeom prst="rect">
                      <a:avLst/>
                    </a:prstGeom>
                    <a:noFill/>
                  </pic:spPr>
                </pic:pic>
              </a:graphicData>
            </a:graphic>
          </wp:anchor>
        </w:drawing>
      </w:r>
    </w:p>
    <w:p>
      <w:pPr>
        <w:spacing w:after="0" w:line="7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242316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423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53975</wp:posOffset>
            </wp:positionV>
            <wp:extent cx="242316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423160" cy="8255"/>
                    </a:xfrm>
                    <a:prstGeom prst="rect">
                      <a:avLst/>
                    </a:prstGeom>
                    <a:noFill/>
                  </pic:spPr>
                </pic:pic>
              </a:graphicData>
            </a:graphic>
          </wp:anchor>
        </w:drawing>
      </w:r>
    </w:p>
    <w:p>
      <w:pPr>
        <w:spacing w:after="0" w:line="9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Current-year write-offs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160" w:type="dxa"/>
            <w:vAlign w:val="bottom"/>
            <w:gridSpan w:val="2"/>
          </w:tcPr>
          <w:p>
            <w:pPr>
              <w:jc w:val="right"/>
              <w:ind w:right="60"/>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28,467</w:t>
            </w:r>
          </w:p>
        </w:tc>
        <w:tc>
          <w:tcPr>
            <w:tcW w:w="100" w:type="dxa"/>
            <w:vAlign w:val="bottom"/>
          </w:tcPr>
          <w:p>
            <w:pPr>
              <w:spacing w:after="0"/>
              <w:rPr>
                <w:sz w:val="17"/>
                <w:szCs w:val="17"/>
                <w:color w:val="auto"/>
              </w:rPr>
            </w:pPr>
          </w:p>
        </w:tc>
        <w:tc>
          <w:tcPr>
            <w:tcW w:w="2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52,958</w:t>
            </w:r>
          </w:p>
        </w:tc>
        <w:tc>
          <w:tcPr>
            <w:tcW w:w="1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49,722</w:t>
            </w:r>
          </w:p>
        </w:tc>
        <w:tc>
          <w:tcPr>
            <w:tcW w:w="100" w:type="dxa"/>
            <w:vAlign w:val="bottom"/>
          </w:tcPr>
          <w:p>
            <w:pPr>
              <w:spacing w:after="0"/>
              <w:rPr>
                <w:sz w:val="17"/>
                <w:szCs w:val="17"/>
                <w:color w:val="auto"/>
              </w:rPr>
            </w:pPr>
          </w:p>
        </w:tc>
        <w:tc>
          <w:tcPr>
            <w:tcW w:w="240" w:type="dxa"/>
            <w:vAlign w:val="bottom"/>
          </w:tcPr>
          <w:p>
            <w:pPr>
              <w:ind w:left="2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59,753</w:t>
            </w:r>
          </w:p>
        </w:tc>
        <w:tc>
          <w:tcPr>
            <w:tcW w:w="100" w:type="dxa"/>
            <w:vAlign w:val="bottom"/>
          </w:tcPr>
          <w:p>
            <w:pPr>
              <w:spacing w:after="0"/>
              <w:rPr>
                <w:sz w:val="17"/>
                <w:szCs w:val="17"/>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72,329</w:t>
            </w:r>
          </w:p>
        </w:tc>
        <w:tc>
          <w:tcPr>
            <w:tcW w:w="12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181,698</w:t>
            </w:r>
          </w:p>
        </w:tc>
        <w:tc>
          <w:tcPr>
            <w:tcW w:w="12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444,927</w:t>
            </w:r>
          </w:p>
        </w:tc>
        <w:tc>
          <w:tcPr>
            <w:tcW w:w="220" w:type="dxa"/>
            <w:vAlign w:val="bottom"/>
          </w:tcPr>
          <w:p>
            <w:pPr>
              <w:spacing w:after="0"/>
              <w:rPr>
                <w:sz w:val="17"/>
                <w:szCs w:val="17"/>
                <w:color w:val="auto"/>
              </w:rPr>
            </w:pPr>
          </w:p>
        </w:tc>
      </w:tr>
      <w:tr>
        <w:trPr>
          <w:trHeight w:val="232"/>
        </w:trPr>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43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369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58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128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654</w:t>
            </w:r>
          </w:p>
        </w:tc>
        <w:tc>
          <w:tcPr>
            <w:tcW w:w="220" w:type="dxa"/>
            <w:vAlign w:val="bottom"/>
          </w:tcPr>
          <w:p>
            <w:pPr>
              <w:spacing w:after="0"/>
              <w:rPr>
                <w:sz w:val="20"/>
                <w:szCs w:val="20"/>
                <w:color w:val="auto"/>
              </w:rPr>
            </w:pPr>
          </w:p>
        </w:tc>
      </w:tr>
      <w:tr>
        <w:trPr>
          <w:trHeight w:val="232"/>
        </w:trPr>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90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1,080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9,435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3,650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2,271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14,451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30,977</w:t>
            </w:r>
          </w:p>
        </w:tc>
        <w:tc>
          <w:tcPr>
            <w:tcW w:w="220" w:type="dxa"/>
            <w:vAlign w:val="bottom"/>
          </w:tcPr>
          <w:p>
            <w:pPr>
              <w:spacing w:after="0"/>
              <w:rPr>
                <w:sz w:val="20"/>
                <w:szCs w:val="20"/>
                <w:color w:val="auto"/>
              </w:rPr>
            </w:pPr>
          </w:p>
        </w:tc>
      </w:tr>
      <w:tr>
        <w:trPr>
          <w:trHeight w:val="310"/>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4"/>
                <w:szCs w:val="24"/>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4"/>
                <w:szCs w:val="2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11</w:t>
            </w:r>
          </w:p>
        </w:tc>
        <w:tc>
          <w:tcPr>
            <w:tcW w:w="220" w:type="dxa"/>
            <w:vAlign w:val="bottom"/>
          </w:tcPr>
          <w:p>
            <w:pPr>
              <w:spacing w:after="0"/>
              <w:rPr>
                <w:sz w:val="24"/>
                <w:szCs w:val="24"/>
                <w:color w:val="auto"/>
              </w:rPr>
            </w:pPr>
          </w:p>
        </w:tc>
      </w:tr>
      <w:tr>
        <w:trPr>
          <w:trHeight w:val="302"/>
        </w:trPr>
        <w:tc>
          <w:tcPr>
            <w:tcW w:w="160" w:type="dxa"/>
            <w:vAlign w:val="bottom"/>
            <w:tcBorders>
              <w:top w:val="single" w:sz="8" w:color="2C6937"/>
              <w:bottom w:val="single" w:sz="8" w:color="2C6937"/>
            </w:tcBorders>
            <w:gridSpan w:val="2"/>
          </w:tcPr>
          <w:p>
            <w:pPr>
              <w:jc w:val="right"/>
              <w:ind w:right="60"/>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28,606</w:t>
            </w:r>
          </w:p>
        </w:tc>
        <w:tc>
          <w:tcPr>
            <w:tcW w:w="100" w:type="dxa"/>
            <w:vAlign w:val="bottom"/>
          </w:tcPr>
          <w:p>
            <w:pPr>
              <w:spacing w:after="0"/>
              <w:rPr>
                <w:sz w:val="24"/>
                <w:szCs w:val="24"/>
                <w:color w:val="auto"/>
              </w:rPr>
            </w:pPr>
          </w:p>
        </w:tc>
        <w:tc>
          <w:tcPr>
            <w:tcW w:w="240" w:type="dxa"/>
            <w:vAlign w:val="bottom"/>
            <w:tcBorders>
              <w:top w:val="single" w:sz="8" w:color="2C6937"/>
              <w:bottom w:val="single" w:sz="8" w:color="2C6937"/>
            </w:tcBorders>
          </w:tcPr>
          <w:p>
            <w:pPr>
              <w:jc w:val="right"/>
              <w:ind w:right="43"/>
              <w:spacing w:after="0"/>
              <w:rPr>
                <w:sz w:val="20"/>
                <w:szCs w:val="20"/>
                <w:color w:val="auto"/>
              </w:rPr>
            </w:pPr>
            <w:r>
              <w:rPr>
                <w:rFonts w:ascii="Arial" w:cs="Arial" w:eastAsia="Arial" w:hAnsi="Arial"/>
                <w:sz w:val="15"/>
                <w:szCs w:val="15"/>
                <w:color w:val="auto"/>
              </w:rPr>
              <w:t>$</w:t>
            </w:r>
          </w:p>
        </w:tc>
        <w:tc>
          <w:tcPr>
            <w:tcW w:w="680" w:type="dxa"/>
            <w:vAlign w:val="bottom"/>
            <w:tcBorders>
              <w:top w:val="single" w:sz="8" w:color="2C6937"/>
              <w:bottom w:val="single" w:sz="8" w:color="2C6937"/>
            </w:tcBorders>
          </w:tcPr>
          <w:p>
            <w:pPr>
              <w:jc w:val="right"/>
              <w:ind w:right="4"/>
              <w:spacing w:after="0"/>
              <w:rPr>
                <w:sz w:val="20"/>
                <w:szCs w:val="20"/>
                <w:color w:val="auto"/>
              </w:rPr>
            </w:pPr>
            <w:r>
              <w:rPr>
                <w:rFonts w:ascii="Arial" w:cs="Arial" w:eastAsia="Arial" w:hAnsi="Arial"/>
                <w:sz w:val="15"/>
                <w:szCs w:val="15"/>
                <w:color w:val="auto"/>
              </w:rPr>
              <w:t>54,085</w:t>
            </w:r>
          </w:p>
        </w:tc>
        <w:tc>
          <w:tcPr>
            <w:tcW w:w="100" w:type="dxa"/>
            <w:vAlign w:val="bottom"/>
          </w:tcPr>
          <w:p>
            <w:pPr>
              <w:spacing w:after="0"/>
              <w:rPr>
                <w:sz w:val="24"/>
                <w:szCs w:val="24"/>
                <w:color w:val="auto"/>
              </w:rPr>
            </w:pPr>
          </w:p>
        </w:tc>
        <w:tc>
          <w:tcPr>
            <w:tcW w:w="220" w:type="dxa"/>
            <w:vAlign w:val="bottom"/>
            <w:tcBorders>
              <w:top w:val="single" w:sz="8" w:color="2C6937"/>
              <w:bottom w:val="single" w:sz="8" w:color="2C6937"/>
            </w:tcBorders>
          </w:tcPr>
          <w:p>
            <w:pPr>
              <w:jc w:val="right"/>
              <w:ind w:right="43"/>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2C6937"/>
              <w:bottom w:val="single" w:sz="8" w:color="2C6937"/>
            </w:tcBorders>
          </w:tcPr>
          <w:p>
            <w:pPr>
              <w:jc w:val="right"/>
              <w:ind w:right="4"/>
              <w:spacing w:after="0"/>
              <w:rPr>
                <w:sz w:val="20"/>
                <w:szCs w:val="20"/>
                <w:color w:val="auto"/>
              </w:rPr>
            </w:pPr>
            <w:r>
              <w:rPr>
                <w:rFonts w:ascii="Arial" w:cs="Arial" w:eastAsia="Arial" w:hAnsi="Arial"/>
                <w:sz w:val="15"/>
                <w:szCs w:val="15"/>
                <w:color w:val="auto"/>
              </w:rPr>
              <w:t>59,164</w:t>
            </w:r>
          </w:p>
        </w:tc>
        <w:tc>
          <w:tcPr>
            <w:tcW w:w="100" w:type="dxa"/>
            <w:vAlign w:val="bottom"/>
          </w:tcPr>
          <w:p>
            <w:pPr>
              <w:spacing w:after="0"/>
              <w:rPr>
                <w:sz w:val="24"/>
                <w:szCs w:val="24"/>
                <w:color w:val="auto"/>
              </w:rPr>
            </w:pPr>
          </w:p>
        </w:tc>
        <w:tc>
          <w:tcPr>
            <w:tcW w:w="240" w:type="dxa"/>
            <w:vAlign w:val="bottom"/>
            <w:tcBorders>
              <w:top w:val="single" w:sz="8" w:color="2C6937"/>
              <w:bottom w:val="single" w:sz="8" w:color="2C6937"/>
            </w:tcBorders>
          </w:tcPr>
          <w:p>
            <w:pPr>
              <w:ind w:left="20"/>
              <w:spacing w:after="0"/>
              <w:rPr>
                <w:sz w:val="20"/>
                <w:szCs w:val="20"/>
                <w:color w:val="auto"/>
              </w:rPr>
            </w:pPr>
            <w:r>
              <w:rPr>
                <w:rFonts w:ascii="Arial" w:cs="Arial" w:eastAsia="Arial" w:hAnsi="Arial"/>
                <w:sz w:val="15"/>
                <w:szCs w:val="15"/>
                <w:color w:val="auto"/>
              </w:rPr>
              <w:t>$</w:t>
            </w:r>
          </w:p>
        </w:tc>
        <w:tc>
          <w:tcPr>
            <w:tcW w:w="6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63,772</w:t>
            </w:r>
          </w:p>
        </w:tc>
        <w:tc>
          <w:tcPr>
            <w:tcW w:w="100" w:type="dxa"/>
            <w:vAlign w:val="bottom"/>
          </w:tcPr>
          <w:p>
            <w:pPr>
              <w:spacing w:after="0"/>
              <w:rPr>
                <w:sz w:val="24"/>
                <w:szCs w:val="24"/>
                <w:color w:val="auto"/>
              </w:rPr>
            </w:pPr>
          </w:p>
        </w:tc>
        <w:tc>
          <w:tcPr>
            <w:tcW w:w="360" w:type="dxa"/>
            <w:vAlign w:val="bottom"/>
            <w:tcBorders>
              <w:top w:val="single" w:sz="8" w:color="2C6937"/>
              <w:bottom w:val="single" w:sz="8" w:color="2C6937"/>
            </w:tcBorders>
          </w:tcPr>
          <w:p>
            <w:pPr>
              <w:jc w:val="right"/>
              <w:ind w:right="183"/>
              <w:spacing w:after="0"/>
              <w:rPr>
                <w:sz w:val="20"/>
                <w:szCs w:val="20"/>
                <w:color w:val="auto"/>
              </w:rPr>
            </w:pPr>
            <w:r>
              <w:rPr>
                <w:rFonts w:ascii="Arial" w:cs="Arial" w:eastAsia="Arial" w:hAnsi="Arial"/>
                <w:sz w:val="15"/>
                <w:szCs w:val="15"/>
                <w:color w:val="auto"/>
                <w:w w:val="95"/>
              </w:rPr>
              <w:t>$</w:t>
            </w:r>
          </w:p>
        </w:tc>
        <w:tc>
          <w:tcPr>
            <w:tcW w:w="5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74,658</w:t>
            </w:r>
          </w:p>
        </w:tc>
        <w:tc>
          <w:tcPr>
            <w:tcW w:w="120" w:type="dxa"/>
            <w:vAlign w:val="bottom"/>
          </w:tcPr>
          <w:p>
            <w:pPr>
              <w:spacing w:after="0"/>
              <w:rPr>
                <w:sz w:val="24"/>
                <w:szCs w:val="24"/>
                <w:color w:val="auto"/>
              </w:rPr>
            </w:pPr>
          </w:p>
        </w:tc>
        <w:tc>
          <w:tcPr>
            <w:tcW w:w="220" w:type="dxa"/>
            <w:vAlign w:val="bottom"/>
            <w:tcBorders>
              <w:top w:val="single" w:sz="8" w:color="2C6937"/>
              <w:bottom w:val="single" w:sz="8" w:color="2C6937"/>
            </w:tcBorders>
          </w:tcPr>
          <w:p>
            <w:pPr>
              <w:jc w:val="right"/>
              <w:ind w:right="43"/>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196,284</w:t>
            </w:r>
          </w:p>
        </w:tc>
        <w:tc>
          <w:tcPr>
            <w:tcW w:w="120" w:type="dxa"/>
            <w:vAlign w:val="bottom"/>
          </w:tcPr>
          <w:p>
            <w:pPr>
              <w:spacing w:after="0"/>
              <w:rPr>
                <w:sz w:val="24"/>
                <w:szCs w:val="24"/>
                <w:color w:val="auto"/>
              </w:rPr>
            </w:pPr>
          </w:p>
        </w:tc>
        <w:tc>
          <w:tcPr>
            <w:tcW w:w="220" w:type="dxa"/>
            <w:vAlign w:val="bottom"/>
            <w:tcBorders>
              <w:top w:val="single" w:sz="8" w:color="2C6937"/>
              <w:bottom w:val="single" w:sz="8" w:color="2C6937"/>
            </w:tcBorders>
          </w:tcPr>
          <w:p>
            <w:pPr>
              <w:jc w:val="right"/>
              <w:ind w:right="43"/>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2C6937"/>
              <w:bottom w:val="single" w:sz="8" w:color="2C6937"/>
            </w:tcBorders>
          </w:tcPr>
          <w:p>
            <w:pPr>
              <w:jc w:val="right"/>
              <w:ind w:right="4"/>
              <w:spacing w:after="0"/>
              <w:rPr>
                <w:sz w:val="20"/>
                <w:szCs w:val="20"/>
                <w:color w:val="auto"/>
              </w:rPr>
            </w:pPr>
            <w:r>
              <w:rPr>
                <w:rFonts w:ascii="Arial" w:cs="Arial" w:eastAsia="Arial" w:hAnsi="Arial"/>
                <w:sz w:val="15"/>
                <w:szCs w:val="15"/>
                <w:color w:val="auto"/>
              </w:rPr>
              <w:t>476,569</w:t>
            </w:r>
          </w:p>
        </w:tc>
        <w:tc>
          <w:tcPr>
            <w:tcW w:w="220" w:type="dxa"/>
            <w:vAlign w:val="bottom"/>
          </w:tcPr>
          <w:p>
            <w:pPr>
              <w:spacing w:after="0"/>
              <w:rPr>
                <w:sz w:val="24"/>
                <w:szCs w:val="24"/>
                <w:color w:val="auto"/>
              </w:rPr>
            </w:pPr>
          </w:p>
        </w:tc>
      </w:tr>
      <w:tr>
        <w:trPr>
          <w:trHeight w:val="20"/>
        </w:trPr>
        <w:tc>
          <w:tcPr>
            <w:tcW w:w="100" w:type="dxa"/>
            <w:vAlign w:val="bottom"/>
            <w:tcBorders>
              <w:bottom w:val="single" w:sz="8" w:color="2C6937"/>
            </w:tcBorders>
          </w:tcPr>
          <w:p>
            <w:pPr>
              <w:spacing w:after="0" w:line="20" w:lineRule="exact"/>
              <w:rPr>
                <w:sz w:val="1"/>
                <w:szCs w:val="1"/>
                <w:color w:val="auto"/>
              </w:rPr>
            </w:pPr>
          </w:p>
        </w:tc>
        <w:tc>
          <w:tcPr>
            <w:tcW w:w="6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2C6937"/>
            </w:tcBorders>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2C6937"/>
            </w:tcBorders>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2C6937"/>
            </w:tcBorders>
          </w:tcPr>
          <w:p>
            <w:pPr>
              <w:spacing w:after="0" w:line="20" w:lineRule="exact"/>
              <w:rPr>
                <w:sz w:val="1"/>
                <w:szCs w:val="1"/>
                <w:color w:val="auto"/>
              </w:rPr>
            </w:pPr>
          </w:p>
        </w:tc>
        <w:tc>
          <w:tcPr>
            <w:tcW w:w="6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2C6937"/>
            </w:tcBorders>
          </w:tcPr>
          <w:p>
            <w:pPr>
              <w:spacing w:after="0" w:line="20" w:lineRule="exact"/>
              <w:rPr>
                <w:sz w:val="1"/>
                <w:szCs w:val="1"/>
                <w:color w:val="auto"/>
              </w:rPr>
            </w:pPr>
          </w:p>
        </w:tc>
        <w:tc>
          <w:tcPr>
            <w:tcW w:w="54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2C6937"/>
            </w:tcBorders>
          </w:tcPr>
          <w:p>
            <w:pPr>
              <w:spacing w:after="0" w:line="20" w:lineRule="exact"/>
              <w:rPr>
                <w:sz w:val="1"/>
                <w:szCs w:val="1"/>
                <w:color w:val="auto"/>
              </w:rPr>
            </w:pPr>
          </w:p>
        </w:tc>
        <w:tc>
          <w:tcPr>
            <w:tcW w:w="760" w:type="dxa"/>
            <w:vAlign w:val="bottom"/>
            <w:tcBorders>
              <w:bottom w:val="single" w:sz="8" w:color="2C6937"/>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3"/>
        </w:trPr>
        <w:tc>
          <w:tcPr>
            <w:tcW w:w="160" w:type="dxa"/>
            <w:vAlign w:val="bottom"/>
            <w:gridSpan w:val="2"/>
          </w:tcPr>
          <w:p>
            <w:pPr>
              <w:jc w:val="right"/>
              <w:ind w:right="60"/>
              <w:spacing w:after="0"/>
              <w:rPr>
                <w:sz w:val="20"/>
                <w:szCs w:val="20"/>
                <w:color w:val="auto"/>
              </w:rPr>
            </w:pPr>
            <w:r>
              <w:rPr>
                <w:rFonts w:ascii="Arial" w:cs="Arial" w:eastAsia="Arial" w:hAnsi="Arial"/>
                <w:sz w:val="15"/>
                <w:szCs w:val="15"/>
                <w:color w:val="auto"/>
                <w:w w:val="95"/>
              </w:rPr>
              <w:t>$</w:t>
            </w: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34</w:t>
            </w:r>
          </w:p>
        </w:tc>
        <w:tc>
          <w:tcPr>
            <w:tcW w:w="100" w:type="dxa"/>
            <w:vAlign w:val="bottom"/>
          </w:tcPr>
          <w:p>
            <w:pPr>
              <w:spacing w:after="0"/>
              <w:rPr>
                <w:sz w:val="19"/>
                <w:szCs w:val="19"/>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191</w:t>
            </w:r>
          </w:p>
        </w:tc>
        <w:tc>
          <w:tcPr>
            <w:tcW w:w="10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16</w:t>
            </w:r>
          </w:p>
        </w:tc>
        <w:tc>
          <w:tcPr>
            <w:tcW w:w="100" w:type="dxa"/>
            <w:vAlign w:val="bottom"/>
          </w:tcPr>
          <w:p>
            <w:pPr>
              <w:spacing w:after="0"/>
              <w:rPr>
                <w:sz w:val="19"/>
                <w:szCs w:val="19"/>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21</w:t>
            </w:r>
          </w:p>
        </w:tc>
        <w:tc>
          <w:tcPr>
            <w:tcW w:w="120" w:type="dxa"/>
            <w:vAlign w:val="bottom"/>
          </w:tcPr>
          <w:p>
            <w:pPr>
              <w:spacing w:after="0"/>
              <w:rPr>
                <w:sz w:val="19"/>
                <w:szCs w:val="19"/>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133</w:t>
            </w:r>
          </w:p>
        </w:tc>
        <w:tc>
          <w:tcPr>
            <w:tcW w:w="120" w:type="dxa"/>
            <w:vAlign w:val="bottom"/>
          </w:tcPr>
          <w:p>
            <w:pPr>
              <w:spacing w:after="0"/>
              <w:rPr>
                <w:sz w:val="19"/>
                <w:szCs w:val="19"/>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395</w:t>
            </w:r>
          </w:p>
        </w:tc>
        <w:tc>
          <w:tcPr>
            <w:tcW w:w="220" w:type="dxa"/>
            <w:vAlign w:val="bottom"/>
          </w:tcPr>
          <w:p>
            <w:pPr>
              <w:spacing w:after="0"/>
              <w:rPr>
                <w:sz w:val="19"/>
                <w:szCs w:val="19"/>
                <w:color w:val="auto"/>
              </w:rPr>
            </w:pPr>
          </w:p>
        </w:tc>
      </w:tr>
      <w:tr>
        <w:trPr>
          <w:trHeight w:val="390"/>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160" w:type="dxa"/>
            <w:vAlign w:val="bottom"/>
            <w:gridSpan w:val="20"/>
          </w:tcPr>
          <w:p>
            <w:pPr>
              <w:jc w:val="center"/>
              <w:ind w:right="60"/>
              <w:spacing w:after="0"/>
              <w:rPr>
                <w:sz w:val="20"/>
                <w:szCs w:val="20"/>
                <w:color w:val="auto"/>
              </w:rPr>
            </w:pPr>
            <w:r>
              <w:rPr>
                <w:rFonts w:ascii="Arial" w:cs="Arial" w:eastAsia="Arial" w:hAnsi="Arial"/>
                <w:sz w:val="14"/>
                <w:szCs w:val="14"/>
                <w:b w:val="1"/>
                <w:bCs w:val="1"/>
                <w:color w:val="auto"/>
                <w:w w:val="97"/>
              </w:rPr>
              <w:t>Credit Quality Indicators as of December 31, 2023 and Write-offs for the Year Ended December 31, 2023, by</w:t>
            </w:r>
          </w:p>
        </w:tc>
      </w:tr>
      <w:tr>
        <w:trPr>
          <w:trHeight w:val="205"/>
        </w:trPr>
        <w:tc>
          <w:tcPr>
            <w:tcW w:w="100" w:type="dxa"/>
            <w:vAlign w:val="bottom"/>
          </w:tcPr>
          <w:p>
            <w:pPr>
              <w:spacing w:after="0"/>
              <w:rPr>
                <w:sz w:val="17"/>
                <w:szCs w:val="17"/>
                <w:color w:val="auto"/>
              </w:rPr>
            </w:pPr>
          </w:p>
        </w:tc>
        <w:tc>
          <w:tcPr>
            <w:tcW w:w="6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240" w:type="dxa"/>
            <w:vAlign w:val="bottom"/>
            <w:tcBorders>
              <w:bottom w:val="single" w:sz="8" w:color="2C6937"/>
            </w:tcBorders>
          </w:tcPr>
          <w:p>
            <w:pPr>
              <w:spacing w:after="0"/>
              <w:rPr>
                <w:sz w:val="17"/>
                <w:szCs w:val="17"/>
                <w:color w:val="auto"/>
              </w:rPr>
            </w:pPr>
          </w:p>
        </w:tc>
        <w:tc>
          <w:tcPr>
            <w:tcW w:w="68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220" w:type="dxa"/>
            <w:vAlign w:val="bottom"/>
            <w:tcBorders>
              <w:bottom w:val="single" w:sz="8" w:color="2C6937"/>
            </w:tcBorders>
          </w:tcPr>
          <w:p>
            <w:pPr>
              <w:spacing w:after="0"/>
              <w:rPr>
                <w:sz w:val="17"/>
                <w:szCs w:val="17"/>
                <w:color w:val="auto"/>
              </w:rPr>
            </w:pPr>
          </w:p>
        </w:tc>
        <w:tc>
          <w:tcPr>
            <w:tcW w:w="68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360" w:type="dxa"/>
            <w:vAlign w:val="bottom"/>
            <w:tcBorders>
              <w:bottom w:val="single" w:sz="8" w:color="2C6937"/>
            </w:tcBorders>
            <w:gridSpan w:val="4"/>
          </w:tcPr>
          <w:p>
            <w:pPr>
              <w:ind w:left="20"/>
              <w:spacing w:after="0"/>
              <w:rPr>
                <w:sz w:val="20"/>
                <w:szCs w:val="20"/>
                <w:color w:val="auto"/>
              </w:rPr>
            </w:pPr>
            <w:r>
              <w:rPr>
                <w:rFonts w:ascii="Arial" w:cs="Arial" w:eastAsia="Arial" w:hAnsi="Arial"/>
                <w:sz w:val="14"/>
                <w:szCs w:val="14"/>
                <w:b w:val="1"/>
                <w:bCs w:val="1"/>
                <w:color w:val="auto"/>
                <w:w w:val="94"/>
              </w:rPr>
              <w:t>Year of Origination</w:t>
            </w:r>
            <w:r>
              <w:rPr>
                <w:rFonts w:ascii="Arial" w:cs="Arial" w:eastAsia="Arial" w:hAnsi="Arial"/>
                <w:sz w:val="17"/>
                <w:szCs w:val="17"/>
                <w:b w:val="1"/>
                <w:bCs w:val="1"/>
                <w:color w:val="auto"/>
                <w:w w:val="94"/>
                <w:vertAlign w:val="superscript"/>
              </w:rPr>
              <w:t>(1)</w:t>
            </w:r>
          </w:p>
        </w:tc>
        <w:tc>
          <w:tcPr>
            <w:tcW w:w="54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22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220" w:type="dxa"/>
            <w:vAlign w:val="bottom"/>
            <w:tcBorders>
              <w:bottom w:val="single" w:sz="8" w:color="2C6937"/>
            </w:tcBorders>
          </w:tcPr>
          <w:p>
            <w:pPr>
              <w:spacing w:after="0"/>
              <w:rPr>
                <w:sz w:val="17"/>
                <w:szCs w:val="17"/>
                <w:color w:val="auto"/>
              </w:rPr>
            </w:pPr>
          </w:p>
        </w:tc>
        <w:tc>
          <w:tcPr>
            <w:tcW w:w="760" w:type="dxa"/>
            <w:vAlign w:val="bottom"/>
            <w:tcBorders>
              <w:bottom w:val="single" w:sz="8" w:color="2C6937"/>
            </w:tcBorders>
          </w:tcPr>
          <w:p>
            <w:pPr>
              <w:spacing w:after="0"/>
              <w:rPr>
                <w:sz w:val="17"/>
                <w:szCs w:val="17"/>
                <w:color w:val="auto"/>
              </w:rPr>
            </w:pPr>
          </w:p>
        </w:tc>
        <w:tc>
          <w:tcPr>
            <w:tcW w:w="220" w:type="dxa"/>
            <w:vAlign w:val="bottom"/>
            <w:tcBorders>
              <w:bottom w:val="single" w:sz="8" w:color="2C6937"/>
            </w:tcBorders>
          </w:tcPr>
          <w:p>
            <w:pPr>
              <w:spacing w:after="0"/>
              <w:rPr>
                <w:sz w:val="17"/>
                <w:szCs w:val="17"/>
                <w:color w:val="auto"/>
              </w:rPr>
            </w:pPr>
          </w:p>
        </w:tc>
      </w:tr>
      <w:tr>
        <w:trPr>
          <w:trHeight w:val="211"/>
        </w:trPr>
        <w:tc>
          <w:tcPr>
            <w:tcW w:w="100" w:type="dxa"/>
            <w:vAlign w:val="bottom"/>
          </w:tcPr>
          <w:p>
            <w:pPr>
              <w:spacing w:after="0"/>
              <w:rPr>
                <w:sz w:val="18"/>
                <w:szCs w:val="18"/>
                <w:color w:val="auto"/>
              </w:rPr>
            </w:pPr>
          </w:p>
        </w:tc>
        <w:tc>
          <w:tcPr>
            <w:tcW w:w="60" w:type="dxa"/>
            <w:vAlign w:val="bottom"/>
            <w:tcBorders>
              <w:bottom w:val="single" w:sz="8" w:color="2C6937"/>
            </w:tcBorders>
          </w:tcPr>
          <w:p>
            <w:pPr>
              <w:spacing w:after="0"/>
              <w:rPr>
                <w:sz w:val="18"/>
                <w:szCs w:val="18"/>
                <w:color w:val="auto"/>
              </w:rPr>
            </w:pPr>
          </w:p>
        </w:tc>
        <w:tc>
          <w:tcPr>
            <w:tcW w:w="740" w:type="dxa"/>
            <w:vAlign w:val="bottom"/>
            <w:tcBorders>
              <w:bottom w:val="single" w:sz="8" w:color="2C6937"/>
            </w:tcBorders>
          </w:tcPr>
          <w:p>
            <w:pPr>
              <w:jc w:val="right"/>
              <w:ind w:right="12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2C6937"/>
            </w:tcBorders>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ind w:right="12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2C6937"/>
            </w:tcBorders>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ind w:right="10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2C6937"/>
            </w:tcBorders>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660" w:type="dxa"/>
            <w:vAlign w:val="bottom"/>
            <w:tcBorders>
              <w:bottom w:val="single" w:sz="8" w:color="2C6937"/>
            </w:tcBorders>
          </w:tcPr>
          <w:p>
            <w:pPr>
              <w:jc w:val="right"/>
              <w:ind w:right="8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2C6937"/>
            </w:tcBorders>
          </w:tcPr>
          <w:p>
            <w:pPr>
              <w:spacing w:after="0"/>
              <w:rPr>
                <w:sz w:val="18"/>
                <w:szCs w:val="18"/>
                <w:color w:val="auto"/>
              </w:rPr>
            </w:pPr>
          </w:p>
        </w:tc>
        <w:tc>
          <w:tcPr>
            <w:tcW w:w="360" w:type="dxa"/>
            <w:vAlign w:val="bottom"/>
            <w:tcBorders>
              <w:bottom w:val="single" w:sz="8" w:color="2C6937"/>
            </w:tcBorders>
          </w:tcPr>
          <w:p>
            <w:pPr>
              <w:spacing w:after="0"/>
              <w:rPr>
                <w:sz w:val="18"/>
                <w:szCs w:val="18"/>
                <w:color w:val="auto"/>
              </w:rPr>
            </w:pPr>
          </w:p>
        </w:tc>
        <w:tc>
          <w:tcPr>
            <w:tcW w:w="540" w:type="dxa"/>
            <w:vAlign w:val="bottom"/>
            <w:tcBorders>
              <w:bottom w:val="single" w:sz="8" w:color="2C6937"/>
            </w:tcBorders>
          </w:tcPr>
          <w:p>
            <w:pPr>
              <w:jc w:val="right"/>
              <w:ind w:right="4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2C6937"/>
            </w:tcBorders>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gridSpan w:val="2"/>
          </w:tcPr>
          <w:p>
            <w:pPr>
              <w:ind w:left="280"/>
              <w:spacing w:after="0"/>
              <w:rPr>
                <w:sz w:val="20"/>
                <w:szCs w:val="20"/>
                <w:color w:val="auto"/>
              </w:rPr>
            </w:pPr>
            <w:r>
              <w:rPr>
                <w:rFonts w:ascii="Arial" w:cs="Arial" w:eastAsia="Arial" w:hAnsi="Arial"/>
                <w:sz w:val="14"/>
                <w:szCs w:val="14"/>
                <w:b w:val="1"/>
                <w:bCs w:val="1"/>
                <w:color w:val="auto"/>
              </w:rPr>
              <w:t>Prior</w:t>
            </w:r>
          </w:p>
        </w:tc>
        <w:tc>
          <w:tcPr>
            <w:tcW w:w="220" w:type="dxa"/>
            <w:vAlign w:val="bottom"/>
            <w:tcBorders>
              <w:bottom w:val="single" w:sz="8" w:color="2C6937"/>
            </w:tcBorders>
          </w:tcPr>
          <w:p>
            <w:pPr>
              <w:spacing w:after="0"/>
              <w:rPr>
                <w:sz w:val="18"/>
                <w:szCs w:val="18"/>
                <w:color w:val="auto"/>
              </w:rPr>
            </w:pPr>
          </w:p>
        </w:tc>
        <w:tc>
          <w:tcPr>
            <w:tcW w:w="980" w:type="dxa"/>
            <w:vAlign w:val="bottom"/>
            <w:tcBorders>
              <w:bottom w:val="single" w:sz="8" w:color="2C6937"/>
            </w:tcBorders>
            <w:gridSpan w:val="2"/>
          </w:tcPr>
          <w:p>
            <w:pPr>
              <w:ind w:left="320"/>
              <w:spacing w:after="0"/>
              <w:rPr>
                <w:sz w:val="20"/>
                <w:szCs w:val="20"/>
                <w:color w:val="auto"/>
              </w:rPr>
            </w:pPr>
            <w:r>
              <w:rPr>
                <w:rFonts w:ascii="Arial" w:cs="Arial" w:eastAsia="Arial" w:hAnsi="Arial"/>
                <w:sz w:val="14"/>
                <w:szCs w:val="14"/>
                <w:b w:val="1"/>
                <w:bCs w:val="1"/>
                <w:color w:val="auto"/>
              </w:rPr>
              <w:t>Total</w:t>
            </w:r>
          </w:p>
        </w:tc>
      </w:tr>
      <w:tr>
        <w:trPr>
          <w:trHeight w:val="276"/>
        </w:trPr>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6"/>
              </w:rPr>
              <w:t>(Dollars in millions)</w:t>
            </w: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r>
    </w:tbl>
    <w:p>
      <w:pPr>
        <w:spacing w:after="0" w:line="105" w:lineRule="exact"/>
        <w:rPr>
          <w:sz w:val="20"/>
          <w:szCs w:val="20"/>
          <w:color w:val="auto"/>
        </w:rPr>
      </w:pPr>
    </w:p>
    <w:p>
      <w:pPr>
        <w:sectPr>
          <w:pgSz w:w="11900" w:h="16838" w:orient="portrait"/>
          <w:cols w:equalWidth="0" w:num="2">
            <w:col w:w="3200" w:space="720"/>
            <w:col w:w="7320"/>
          </w:cols>
          <w:pgMar w:left="320" w:top="248" w:right="339" w:bottom="144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4020" w:type="dxa"/>
            <w:vAlign w:val="bottom"/>
            <w:gridSpan w:val="2"/>
          </w:tcPr>
          <w:p>
            <w:pPr>
              <w:ind w:left="20"/>
              <w:spacing w:after="0"/>
              <w:rPr>
                <w:sz w:val="20"/>
                <w:szCs w:val="20"/>
                <w:color w:val="auto"/>
              </w:rPr>
            </w:pPr>
            <w:r>
              <w:rPr>
                <w:rFonts w:ascii="Arial" w:cs="Arial" w:eastAsia="Arial" w:hAnsi="Arial"/>
                <w:sz w:val="15"/>
                <w:szCs w:val="15"/>
                <w:color w:val="auto"/>
              </w:rPr>
              <w:t>Internally assigned credit risk rating:</w:t>
            </w: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337"/>
        </w:trPr>
        <w:tc>
          <w:tcPr>
            <w:tcW w:w="4020" w:type="dxa"/>
            <w:vAlign w:val="bottom"/>
            <w:gridSpan w:val="2"/>
          </w:tcPr>
          <w:p>
            <w:pPr>
              <w:ind w:left="180"/>
              <w:spacing w:after="0"/>
              <w:rPr>
                <w:sz w:val="20"/>
                <w:szCs w:val="20"/>
                <w:color w:val="auto"/>
              </w:rPr>
            </w:pPr>
            <w:r>
              <w:rPr>
                <w:rFonts w:ascii="Arial" w:cs="Arial" w:eastAsia="Arial" w:hAnsi="Arial"/>
                <w:sz w:val="15"/>
                <w:szCs w:val="15"/>
                <w:color w:val="auto"/>
              </w:rPr>
              <w:t>Pass</w:t>
            </w:r>
            <w:r>
              <w:rPr>
                <w:rFonts w:ascii="Arial" w:cs="Arial" w:eastAsia="Arial" w:hAnsi="Arial"/>
                <w:sz w:val="20"/>
                <w:szCs w:val="20"/>
                <w:color w:val="auto"/>
                <w:vertAlign w:val="superscript"/>
              </w:rPr>
              <w:t>(2)</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49,944</w:t>
            </w:r>
          </w:p>
        </w:tc>
        <w:tc>
          <w:tcPr>
            <w:tcW w:w="120" w:type="dxa"/>
            <w:vAlign w:val="bottom"/>
          </w:tcPr>
          <w:p>
            <w:pPr>
              <w:spacing w:after="0"/>
              <w:rPr>
                <w:sz w:val="24"/>
                <w:szCs w:val="24"/>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51,380</w:t>
            </w:r>
          </w:p>
        </w:tc>
        <w:tc>
          <w:tcPr>
            <w:tcW w:w="100" w:type="dxa"/>
            <w:vAlign w:val="bottom"/>
          </w:tcPr>
          <w:p>
            <w:pPr>
              <w:spacing w:after="0"/>
              <w:rPr>
                <w:sz w:val="24"/>
                <w:szCs w:val="24"/>
                <w:color w:val="auto"/>
              </w:rPr>
            </w:pPr>
          </w:p>
        </w:tc>
        <w:tc>
          <w:tcPr>
            <w:tcW w:w="2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60,563</w:t>
            </w:r>
          </w:p>
        </w:tc>
        <w:tc>
          <w:tcPr>
            <w:tcW w:w="100" w:type="dxa"/>
            <w:vAlign w:val="bottom"/>
          </w:tcPr>
          <w:p>
            <w:pPr>
              <w:spacing w:after="0"/>
              <w:rPr>
                <w:sz w:val="24"/>
                <w:szCs w:val="24"/>
                <w:color w:val="auto"/>
              </w:rPr>
            </w:pPr>
          </w:p>
        </w:tc>
        <w:tc>
          <w:tcPr>
            <w:tcW w:w="2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3"/>
              <w:spacing w:after="0"/>
              <w:rPr>
                <w:sz w:val="20"/>
                <w:szCs w:val="20"/>
                <w:color w:val="auto"/>
              </w:rPr>
            </w:pPr>
            <w:r>
              <w:rPr>
                <w:rFonts w:ascii="Arial" w:cs="Arial" w:eastAsia="Arial" w:hAnsi="Arial"/>
                <w:sz w:val="15"/>
                <w:szCs w:val="15"/>
                <w:color w:val="auto"/>
              </w:rPr>
              <w:t>72,791</w:t>
            </w:r>
          </w:p>
        </w:tc>
        <w:tc>
          <w:tcPr>
            <w:tcW w:w="100" w:type="dxa"/>
            <w:vAlign w:val="bottom"/>
          </w:tcPr>
          <w:p>
            <w:pPr>
              <w:spacing w:after="0"/>
              <w:rPr>
                <w:sz w:val="24"/>
                <w:szCs w:val="24"/>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56,901</w:t>
            </w:r>
          </w:p>
        </w:tc>
        <w:tc>
          <w:tcPr>
            <w:tcW w:w="120" w:type="dxa"/>
            <w:vAlign w:val="bottom"/>
          </w:tcPr>
          <w:p>
            <w:pPr>
              <w:spacing w:after="0"/>
              <w:rPr>
                <w:sz w:val="24"/>
                <w:szCs w:val="24"/>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136,860</w:t>
            </w:r>
          </w:p>
        </w:tc>
        <w:tc>
          <w:tcPr>
            <w:tcW w:w="100" w:type="dxa"/>
            <w:vAlign w:val="bottom"/>
          </w:tcPr>
          <w:p>
            <w:pPr>
              <w:spacing w:after="0"/>
              <w:rPr>
                <w:sz w:val="24"/>
                <w:szCs w:val="24"/>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428,439</w:t>
            </w:r>
          </w:p>
        </w:tc>
      </w:tr>
      <w:tr>
        <w:trPr>
          <w:trHeight w:val="232"/>
        </w:trPr>
        <w:tc>
          <w:tcPr>
            <w:tcW w:w="4020" w:type="dxa"/>
            <w:vAlign w:val="bottom"/>
            <w:gridSpan w:val="2"/>
          </w:tcPr>
          <w:p>
            <w:pPr>
              <w:ind w:left="180"/>
              <w:spacing w:after="0"/>
              <w:rPr>
                <w:sz w:val="20"/>
                <w:szCs w:val="20"/>
                <w:color w:val="auto"/>
              </w:rPr>
            </w:pPr>
            <w:r>
              <w:rPr>
                <w:rFonts w:ascii="Arial" w:cs="Arial" w:eastAsia="Arial" w:hAnsi="Arial"/>
                <w:sz w:val="15"/>
                <w:szCs w:val="15"/>
                <w:color w:val="auto"/>
              </w:rPr>
              <w:t>Special mention</w:t>
            </w:r>
            <w:r>
              <w:rPr>
                <w:rFonts w:ascii="Arial" w:cs="Arial" w:eastAsia="Arial" w:hAnsi="Arial"/>
                <w:sz w:val="20"/>
                <w:szCs w:val="20"/>
                <w:color w:val="auto"/>
                <w:vertAlign w:val="superscript"/>
              </w:rPr>
              <w:t>(3)</w:t>
            </w: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181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ind w:right="3"/>
              <w:spacing w:after="0"/>
              <w:rPr>
                <w:sz w:val="20"/>
                <w:szCs w:val="20"/>
                <w:color w:val="auto"/>
              </w:rPr>
            </w:pPr>
            <w:r>
              <w:rPr>
                <w:rFonts w:ascii="Arial" w:cs="Arial" w:eastAsia="Arial" w:hAnsi="Arial"/>
                <w:sz w:val="15"/>
                <w:szCs w:val="15"/>
                <w:color w:val="auto"/>
              </w:rPr>
              <w:t>32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130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404</w:t>
            </w:r>
          </w:p>
        </w:tc>
      </w:tr>
      <w:tr>
        <w:trPr>
          <w:trHeight w:val="271"/>
        </w:trPr>
        <w:tc>
          <w:tcPr>
            <w:tcW w:w="4020" w:type="dxa"/>
            <w:vAlign w:val="bottom"/>
            <w:gridSpan w:val="2"/>
          </w:tcPr>
          <w:p>
            <w:pPr>
              <w:ind w:left="180"/>
              <w:spacing w:after="0"/>
              <w:rPr>
                <w:sz w:val="20"/>
                <w:szCs w:val="20"/>
                <w:color w:val="auto"/>
              </w:rPr>
            </w:pPr>
            <w:r>
              <w:rPr>
                <w:rFonts w:ascii="Arial" w:cs="Arial" w:eastAsia="Arial" w:hAnsi="Arial"/>
                <w:sz w:val="15"/>
                <w:szCs w:val="15"/>
                <w:color w:val="auto"/>
              </w:rPr>
              <w:t>Substandard</w:t>
            </w:r>
            <w:r>
              <w:rPr>
                <w:rFonts w:ascii="Arial" w:cs="Arial" w:eastAsia="Arial" w:hAnsi="Arial"/>
                <w:sz w:val="20"/>
                <w:szCs w:val="20"/>
                <w:color w:val="auto"/>
                <w:vertAlign w:val="superscript"/>
              </w:rPr>
              <w:t>(4)</w:t>
            </w:r>
          </w:p>
        </w:tc>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521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9,517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3,654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jc w:val="right"/>
              <w:ind w:right="3"/>
              <w:spacing w:after="0"/>
              <w:rPr>
                <w:sz w:val="20"/>
                <w:szCs w:val="20"/>
                <w:color w:val="auto"/>
              </w:rPr>
            </w:pPr>
            <w:r>
              <w:rPr>
                <w:rFonts w:ascii="Arial" w:cs="Arial" w:eastAsia="Arial" w:hAnsi="Arial"/>
                <w:sz w:val="15"/>
                <w:szCs w:val="15"/>
                <w:color w:val="auto"/>
              </w:rPr>
              <w:t>2,703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3,893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12,188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32,476</w:t>
            </w:r>
          </w:p>
        </w:tc>
      </w:tr>
      <w:tr>
        <w:trPr>
          <w:trHeight w:val="257"/>
        </w:trPr>
        <w:tc>
          <w:tcPr>
            <w:tcW w:w="390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Doubtful</w:t>
            </w:r>
            <w:r>
              <w:rPr>
                <w:rFonts w:ascii="Arial" w:cs="Arial" w:eastAsia="Arial" w:hAnsi="Arial"/>
                <w:sz w:val="20"/>
                <w:szCs w:val="20"/>
                <w:color w:val="auto"/>
                <w:vertAlign w:val="superscript"/>
              </w:rPr>
              <w:t>(5)</w:t>
            </w:r>
          </w:p>
        </w:tc>
        <w:tc>
          <w:tcPr>
            <w:tcW w:w="120" w:type="dxa"/>
            <w:vAlign w:val="bottom"/>
          </w:tcPr>
          <w:p>
            <w:pPr>
              <w:spacing w:after="0"/>
              <w:rPr>
                <w:sz w:val="22"/>
                <w:szCs w:val="22"/>
                <w:color w:val="auto"/>
              </w:rPr>
            </w:pPr>
          </w:p>
        </w:tc>
        <w:tc>
          <w:tcPr>
            <w:tcW w:w="240" w:type="dxa"/>
            <w:vAlign w:val="bottom"/>
            <w:tcBorders>
              <w:bottom w:val="single" w:sz="8" w:color="2C6937"/>
            </w:tcBorders>
          </w:tcPr>
          <w:p>
            <w:pPr>
              <w:spacing w:after="0"/>
              <w:rPr>
                <w:sz w:val="22"/>
                <w:szCs w:val="22"/>
                <w:color w:val="auto"/>
              </w:rPr>
            </w:pPr>
          </w:p>
        </w:tc>
        <w:tc>
          <w:tcPr>
            <w:tcW w:w="6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25</w:t>
            </w:r>
          </w:p>
        </w:tc>
        <w:tc>
          <w:tcPr>
            <w:tcW w:w="120" w:type="dxa"/>
            <w:vAlign w:val="bottom"/>
          </w:tcPr>
          <w:p>
            <w:pPr>
              <w:spacing w:after="0"/>
              <w:rPr>
                <w:sz w:val="22"/>
                <w:szCs w:val="22"/>
                <w:color w:val="auto"/>
              </w:rPr>
            </w:pPr>
          </w:p>
        </w:tc>
        <w:tc>
          <w:tcPr>
            <w:tcW w:w="220" w:type="dxa"/>
            <w:vAlign w:val="bottom"/>
            <w:tcBorders>
              <w:bottom w:val="single" w:sz="8" w:color="2C6937"/>
            </w:tcBorders>
          </w:tcPr>
          <w:p>
            <w:pPr>
              <w:spacing w:after="0"/>
              <w:rPr>
                <w:sz w:val="22"/>
                <w:szCs w:val="22"/>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2"/>
                <w:szCs w:val="22"/>
                <w:color w:val="auto"/>
              </w:rPr>
            </w:pPr>
          </w:p>
        </w:tc>
        <w:tc>
          <w:tcPr>
            <w:tcW w:w="240" w:type="dxa"/>
            <w:vAlign w:val="bottom"/>
            <w:tcBorders>
              <w:bottom w:val="single" w:sz="8" w:color="2C6937"/>
            </w:tcBorders>
          </w:tcPr>
          <w:p>
            <w:pPr>
              <w:spacing w:after="0"/>
              <w:rPr>
                <w:sz w:val="22"/>
                <w:szCs w:val="22"/>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2"/>
                <w:szCs w:val="22"/>
                <w:color w:val="auto"/>
              </w:rPr>
            </w:pPr>
          </w:p>
        </w:tc>
        <w:tc>
          <w:tcPr>
            <w:tcW w:w="260" w:type="dxa"/>
            <w:vAlign w:val="bottom"/>
            <w:tcBorders>
              <w:bottom w:val="single" w:sz="8" w:color="2C6937"/>
            </w:tcBorders>
          </w:tcPr>
          <w:p>
            <w:pPr>
              <w:spacing w:after="0"/>
              <w:rPr>
                <w:sz w:val="22"/>
                <w:szCs w:val="22"/>
                <w:color w:val="auto"/>
              </w:rPr>
            </w:pPr>
          </w:p>
        </w:tc>
        <w:tc>
          <w:tcPr>
            <w:tcW w:w="6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2"/>
                <w:szCs w:val="22"/>
                <w:color w:val="auto"/>
              </w:rPr>
            </w:pPr>
          </w:p>
        </w:tc>
        <w:tc>
          <w:tcPr>
            <w:tcW w:w="240" w:type="dxa"/>
            <w:vAlign w:val="bottom"/>
            <w:tcBorders>
              <w:bottom w:val="single" w:sz="8" w:color="2C6937"/>
            </w:tcBorders>
          </w:tcPr>
          <w:p>
            <w:pPr>
              <w:spacing w:after="0"/>
              <w:rPr>
                <w:sz w:val="22"/>
                <w:szCs w:val="22"/>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w:t>
            </w:r>
          </w:p>
        </w:tc>
        <w:tc>
          <w:tcPr>
            <w:tcW w:w="120" w:type="dxa"/>
            <w:vAlign w:val="bottom"/>
          </w:tcPr>
          <w:p>
            <w:pPr>
              <w:spacing w:after="0"/>
              <w:rPr>
                <w:sz w:val="22"/>
                <w:szCs w:val="22"/>
                <w:color w:val="auto"/>
              </w:rPr>
            </w:pPr>
          </w:p>
        </w:tc>
        <w:tc>
          <w:tcPr>
            <w:tcW w:w="22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2"/>
                <w:szCs w:val="22"/>
                <w:color w:val="auto"/>
              </w:rPr>
            </w:pPr>
          </w:p>
        </w:tc>
        <w:tc>
          <w:tcPr>
            <w:tcW w:w="26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35</w:t>
            </w:r>
          </w:p>
        </w:tc>
      </w:tr>
      <w:tr>
        <w:trPr>
          <w:trHeight w:val="302"/>
        </w:trPr>
        <w:tc>
          <w:tcPr>
            <w:tcW w:w="4020" w:type="dxa"/>
            <w:vAlign w:val="bottom"/>
            <w:gridSpan w:val="2"/>
          </w:tcPr>
          <w:p>
            <w:pPr>
              <w:ind w:left="320"/>
              <w:spacing w:after="0"/>
              <w:rPr>
                <w:sz w:val="20"/>
                <w:szCs w:val="20"/>
                <w:color w:val="auto"/>
              </w:rPr>
            </w:pPr>
            <w:r>
              <w:rPr>
                <w:rFonts w:ascii="Arial" w:cs="Arial" w:eastAsia="Arial" w:hAnsi="Arial"/>
                <w:sz w:val="15"/>
                <w:szCs w:val="15"/>
                <w:color w:val="auto"/>
              </w:rPr>
              <w:t>Total</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50,494</w:t>
            </w:r>
          </w:p>
        </w:tc>
        <w:tc>
          <w:tcPr>
            <w:tcW w:w="120" w:type="dxa"/>
            <w:vAlign w:val="bottom"/>
          </w:tcPr>
          <w:p>
            <w:pPr>
              <w:spacing w:after="0"/>
              <w:rPr>
                <w:sz w:val="24"/>
                <w:szCs w:val="24"/>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60,908</w:t>
            </w:r>
          </w:p>
        </w:tc>
        <w:tc>
          <w:tcPr>
            <w:tcW w:w="100" w:type="dxa"/>
            <w:vAlign w:val="bottom"/>
          </w:tcPr>
          <w:p>
            <w:pPr>
              <w:spacing w:after="0"/>
              <w:rPr>
                <w:sz w:val="24"/>
                <w:szCs w:val="24"/>
                <w:color w:val="auto"/>
              </w:rPr>
            </w:pPr>
          </w:p>
        </w:tc>
        <w:tc>
          <w:tcPr>
            <w:tcW w:w="2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64,398</w:t>
            </w:r>
          </w:p>
        </w:tc>
        <w:tc>
          <w:tcPr>
            <w:tcW w:w="100" w:type="dxa"/>
            <w:vAlign w:val="bottom"/>
          </w:tcPr>
          <w:p>
            <w:pPr>
              <w:spacing w:after="0"/>
              <w:rPr>
                <w:sz w:val="24"/>
                <w:szCs w:val="24"/>
                <w:color w:val="auto"/>
              </w:rPr>
            </w:pPr>
          </w:p>
        </w:tc>
        <w:tc>
          <w:tcPr>
            <w:tcW w:w="2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3"/>
              <w:spacing w:after="0"/>
              <w:rPr>
                <w:sz w:val="20"/>
                <w:szCs w:val="20"/>
                <w:color w:val="auto"/>
              </w:rPr>
            </w:pPr>
            <w:r>
              <w:rPr>
                <w:rFonts w:ascii="Arial" w:cs="Arial" w:eastAsia="Arial" w:hAnsi="Arial"/>
                <w:sz w:val="15"/>
                <w:szCs w:val="15"/>
                <w:color w:val="auto"/>
              </w:rPr>
              <w:t>75,526</w:t>
            </w:r>
          </w:p>
        </w:tc>
        <w:tc>
          <w:tcPr>
            <w:tcW w:w="100" w:type="dxa"/>
            <w:vAlign w:val="bottom"/>
          </w:tcPr>
          <w:p>
            <w:pPr>
              <w:spacing w:after="0"/>
              <w:rPr>
                <w:sz w:val="24"/>
                <w:szCs w:val="24"/>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60,850</w:t>
            </w:r>
          </w:p>
        </w:tc>
        <w:tc>
          <w:tcPr>
            <w:tcW w:w="120" w:type="dxa"/>
            <w:vAlign w:val="bottom"/>
          </w:tcPr>
          <w:p>
            <w:pPr>
              <w:spacing w:after="0"/>
              <w:rPr>
                <w:sz w:val="24"/>
                <w:szCs w:val="24"/>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149,178</w:t>
            </w:r>
          </w:p>
        </w:tc>
        <w:tc>
          <w:tcPr>
            <w:tcW w:w="100" w:type="dxa"/>
            <w:vAlign w:val="bottom"/>
          </w:tcPr>
          <w:p>
            <w:pPr>
              <w:spacing w:after="0"/>
              <w:rPr>
                <w:sz w:val="24"/>
                <w:szCs w:val="24"/>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461,354</w:t>
            </w:r>
          </w:p>
        </w:tc>
      </w:tr>
      <w:tr>
        <w:trPr>
          <w:trHeight w:val="20"/>
        </w:trPr>
        <w:tc>
          <w:tcPr>
            <w:tcW w:w="390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66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7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760" w:type="dxa"/>
            <w:vAlign w:val="bottom"/>
            <w:tcBorders>
              <w:top w:val="single" w:sz="8" w:color="2C6937"/>
              <w:bottom w:val="single" w:sz="8" w:color="2C6937"/>
            </w:tcBorders>
          </w:tcPr>
          <w:p>
            <w:pPr>
              <w:spacing w:after="0" w:line="20" w:lineRule="exact"/>
              <w:rPr>
                <w:sz w:val="1"/>
                <w:szCs w:val="1"/>
                <w:color w:val="auto"/>
              </w:rPr>
            </w:pPr>
          </w:p>
        </w:tc>
      </w:tr>
      <w:tr>
        <w:trPr>
          <w:trHeight w:val="223"/>
        </w:trPr>
        <w:tc>
          <w:tcPr>
            <w:tcW w:w="4020" w:type="dxa"/>
            <w:vAlign w:val="bottom"/>
            <w:gridSpan w:val="2"/>
          </w:tcPr>
          <w:p>
            <w:pPr>
              <w:ind w:left="440"/>
              <w:spacing w:after="0"/>
              <w:rPr>
                <w:sz w:val="20"/>
                <w:szCs w:val="20"/>
                <w:color w:val="auto"/>
              </w:rPr>
            </w:pPr>
            <w:r>
              <w:rPr>
                <w:rFonts w:ascii="Arial" w:cs="Arial" w:eastAsia="Arial" w:hAnsi="Arial"/>
                <w:sz w:val="15"/>
                <w:szCs w:val="15"/>
                <w:color w:val="auto"/>
              </w:rPr>
              <w:t>Current-year write-offs</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9"/>
                <w:szCs w:val="19"/>
                <w:color w:val="auto"/>
              </w:rPr>
            </w:pPr>
          </w:p>
        </w:tc>
        <w:tc>
          <w:tcPr>
            <w:tcW w:w="2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9"/>
                <w:szCs w:val="19"/>
                <w:color w:val="auto"/>
              </w:rPr>
            </w:pPr>
          </w:p>
        </w:tc>
        <w:tc>
          <w:tcPr>
            <w:tcW w:w="2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3"/>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19"/>
                <w:szCs w:val="19"/>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23</w:t>
            </w:r>
          </w:p>
        </w:tc>
        <w:tc>
          <w:tcPr>
            <w:tcW w:w="120" w:type="dxa"/>
            <w:vAlign w:val="bottom"/>
          </w:tcPr>
          <w:p>
            <w:pPr>
              <w:spacing w:after="0"/>
              <w:rPr>
                <w:sz w:val="19"/>
                <w:szCs w:val="19"/>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365</w:t>
            </w:r>
          </w:p>
        </w:tc>
        <w:tc>
          <w:tcPr>
            <w:tcW w:w="100" w:type="dxa"/>
            <w:vAlign w:val="bottom"/>
          </w:tcPr>
          <w:p>
            <w:pPr>
              <w:spacing w:after="0"/>
              <w:rPr>
                <w:sz w:val="19"/>
                <w:szCs w:val="19"/>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401</w:t>
            </w:r>
          </w:p>
        </w:tc>
      </w:tr>
    </w:tbl>
    <w:p>
      <w:pPr>
        <w:spacing w:after="0" w:line="110" w:lineRule="exact"/>
        <w:rPr>
          <w:sz w:val="20"/>
          <w:szCs w:val="20"/>
          <w:color w:val="auto"/>
        </w:rPr>
      </w:pPr>
    </w:p>
    <w:p>
      <w:pPr>
        <w:ind w:left="220" w:hanging="217"/>
        <w:spacing w:after="0"/>
        <w:tabs>
          <w:tab w:leader="none" w:pos="220" w:val="left"/>
        </w:tabs>
        <w:numPr>
          <w:ilvl w:val="0"/>
          <w:numId w:val="73"/>
        </w:numPr>
        <w:rPr>
          <w:rFonts w:ascii="Arial" w:cs="Arial" w:eastAsia="Arial" w:hAnsi="Arial"/>
          <w:sz w:val="9"/>
          <w:szCs w:val="9"/>
          <w:color w:val="auto"/>
        </w:rPr>
      </w:pPr>
      <w:r>
        <w:rPr>
          <w:rFonts w:ascii="Arial" w:cs="Arial" w:eastAsia="Arial" w:hAnsi="Arial"/>
          <w:sz w:val="14"/>
          <w:szCs w:val="14"/>
          <w:color w:val="auto"/>
        </w:rPr>
        <w:t>Year of loan origination may not be the same as the period in which we subsequently acquired the loan.</w:t>
      </w:r>
    </w:p>
    <w:p>
      <w:pPr>
        <w:spacing w:after="0" w:line="45" w:lineRule="exact"/>
        <w:rPr>
          <w:rFonts w:ascii="Arial" w:cs="Arial" w:eastAsia="Arial" w:hAnsi="Arial"/>
          <w:sz w:val="9"/>
          <w:szCs w:val="9"/>
          <w:color w:val="auto"/>
        </w:rPr>
      </w:pPr>
    </w:p>
    <w:p>
      <w:pPr>
        <w:ind w:left="220" w:hanging="217"/>
        <w:spacing w:after="0"/>
        <w:tabs>
          <w:tab w:leader="none" w:pos="220" w:val="left"/>
        </w:tabs>
        <w:numPr>
          <w:ilvl w:val="0"/>
          <w:numId w:val="73"/>
        </w:numPr>
        <w:rPr>
          <w:rFonts w:ascii="Arial" w:cs="Arial" w:eastAsia="Arial" w:hAnsi="Arial"/>
          <w:sz w:val="9"/>
          <w:szCs w:val="9"/>
          <w:color w:val="auto"/>
        </w:rPr>
      </w:pPr>
      <w:r>
        <w:rPr>
          <w:rFonts w:ascii="Arial" w:cs="Arial" w:eastAsia="Arial" w:hAnsi="Arial"/>
          <w:sz w:val="14"/>
          <w:szCs w:val="14"/>
          <w:color w:val="auto"/>
        </w:rPr>
        <w:t>A loan categorized as “Pass” is current or adequately protected by the current financial strength and debt service capability of the borrower.</w:t>
      </w:r>
    </w:p>
    <w:p>
      <w:pPr>
        <w:spacing w:after="0" w:line="45" w:lineRule="exact"/>
        <w:rPr>
          <w:rFonts w:ascii="Arial" w:cs="Arial" w:eastAsia="Arial" w:hAnsi="Arial"/>
          <w:sz w:val="9"/>
          <w:szCs w:val="9"/>
          <w:color w:val="auto"/>
        </w:rPr>
      </w:pPr>
    </w:p>
    <w:p>
      <w:pPr>
        <w:ind w:left="240" w:right="120" w:hanging="237"/>
        <w:spacing w:after="0" w:line="226" w:lineRule="auto"/>
        <w:tabs>
          <w:tab w:leader="none" w:pos="233" w:val="left"/>
        </w:tabs>
        <w:numPr>
          <w:ilvl w:val="0"/>
          <w:numId w:val="73"/>
        </w:numPr>
        <w:rPr>
          <w:rFonts w:ascii="Arial" w:cs="Arial" w:eastAsia="Arial" w:hAnsi="Arial"/>
          <w:sz w:val="18"/>
          <w:szCs w:val="18"/>
          <w:color w:val="auto"/>
          <w:vertAlign w:val="superscript"/>
        </w:rPr>
      </w:pPr>
      <w:r>
        <w:rPr>
          <w:rFonts w:ascii="Arial" w:cs="Arial" w:eastAsia="Arial" w:hAnsi="Arial"/>
          <w:sz w:val="14"/>
          <w:szCs w:val="14"/>
          <w:color w:val="auto"/>
        </w:rPr>
        <w:t>“Special mention” refers to loans that are otherwise performing but have potential weaknesses that, if left uncorrected, may result in deterioration in the borrower’s ability to repay in full.</w:t>
      </w:r>
    </w:p>
    <w:p>
      <w:pPr>
        <w:spacing w:after="0" w:line="27" w:lineRule="exact"/>
        <w:rPr>
          <w:rFonts w:ascii="Arial" w:cs="Arial" w:eastAsia="Arial" w:hAnsi="Arial"/>
          <w:sz w:val="18"/>
          <w:szCs w:val="18"/>
          <w:color w:val="auto"/>
          <w:vertAlign w:val="superscript"/>
        </w:rPr>
      </w:pPr>
    </w:p>
    <w:p>
      <w:pPr>
        <w:ind w:left="240" w:right="100" w:hanging="237"/>
        <w:spacing w:after="0" w:line="226" w:lineRule="auto"/>
        <w:tabs>
          <w:tab w:leader="none" w:pos="233" w:val="left"/>
        </w:tabs>
        <w:numPr>
          <w:ilvl w:val="0"/>
          <w:numId w:val="73"/>
        </w:numPr>
        <w:rPr>
          <w:rFonts w:ascii="Arial" w:cs="Arial" w:eastAsia="Arial" w:hAnsi="Arial"/>
          <w:sz w:val="18"/>
          <w:szCs w:val="18"/>
          <w:color w:val="auto"/>
          <w:vertAlign w:val="superscript"/>
        </w:rPr>
      </w:pPr>
      <w:r>
        <w:rPr>
          <w:rFonts w:ascii="Arial" w:cs="Arial" w:eastAsia="Arial" w:hAnsi="Arial"/>
          <w:sz w:val="14"/>
          <w:szCs w:val="14"/>
          <w:color w:val="auto"/>
        </w:rPr>
        <w:t>Loans classified as “Substandard” have a well-defined weakness that jeopardizes the timely full repayment. We had seniors housing loans with an amortized cost of $4.5 billion and $6.9 billion as of September 30, 2024 and December 31, 2023, respectively, classified as substandard.</w:t>
      </w:r>
    </w:p>
    <w:p>
      <w:pPr>
        <w:spacing w:after="0" w:line="14"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73"/>
        </w:numPr>
        <w:rPr>
          <w:rFonts w:ascii="Arial" w:cs="Arial" w:eastAsia="Arial" w:hAnsi="Arial"/>
          <w:sz w:val="9"/>
          <w:szCs w:val="9"/>
          <w:color w:val="auto"/>
        </w:rPr>
      </w:pPr>
      <w:r>
        <w:rPr>
          <w:rFonts w:ascii="Arial" w:cs="Arial" w:eastAsia="Arial" w:hAnsi="Arial"/>
          <w:sz w:val="14"/>
          <w:szCs w:val="14"/>
          <w:color w:val="auto"/>
        </w:rPr>
        <w:t>“Doubtful” refers to a loan with a weakness that makes collection or liquidation in full highly questionable and improbable based on existing conditions and values.</w:t>
      </w:r>
    </w:p>
    <w:p>
      <w:pPr>
        <w:spacing w:after="0" w:line="116"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Loss Mitigation Options for Borrowers Experiencing Financial Difficulty</w:t>
      </w:r>
    </w:p>
    <w:p>
      <w:pPr>
        <w:spacing w:after="0" w:line="107" w:lineRule="exact"/>
        <w:rPr>
          <w:sz w:val="20"/>
          <w:szCs w:val="20"/>
          <w:color w:val="auto"/>
        </w:rPr>
      </w:pPr>
    </w:p>
    <w:p>
      <w:pPr>
        <w:ind w:right="420"/>
        <w:spacing w:after="0" w:line="293" w:lineRule="auto"/>
        <w:rPr>
          <w:sz w:val="20"/>
          <w:szCs w:val="20"/>
          <w:color w:val="auto"/>
        </w:rPr>
      </w:pPr>
      <w:r>
        <w:rPr>
          <w:rFonts w:ascii="Arial" w:cs="Arial" w:eastAsia="Arial" w:hAnsi="Arial"/>
          <w:sz w:val="16"/>
          <w:szCs w:val="16"/>
          <w:color w:val="auto"/>
        </w:rPr>
        <w:t>As part of our loss mitigation activities, we offer several types of loan restructurings to assist borrowers who experience financial difficulties. We do not typically offer principal forgiveness to our single-family or multifamily borrowers.</w:t>
      </w:r>
    </w:p>
    <w:p>
      <w:pPr>
        <w:spacing w:after="0" w:line="15"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For single-family borrowers, we may offer loan restructurings that are only in the form of a payment delay (</w:t>
      </w:r>
      <w:r>
        <w:rPr>
          <w:rFonts w:ascii="Arial" w:cs="Arial" w:eastAsia="Arial" w:hAnsi="Arial"/>
          <w:sz w:val="16"/>
          <w:szCs w:val="16"/>
          <w:i w:val="1"/>
          <w:iCs w:val="1"/>
          <w:color w:val="auto"/>
        </w:rPr>
        <w:t>e.g.,</w:t>
      </w:r>
      <w:r>
        <w:rPr>
          <w:rFonts w:ascii="Arial" w:cs="Arial" w:eastAsia="Arial" w:hAnsi="Arial"/>
          <w:sz w:val="16"/>
          <w:szCs w:val="16"/>
          <w:color w:val="auto"/>
        </w:rPr>
        <w:t xml:space="preserve"> a forbearance plan, a repayment plan, or a payment deferral). We may also offer loan modifications that contractually change the terms of the loan, generally after the successful completion of a three to four month trial period. Single-family loan modifications may result in the capitalization of past due amounts (a form of payment delay), an interest rate reduction, a term extension, a principal forbearance (which is another form of payment delay), or a combination thereof. During the trial period, the borrower makes reduced payments that are an estimate of the anticipated modified payment amount. Additionally, during the trial period, the mortgage loan is not contractually modified such that the loan continues to be reported as past due and the trial period is considered a form of payment delay with respect to the original contractual terms of the loan. See “Note 4, Mortgage Loans” in our 2023 Form 10-K for additional information about our single-family loss mitigation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368300</wp:posOffset>
            </wp:positionV>
            <wp:extent cx="680593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82" w:name="page83"/>
    <w:bookmarkEnd w:id="82"/>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For multifamily borrowers, loan restructurings include short-term forbearance plans and loan modification programs, which primarily result in term extensions of up to one year with no change to the loan’s interest rate. In certain cases, we may make more significant modifications of terms for borrowers experiencing financial difficulty, such as reducing the interest rate, converting to interest-only payments, extending the maturity for longer than one year, providing principal forbearance, or some combination of these terms. In some instances when a loan is restructured, we may require additional collateral, which may take the form of a guaranty from another entity, to further mitigate the risk of nonperformance.</w:t>
      </w:r>
    </w:p>
    <w:p>
      <w:pPr>
        <w:spacing w:after="0" w:line="38"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Below we provide disclosures relating to loan restructurings where borrowers were experiencing financial difficulty, including restructurings that resulted in an insignificant payment delay. The disclosures exclude loans classified as HFS and those for which we have elected the fair value option. See “Note 1, Summary of Significant Accounting Policies” in our 2023 Form 10-K for additional information on our accounting policies for single-family and multifamily loans that have been restructured.</w:t>
      </w:r>
    </w:p>
    <w:p>
      <w:pPr>
        <w:spacing w:after="0" w:line="79" w:lineRule="exact"/>
        <w:rPr>
          <w:sz w:val="20"/>
          <w:szCs w:val="20"/>
          <w:color w:val="auto"/>
        </w:rPr>
      </w:pPr>
    </w:p>
    <w:p>
      <w:pPr>
        <w:spacing w:after="0"/>
        <w:rPr>
          <w:sz w:val="20"/>
          <w:szCs w:val="20"/>
          <w:color w:val="auto"/>
        </w:rPr>
      </w:pPr>
      <w:r>
        <w:rPr>
          <w:rFonts w:ascii="Georgia" w:cs="Georgia" w:eastAsia="Georgia" w:hAnsi="Georgia"/>
          <w:sz w:val="21"/>
          <w:szCs w:val="21"/>
          <w:i w:val="1"/>
          <w:iCs w:val="1"/>
          <w:color w:val="05314D"/>
        </w:rPr>
        <w:t>Restructurings for Borrowers Experiencing Financial Difficulty</w:t>
      </w:r>
    </w:p>
    <w:p>
      <w:pPr>
        <w:spacing w:after="0" w:line="63"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following tables display the amortized cost of HFI mortgage loans that were restructured, during the periods indicated, presented by portfolio segment and class of financing receivable.</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bottom w:val="single" w:sz="8" w:color="2C6937"/>
            </w:tcBorders>
          </w:tcPr>
          <w:p>
            <w:pPr>
              <w:spacing w:after="0"/>
              <w:rPr>
                <w:sz w:val="17"/>
                <w:szCs w:val="17"/>
                <w:color w:val="auto"/>
              </w:rPr>
            </w:pPr>
          </w:p>
        </w:tc>
        <w:tc>
          <w:tcPr>
            <w:tcW w:w="78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420" w:type="dxa"/>
            <w:vAlign w:val="bottom"/>
            <w:tcBorders>
              <w:bottom w:val="single" w:sz="8" w:color="2C6937"/>
            </w:tcBorders>
          </w:tcPr>
          <w:p>
            <w:pPr>
              <w:spacing w:after="0"/>
              <w:rPr>
                <w:sz w:val="17"/>
                <w:szCs w:val="17"/>
                <w:color w:val="auto"/>
              </w:rPr>
            </w:pPr>
          </w:p>
        </w:tc>
        <w:tc>
          <w:tcPr>
            <w:tcW w:w="78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3880" w:type="dxa"/>
            <w:vAlign w:val="bottom"/>
            <w:tcBorders>
              <w:bottom w:val="single" w:sz="8" w:color="2C6937"/>
            </w:tcBorders>
            <w:gridSpan w:val="8"/>
          </w:tcPr>
          <w:p>
            <w:pPr>
              <w:jc w:val="center"/>
              <w:ind w:right="60"/>
              <w:spacing w:after="0"/>
              <w:rPr>
                <w:sz w:val="20"/>
                <w:szCs w:val="20"/>
                <w:color w:val="auto"/>
              </w:rPr>
            </w:pPr>
            <w:r>
              <w:rPr>
                <w:rFonts w:ascii="Arial" w:cs="Arial" w:eastAsia="Arial" w:hAnsi="Arial"/>
                <w:sz w:val="14"/>
                <w:szCs w:val="14"/>
                <w:b w:val="1"/>
                <w:bCs w:val="1"/>
                <w:color w:val="auto"/>
                <w:w w:val="98"/>
              </w:rPr>
              <w:t>For the Three Months Ended September 30, 2024</w:t>
            </w:r>
          </w:p>
        </w:tc>
        <w:tc>
          <w:tcPr>
            <w:tcW w:w="280" w:type="dxa"/>
            <w:vAlign w:val="bottom"/>
            <w:tcBorders>
              <w:bottom w:val="single" w:sz="8" w:color="2C6937"/>
            </w:tcBorders>
          </w:tcPr>
          <w:p>
            <w:pPr>
              <w:spacing w:after="0"/>
              <w:rPr>
                <w:sz w:val="17"/>
                <w:szCs w:val="17"/>
                <w:color w:val="auto"/>
              </w:rPr>
            </w:pPr>
          </w:p>
        </w:tc>
        <w:tc>
          <w:tcPr>
            <w:tcW w:w="940" w:type="dxa"/>
            <w:vAlign w:val="bottom"/>
            <w:tcBorders>
              <w:bottom w:val="single" w:sz="8" w:color="2C6937"/>
            </w:tcBorders>
          </w:tcPr>
          <w:p>
            <w:pPr>
              <w:spacing w:after="0"/>
              <w:rPr>
                <w:sz w:val="17"/>
                <w:szCs w:val="17"/>
                <w:color w:val="auto"/>
              </w:rPr>
            </w:pPr>
          </w:p>
        </w:tc>
        <w:tc>
          <w:tcPr>
            <w:tcW w:w="144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Borders>
              <w:bottom w:val="single" w:sz="8" w:color="2C6937"/>
            </w:tcBorders>
          </w:tcPr>
          <w:p>
            <w:pPr>
              <w:spacing w:after="0"/>
              <w:rPr>
                <w:sz w:val="16"/>
                <w:szCs w:val="16"/>
                <w:color w:val="auto"/>
              </w:rPr>
            </w:pPr>
          </w:p>
        </w:tc>
        <w:tc>
          <w:tcPr>
            <w:tcW w:w="780" w:type="dxa"/>
            <w:vAlign w:val="bottom"/>
            <w:tcBorders>
              <w:bottom w:val="single" w:sz="8" w:color="2C6937"/>
            </w:tcBorders>
          </w:tcPr>
          <w:p>
            <w:pPr>
              <w:spacing w:after="0"/>
              <w:rPr>
                <w:sz w:val="16"/>
                <w:szCs w:val="16"/>
                <w:color w:val="auto"/>
              </w:rPr>
            </w:pPr>
          </w:p>
        </w:tc>
        <w:tc>
          <w:tcPr>
            <w:tcW w:w="1420" w:type="dxa"/>
            <w:vAlign w:val="bottom"/>
            <w:tcBorders>
              <w:bottom w:val="single" w:sz="8" w:color="2C6937"/>
            </w:tcBorders>
            <w:gridSpan w:val="5"/>
          </w:tcPr>
          <w:p>
            <w:pPr>
              <w:jc w:val="center"/>
              <w:spacing w:after="0"/>
              <w:rPr>
                <w:sz w:val="20"/>
                <w:szCs w:val="20"/>
                <w:color w:val="auto"/>
              </w:rPr>
            </w:pPr>
            <w:r>
              <w:rPr>
                <w:rFonts w:ascii="Arial" w:cs="Arial" w:eastAsia="Arial" w:hAnsi="Arial"/>
                <w:sz w:val="14"/>
                <w:szCs w:val="14"/>
                <w:b w:val="1"/>
                <w:bCs w:val="1"/>
                <w:color w:val="auto"/>
                <w:w w:val="97"/>
              </w:rPr>
              <w:t>Payment Delay (Only)</w:t>
            </w:r>
          </w:p>
        </w:tc>
        <w:tc>
          <w:tcPr>
            <w:tcW w:w="100" w:type="dxa"/>
            <w:vAlign w:val="bottom"/>
            <w:tcBorders>
              <w:bottom w:val="single" w:sz="8" w:color="2C6937"/>
            </w:tcBorders>
          </w:tcPr>
          <w:p>
            <w:pPr>
              <w:spacing w:after="0"/>
              <w:rPr>
                <w:sz w:val="16"/>
                <w:szCs w:val="16"/>
                <w:color w:val="auto"/>
              </w:rPr>
            </w:pPr>
          </w:p>
        </w:tc>
        <w:tc>
          <w:tcPr>
            <w:tcW w:w="1140" w:type="dxa"/>
            <w:vAlign w:val="bottom"/>
            <w:tcBorders>
              <w:bottom w:val="single" w:sz="8" w:color="2C6937"/>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220"/>
              <w:spacing w:after="0" w:line="127" w:lineRule="exact"/>
              <w:rPr>
                <w:sz w:val="20"/>
                <w:szCs w:val="20"/>
                <w:color w:val="auto"/>
              </w:rPr>
            </w:pPr>
            <w:r>
              <w:rPr>
                <w:rFonts w:ascii="Arial" w:cs="Arial" w:eastAsia="Arial" w:hAnsi="Arial"/>
                <w:sz w:val="14"/>
                <w:szCs w:val="14"/>
                <w:b w:val="1"/>
                <w:bCs w:val="1"/>
                <w:color w:val="auto"/>
                <w:w w:val="96"/>
              </w:rPr>
              <w:t>Payment Delay,</w:t>
            </w: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8"/>
              </w:rPr>
              <w:t>Trial Modification</w:t>
            </w:r>
          </w:p>
        </w:tc>
        <w:tc>
          <w:tcPr>
            <w:tcW w:w="120" w:type="dxa"/>
            <w:vAlign w:val="bottom"/>
          </w:tcPr>
          <w:p>
            <w:pPr>
              <w:spacing w:after="0"/>
              <w:rPr>
                <w:sz w:val="12"/>
                <w:szCs w:val="12"/>
                <w:color w:val="auto"/>
              </w:rPr>
            </w:pPr>
          </w:p>
        </w:tc>
        <w:tc>
          <w:tcPr>
            <w:tcW w:w="12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Payment Delay</w:t>
            </w:r>
          </w:p>
        </w:tc>
        <w:tc>
          <w:tcPr>
            <w:tcW w:w="1340" w:type="dxa"/>
            <w:vAlign w:val="bottom"/>
            <w:gridSpan w:val="3"/>
          </w:tcPr>
          <w:p>
            <w:pPr>
              <w:jc w:val="center"/>
              <w:ind w:right="80"/>
              <w:spacing w:after="0" w:line="142" w:lineRule="exact"/>
              <w:rPr>
                <w:sz w:val="20"/>
                <w:szCs w:val="20"/>
                <w:color w:val="auto"/>
              </w:rPr>
            </w:pPr>
            <w:r>
              <w:rPr>
                <w:rFonts w:ascii="Arial" w:cs="Arial" w:eastAsia="Arial" w:hAnsi="Arial"/>
                <w:sz w:val="14"/>
                <w:szCs w:val="14"/>
                <w:b w:val="1"/>
                <w:bCs w:val="1"/>
                <w:color w:val="auto"/>
                <w:w w:val="97"/>
              </w:rPr>
              <w:t>Term Extension,</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40" w:type="dxa"/>
            <w:vAlign w:val="bottom"/>
            <w:vMerge w:val="restart"/>
          </w:tcPr>
          <w:p>
            <w:pPr>
              <w:jc w:val="center"/>
              <w:ind w:left="25"/>
              <w:spacing w:after="0"/>
              <w:rPr>
                <w:sz w:val="20"/>
                <w:szCs w:val="20"/>
                <w:color w:val="auto"/>
              </w:rPr>
            </w:pPr>
            <w:r>
              <w:rPr>
                <w:rFonts w:ascii="Arial" w:cs="Arial" w:eastAsia="Arial" w:hAnsi="Arial"/>
                <w:sz w:val="14"/>
                <w:szCs w:val="14"/>
                <w:b w:val="1"/>
                <w:bCs w:val="1"/>
                <w:color w:val="auto"/>
                <w:w w:val="96"/>
              </w:rPr>
              <w:t>Percentage of Total</w:t>
            </w:r>
          </w:p>
        </w:tc>
        <w:tc>
          <w:tcPr>
            <w:tcW w:w="0" w:type="dxa"/>
            <w:vAlign w:val="bottom"/>
          </w:tcPr>
          <w:p>
            <w:pPr>
              <w:spacing w:after="0"/>
              <w:rPr>
                <w:sz w:val="1"/>
                <w:szCs w:val="1"/>
                <w:color w:val="auto"/>
              </w:rPr>
            </w:pPr>
          </w:p>
        </w:tc>
      </w:tr>
      <w:tr>
        <w:trPr>
          <w:trHeight w:val="138"/>
        </w:trPr>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w w:val="99"/>
              </w:rPr>
              <w:t>Interest Rate</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Forbearance Plan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7"/>
              </w:rPr>
              <w:t>Payment Deferral</w:t>
            </w:r>
          </w:p>
        </w:tc>
        <w:tc>
          <w:tcPr>
            <w:tcW w:w="100" w:type="dxa"/>
            <w:vAlign w:val="bottom"/>
          </w:tcPr>
          <w:p>
            <w:pPr>
              <w:spacing w:after="0"/>
              <w:rPr>
                <w:sz w:val="12"/>
                <w:szCs w:val="12"/>
                <w:color w:val="auto"/>
              </w:rPr>
            </w:pPr>
          </w:p>
        </w:tc>
        <w:tc>
          <w:tcPr>
            <w:tcW w:w="122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7"/>
              </w:rPr>
              <w:t>and Repayment</w:t>
            </w:r>
          </w:p>
        </w:tc>
        <w:tc>
          <w:tcPr>
            <w:tcW w:w="120" w:type="dxa"/>
            <w:vAlign w:val="bottom"/>
          </w:tcPr>
          <w:p>
            <w:pPr>
              <w:spacing w:after="0"/>
              <w:rPr>
                <w:sz w:val="12"/>
                <w:szCs w:val="12"/>
                <w:color w:val="auto"/>
              </w:rPr>
            </w:pPr>
          </w:p>
        </w:tc>
        <w:tc>
          <w:tcPr>
            <w:tcW w:w="120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5"/>
              </w:rPr>
              <w:t>and Term</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8"/>
              </w:rPr>
              <w:t>Reduction, and</w:t>
            </w:r>
          </w:p>
        </w:tc>
        <w:tc>
          <w:tcPr>
            <w:tcW w:w="280" w:type="dxa"/>
            <w:vAlign w:val="bottom"/>
          </w:tcPr>
          <w:p>
            <w:pPr>
              <w:spacing w:after="0"/>
              <w:rPr>
                <w:sz w:val="12"/>
                <w:szCs w:val="12"/>
                <w:color w:val="auto"/>
              </w:rPr>
            </w:pPr>
          </w:p>
        </w:tc>
        <w:tc>
          <w:tcPr>
            <w:tcW w:w="940" w:type="dxa"/>
            <w:vAlign w:val="bottom"/>
            <w:vMerge w:val="restart"/>
          </w:tcPr>
          <w:p>
            <w:pPr>
              <w:jc w:val="right"/>
              <w:ind w:right="384"/>
              <w:spacing w:after="0"/>
              <w:rPr>
                <w:sz w:val="20"/>
                <w:szCs w:val="20"/>
                <w:color w:val="auto"/>
              </w:rPr>
            </w:pPr>
            <w:r>
              <w:rPr>
                <w:rFonts w:ascii="Arial" w:cs="Arial" w:eastAsia="Arial" w:hAnsi="Arial"/>
                <w:sz w:val="14"/>
                <w:szCs w:val="14"/>
                <w:b w:val="1"/>
                <w:bCs w:val="1"/>
                <w:color w:val="auto"/>
              </w:rPr>
              <w:t>Total</w:t>
            </w:r>
          </w:p>
        </w:tc>
        <w:tc>
          <w:tcPr>
            <w:tcW w:w="1440" w:type="dxa"/>
            <w:vAlign w:val="bottom"/>
          </w:tcPr>
          <w:p>
            <w:pPr>
              <w:jc w:val="center"/>
              <w:ind w:left="25"/>
              <w:spacing w:after="0" w:line="142" w:lineRule="exact"/>
              <w:rPr>
                <w:sz w:val="20"/>
                <w:szCs w:val="20"/>
                <w:color w:val="auto"/>
              </w:rPr>
            </w:pPr>
            <w:r>
              <w:rPr>
                <w:rFonts w:ascii="Arial" w:cs="Arial" w:eastAsia="Arial" w:hAnsi="Arial"/>
                <w:sz w:val="14"/>
                <w:szCs w:val="14"/>
                <w:b w:val="1"/>
                <w:bCs w:val="1"/>
                <w:color w:val="auto"/>
                <w:w w:val="99"/>
              </w:rPr>
              <w:t>by Financing</w:t>
            </w:r>
          </w:p>
        </w:tc>
        <w:tc>
          <w:tcPr>
            <w:tcW w:w="0" w:type="dxa"/>
            <w:vAlign w:val="bottom"/>
          </w:tcPr>
          <w:p>
            <w:pPr>
              <w:spacing w:after="0"/>
              <w:rPr>
                <w:sz w:val="1"/>
                <w:szCs w:val="1"/>
                <w:color w:val="auto"/>
              </w:rPr>
            </w:pPr>
          </w:p>
        </w:tc>
      </w:tr>
      <w:tr>
        <w:trPr>
          <w:trHeight w:val="180"/>
        </w:trPr>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Borders>
              <w:bottom w:val="single" w:sz="8" w:color="2C6937"/>
            </w:tcBorders>
            <w:gridSpan w:val="2"/>
            <w:vMerge w:val="continue"/>
          </w:tcPr>
          <w:p>
            <w:pPr>
              <w:spacing w:after="0"/>
              <w:rPr>
                <w:sz w:val="15"/>
                <w:szCs w:val="15"/>
                <w:color w:val="auto"/>
              </w:rPr>
            </w:pPr>
          </w:p>
        </w:tc>
        <w:tc>
          <w:tcPr>
            <w:tcW w:w="20" w:type="dxa"/>
            <w:vAlign w:val="bottom"/>
            <w:tcBorders>
              <w:bottom w:val="single" w:sz="8" w:color="2C6937"/>
            </w:tcBorders>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1300" w:type="dxa"/>
            <w:vAlign w:val="bottom"/>
            <w:tcBorders>
              <w:bottom w:val="single" w:sz="8" w:color="2C6937"/>
            </w:tcBorders>
            <w:gridSpan w:val="3"/>
            <w:vMerge w:val="continue"/>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14"/>
                <w:szCs w:val="14"/>
                <w:b w:val="1"/>
                <w:bCs w:val="1"/>
                <w:color w:val="auto"/>
              </w:rPr>
              <w:t>Plans</w:t>
            </w:r>
          </w:p>
        </w:tc>
        <w:tc>
          <w:tcPr>
            <w:tcW w:w="12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gridSpan w:val="2"/>
          </w:tcPr>
          <w:p>
            <w:pPr>
              <w:jc w:val="center"/>
              <w:ind w:right="200"/>
              <w:spacing w:after="0" w:line="180" w:lineRule="exact"/>
              <w:rPr>
                <w:sz w:val="20"/>
                <w:szCs w:val="20"/>
                <w:color w:val="auto"/>
              </w:rPr>
            </w:pPr>
            <w:r>
              <w:rPr>
                <w:rFonts w:ascii="Arial" w:cs="Arial" w:eastAsia="Arial" w:hAnsi="Arial"/>
                <w:sz w:val="14"/>
                <w:szCs w:val="14"/>
                <w:b w:val="1"/>
                <w:bCs w:val="1"/>
                <w:color w:val="auto"/>
                <w:w w:val="94"/>
              </w:rPr>
              <w:t>Extension</w:t>
            </w:r>
            <w:r>
              <w:rPr>
                <w:rFonts w:ascii="Arial" w:cs="Arial" w:eastAsia="Arial" w:hAnsi="Arial"/>
                <w:sz w:val="17"/>
                <w:szCs w:val="17"/>
                <w:b w:val="1"/>
                <w:bCs w:val="1"/>
                <w:color w:val="auto"/>
                <w:w w:val="94"/>
                <w:vertAlign w:val="superscript"/>
              </w:rPr>
              <w:t>(1)</w:t>
            </w:r>
          </w:p>
        </w:tc>
        <w:tc>
          <w:tcPr>
            <w:tcW w:w="12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gridSpan w:val="2"/>
          </w:tcPr>
          <w:p>
            <w:pPr>
              <w:jc w:val="center"/>
              <w:ind w:right="220"/>
              <w:spacing w:after="0" w:line="180" w:lineRule="exact"/>
              <w:rPr>
                <w:sz w:val="20"/>
                <w:szCs w:val="20"/>
                <w:color w:val="auto"/>
              </w:rPr>
            </w:pPr>
            <w:r>
              <w:rPr>
                <w:rFonts w:ascii="Arial" w:cs="Arial" w:eastAsia="Arial" w:hAnsi="Arial"/>
                <w:sz w:val="14"/>
                <w:szCs w:val="14"/>
                <w:b w:val="1"/>
                <w:bCs w:val="1"/>
                <w:color w:val="auto"/>
                <w:w w:val="93"/>
              </w:rPr>
              <w:t>Other</w:t>
            </w:r>
            <w:r>
              <w:rPr>
                <w:rFonts w:ascii="Arial" w:cs="Arial" w:eastAsia="Arial" w:hAnsi="Arial"/>
                <w:sz w:val="17"/>
                <w:szCs w:val="17"/>
                <w:b w:val="1"/>
                <w:bCs w:val="1"/>
                <w:color w:val="auto"/>
                <w:w w:val="93"/>
                <w:vertAlign w:val="superscript"/>
              </w:rPr>
              <w:t>(1)</w:t>
            </w:r>
          </w:p>
        </w:tc>
        <w:tc>
          <w:tcPr>
            <w:tcW w:w="280" w:type="dxa"/>
            <w:vAlign w:val="bottom"/>
            <w:tcBorders>
              <w:bottom w:val="single" w:sz="8" w:color="2C6937"/>
            </w:tcBorders>
          </w:tcPr>
          <w:p>
            <w:pPr>
              <w:spacing w:after="0"/>
              <w:rPr>
                <w:sz w:val="15"/>
                <w:szCs w:val="15"/>
                <w:color w:val="auto"/>
              </w:rPr>
            </w:pPr>
          </w:p>
        </w:tc>
        <w:tc>
          <w:tcPr>
            <w:tcW w:w="940" w:type="dxa"/>
            <w:vAlign w:val="bottom"/>
            <w:tcBorders>
              <w:bottom w:val="single" w:sz="8" w:color="2C6937"/>
            </w:tcBorders>
            <w:vMerge w:val="continue"/>
          </w:tcPr>
          <w:p>
            <w:pPr>
              <w:spacing w:after="0"/>
              <w:rPr>
                <w:sz w:val="15"/>
                <w:szCs w:val="15"/>
                <w:color w:val="auto"/>
              </w:rPr>
            </w:pPr>
          </w:p>
        </w:tc>
        <w:tc>
          <w:tcPr>
            <w:tcW w:w="1440" w:type="dxa"/>
            <w:vAlign w:val="bottom"/>
            <w:tcBorders>
              <w:bottom w:val="single" w:sz="8" w:color="2C6937"/>
            </w:tcBorders>
          </w:tcPr>
          <w:p>
            <w:pPr>
              <w:jc w:val="center"/>
              <w:ind w:left="25"/>
              <w:spacing w:after="0" w:line="180" w:lineRule="exact"/>
              <w:rPr>
                <w:sz w:val="20"/>
                <w:szCs w:val="20"/>
                <w:color w:val="auto"/>
              </w:rPr>
            </w:pPr>
            <w:r>
              <w:rPr>
                <w:rFonts w:ascii="Arial" w:cs="Arial" w:eastAsia="Arial" w:hAnsi="Arial"/>
                <w:sz w:val="14"/>
                <w:szCs w:val="14"/>
                <w:b w:val="1"/>
                <w:bCs w:val="1"/>
                <w:color w:val="auto"/>
                <w:w w:val="89"/>
              </w:rPr>
              <w:t>Class</w:t>
            </w:r>
            <w:r>
              <w:rPr>
                <w:rFonts w:ascii="Arial" w:cs="Arial" w:eastAsia="Arial" w:hAnsi="Arial"/>
                <w:sz w:val="17"/>
                <w:szCs w:val="17"/>
                <w:b w:val="1"/>
                <w:bCs w:val="1"/>
                <w:color w:val="auto"/>
                <w:w w:val="89"/>
                <w:vertAlign w:val="superscript"/>
              </w:rPr>
              <w:t>(2)</w:t>
            </w:r>
          </w:p>
        </w:tc>
        <w:tc>
          <w:tcPr>
            <w:tcW w:w="0" w:type="dxa"/>
            <w:vAlign w:val="bottom"/>
          </w:tcPr>
          <w:p>
            <w:pPr>
              <w:spacing w:after="0"/>
              <w:rPr>
                <w:sz w:val="1"/>
                <w:szCs w:val="1"/>
                <w:color w:val="auto"/>
              </w:rPr>
            </w:pPr>
          </w:p>
        </w:tc>
      </w:tr>
      <w:tr>
        <w:trPr>
          <w:trHeight w:val="198"/>
        </w:trPr>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8"/>
              </w:rPr>
              <w:t>(Dollars in millions)</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96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960" w:type="dxa"/>
            <w:vAlign w:val="bottom"/>
            <w:gridSpan w:val="2"/>
          </w:tcPr>
          <w:p>
            <w:pPr>
              <w:ind w:left="180"/>
              <w:spacing w:after="0"/>
              <w:rPr>
                <w:sz w:val="20"/>
                <w:szCs w:val="20"/>
                <w:color w:val="auto"/>
              </w:rPr>
            </w:pPr>
            <w:r>
              <w:rPr>
                <w:rFonts w:ascii="Arial" w:cs="Arial" w:eastAsia="Arial" w:hAnsi="Arial"/>
                <w:sz w:val="15"/>
                <w:szCs w:val="15"/>
                <w:color w:val="auto"/>
              </w:rPr>
              <w:t>20- and 30-year or</w:t>
            </w: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960" w:type="dxa"/>
            <w:vAlign w:val="bottom"/>
            <w:gridSpan w:val="2"/>
          </w:tcPr>
          <w:p>
            <w:pPr>
              <w:ind w:left="320"/>
              <w:spacing w:after="0"/>
              <w:rPr>
                <w:sz w:val="20"/>
                <w:szCs w:val="20"/>
                <w:color w:val="auto"/>
              </w:rPr>
            </w:pPr>
            <w:r>
              <w:rPr>
                <w:rFonts w:ascii="Arial" w:cs="Arial" w:eastAsia="Arial" w:hAnsi="Arial"/>
                <w:sz w:val="15"/>
                <w:szCs w:val="15"/>
                <w:color w:val="auto"/>
              </w:rPr>
              <w:t>more, amortizing</w:t>
            </w: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960" w:type="dxa"/>
            <w:vAlign w:val="bottom"/>
            <w:gridSpan w:val="2"/>
          </w:tcPr>
          <w:p>
            <w:pPr>
              <w:ind w:left="320"/>
              <w:spacing w:after="0"/>
              <w:rPr>
                <w:sz w:val="20"/>
                <w:szCs w:val="20"/>
                <w:color w:val="auto"/>
              </w:rPr>
            </w:pPr>
            <w:r>
              <w:rPr>
                <w:rFonts w:ascii="Arial" w:cs="Arial" w:eastAsia="Arial" w:hAnsi="Arial"/>
                <w:sz w:val="15"/>
                <w:szCs w:val="15"/>
                <w:color w:val="auto"/>
              </w:rPr>
              <w:t>fixed-rate</w:t>
            </w:r>
          </w:p>
        </w:tc>
        <w:tc>
          <w:tcPr>
            <w:tcW w:w="440" w:type="dxa"/>
            <w:vAlign w:val="bottom"/>
          </w:tcPr>
          <w:p>
            <w:pPr>
              <w:jc w:val="right"/>
              <w:ind w:right="266"/>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5,782</w:t>
            </w:r>
          </w:p>
        </w:tc>
        <w:tc>
          <w:tcPr>
            <w:tcW w:w="540" w:type="dxa"/>
            <w:vAlign w:val="bottom"/>
            <w:gridSpan w:val="3"/>
          </w:tcPr>
          <w:p>
            <w:pPr>
              <w:jc w:val="right"/>
              <w:ind w:right="251"/>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2,379</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5"/>
              <w:spacing w:after="0"/>
              <w:rPr>
                <w:sz w:val="20"/>
                <w:szCs w:val="20"/>
                <w:color w:val="auto"/>
              </w:rPr>
            </w:pPr>
            <w:r>
              <w:rPr>
                <w:rFonts w:ascii="Arial" w:cs="Arial" w:eastAsia="Arial" w:hAnsi="Arial"/>
                <w:sz w:val="15"/>
                <w:szCs w:val="15"/>
                <w:color w:val="auto"/>
              </w:rPr>
              <w:t>4,315</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2,405</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53</w:t>
            </w:r>
          </w:p>
        </w:tc>
        <w:tc>
          <w:tcPr>
            <w:tcW w:w="100" w:type="dxa"/>
            <w:vAlign w:val="bottom"/>
          </w:tcPr>
          <w:p>
            <w:pPr>
              <w:spacing w:after="0"/>
              <w:rPr>
                <w:sz w:val="18"/>
                <w:szCs w:val="18"/>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14,934</w:t>
            </w:r>
          </w:p>
        </w:tc>
        <w:tc>
          <w:tcPr>
            <w:tcW w:w="1440" w:type="dxa"/>
            <w:vAlign w:val="bottom"/>
          </w:tcPr>
          <w:p>
            <w:pPr>
              <w:ind w:left="1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1960" w:type="dxa"/>
            <w:vAlign w:val="bottom"/>
            <w:gridSpan w:val="2"/>
          </w:tcPr>
          <w:p>
            <w:pPr>
              <w:ind w:left="180"/>
              <w:spacing w:after="0"/>
              <w:rPr>
                <w:sz w:val="20"/>
                <w:szCs w:val="20"/>
                <w:color w:val="auto"/>
              </w:rPr>
            </w:pPr>
            <w:r>
              <w:rPr>
                <w:rFonts w:ascii="Arial" w:cs="Arial" w:eastAsia="Arial" w:hAnsi="Arial"/>
                <w:sz w:val="15"/>
                <w:szCs w:val="15"/>
                <w:color w:val="auto"/>
              </w:rPr>
              <w:t>15-year or less,</w:t>
            </w: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960" w:type="dxa"/>
            <w:vAlign w:val="bottom"/>
            <w:gridSpan w:val="2"/>
          </w:tcPr>
          <w:p>
            <w:pPr>
              <w:ind w:left="320"/>
              <w:spacing w:after="0"/>
              <w:rPr>
                <w:sz w:val="20"/>
                <w:szCs w:val="20"/>
                <w:color w:val="auto"/>
              </w:rPr>
            </w:pPr>
            <w:r>
              <w:rPr>
                <w:rFonts w:ascii="Arial" w:cs="Arial" w:eastAsia="Arial" w:hAnsi="Arial"/>
                <w:sz w:val="15"/>
                <w:szCs w:val="15"/>
                <w:color w:val="auto"/>
              </w:rPr>
              <w:t>amortizing fixed-rate</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239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5"/>
              <w:spacing w:after="0"/>
              <w:rPr>
                <w:sz w:val="20"/>
                <w:szCs w:val="20"/>
                <w:color w:val="auto"/>
              </w:rPr>
            </w:pPr>
            <w:r>
              <w:rPr>
                <w:rFonts w:ascii="Arial" w:cs="Arial" w:eastAsia="Arial" w:hAnsi="Arial"/>
                <w:sz w:val="15"/>
                <w:szCs w:val="15"/>
                <w:color w:val="auto"/>
              </w:rPr>
              <w:t>140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457</w:t>
            </w:r>
          </w:p>
        </w:tc>
        <w:tc>
          <w:tcPr>
            <w:tcW w:w="1440" w:type="dxa"/>
            <w:vAlign w:val="bottom"/>
          </w:tcPr>
          <w:p>
            <w:pPr>
              <w:ind w:left="1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2"/>
        </w:trPr>
        <w:tc>
          <w:tcPr>
            <w:tcW w:w="196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4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5"/>
              <w:spacing w:after="0"/>
              <w:rPr>
                <w:sz w:val="20"/>
                <w:szCs w:val="20"/>
                <w:color w:val="auto"/>
              </w:rPr>
            </w:pPr>
            <w:r>
              <w:rPr>
                <w:rFonts w:ascii="Arial" w:cs="Arial" w:eastAsia="Arial" w:hAnsi="Arial"/>
                <w:sz w:val="15"/>
                <w:szCs w:val="15"/>
                <w:color w:val="auto"/>
              </w:rPr>
              <w:t>17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57</w:t>
            </w:r>
          </w:p>
        </w:tc>
        <w:tc>
          <w:tcPr>
            <w:tcW w:w="1440" w:type="dxa"/>
            <w:vAlign w:val="bottom"/>
          </w:tcPr>
          <w:p>
            <w:pPr>
              <w:ind w:left="1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3"/>
        </w:trPr>
        <w:tc>
          <w:tcPr>
            <w:tcW w:w="188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80" w:type="dxa"/>
            <w:vAlign w:val="bottom"/>
          </w:tcPr>
          <w:p>
            <w:pPr>
              <w:spacing w:after="0"/>
              <w:rPr>
                <w:sz w:val="20"/>
                <w:szCs w:val="20"/>
                <w:color w:val="auto"/>
              </w:rPr>
            </w:pPr>
          </w:p>
        </w:tc>
        <w:tc>
          <w:tcPr>
            <w:tcW w:w="440" w:type="dxa"/>
            <w:vAlign w:val="bottom"/>
            <w:tcBorders>
              <w:bottom w:val="single" w:sz="8" w:color="2C6937"/>
            </w:tcBorders>
          </w:tcPr>
          <w:p>
            <w:pPr>
              <w:spacing w:after="0"/>
              <w:rPr>
                <w:sz w:val="20"/>
                <w:szCs w:val="20"/>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32</w:t>
            </w:r>
          </w:p>
        </w:tc>
        <w:tc>
          <w:tcPr>
            <w:tcW w:w="20" w:type="dxa"/>
            <w:vAlign w:val="bottom"/>
            <w:tcBorders>
              <w:bottom w:val="single" w:sz="8" w:color="2C6937"/>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2C6937"/>
            </w:tcBorders>
          </w:tcPr>
          <w:p>
            <w:pPr>
              <w:spacing w:after="0"/>
              <w:rPr>
                <w:sz w:val="20"/>
                <w:szCs w:val="20"/>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24</w:t>
            </w:r>
          </w:p>
        </w:tc>
        <w:tc>
          <w:tcPr>
            <w:tcW w:w="100" w:type="dxa"/>
            <w:vAlign w:val="bottom"/>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14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50</w:t>
            </w:r>
          </w:p>
        </w:tc>
        <w:tc>
          <w:tcPr>
            <w:tcW w:w="8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22</w:t>
            </w:r>
          </w:p>
        </w:tc>
        <w:tc>
          <w:tcPr>
            <w:tcW w:w="8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20"/>
                <w:szCs w:val="20"/>
                <w:color w:val="auto"/>
              </w:rPr>
            </w:pPr>
          </w:p>
        </w:tc>
        <w:tc>
          <w:tcPr>
            <w:tcW w:w="280" w:type="dxa"/>
            <w:vAlign w:val="bottom"/>
            <w:tcBorders>
              <w:bottom w:val="single" w:sz="8" w:color="2C6937"/>
            </w:tcBorders>
          </w:tcPr>
          <w:p>
            <w:pPr>
              <w:spacing w:after="0"/>
              <w:rPr>
                <w:sz w:val="20"/>
                <w:szCs w:val="20"/>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136</w:t>
            </w:r>
          </w:p>
        </w:tc>
        <w:tc>
          <w:tcPr>
            <w:tcW w:w="1440" w:type="dxa"/>
            <w:vAlign w:val="bottom"/>
          </w:tcPr>
          <w:p>
            <w:pPr>
              <w:ind w:left="1160"/>
              <w:spacing w:after="0"/>
              <w:rPr>
                <w:sz w:val="20"/>
                <w:szCs w:val="20"/>
                <w:color w:val="auto"/>
              </w:rPr>
            </w:pPr>
            <w:r>
              <w:rPr>
                <w:rFonts w:ascii="Arial" w:cs="Arial" w:eastAsia="Arial" w:hAnsi="Arial"/>
                <w:sz w:val="15"/>
                <w:szCs w:val="15"/>
                <w:color w:val="auto"/>
              </w:rPr>
              <w:t>1 %</w:t>
            </w:r>
          </w:p>
        </w:tc>
        <w:tc>
          <w:tcPr>
            <w:tcW w:w="0" w:type="dxa"/>
            <w:vAlign w:val="bottom"/>
          </w:tcPr>
          <w:p>
            <w:pPr>
              <w:spacing w:after="0"/>
              <w:rPr>
                <w:sz w:val="1"/>
                <w:szCs w:val="1"/>
                <w:color w:val="auto"/>
              </w:rPr>
            </w:pPr>
          </w:p>
        </w:tc>
      </w:tr>
      <w:tr>
        <w:trPr>
          <w:trHeight w:val="224"/>
        </w:trPr>
        <w:tc>
          <w:tcPr>
            <w:tcW w:w="1960" w:type="dxa"/>
            <w:vAlign w:val="bottom"/>
            <w:gridSpan w:val="2"/>
          </w:tcPr>
          <w:p>
            <w:pPr>
              <w:ind w:left="20"/>
              <w:spacing w:after="0"/>
              <w:rPr>
                <w:sz w:val="20"/>
                <w:szCs w:val="20"/>
                <w:color w:val="auto"/>
              </w:rPr>
            </w:pPr>
            <w:r>
              <w:rPr>
                <w:rFonts w:ascii="Arial" w:cs="Arial" w:eastAsia="Arial" w:hAnsi="Arial"/>
                <w:sz w:val="15"/>
                <w:szCs w:val="15"/>
                <w:color w:val="auto"/>
              </w:rPr>
              <w:t>Total single-family</w:t>
            </w: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6,082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2,489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5"/>
              <w:spacing w:after="0"/>
              <w:rPr>
                <w:sz w:val="20"/>
                <w:szCs w:val="20"/>
                <w:color w:val="auto"/>
              </w:rPr>
            </w:pPr>
            <w:r>
              <w:rPr>
                <w:rFonts w:ascii="Arial" w:cs="Arial" w:eastAsia="Arial" w:hAnsi="Arial"/>
                <w:sz w:val="15"/>
                <w:szCs w:val="15"/>
                <w:color w:val="auto"/>
              </w:rPr>
              <w:t>4,522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2,428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15,584</w:t>
            </w:r>
          </w:p>
        </w:tc>
        <w:tc>
          <w:tcPr>
            <w:tcW w:w="1440" w:type="dxa"/>
            <w:vAlign w:val="bottom"/>
          </w:tcPr>
          <w:p>
            <w:pPr>
              <w:ind w:left="1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3"/>
        </w:trPr>
        <w:tc>
          <w:tcPr>
            <w:tcW w:w="18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80" w:type="dxa"/>
            <w:vAlign w:val="bottom"/>
          </w:tcPr>
          <w:p>
            <w:pPr>
              <w:spacing w:after="0"/>
              <w:rPr>
                <w:sz w:val="20"/>
                <w:szCs w:val="20"/>
                <w:color w:val="auto"/>
              </w:rPr>
            </w:pPr>
          </w:p>
        </w:tc>
        <w:tc>
          <w:tcPr>
            <w:tcW w:w="440" w:type="dxa"/>
            <w:vAlign w:val="bottom"/>
            <w:tcBorders>
              <w:bottom w:val="single" w:sz="8" w:color="2C6937"/>
            </w:tcBorders>
          </w:tcPr>
          <w:p>
            <w:pPr>
              <w:spacing w:after="0"/>
              <w:rPr>
                <w:sz w:val="20"/>
                <w:szCs w:val="20"/>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328</w:t>
            </w:r>
          </w:p>
        </w:tc>
        <w:tc>
          <w:tcPr>
            <w:tcW w:w="20" w:type="dxa"/>
            <w:vAlign w:val="bottom"/>
            <w:tcBorders>
              <w:bottom w:val="single" w:sz="8" w:color="2C6937"/>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2C6937"/>
            </w:tcBorders>
          </w:tcPr>
          <w:p>
            <w:pPr>
              <w:spacing w:after="0"/>
              <w:rPr>
                <w:sz w:val="20"/>
                <w:szCs w:val="20"/>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14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60</w:t>
            </w:r>
          </w:p>
        </w:tc>
        <w:tc>
          <w:tcPr>
            <w:tcW w:w="100" w:type="dxa"/>
            <w:vAlign w:val="bottom"/>
          </w:tcPr>
          <w:p>
            <w:pPr>
              <w:spacing w:after="0"/>
              <w:rPr>
                <w:sz w:val="20"/>
                <w:szCs w:val="20"/>
                <w:color w:val="auto"/>
              </w:rPr>
            </w:pPr>
          </w:p>
        </w:tc>
        <w:tc>
          <w:tcPr>
            <w:tcW w:w="280" w:type="dxa"/>
            <w:vAlign w:val="bottom"/>
            <w:tcBorders>
              <w:bottom w:val="single" w:sz="8" w:color="2C6937"/>
            </w:tcBorders>
          </w:tcPr>
          <w:p>
            <w:pPr>
              <w:spacing w:after="0"/>
              <w:rPr>
                <w:sz w:val="20"/>
                <w:szCs w:val="20"/>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388</w:t>
            </w:r>
          </w:p>
        </w:tc>
        <w:tc>
          <w:tcPr>
            <w:tcW w:w="1440" w:type="dxa"/>
            <w:vAlign w:val="bottom"/>
          </w:tcPr>
          <w:p>
            <w:pPr>
              <w:ind w:left="1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6"/>
        </w:trPr>
        <w:tc>
          <w:tcPr>
            <w:tcW w:w="1960" w:type="dxa"/>
            <w:vAlign w:val="bottom"/>
            <w:gridSpan w:val="2"/>
          </w:tcPr>
          <w:p>
            <w:pPr>
              <w:ind w:left="180"/>
              <w:spacing w:after="0" w:line="226" w:lineRule="exact"/>
              <w:rPr>
                <w:sz w:val="20"/>
                <w:szCs w:val="20"/>
                <w:color w:val="auto"/>
              </w:rPr>
            </w:pPr>
            <w:r>
              <w:rPr>
                <w:rFonts w:ascii="Arial" w:cs="Arial" w:eastAsia="Arial" w:hAnsi="Arial"/>
                <w:sz w:val="15"/>
                <w:szCs w:val="15"/>
                <w:color w:val="auto"/>
              </w:rPr>
              <w:t>Total</w:t>
            </w:r>
            <w:r>
              <w:rPr>
                <w:rFonts w:ascii="Arial" w:cs="Arial" w:eastAsia="Arial" w:hAnsi="Arial"/>
                <w:sz w:val="20"/>
                <w:szCs w:val="20"/>
                <w:color w:val="auto"/>
                <w:vertAlign w:val="superscript"/>
              </w:rPr>
              <w:t>(3)</w:t>
            </w:r>
          </w:p>
        </w:tc>
        <w:tc>
          <w:tcPr>
            <w:tcW w:w="440" w:type="dxa"/>
            <w:vAlign w:val="bottom"/>
          </w:tcPr>
          <w:p>
            <w:pPr>
              <w:jc w:val="right"/>
              <w:ind w:right="266"/>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6,410</w:t>
            </w:r>
          </w:p>
        </w:tc>
        <w:tc>
          <w:tcPr>
            <w:tcW w:w="540" w:type="dxa"/>
            <w:vAlign w:val="bottom"/>
            <w:gridSpan w:val="3"/>
          </w:tcPr>
          <w:p>
            <w:pPr>
              <w:jc w:val="right"/>
              <w:ind w:right="251"/>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2,489</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5"/>
              <w:spacing w:after="0"/>
              <w:rPr>
                <w:sz w:val="20"/>
                <w:szCs w:val="20"/>
                <w:color w:val="auto"/>
              </w:rPr>
            </w:pPr>
            <w:r>
              <w:rPr>
                <w:rFonts w:ascii="Arial" w:cs="Arial" w:eastAsia="Arial" w:hAnsi="Arial"/>
                <w:sz w:val="15"/>
                <w:szCs w:val="15"/>
                <w:color w:val="auto"/>
              </w:rPr>
              <w:t>4,522</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2,428</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123</w:t>
            </w:r>
          </w:p>
        </w:tc>
        <w:tc>
          <w:tcPr>
            <w:tcW w:w="100" w:type="dxa"/>
            <w:vAlign w:val="bottom"/>
          </w:tcPr>
          <w:p>
            <w:pPr>
              <w:spacing w:after="0"/>
              <w:rPr>
                <w:sz w:val="19"/>
                <w:szCs w:val="19"/>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15,972</w:t>
            </w:r>
          </w:p>
        </w:tc>
        <w:tc>
          <w:tcPr>
            <w:tcW w:w="1440" w:type="dxa"/>
            <w:vAlign w:val="bottom"/>
          </w:tcPr>
          <w:p>
            <w:pPr>
              <w:ind w:left="1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188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2C6937"/>
              <w:bottom w:val="single" w:sz="8" w:color="2C6937"/>
            </w:tcBorders>
          </w:tcPr>
          <w:p>
            <w:pPr>
              <w:spacing w:after="0" w:line="20" w:lineRule="exact"/>
              <w:rPr>
                <w:sz w:val="1"/>
                <w:szCs w:val="1"/>
                <w:color w:val="auto"/>
              </w:rPr>
            </w:pPr>
          </w:p>
        </w:tc>
        <w:tc>
          <w:tcPr>
            <w:tcW w:w="78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2C6937"/>
              <w:bottom w:val="single" w:sz="8" w:color="2C6937"/>
            </w:tcBorders>
          </w:tcPr>
          <w:p>
            <w:pPr>
              <w:spacing w:after="0" w:line="20" w:lineRule="exact"/>
              <w:rPr>
                <w:sz w:val="1"/>
                <w:szCs w:val="1"/>
                <w:color w:val="auto"/>
              </w:rPr>
            </w:pPr>
          </w:p>
        </w:tc>
        <w:tc>
          <w:tcPr>
            <w:tcW w:w="7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1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2C6937"/>
              <w:bottom w:val="single" w:sz="8" w:color="2C6937"/>
            </w:tcBorders>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2766695</wp:posOffset>
            </wp:positionV>
            <wp:extent cx="680593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83" w:name="page84"/>
    <w:bookmarkEnd w:id="83"/>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bottom w:val="single" w:sz="8" w:color="2C6937"/>
            </w:tcBorders>
          </w:tcPr>
          <w:p>
            <w:pPr>
              <w:spacing w:after="0"/>
              <w:rPr>
                <w:sz w:val="17"/>
                <w:szCs w:val="17"/>
                <w:color w:val="auto"/>
              </w:rPr>
            </w:pPr>
          </w:p>
        </w:tc>
        <w:tc>
          <w:tcPr>
            <w:tcW w:w="76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420" w:type="dxa"/>
            <w:vAlign w:val="bottom"/>
            <w:tcBorders>
              <w:bottom w:val="single" w:sz="8" w:color="2C6937"/>
            </w:tcBorders>
          </w:tcPr>
          <w:p>
            <w:pPr>
              <w:spacing w:after="0"/>
              <w:rPr>
                <w:sz w:val="17"/>
                <w:szCs w:val="17"/>
                <w:color w:val="auto"/>
              </w:rPr>
            </w:pPr>
          </w:p>
        </w:tc>
        <w:tc>
          <w:tcPr>
            <w:tcW w:w="78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3860" w:type="dxa"/>
            <w:vAlign w:val="bottom"/>
            <w:tcBorders>
              <w:bottom w:val="single" w:sz="8" w:color="2C6937"/>
            </w:tcBorders>
            <w:gridSpan w:val="11"/>
          </w:tcPr>
          <w:p>
            <w:pPr>
              <w:jc w:val="center"/>
              <w:ind w:right="80"/>
              <w:spacing w:after="0"/>
              <w:rPr>
                <w:sz w:val="20"/>
                <w:szCs w:val="20"/>
                <w:color w:val="auto"/>
              </w:rPr>
            </w:pPr>
            <w:r>
              <w:rPr>
                <w:rFonts w:ascii="Arial" w:cs="Arial" w:eastAsia="Arial" w:hAnsi="Arial"/>
                <w:sz w:val="14"/>
                <w:szCs w:val="14"/>
                <w:b w:val="1"/>
                <w:bCs w:val="1"/>
                <w:color w:val="auto"/>
                <w:w w:val="97"/>
              </w:rPr>
              <w:t>For the Nine Months Ended September 30, 2024</w:t>
            </w:r>
          </w:p>
        </w:tc>
        <w:tc>
          <w:tcPr>
            <w:tcW w:w="280" w:type="dxa"/>
            <w:vAlign w:val="bottom"/>
            <w:tcBorders>
              <w:bottom w:val="single" w:sz="8" w:color="2C6937"/>
            </w:tcBorders>
          </w:tcPr>
          <w:p>
            <w:pPr>
              <w:spacing w:after="0"/>
              <w:rPr>
                <w:sz w:val="17"/>
                <w:szCs w:val="17"/>
                <w:color w:val="auto"/>
              </w:rPr>
            </w:pPr>
          </w:p>
        </w:tc>
        <w:tc>
          <w:tcPr>
            <w:tcW w:w="940" w:type="dxa"/>
            <w:vAlign w:val="bottom"/>
            <w:tcBorders>
              <w:bottom w:val="single" w:sz="8" w:color="2C6937"/>
            </w:tcBorders>
          </w:tcPr>
          <w:p>
            <w:pPr>
              <w:spacing w:after="0"/>
              <w:rPr>
                <w:sz w:val="17"/>
                <w:szCs w:val="17"/>
                <w:color w:val="auto"/>
              </w:rPr>
            </w:pPr>
          </w:p>
        </w:tc>
        <w:tc>
          <w:tcPr>
            <w:tcW w:w="144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1520" w:type="dxa"/>
            <w:vAlign w:val="bottom"/>
            <w:tcBorders>
              <w:bottom w:val="single" w:sz="8" w:color="2C6937"/>
            </w:tcBorders>
            <w:gridSpan w:val="7"/>
          </w:tcPr>
          <w:p>
            <w:pPr>
              <w:jc w:val="center"/>
              <w:ind w:right="26"/>
              <w:spacing w:after="0"/>
              <w:rPr>
                <w:sz w:val="20"/>
                <w:szCs w:val="20"/>
                <w:color w:val="auto"/>
              </w:rPr>
            </w:pPr>
            <w:r>
              <w:rPr>
                <w:rFonts w:ascii="Arial" w:cs="Arial" w:eastAsia="Arial" w:hAnsi="Arial"/>
                <w:sz w:val="14"/>
                <w:szCs w:val="14"/>
                <w:b w:val="1"/>
                <w:bCs w:val="1"/>
                <w:color w:val="auto"/>
                <w:w w:val="98"/>
              </w:rPr>
              <w:t>Payment Delay (Only)</w:t>
            </w:r>
          </w:p>
        </w:tc>
        <w:tc>
          <w:tcPr>
            <w:tcW w:w="1120" w:type="dxa"/>
            <w:vAlign w:val="bottom"/>
            <w:tcBorders>
              <w:bottom w:val="single" w:sz="8" w:color="2C6937"/>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180"/>
              <w:spacing w:after="0" w:line="127" w:lineRule="exact"/>
              <w:rPr>
                <w:sz w:val="20"/>
                <w:szCs w:val="20"/>
                <w:color w:val="auto"/>
              </w:rPr>
            </w:pPr>
            <w:r>
              <w:rPr>
                <w:rFonts w:ascii="Arial" w:cs="Arial" w:eastAsia="Arial" w:hAnsi="Arial"/>
                <w:sz w:val="14"/>
                <w:szCs w:val="14"/>
                <w:b w:val="1"/>
                <w:bCs w:val="1"/>
                <w:color w:val="auto"/>
                <w:w w:val="96"/>
              </w:rPr>
              <w:t>Payment Delay,</w:t>
            </w: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6"/>
              </w:rPr>
              <w:t>Trial Modification</w:t>
            </w:r>
          </w:p>
        </w:tc>
        <w:tc>
          <w:tcPr>
            <w:tcW w:w="100" w:type="dxa"/>
            <w:vAlign w:val="bottom"/>
          </w:tcPr>
          <w:p>
            <w:pPr>
              <w:spacing w:after="0"/>
              <w:rPr>
                <w:sz w:val="12"/>
                <w:szCs w:val="12"/>
                <w:color w:val="auto"/>
              </w:rPr>
            </w:pPr>
          </w:p>
        </w:tc>
        <w:tc>
          <w:tcPr>
            <w:tcW w:w="122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w w:val="98"/>
              </w:rPr>
              <w:t>Payment Delay</w:t>
            </w:r>
          </w:p>
        </w:tc>
        <w:tc>
          <w:tcPr>
            <w:tcW w:w="1320" w:type="dxa"/>
            <w:vAlign w:val="bottom"/>
            <w:gridSpan w:val="3"/>
          </w:tcPr>
          <w:p>
            <w:pPr>
              <w:jc w:val="center"/>
              <w:ind w:right="100"/>
              <w:spacing w:after="0" w:line="139" w:lineRule="exact"/>
              <w:rPr>
                <w:sz w:val="20"/>
                <w:szCs w:val="20"/>
                <w:color w:val="auto"/>
              </w:rPr>
            </w:pPr>
            <w:r>
              <w:rPr>
                <w:rFonts w:ascii="Arial" w:cs="Arial" w:eastAsia="Arial" w:hAnsi="Arial"/>
                <w:sz w:val="14"/>
                <w:szCs w:val="14"/>
                <w:b w:val="1"/>
                <w:bCs w:val="1"/>
                <w:color w:val="auto"/>
                <w:w w:val="97"/>
              </w:rPr>
              <w:t>Term Extension,</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40" w:type="dxa"/>
            <w:vAlign w:val="bottom"/>
            <w:vMerge w:val="restart"/>
          </w:tcPr>
          <w:p>
            <w:pPr>
              <w:jc w:val="center"/>
              <w:ind w:left="25"/>
              <w:spacing w:after="0"/>
              <w:rPr>
                <w:sz w:val="20"/>
                <w:szCs w:val="20"/>
                <w:color w:val="auto"/>
              </w:rPr>
            </w:pPr>
            <w:r>
              <w:rPr>
                <w:rFonts w:ascii="Arial" w:cs="Arial" w:eastAsia="Arial" w:hAnsi="Arial"/>
                <w:sz w:val="14"/>
                <w:szCs w:val="14"/>
                <w:b w:val="1"/>
                <w:bCs w:val="1"/>
                <w:color w:val="auto"/>
                <w:w w:val="97"/>
              </w:rPr>
              <w:t>Percentage of</w:t>
            </w:r>
          </w:p>
        </w:tc>
        <w:tc>
          <w:tcPr>
            <w:tcW w:w="0" w:type="dxa"/>
            <w:vAlign w:val="bottom"/>
          </w:tcPr>
          <w:p>
            <w:pPr>
              <w:spacing w:after="0"/>
              <w:rPr>
                <w:sz w:val="1"/>
                <w:szCs w:val="1"/>
                <w:color w:val="auto"/>
              </w:rPr>
            </w:pPr>
          </w:p>
        </w:tc>
      </w:tr>
      <w:tr>
        <w:trPr>
          <w:trHeight w:val="142"/>
        </w:trPr>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6"/>
              </w:rPr>
              <w:t>Interest Rate</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Forbearance Plan</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98"/>
              </w:rPr>
              <w:t>Payment Deferral</w:t>
            </w:r>
          </w:p>
        </w:tc>
        <w:tc>
          <w:tcPr>
            <w:tcW w:w="120" w:type="dxa"/>
            <w:vAlign w:val="bottom"/>
          </w:tcPr>
          <w:p>
            <w:pPr>
              <w:spacing w:after="0"/>
              <w:rPr>
                <w:sz w:val="12"/>
                <w:szCs w:val="12"/>
                <w:color w:val="auto"/>
              </w:rPr>
            </w:pPr>
          </w:p>
        </w:tc>
        <w:tc>
          <w:tcPr>
            <w:tcW w:w="1220" w:type="dxa"/>
            <w:vAlign w:val="bottom"/>
            <w:gridSpan w:val="3"/>
          </w:tcPr>
          <w:p>
            <w:pPr>
              <w:jc w:val="center"/>
              <w:ind w:right="200"/>
              <w:spacing w:after="0" w:line="142" w:lineRule="exact"/>
              <w:rPr>
                <w:sz w:val="20"/>
                <w:szCs w:val="20"/>
                <w:color w:val="auto"/>
              </w:rPr>
            </w:pPr>
            <w:r>
              <w:rPr>
                <w:rFonts w:ascii="Arial" w:cs="Arial" w:eastAsia="Arial" w:hAnsi="Arial"/>
                <w:sz w:val="14"/>
                <w:szCs w:val="14"/>
                <w:b w:val="1"/>
                <w:bCs w:val="1"/>
                <w:color w:val="auto"/>
                <w:w w:val="97"/>
              </w:rPr>
              <w:t>and Repayment</w:t>
            </w:r>
          </w:p>
        </w:tc>
        <w:tc>
          <w:tcPr>
            <w:tcW w:w="100" w:type="dxa"/>
            <w:vAlign w:val="bottom"/>
          </w:tcPr>
          <w:p>
            <w:pPr>
              <w:spacing w:after="0"/>
              <w:rPr>
                <w:sz w:val="12"/>
                <w:szCs w:val="12"/>
                <w:color w:val="auto"/>
              </w:rPr>
            </w:pPr>
          </w:p>
        </w:tc>
        <w:tc>
          <w:tcPr>
            <w:tcW w:w="1220" w:type="dxa"/>
            <w:vAlign w:val="bottom"/>
            <w:gridSpan w:val="4"/>
          </w:tcPr>
          <w:p>
            <w:pPr>
              <w:jc w:val="center"/>
              <w:ind w:right="200"/>
              <w:spacing w:after="0" w:line="142" w:lineRule="exact"/>
              <w:rPr>
                <w:sz w:val="20"/>
                <w:szCs w:val="20"/>
                <w:color w:val="auto"/>
              </w:rPr>
            </w:pPr>
            <w:r>
              <w:rPr>
                <w:rFonts w:ascii="Arial" w:cs="Arial" w:eastAsia="Arial" w:hAnsi="Arial"/>
                <w:sz w:val="14"/>
                <w:szCs w:val="14"/>
                <w:b w:val="1"/>
                <w:bCs w:val="1"/>
                <w:color w:val="auto"/>
                <w:w w:val="98"/>
              </w:rPr>
              <w:t>and Term</w:t>
            </w:r>
          </w:p>
        </w:tc>
        <w:tc>
          <w:tcPr>
            <w:tcW w:w="100" w:type="dxa"/>
            <w:vAlign w:val="bottom"/>
          </w:tcPr>
          <w:p>
            <w:pPr>
              <w:spacing w:after="0"/>
              <w:rPr>
                <w:sz w:val="12"/>
                <w:szCs w:val="12"/>
                <w:color w:val="auto"/>
              </w:rPr>
            </w:pPr>
          </w:p>
        </w:tc>
        <w:tc>
          <w:tcPr>
            <w:tcW w:w="122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6"/>
              </w:rPr>
              <w:t>Reduction, and</w:t>
            </w:r>
          </w:p>
        </w:tc>
        <w:tc>
          <w:tcPr>
            <w:tcW w:w="280" w:type="dxa"/>
            <w:vAlign w:val="bottom"/>
          </w:tcPr>
          <w:p>
            <w:pPr>
              <w:spacing w:after="0"/>
              <w:rPr>
                <w:sz w:val="12"/>
                <w:szCs w:val="12"/>
                <w:color w:val="auto"/>
              </w:rPr>
            </w:pPr>
          </w:p>
        </w:tc>
        <w:tc>
          <w:tcPr>
            <w:tcW w:w="940" w:type="dxa"/>
            <w:vAlign w:val="bottom"/>
            <w:vMerge w:val="restart"/>
          </w:tcPr>
          <w:p>
            <w:pPr>
              <w:jc w:val="right"/>
              <w:ind w:right="384"/>
              <w:spacing w:after="0"/>
              <w:rPr>
                <w:sz w:val="20"/>
                <w:szCs w:val="20"/>
                <w:color w:val="auto"/>
              </w:rPr>
            </w:pPr>
            <w:r>
              <w:rPr>
                <w:rFonts w:ascii="Arial" w:cs="Arial" w:eastAsia="Arial" w:hAnsi="Arial"/>
                <w:sz w:val="14"/>
                <w:szCs w:val="14"/>
                <w:b w:val="1"/>
                <w:bCs w:val="1"/>
                <w:color w:val="auto"/>
              </w:rPr>
              <w:t>Total</w:t>
            </w:r>
          </w:p>
        </w:tc>
        <w:tc>
          <w:tcPr>
            <w:tcW w:w="1440" w:type="dxa"/>
            <w:vAlign w:val="bottom"/>
          </w:tcPr>
          <w:p>
            <w:pPr>
              <w:jc w:val="center"/>
              <w:ind w:left="5"/>
              <w:spacing w:after="0" w:line="142" w:lineRule="exact"/>
              <w:rPr>
                <w:sz w:val="20"/>
                <w:szCs w:val="20"/>
                <w:color w:val="auto"/>
              </w:rPr>
            </w:pPr>
            <w:r>
              <w:rPr>
                <w:rFonts w:ascii="Arial" w:cs="Arial" w:eastAsia="Arial" w:hAnsi="Arial"/>
                <w:sz w:val="14"/>
                <w:szCs w:val="14"/>
                <w:b w:val="1"/>
                <w:bCs w:val="1"/>
                <w:color w:val="auto"/>
                <w:w w:val="96"/>
              </w:rPr>
              <w:t>Total by Financing</w:t>
            </w:r>
          </w:p>
        </w:tc>
        <w:tc>
          <w:tcPr>
            <w:tcW w:w="0" w:type="dxa"/>
            <w:vAlign w:val="bottom"/>
          </w:tcPr>
          <w:p>
            <w:pPr>
              <w:spacing w:after="0"/>
              <w:rPr>
                <w:sz w:val="1"/>
                <w:szCs w:val="1"/>
                <w:color w:val="auto"/>
              </w:rPr>
            </w:pPr>
          </w:p>
        </w:tc>
      </w:tr>
      <w:tr>
        <w:trPr>
          <w:trHeight w:val="180"/>
        </w:trPr>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Borders>
              <w:bottom w:val="single" w:sz="8" w:color="2C6937"/>
            </w:tcBorders>
            <w:gridSpan w:val="2"/>
            <w:vMerge w:val="continue"/>
          </w:tcPr>
          <w:p>
            <w:pPr>
              <w:spacing w:after="0"/>
              <w:rPr>
                <w:sz w:val="15"/>
                <w:szCs w:val="15"/>
                <w:color w:val="auto"/>
              </w:rPr>
            </w:pPr>
          </w:p>
        </w:tc>
        <w:tc>
          <w:tcPr>
            <w:tcW w:w="20" w:type="dxa"/>
            <w:vAlign w:val="bottom"/>
            <w:tcBorders>
              <w:bottom w:val="single" w:sz="8" w:color="2C6937"/>
            </w:tcBorders>
          </w:tcPr>
          <w:p>
            <w:pPr>
              <w:spacing w:after="0"/>
              <w:rPr>
                <w:sz w:val="15"/>
                <w:szCs w:val="15"/>
                <w:color w:val="auto"/>
              </w:rPr>
            </w:pPr>
          </w:p>
        </w:tc>
        <w:tc>
          <w:tcPr>
            <w:tcW w:w="20" w:type="dxa"/>
            <w:vAlign w:val="bottom"/>
            <w:tcBorders>
              <w:bottom w:val="single" w:sz="8" w:color="2C6937"/>
            </w:tcBorders>
          </w:tcPr>
          <w:p>
            <w:pPr>
              <w:spacing w:after="0"/>
              <w:rPr>
                <w:sz w:val="15"/>
                <w:szCs w:val="15"/>
                <w:color w:val="auto"/>
              </w:rPr>
            </w:pPr>
          </w:p>
        </w:tc>
        <w:tc>
          <w:tcPr>
            <w:tcW w:w="80" w:type="dxa"/>
            <w:vAlign w:val="bottom"/>
            <w:tcBorders>
              <w:bottom w:val="single" w:sz="8" w:color="2C6937"/>
            </w:tcBorders>
          </w:tcPr>
          <w:p>
            <w:pPr>
              <w:spacing w:after="0"/>
              <w:rPr>
                <w:sz w:val="15"/>
                <w:szCs w:val="15"/>
                <w:color w:val="auto"/>
              </w:rPr>
            </w:pPr>
          </w:p>
        </w:tc>
        <w:tc>
          <w:tcPr>
            <w:tcW w:w="1300" w:type="dxa"/>
            <w:vAlign w:val="bottom"/>
            <w:tcBorders>
              <w:bottom w:val="single" w:sz="8" w:color="2C6937"/>
            </w:tcBorders>
            <w:gridSpan w:val="4"/>
            <w:vMerge w:val="continue"/>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gridSpan w:val="3"/>
          </w:tcPr>
          <w:p>
            <w:pPr>
              <w:jc w:val="center"/>
              <w:ind w:right="220"/>
              <w:spacing w:after="0"/>
              <w:rPr>
                <w:sz w:val="20"/>
                <w:szCs w:val="20"/>
                <w:color w:val="auto"/>
              </w:rPr>
            </w:pPr>
            <w:r>
              <w:rPr>
                <w:rFonts w:ascii="Arial" w:cs="Arial" w:eastAsia="Arial" w:hAnsi="Arial"/>
                <w:sz w:val="14"/>
                <w:szCs w:val="14"/>
                <w:b w:val="1"/>
                <w:bCs w:val="1"/>
                <w:color w:val="auto"/>
                <w:w w:val="96"/>
              </w:rPr>
              <w:t>Plans</w:t>
            </w:r>
          </w:p>
        </w:tc>
        <w:tc>
          <w:tcPr>
            <w:tcW w:w="10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gridSpan w:val="4"/>
          </w:tcPr>
          <w:p>
            <w:pPr>
              <w:jc w:val="center"/>
              <w:ind w:right="200"/>
              <w:spacing w:after="0"/>
              <w:rPr>
                <w:sz w:val="20"/>
                <w:szCs w:val="20"/>
                <w:color w:val="auto"/>
              </w:rPr>
            </w:pPr>
            <w:r>
              <w:rPr>
                <w:rFonts w:ascii="Arial" w:cs="Arial" w:eastAsia="Arial" w:hAnsi="Arial"/>
                <w:sz w:val="14"/>
                <w:szCs w:val="14"/>
                <w:b w:val="1"/>
                <w:bCs w:val="1"/>
                <w:color w:val="auto"/>
              </w:rPr>
              <w:t>Extension</w:t>
            </w:r>
            <w:r>
              <w:rPr>
                <w:rFonts w:ascii="Arial" w:cs="Arial" w:eastAsia="Arial" w:hAnsi="Arial"/>
                <w:sz w:val="8"/>
                <w:szCs w:val="8"/>
                <w:b w:val="1"/>
                <w:bCs w:val="1"/>
                <w:color w:val="auto"/>
              </w:rPr>
              <w:t>(1)</w:t>
            </w:r>
          </w:p>
        </w:tc>
        <w:tc>
          <w:tcPr>
            <w:tcW w:w="10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gridSpan w:val="2"/>
          </w:tcPr>
          <w:p>
            <w:pPr>
              <w:jc w:val="center"/>
              <w:ind w:right="180"/>
              <w:spacing w:after="0" w:line="180" w:lineRule="exact"/>
              <w:rPr>
                <w:sz w:val="20"/>
                <w:szCs w:val="20"/>
                <w:color w:val="auto"/>
              </w:rPr>
            </w:pPr>
            <w:r>
              <w:rPr>
                <w:rFonts w:ascii="Arial" w:cs="Arial" w:eastAsia="Arial" w:hAnsi="Arial"/>
                <w:sz w:val="14"/>
                <w:szCs w:val="14"/>
                <w:b w:val="1"/>
                <w:bCs w:val="1"/>
                <w:color w:val="auto"/>
                <w:w w:val="93"/>
              </w:rPr>
              <w:t>Other</w:t>
            </w:r>
            <w:r>
              <w:rPr>
                <w:rFonts w:ascii="Arial" w:cs="Arial" w:eastAsia="Arial" w:hAnsi="Arial"/>
                <w:sz w:val="17"/>
                <w:szCs w:val="17"/>
                <w:b w:val="1"/>
                <w:bCs w:val="1"/>
                <w:color w:val="auto"/>
                <w:w w:val="93"/>
                <w:vertAlign w:val="superscript"/>
              </w:rPr>
              <w:t>(1)</w:t>
            </w:r>
          </w:p>
        </w:tc>
        <w:tc>
          <w:tcPr>
            <w:tcW w:w="280" w:type="dxa"/>
            <w:vAlign w:val="bottom"/>
            <w:tcBorders>
              <w:bottom w:val="single" w:sz="8" w:color="2C6937"/>
            </w:tcBorders>
          </w:tcPr>
          <w:p>
            <w:pPr>
              <w:spacing w:after="0"/>
              <w:rPr>
                <w:sz w:val="15"/>
                <w:szCs w:val="15"/>
                <w:color w:val="auto"/>
              </w:rPr>
            </w:pPr>
          </w:p>
        </w:tc>
        <w:tc>
          <w:tcPr>
            <w:tcW w:w="940" w:type="dxa"/>
            <w:vAlign w:val="bottom"/>
            <w:tcBorders>
              <w:bottom w:val="single" w:sz="8" w:color="2C6937"/>
            </w:tcBorders>
            <w:vMerge w:val="continue"/>
          </w:tcPr>
          <w:p>
            <w:pPr>
              <w:spacing w:after="0"/>
              <w:rPr>
                <w:sz w:val="15"/>
                <w:szCs w:val="15"/>
                <w:color w:val="auto"/>
              </w:rPr>
            </w:pPr>
          </w:p>
        </w:tc>
        <w:tc>
          <w:tcPr>
            <w:tcW w:w="1440" w:type="dxa"/>
            <w:vAlign w:val="bottom"/>
            <w:tcBorders>
              <w:bottom w:val="single" w:sz="8" w:color="2C6937"/>
            </w:tcBorders>
          </w:tcPr>
          <w:p>
            <w:pPr>
              <w:jc w:val="center"/>
              <w:ind w:left="25"/>
              <w:spacing w:after="0"/>
              <w:rPr>
                <w:sz w:val="20"/>
                <w:szCs w:val="20"/>
                <w:color w:val="auto"/>
              </w:rPr>
            </w:pPr>
            <w:r>
              <w:rPr>
                <w:rFonts w:ascii="Arial" w:cs="Arial" w:eastAsia="Arial" w:hAnsi="Arial"/>
                <w:sz w:val="14"/>
                <w:szCs w:val="14"/>
                <w:b w:val="1"/>
                <w:bCs w:val="1"/>
                <w:color w:val="auto"/>
                <w:w w:val="97"/>
              </w:rPr>
              <w:t>Class</w:t>
            </w:r>
            <w:r>
              <w:rPr>
                <w:rFonts w:ascii="Arial" w:cs="Arial" w:eastAsia="Arial" w:hAnsi="Arial"/>
                <w:sz w:val="8"/>
                <w:szCs w:val="8"/>
                <w:b w:val="1"/>
                <w:bCs w:val="1"/>
                <w:color w:val="auto"/>
                <w:w w:val="97"/>
              </w:rPr>
              <w:t>(2)</w:t>
            </w:r>
          </w:p>
        </w:tc>
        <w:tc>
          <w:tcPr>
            <w:tcW w:w="0" w:type="dxa"/>
            <w:vAlign w:val="bottom"/>
          </w:tcPr>
          <w:p>
            <w:pPr>
              <w:spacing w:after="0"/>
              <w:rPr>
                <w:sz w:val="1"/>
                <w:szCs w:val="1"/>
                <w:color w:val="auto"/>
              </w:rPr>
            </w:pPr>
          </w:p>
        </w:tc>
      </w:tr>
      <w:tr>
        <w:trPr>
          <w:trHeight w:val="198"/>
        </w:trPr>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6"/>
              </w:rPr>
              <w:t>(Dollars in millions)</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98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980" w:type="dxa"/>
            <w:vAlign w:val="bottom"/>
            <w:gridSpan w:val="2"/>
          </w:tcPr>
          <w:p>
            <w:pPr>
              <w:ind w:left="180"/>
              <w:spacing w:after="0"/>
              <w:rPr>
                <w:sz w:val="20"/>
                <w:szCs w:val="20"/>
                <w:color w:val="auto"/>
              </w:rPr>
            </w:pPr>
            <w:r>
              <w:rPr>
                <w:rFonts w:ascii="Arial" w:cs="Arial" w:eastAsia="Arial" w:hAnsi="Arial"/>
                <w:sz w:val="15"/>
                <w:szCs w:val="15"/>
                <w:color w:val="auto"/>
              </w:rPr>
              <w:t>20- and 30-year or</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980" w:type="dxa"/>
            <w:vAlign w:val="bottom"/>
            <w:gridSpan w:val="2"/>
          </w:tcPr>
          <w:p>
            <w:pPr>
              <w:ind w:left="320"/>
              <w:spacing w:after="0"/>
              <w:rPr>
                <w:sz w:val="20"/>
                <w:szCs w:val="20"/>
                <w:color w:val="auto"/>
              </w:rPr>
            </w:pPr>
            <w:r>
              <w:rPr>
                <w:rFonts w:ascii="Arial" w:cs="Arial" w:eastAsia="Arial" w:hAnsi="Arial"/>
                <w:sz w:val="15"/>
                <w:szCs w:val="15"/>
                <w:color w:val="auto"/>
              </w:rPr>
              <w:t>more, amortizing</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980" w:type="dxa"/>
            <w:vAlign w:val="bottom"/>
            <w:gridSpan w:val="2"/>
          </w:tcPr>
          <w:p>
            <w:pPr>
              <w:ind w:left="320"/>
              <w:spacing w:after="0"/>
              <w:rPr>
                <w:sz w:val="20"/>
                <w:szCs w:val="20"/>
                <w:color w:val="auto"/>
              </w:rPr>
            </w:pPr>
            <w:r>
              <w:rPr>
                <w:rFonts w:ascii="Arial" w:cs="Arial" w:eastAsia="Arial" w:hAnsi="Arial"/>
                <w:sz w:val="15"/>
                <w:szCs w:val="15"/>
                <w:color w:val="auto"/>
              </w:rPr>
              <w:t>fixed-rate</w:t>
            </w:r>
          </w:p>
        </w:tc>
        <w:tc>
          <w:tcPr>
            <w:tcW w:w="440" w:type="dxa"/>
            <w:vAlign w:val="bottom"/>
          </w:tcPr>
          <w:p>
            <w:pPr>
              <w:ind w:left="2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8,373</w:t>
            </w:r>
          </w:p>
        </w:tc>
        <w:tc>
          <w:tcPr>
            <w:tcW w:w="540" w:type="dxa"/>
            <w:vAlign w:val="bottom"/>
            <w:gridSpan w:val="4"/>
          </w:tcPr>
          <w:p>
            <w:pPr>
              <w:jc w:val="right"/>
              <w:ind w:right="248"/>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8,312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7,542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6,908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114</w:t>
            </w:r>
          </w:p>
        </w:tc>
        <w:tc>
          <w:tcPr>
            <w:tcW w:w="100" w:type="dxa"/>
            <w:vAlign w:val="bottom"/>
          </w:tcPr>
          <w:p>
            <w:pPr>
              <w:spacing w:after="0"/>
              <w:rPr>
                <w:sz w:val="18"/>
                <w:szCs w:val="18"/>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31,249</w:t>
            </w:r>
          </w:p>
        </w:tc>
        <w:tc>
          <w:tcPr>
            <w:tcW w:w="1440" w:type="dxa"/>
            <w:vAlign w:val="bottom"/>
          </w:tcPr>
          <w:p>
            <w:pPr>
              <w:jc w:val="right"/>
              <w:spacing w:after="0"/>
              <w:rPr>
                <w:sz w:val="20"/>
                <w:szCs w:val="20"/>
                <w:color w:val="auto"/>
              </w:rPr>
            </w:pPr>
            <w:r>
              <w:rPr>
                <w:rFonts w:ascii="Arial" w:cs="Arial" w:eastAsia="Arial" w:hAnsi="Arial"/>
                <w:sz w:val="15"/>
                <w:szCs w:val="15"/>
                <w:color w:val="auto"/>
              </w:rPr>
              <w:t>1 %</w:t>
            </w:r>
          </w:p>
        </w:tc>
        <w:tc>
          <w:tcPr>
            <w:tcW w:w="0" w:type="dxa"/>
            <w:vAlign w:val="bottom"/>
          </w:tcPr>
          <w:p>
            <w:pPr>
              <w:spacing w:after="0"/>
              <w:rPr>
                <w:sz w:val="1"/>
                <w:szCs w:val="1"/>
                <w:color w:val="auto"/>
              </w:rPr>
            </w:pPr>
          </w:p>
        </w:tc>
      </w:tr>
      <w:tr>
        <w:trPr>
          <w:trHeight w:val="196"/>
        </w:trPr>
        <w:tc>
          <w:tcPr>
            <w:tcW w:w="1980" w:type="dxa"/>
            <w:vAlign w:val="bottom"/>
            <w:gridSpan w:val="2"/>
          </w:tcPr>
          <w:p>
            <w:pPr>
              <w:ind w:left="180"/>
              <w:spacing w:after="0"/>
              <w:rPr>
                <w:sz w:val="20"/>
                <w:szCs w:val="20"/>
                <w:color w:val="auto"/>
              </w:rPr>
            </w:pPr>
            <w:r>
              <w:rPr>
                <w:rFonts w:ascii="Arial" w:cs="Arial" w:eastAsia="Arial" w:hAnsi="Arial"/>
                <w:sz w:val="15"/>
                <w:szCs w:val="15"/>
                <w:color w:val="auto"/>
              </w:rPr>
              <w:t>15-year or less,</w:t>
            </w: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80" w:type="dxa"/>
            <w:vAlign w:val="bottom"/>
            <w:gridSpan w:val="2"/>
          </w:tcPr>
          <w:p>
            <w:pPr>
              <w:ind w:left="320"/>
              <w:spacing w:after="0"/>
              <w:rPr>
                <w:sz w:val="20"/>
                <w:szCs w:val="20"/>
                <w:color w:val="auto"/>
              </w:rPr>
            </w:pPr>
            <w:r>
              <w:rPr>
                <w:rFonts w:ascii="Arial" w:cs="Arial" w:eastAsia="Arial" w:hAnsi="Arial"/>
                <w:sz w:val="15"/>
                <w:szCs w:val="15"/>
                <w:color w:val="auto"/>
              </w:rPr>
              <w:t>amortizing fixed-rate</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352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255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876</w:t>
            </w:r>
          </w:p>
        </w:tc>
        <w:tc>
          <w:tcPr>
            <w:tcW w:w="144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2"/>
        </w:trPr>
        <w:tc>
          <w:tcPr>
            <w:tcW w:w="198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4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45</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4"/>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112</w:t>
            </w:r>
          </w:p>
        </w:tc>
        <w:tc>
          <w:tcPr>
            <w:tcW w:w="144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3"/>
        </w:trPr>
        <w:tc>
          <w:tcPr>
            <w:tcW w:w="188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20"/>
                <w:szCs w:val="20"/>
                <w:color w:val="auto"/>
              </w:rPr>
            </w:pPr>
          </w:p>
        </w:tc>
        <w:tc>
          <w:tcPr>
            <w:tcW w:w="440" w:type="dxa"/>
            <w:vAlign w:val="bottom"/>
            <w:tcBorders>
              <w:bottom w:val="single" w:sz="8" w:color="2C6937"/>
            </w:tcBorders>
          </w:tcPr>
          <w:p>
            <w:pPr>
              <w:spacing w:after="0"/>
              <w:rPr>
                <w:sz w:val="20"/>
                <w:szCs w:val="20"/>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48</w:t>
            </w:r>
          </w:p>
        </w:tc>
        <w:tc>
          <w:tcPr>
            <w:tcW w:w="20" w:type="dxa"/>
            <w:vAlign w:val="bottom"/>
            <w:tcBorders>
              <w:bottom w:val="single" w:sz="8" w:color="2C6937"/>
            </w:tcBorders>
          </w:tcPr>
          <w:p>
            <w:pPr>
              <w:spacing w:after="0"/>
              <w:rPr>
                <w:sz w:val="20"/>
                <w:szCs w:val="20"/>
                <w:color w:val="auto"/>
              </w:rPr>
            </w:pPr>
          </w:p>
        </w:tc>
        <w:tc>
          <w:tcPr>
            <w:tcW w:w="20" w:type="dxa"/>
            <w:vAlign w:val="bottom"/>
            <w:tcBorders>
              <w:bottom w:val="single" w:sz="8" w:color="2C6937"/>
            </w:tcBorders>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Borders>
              <w:bottom w:val="single" w:sz="8" w:color="2C6937"/>
            </w:tcBorders>
          </w:tcPr>
          <w:p>
            <w:pPr>
              <w:spacing w:after="0"/>
              <w:rPr>
                <w:sz w:val="20"/>
                <w:szCs w:val="20"/>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102</w:t>
            </w:r>
          </w:p>
        </w:tc>
        <w:tc>
          <w:tcPr>
            <w:tcW w:w="20" w:type="dxa"/>
            <w:vAlign w:val="bottom"/>
            <w:tcBorders>
              <w:bottom w:val="single" w:sz="8" w:color="2C6937"/>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77</w:t>
            </w:r>
          </w:p>
        </w:tc>
        <w:tc>
          <w:tcPr>
            <w:tcW w:w="20" w:type="dxa"/>
            <w:vAlign w:val="bottom"/>
            <w:tcBorders>
              <w:bottom w:val="single" w:sz="8" w:color="2C6937"/>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31</w:t>
            </w:r>
          </w:p>
        </w:tc>
        <w:tc>
          <w:tcPr>
            <w:tcW w:w="100" w:type="dxa"/>
            <w:vAlign w:val="bottom"/>
          </w:tcPr>
          <w:p>
            <w:pPr>
              <w:spacing w:after="0"/>
              <w:rPr>
                <w:sz w:val="20"/>
                <w:szCs w:val="20"/>
                <w:color w:val="auto"/>
              </w:rPr>
            </w:pPr>
          </w:p>
        </w:tc>
        <w:tc>
          <w:tcPr>
            <w:tcW w:w="280" w:type="dxa"/>
            <w:vAlign w:val="bottom"/>
            <w:tcBorders>
              <w:bottom w:val="single" w:sz="8" w:color="2C6937"/>
            </w:tcBorders>
          </w:tcPr>
          <w:p>
            <w:pPr>
              <w:spacing w:after="0"/>
              <w:rPr>
                <w:sz w:val="20"/>
                <w:szCs w:val="20"/>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362</w:t>
            </w:r>
          </w:p>
        </w:tc>
        <w:tc>
          <w:tcPr>
            <w:tcW w:w="1440" w:type="dxa"/>
            <w:vAlign w:val="bottom"/>
          </w:tcPr>
          <w:p>
            <w:pPr>
              <w:jc w:val="right"/>
              <w:ind w:right="145"/>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24"/>
        </w:trPr>
        <w:tc>
          <w:tcPr>
            <w:tcW w:w="1980" w:type="dxa"/>
            <w:vAlign w:val="bottom"/>
            <w:gridSpan w:val="2"/>
          </w:tcPr>
          <w:p>
            <w:pPr>
              <w:ind w:left="20"/>
              <w:spacing w:after="0"/>
              <w:rPr>
                <w:sz w:val="20"/>
                <w:szCs w:val="20"/>
                <w:color w:val="auto"/>
              </w:rPr>
            </w:pPr>
            <w:r>
              <w:rPr>
                <w:rFonts w:ascii="Arial" w:cs="Arial" w:eastAsia="Arial" w:hAnsi="Arial"/>
                <w:sz w:val="15"/>
                <w:szCs w:val="15"/>
                <w:color w:val="auto"/>
              </w:rPr>
              <w:t>Total single-family</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8,818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8,715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7,927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6,988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32,599</w:t>
            </w:r>
          </w:p>
        </w:tc>
        <w:tc>
          <w:tcPr>
            <w:tcW w:w="1440" w:type="dxa"/>
            <w:vAlign w:val="bottom"/>
          </w:tcPr>
          <w:p>
            <w:pPr>
              <w:jc w:val="right"/>
              <w:ind w:right="145"/>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33"/>
        </w:trPr>
        <w:tc>
          <w:tcPr>
            <w:tcW w:w="18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0"/>
                <w:szCs w:val="20"/>
                <w:color w:val="auto"/>
              </w:rPr>
            </w:pPr>
          </w:p>
        </w:tc>
        <w:tc>
          <w:tcPr>
            <w:tcW w:w="440" w:type="dxa"/>
            <w:vAlign w:val="bottom"/>
            <w:tcBorders>
              <w:bottom w:val="single" w:sz="8" w:color="2C6937"/>
            </w:tcBorders>
          </w:tcPr>
          <w:p>
            <w:pPr>
              <w:spacing w:after="0"/>
              <w:rPr>
                <w:sz w:val="20"/>
                <w:szCs w:val="20"/>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330</w:t>
            </w:r>
          </w:p>
        </w:tc>
        <w:tc>
          <w:tcPr>
            <w:tcW w:w="20" w:type="dxa"/>
            <w:vAlign w:val="bottom"/>
            <w:tcBorders>
              <w:bottom w:val="single" w:sz="8" w:color="2C6937"/>
            </w:tcBorders>
          </w:tcPr>
          <w:p>
            <w:pPr>
              <w:spacing w:after="0"/>
              <w:rPr>
                <w:sz w:val="20"/>
                <w:szCs w:val="20"/>
                <w:color w:val="auto"/>
              </w:rPr>
            </w:pPr>
          </w:p>
        </w:tc>
        <w:tc>
          <w:tcPr>
            <w:tcW w:w="20" w:type="dxa"/>
            <w:vAlign w:val="bottom"/>
            <w:tcBorders>
              <w:bottom w:val="single" w:sz="8" w:color="2C6937"/>
            </w:tcBorders>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Borders>
              <w:bottom w:val="single" w:sz="8" w:color="2C6937"/>
            </w:tcBorders>
          </w:tcPr>
          <w:p>
            <w:pPr>
              <w:spacing w:after="0"/>
              <w:rPr>
                <w:sz w:val="20"/>
                <w:szCs w:val="20"/>
                <w:color w:val="auto"/>
              </w:rPr>
            </w:pPr>
          </w:p>
        </w:tc>
        <w:tc>
          <w:tcPr>
            <w:tcW w:w="800" w:type="dxa"/>
            <w:vAlign w:val="bottom"/>
            <w:tcBorders>
              <w:bottom w:val="single" w:sz="8" w:color="2C6937"/>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gridSpan w:val="2"/>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140" w:type="dxa"/>
            <w:vAlign w:val="bottom"/>
            <w:tcBorders>
              <w:bottom w:val="single" w:sz="8" w:color="2C6937"/>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80" w:type="dxa"/>
            <w:vAlign w:val="bottom"/>
            <w:gridSpan w:val="2"/>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64</w:t>
            </w:r>
          </w:p>
        </w:tc>
        <w:tc>
          <w:tcPr>
            <w:tcW w:w="100" w:type="dxa"/>
            <w:vAlign w:val="bottom"/>
          </w:tcPr>
          <w:p>
            <w:pPr>
              <w:spacing w:after="0"/>
              <w:rPr>
                <w:sz w:val="20"/>
                <w:szCs w:val="20"/>
                <w:color w:val="auto"/>
              </w:rPr>
            </w:pPr>
          </w:p>
        </w:tc>
        <w:tc>
          <w:tcPr>
            <w:tcW w:w="280" w:type="dxa"/>
            <w:vAlign w:val="bottom"/>
            <w:tcBorders>
              <w:bottom w:val="single" w:sz="8" w:color="2C6937"/>
            </w:tcBorders>
          </w:tcPr>
          <w:p>
            <w:pPr>
              <w:spacing w:after="0"/>
              <w:rPr>
                <w:sz w:val="20"/>
                <w:szCs w:val="20"/>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394</w:t>
            </w:r>
          </w:p>
        </w:tc>
        <w:tc>
          <w:tcPr>
            <w:tcW w:w="144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6"/>
        </w:trPr>
        <w:tc>
          <w:tcPr>
            <w:tcW w:w="1880" w:type="dxa"/>
            <w:vAlign w:val="bottom"/>
            <w:tcBorders>
              <w:bottom w:val="single" w:sz="8" w:color="2C6937"/>
            </w:tcBorders>
          </w:tcPr>
          <w:p>
            <w:pPr>
              <w:ind w:left="180"/>
              <w:spacing w:after="0" w:line="226" w:lineRule="exact"/>
              <w:rPr>
                <w:sz w:val="20"/>
                <w:szCs w:val="20"/>
                <w:color w:val="auto"/>
              </w:rPr>
            </w:pPr>
            <w:r>
              <w:rPr>
                <w:rFonts w:ascii="Arial" w:cs="Arial" w:eastAsia="Arial" w:hAnsi="Arial"/>
                <w:sz w:val="15"/>
                <w:szCs w:val="15"/>
                <w:color w:val="auto"/>
              </w:rPr>
              <w:t>Total</w:t>
            </w:r>
            <w:r>
              <w:rPr>
                <w:rFonts w:ascii="Arial" w:cs="Arial" w:eastAsia="Arial" w:hAnsi="Arial"/>
                <w:sz w:val="20"/>
                <w:szCs w:val="20"/>
                <w:color w:val="auto"/>
                <w:vertAlign w:val="superscript"/>
              </w:rPr>
              <w:t>(3)</w:t>
            </w:r>
          </w:p>
        </w:tc>
        <w:tc>
          <w:tcPr>
            <w:tcW w:w="100" w:type="dxa"/>
            <w:vAlign w:val="bottom"/>
          </w:tcPr>
          <w:p>
            <w:pPr>
              <w:spacing w:after="0"/>
              <w:rPr>
                <w:sz w:val="19"/>
                <w:szCs w:val="19"/>
                <w:color w:val="auto"/>
              </w:rPr>
            </w:pPr>
          </w:p>
        </w:tc>
        <w:tc>
          <w:tcPr>
            <w:tcW w:w="44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9,148</w:t>
            </w:r>
          </w:p>
        </w:tc>
        <w:tc>
          <w:tcPr>
            <w:tcW w:w="40" w:type="dxa"/>
            <w:vAlign w:val="bottom"/>
            <w:tcBorders>
              <w:bottom w:val="single" w:sz="8" w:color="2C6937"/>
            </w:tcBorders>
            <w:gridSpan w:val="2"/>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2C6937"/>
            </w:tcBorders>
          </w:tcPr>
          <w:p>
            <w:pPr>
              <w:jc w:val="right"/>
              <w:ind w:right="248"/>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8,715</w:t>
            </w:r>
          </w:p>
        </w:tc>
        <w:tc>
          <w:tcPr>
            <w:tcW w:w="20" w:type="dxa"/>
            <w:vAlign w:val="bottom"/>
            <w:tcBorders>
              <w:bottom w:val="single" w:sz="8" w:color="2C6937"/>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7,927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6,988</w:t>
            </w:r>
          </w:p>
        </w:tc>
        <w:tc>
          <w:tcPr>
            <w:tcW w:w="20" w:type="dxa"/>
            <w:vAlign w:val="bottom"/>
            <w:tcBorders>
              <w:bottom w:val="single" w:sz="8" w:color="2C6937"/>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215</w:t>
            </w:r>
          </w:p>
        </w:tc>
        <w:tc>
          <w:tcPr>
            <w:tcW w:w="100" w:type="dxa"/>
            <w:vAlign w:val="bottom"/>
          </w:tcPr>
          <w:p>
            <w:pPr>
              <w:spacing w:after="0"/>
              <w:rPr>
                <w:sz w:val="19"/>
                <w:szCs w:val="19"/>
                <w:color w:val="auto"/>
              </w:rPr>
            </w:pPr>
          </w:p>
        </w:tc>
        <w:tc>
          <w:tcPr>
            <w:tcW w:w="280" w:type="dxa"/>
            <w:vAlign w:val="bottom"/>
            <w:tcBorders>
              <w:bottom w:val="single" w:sz="8" w:color="2C6937"/>
            </w:tcBorders>
          </w:tcPr>
          <w:p>
            <w:pPr>
              <w:jc w:val="right"/>
              <w:ind w:right="103"/>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32,993</w:t>
            </w:r>
          </w:p>
        </w:tc>
        <w:tc>
          <w:tcPr>
            <w:tcW w:w="1440" w:type="dxa"/>
            <w:vAlign w:val="bottom"/>
          </w:tcPr>
          <w:p>
            <w:pPr>
              <w:jc w:val="right"/>
              <w:ind w:right="145"/>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
        </w:trPr>
        <w:tc>
          <w:tcPr>
            <w:tcW w:w="18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2C6937"/>
            </w:tcBorders>
          </w:tcPr>
          <w:p>
            <w:pPr>
              <w:spacing w:after="0" w:line="20" w:lineRule="exact"/>
              <w:rPr>
                <w:sz w:val="1"/>
                <w:szCs w:val="1"/>
                <w:color w:val="auto"/>
              </w:rPr>
            </w:pPr>
          </w:p>
        </w:tc>
        <w:tc>
          <w:tcPr>
            <w:tcW w:w="760" w:type="dxa"/>
            <w:vAlign w:val="bottom"/>
            <w:tcBorders>
              <w:bottom w:val="single" w:sz="8" w:color="2C6937"/>
            </w:tcBorders>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2C6937"/>
            </w:tcBorders>
          </w:tcPr>
          <w:p>
            <w:pPr>
              <w:spacing w:after="0" w:line="20" w:lineRule="exact"/>
              <w:rPr>
                <w:sz w:val="1"/>
                <w:szCs w:val="1"/>
                <w:color w:val="auto"/>
              </w:rPr>
            </w:pPr>
          </w:p>
        </w:tc>
        <w:tc>
          <w:tcPr>
            <w:tcW w:w="780" w:type="dxa"/>
            <w:vAlign w:val="bottom"/>
            <w:tcBorders>
              <w:bottom w:val="single" w:sz="8" w:color="2C6937"/>
            </w:tcBorders>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112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2C6937"/>
            </w:tcBorders>
            <w:gridSpan w:val="2"/>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2C6937"/>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2C6937"/>
            </w:tcBorders>
          </w:tcPr>
          <w:p>
            <w:pPr>
              <w:spacing w:after="0" w:line="20" w:lineRule="exact"/>
              <w:rPr>
                <w:sz w:val="1"/>
                <w:szCs w:val="1"/>
                <w:color w:val="auto"/>
              </w:rPr>
            </w:pPr>
          </w:p>
        </w:tc>
        <w:tc>
          <w:tcPr>
            <w:tcW w:w="940" w:type="dxa"/>
            <w:vAlign w:val="bottom"/>
            <w:tcBorders>
              <w:bottom w:val="single" w:sz="8" w:color="2C6937"/>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420" w:type="dxa"/>
            <w:vAlign w:val="bottom"/>
            <w:tcBorders>
              <w:bottom w:val="single" w:sz="8" w:color="2C6937"/>
            </w:tcBorders>
          </w:tcPr>
          <w:p>
            <w:pPr>
              <w:spacing w:after="0"/>
              <w:rPr>
                <w:sz w:val="24"/>
                <w:szCs w:val="24"/>
                <w:color w:val="auto"/>
              </w:rPr>
            </w:pPr>
          </w:p>
        </w:tc>
        <w:tc>
          <w:tcPr>
            <w:tcW w:w="78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3860" w:type="dxa"/>
            <w:vAlign w:val="bottom"/>
            <w:tcBorders>
              <w:bottom w:val="single" w:sz="8" w:color="2C6937"/>
            </w:tcBorders>
            <w:gridSpan w:val="11"/>
          </w:tcPr>
          <w:p>
            <w:pPr>
              <w:jc w:val="center"/>
              <w:ind w:right="80"/>
              <w:spacing w:after="0"/>
              <w:rPr>
                <w:sz w:val="20"/>
                <w:szCs w:val="20"/>
                <w:color w:val="auto"/>
              </w:rPr>
            </w:pPr>
            <w:r>
              <w:rPr>
                <w:rFonts w:ascii="Arial" w:cs="Arial" w:eastAsia="Arial" w:hAnsi="Arial"/>
                <w:sz w:val="14"/>
                <w:szCs w:val="14"/>
                <w:b w:val="1"/>
                <w:bCs w:val="1"/>
                <w:color w:val="auto"/>
                <w:w w:val="98"/>
              </w:rPr>
              <w:t>For the Three Months Ended September 30, 2023</w:t>
            </w:r>
          </w:p>
        </w:tc>
        <w:tc>
          <w:tcPr>
            <w:tcW w:w="280" w:type="dxa"/>
            <w:vAlign w:val="bottom"/>
            <w:tcBorders>
              <w:bottom w:val="single" w:sz="8" w:color="2C6937"/>
            </w:tcBorders>
          </w:tcPr>
          <w:p>
            <w:pPr>
              <w:spacing w:after="0"/>
              <w:rPr>
                <w:sz w:val="24"/>
                <w:szCs w:val="24"/>
                <w:color w:val="auto"/>
              </w:rPr>
            </w:pPr>
          </w:p>
        </w:tc>
        <w:tc>
          <w:tcPr>
            <w:tcW w:w="940" w:type="dxa"/>
            <w:vAlign w:val="bottom"/>
            <w:tcBorders>
              <w:bottom w:val="single" w:sz="8" w:color="2C6937"/>
            </w:tcBorders>
          </w:tcPr>
          <w:p>
            <w:pPr>
              <w:spacing w:after="0"/>
              <w:rPr>
                <w:sz w:val="24"/>
                <w:szCs w:val="24"/>
                <w:color w:val="auto"/>
              </w:rPr>
            </w:pPr>
          </w:p>
        </w:tc>
        <w:tc>
          <w:tcPr>
            <w:tcW w:w="144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spacing w:after="0"/>
              <w:rPr>
                <w:sz w:val="16"/>
                <w:szCs w:val="16"/>
                <w:color w:val="auto"/>
              </w:rPr>
            </w:pPr>
          </w:p>
        </w:tc>
        <w:tc>
          <w:tcPr>
            <w:tcW w:w="1420" w:type="dxa"/>
            <w:vAlign w:val="bottom"/>
            <w:tcBorders>
              <w:bottom w:val="single" w:sz="8" w:color="2C6937"/>
            </w:tcBorders>
            <w:gridSpan w:val="7"/>
          </w:tcPr>
          <w:p>
            <w:pPr>
              <w:jc w:val="center"/>
              <w:spacing w:after="0"/>
              <w:rPr>
                <w:sz w:val="20"/>
                <w:szCs w:val="20"/>
                <w:color w:val="auto"/>
              </w:rPr>
            </w:pPr>
            <w:r>
              <w:rPr>
                <w:rFonts w:ascii="Arial" w:cs="Arial" w:eastAsia="Arial" w:hAnsi="Arial"/>
                <w:sz w:val="14"/>
                <w:szCs w:val="14"/>
                <w:b w:val="1"/>
                <w:bCs w:val="1"/>
                <w:color w:val="auto"/>
                <w:w w:val="97"/>
              </w:rPr>
              <w:t>Payment Delay (Only)</w:t>
            </w:r>
          </w:p>
        </w:tc>
        <w:tc>
          <w:tcPr>
            <w:tcW w:w="120" w:type="dxa"/>
            <w:vAlign w:val="bottom"/>
            <w:tcBorders>
              <w:bottom w:val="single" w:sz="8" w:color="2C6937"/>
            </w:tcBorders>
          </w:tcPr>
          <w:p>
            <w:pPr>
              <w:spacing w:after="0"/>
              <w:rPr>
                <w:sz w:val="16"/>
                <w:szCs w:val="16"/>
                <w:color w:val="auto"/>
              </w:rPr>
            </w:pPr>
          </w:p>
        </w:tc>
        <w:tc>
          <w:tcPr>
            <w:tcW w:w="1120" w:type="dxa"/>
            <w:vAlign w:val="bottom"/>
            <w:tcBorders>
              <w:bottom w:val="single" w:sz="8" w:color="2C6937"/>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1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8"/>
              </w:rPr>
              <w:t>Trial Modification</w:t>
            </w:r>
          </w:p>
        </w:tc>
        <w:tc>
          <w:tcPr>
            <w:tcW w:w="100" w:type="dxa"/>
            <w:vAlign w:val="bottom"/>
          </w:tcPr>
          <w:p>
            <w:pPr>
              <w:spacing w:after="0"/>
              <w:rPr>
                <w:sz w:val="10"/>
                <w:szCs w:val="10"/>
                <w:color w:val="auto"/>
              </w:rPr>
            </w:pPr>
          </w:p>
        </w:tc>
        <w:tc>
          <w:tcPr>
            <w:tcW w:w="122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96"/>
              </w:rPr>
              <w:t>Payment Delay</w:t>
            </w:r>
          </w:p>
        </w:tc>
        <w:tc>
          <w:tcPr>
            <w:tcW w:w="100" w:type="dxa"/>
            <w:vAlign w:val="bottom"/>
          </w:tcPr>
          <w:p>
            <w:pPr>
              <w:spacing w:after="0"/>
              <w:rPr>
                <w:sz w:val="10"/>
                <w:szCs w:val="10"/>
                <w:color w:val="auto"/>
              </w:rPr>
            </w:pPr>
          </w:p>
        </w:tc>
        <w:tc>
          <w:tcPr>
            <w:tcW w:w="1220" w:type="dxa"/>
            <w:vAlign w:val="bottom"/>
            <w:gridSpan w:val="2"/>
          </w:tcPr>
          <w:p>
            <w:pPr>
              <w:jc w:val="center"/>
              <w:ind w:right="220"/>
              <w:spacing w:after="0" w:line="123" w:lineRule="exact"/>
              <w:rPr>
                <w:sz w:val="20"/>
                <w:szCs w:val="20"/>
                <w:color w:val="auto"/>
              </w:rPr>
            </w:pPr>
            <w:r>
              <w:rPr>
                <w:rFonts w:ascii="Arial" w:cs="Arial" w:eastAsia="Arial" w:hAnsi="Arial"/>
                <w:sz w:val="14"/>
                <w:szCs w:val="14"/>
                <w:b w:val="1"/>
                <w:bCs w:val="1"/>
                <w:color w:val="auto"/>
                <w:w w:val="96"/>
              </w:rPr>
              <w:t>Payment Delay,</w:t>
            </w: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vMerge w:val="restart"/>
          </w:tcPr>
          <w:p>
            <w:pPr>
              <w:jc w:val="center"/>
              <w:ind w:left="25"/>
              <w:spacing w:after="0"/>
              <w:rPr>
                <w:sz w:val="20"/>
                <w:szCs w:val="20"/>
                <w:color w:val="auto"/>
              </w:rPr>
            </w:pPr>
            <w:r>
              <w:rPr>
                <w:rFonts w:ascii="Arial" w:cs="Arial" w:eastAsia="Arial" w:hAnsi="Arial"/>
                <w:sz w:val="14"/>
                <w:szCs w:val="14"/>
                <w:b w:val="1"/>
                <w:bCs w:val="1"/>
                <w:color w:val="auto"/>
                <w:w w:val="96"/>
              </w:rPr>
              <w:t>Percentage of Total</w:t>
            </w:r>
          </w:p>
        </w:tc>
        <w:tc>
          <w:tcPr>
            <w:tcW w:w="0" w:type="dxa"/>
            <w:vAlign w:val="bottom"/>
          </w:tcPr>
          <w:p>
            <w:pPr>
              <w:spacing w:after="0"/>
              <w:rPr>
                <w:sz w:val="1"/>
                <w:szCs w:val="1"/>
                <w:color w:val="auto"/>
              </w:rPr>
            </w:pPr>
          </w:p>
        </w:tc>
      </w:tr>
      <w:tr>
        <w:trPr>
          <w:trHeight w:val="142"/>
        </w:trPr>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132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w w:val="97"/>
              </w:rPr>
              <w:t>Term Extension</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6"/>
              </w:rPr>
              <w:t>Forbearance Plan</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7"/>
              </w:rPr>
              <w:t>Payment Deferral</w:t>
            </w:r>
          </w:p>
        </w:tc>
        <w:tc>
          <w:tcPr>
            <w:tcW w:w="1340" w:type="dxa"/>
            <w:vAlign w:val="bottom"/>
            <w:gridSpan w:val="4"/>
          </w:tcPr>
          <w:p>
            <w:pPr>
              <w:jc w:val="center"/>
              <w:ind w:right="120"/>
              <w:spacing w:after="0" w:line="131" w:lineRule="exact"/>
              <w:rPr>
                <w:sz w:val="20"/>
                <w:szCs w:val="20"/>
                <w:color w:val="auto"/>
              </w:rPr>
            </w:pPr>
            <w:r>
              <w:rPr>
                <w:rFonts w:ascii="Arial" w:cs="Arial" w:eastAsia="Arial" w:hAnsi="Arial"/>
                <w:sz w:val="14"/>
                <w:szCs w:val="14"/>
                <w:b w:val="1"/>
                <w:bCs w:val="1"/>
                <w:color w:val="auto"/>
                <w:w w:val="97"/>
              </w:rPr>
              <w:t>and Repayment</w:t>
            </w:r>
          </w:p>
        </w:tc>
        <w:tc>
          <w:tcPr>
            <w:tcW w:w="100" w:type="dxa"/>
            <w:vAlign w:val="bottom"/>
          </w:tcPr>
          <w:p>
            <w:pPr>
              <w:spacing w:after="0"/>
              <w:rPr>
                <w:sz w:val="11"/>
                <w:szCs w:val="11"/>
                <w:color w:val="auto"/>
              </w:rPr>
            </w:pPr>
          </w:p>
        </w:tc>
        <w:tc>
          <w:tcPr>
            <w:tcW w:w="1220" w:type="dxa"/>
            <w:vAlign w:val="bottom"/>
            <w:gridSpan w:val="4"/>
          </w:tcPr>
          <w:p>
            <w:pPr>
              <w:jc w:val="center"/>
              <w:ind w:right="220"/>
              <w:spacing w:after="0" w:line="131" w:lineRule="exact"/>
              <w:rPr>
                <w:sz w:val="20"/>
                <w:szCs w:val="20"/>
                <w:color w:val="auto"/>
              </w:rPr>
            </w:pPr>
            <w:r>
              <w:rPr>
                <w:rFonts w:ascii="Arial" w:cs="Arial" w:eastAsia="Arial" w:hAnsi="Arial"/>
                <w:sz w:val="14"/>
                <w:szCs w:val="14"/>
                <w:b w:val="1"/>
                <w:bCs w:val="1"/>
                <w:color w:val="auto"/>
                <w:w w:val="95"/>
              </w:rPr>
              <w:t>and Term</w:t>
            </w:r>
          </w:p>
        </w:tc>
        <w:tc>
          <w:tcPr>
            <w:tcW w:w="1320" w:type="dxa"/>
            <w:vAlign w:val="bottom"/>
            <w:gridSpan w:val="3"/>
          </w:tcPr>
          <w:p>
            <w:pPr>
              <w:jc w:val="center"/>
              <w:ind w:right="120"/>
              <w:spacing w:after="0" w:line="131" w:lineRule="exact"/>
              <w:rPr>
                <w:sz w:val="20"/>
                <w:szCs w:val="20"/>
                <w:color w:val="auto"/>
              </w:rPr>
            </w:pPr>
            <w:r>
              <w:rPr>
                <w:rFonts w:ascii="Arial" w:cs="Arial" w:eastAsia="Arial" w:hAnsi="Arial"/>
                <w:sz w:val="14"/>
                <w:szCs w:val="14"/>
                <w:b w:val="1"/>
                <w:bCs w:val="1"/>
                <w:color w:val="auto"/>
                <w:w w:val="98"/>
              </w:rPr>
              <w:t>and Interest Rate</w:t>
            </w:r>
          </w:p>
        </w:tc>
        <w:tc>
          <w:tcPr>
            <w:tcW w:w="280" w:type="dxa"/>
            <w:vAlign w:val="bottom"/>
          </w:tcPr>
          <w:p>
            <w:pPr>
              <w:spacing w:after="0"/>
              <w:rPr>
                <w:sz w:val="11"/>
                <w:szCs w:val="11"/>
                <w:color w:val="auto"/>
              </w:rPr>
            </w:pPr>
          </w:p>
        </w:tc>
        <w:tc>
          <w:tcPr>
            <w:tcW w:w="940" w:type="dxa"/>
            <w:vAlign w:val="bottom"/>
            <w:vMerge w:val="restart"/>
          </w:tcPr>
          <w:p>
            <w:pPr>
              <w:jc w:val="right"/>
              <w:ind w:right="384"/>
              <w:spacing w:after="0"/>
              <w:rPr>
                <w:sz w:val="20"/>
                <w:szCs w:val="20"/>
                <w:color w:val="auto"/>
              </w:rPr>
            </w:pPr>
            <w:r>
              <w:rPr>
                <w:rFonts w:ascii="Arial" w:cs="Arial" w:eastAsia="Arial" w:hAnsi="Arial"/>
                <w:sz w:val="14"/>
                <w:szCs w:val="14"/>
                <w:b w:val="1"/>
                <w:bCs w:val="1"/>
                <w:color w:val="auto"/>
              </w:rPr>
              <w:t>Total</w:t>
            </w:r>
          </w:p>
        </w:tc>
        <w:tc>
          <w:tcPr>
            <w:tcW w:w="1440" w:type="dxa"/>
            <w:vAlign w:val="bottom"/>
          </w:tcPr>
          <w:p>
            <w:pPr>
              <w:jc w:val="center"/>
              <w:ind w:left="25"/>
              <w:spacing w:after="0" w:line="131" w:lineRule="exact"/>
              <w:rPr>
                <w:sz w:val="20"/>
                <w:szCs w:val="20"/>
                <w:color w:val="auto"/>
              </w:rPr>
            </w:pPr>
            <w:r>
              <w:rPr>
                <w:rFonts w:ascii="Arial" w:cs="Arial" w:eastAsia="Arial" w:hAnsi="Arial"/>
                <w:sz w:val="14"/>
                <w:szCs w:val="14"/>
                <w:b w:val="1"/>
                <w:bCs w:val="1"/>
                <w:color w:val="auto"/>
                <w:w w:val="99"/>
              </w:rPr>
              <w:t>by Financing</w:t>
            </w:r>
          </w:p>
        </w:tc>
        <w:tc>
          <w:tcPr>
            <w:tcW w:w="0" w:type="dxa"/>
            <w:vAlign w:val="bottom"/>
          </w:tcPr>
          <w:p>
            <w:pPr>
              <w:spacing w:after="0"/>
              <w:rPr>
                <w:sz w:val="1"/>
                <w:szCs w:val="1"/>
                <w:color w:val="auto"/>
              </w:rPr>
            </w:pPr>
          </w:p>
        </w:tc>
      </w:tr>
      <w:tr>
        <w:trPr>
          <w:trHeight w:val="192"/>
        </w:trPr>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bottom w:val="single" w:sz="8" w:color="2C6937"/>
            </w:tcBorders>
            <w:gridSpan w:val="2"/>
            <w:vMerge w:val="continue"/>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1300" w:type="dxa"/>
            <w:vAlign w:val="bottom"/>
            <w:tcBorders>
              <w:bottom w:val="single" w:sz="8" w:color="2C6937"/>
            </w:tcBorders>
            <w:gridSpan w:val="4"/>
            <w:vMerge w:val="continue"/>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220" w:type="dxa"/>
            <w:vAlign w:val="bottom"/>
            <w:tcBorders>
              <w:bottom w:val="single" w:sz="8" w:color="2C6937"/>
            </w:tcBorders>
            <w:gridSpan w:val="3"/>
          </w:tcPr>
          <w:p>
            <w:pPr>
              <w:jc w:val="center"/>
              <w:ind w:right="240"/>
              <w:spacing w:after="0"/>
              <w:rPr>
                <w:sz w:val="20"/>
                <w:szCs w:val="20"/>
                <w:color w:val="auto"/>
              </w:rPr>
            </w:pPr>
            <w:r>
              <w:rPr>
                <w:rFonts w:ascii="Arial" w:cs="Arial" w:eastAsia="Arial" w:hAnsi="Arial"/>
                <w:sz w:val="14"/>
                <w:szCs w:val="14"/>
                <w:b w:val="1"/>
                <w:bCs w:val="1"/>
                <w:color w:val="auto"/>
              </w:rPr>
              <w:t>Plans</w:t>
            </w:r>
          </w:p>
        </w:tc>
        <w:tc>
          <w:tcPr>
            <w:tcW w:w="100" w:type="dxa"/>
            <w:vAlign w:val="bottom"/>
            <w:tcBorders>
              <w:bottom w:val="single" w:sz="8" w:color="2C6937"/>
            </w:tcBorders>
          </w:tcPr>
          <w:p>
            <w:pPr>
              <w:spacing w:after="0"/>
              <w:rPr>
                <w:sz w:val="16"/>
                <w:szCs w:val="16"/>
                <w:color w:val="auto"/>
              </w:rPr>
            </w:pPr>
          </w:p>
        </w:tc>
        <w:tc>
          <w:tcPr>
            <w:tcW w:w="1220" w:type="dxa"/>
            <w:vAlign w:val="bottom"/>
            <w:tcBorders>
              <w:bottom w:val="single" w:sz="8" w:color="2C6937"/>
            </w:tcBorders>
            <w:gridSpan w:val="4"/>
          </w:tcPr>
          <w:p>
            <w:pPr>
              <w:jc w:val="center"/>
              <w:ind w:right="220"/>
              <w:spacing w:after="0" w:line="192" w:lineRule="exact"/>
              <w:rPr>
                <w:sz w:val="20"/>
                <w:szCs w:val="20"/>
                <w:color w:val="auto"/>
              </w:rPr>
            </w:pPr>
            <w:r>
              <w:rPr>
                <w:rFonts w:ascii="Arial" w:cs="Arial" w:eastAsia="Arial" w:hAnsi="Arial"/>
                <w:sz w:val="14"/>
                <w:szCs w:val="14"/>
                <w:b w:val="1"/>
                <w:bCs w:val="1"/>
                <w:color w:val="auto"/>
                <w:w w:val="94"/>
              </w:rPr>
              <w:t>Extension</w:t>
            </w:r>
            <w:r>
              <w:rPr>
                <w:rFonts w:ascii="Arial" w:cs="Arial" w:eastAsia="Arial" w:hAnsi="Arial"/>
                <w:sz w:val="17"/>
                <w:szCs w:val="17"/>
                <w:b w:val="1"/>
                <w:bCs w:val="1"/>
                <w:color w:val="auto"/>
                <w:w w:val="94"/>
                <w:vertAlign w:val="superscript"/>
              </w:rPr>
              <w:t>(1)</w:t>
            </w:r>
          </w:p>
        </w:tc>
        <w:tc>
          <w:tcPr>
            <w:tcW w:w="100" w:type="dxa"/>
            <w:vAlign w:val="bottom"/>
            <w:tcBorders>
              <w:bottom w:val="single" w:sz="8" w:color="2C6937"/>
            </w:tcBorders>
          </w:tcPr>
          <w:p>
            <w:pPr>
              <w:spacing w:after="0"/>
              <w:rPr>
                <w:sz w:val="16"/>
                <w:szCs w:val="16"/>
                <w:color w:val="auto"/>
              </w:rPr>
            </w:pPr>
          </w:p>
        </w:tc>
        <w:tc>
          <w:tcPr>
            <w:tcW w:w="1220" w:type="dxa"/>
            <w:vAlign w:val="bottom"/>
            <w:tcBorders>
              <w:bottom w:val="single" w:sz="8" w:color="2C6937"/>
            </w:tcBorders>
            <w:gridSpan w:val="2"/>
          </w:tcPr>
          <w:p>
            <w:pPr>
              <w:jc w:val="center"/>
              <w:ind w:right="200"/>
              <w:spacing w:after="0" w:line="192" w:lineRule="exact"/>
              <w:rPr>
                <w:sz w:val="20"/>
                <w:szCs w:val="20"/>
                <w:color w:val="auto"/>
              </w:rPr>
            </w:pPr>
            <w:r>
              <w:rPr>
                <w:rFonts w:ascii="Arial" w:cs="Arial" w:eastAsia="Arial" w:hAnsi="Arial"/>
                <w:sz w:val="14"/>
                <w:szCs w:val="14"/>
                <w:b w:val="1"/>
                <w:bCs w:val="1"/>
                <w:color w:val="auto"/>
                <w:w w:val="94"/>
              </w:rPr>
              <w:t>Reduction</w:t>
            </w:r>
            <w:r>
              <w:rPr>
                <w:rFonts w:ascii="Arial" w:cs="Arial" w:eastAsia="Arial" w:hAnsi="Arial"/>
                <w:sz w:val="17"/>
                <w:szCs w:val="17"/>
                <w:b w:val="1"/>
                <w:bCs w:val="1"/>
                <w:color w:val="auto"/>
                <w:w w:val="94"/>
                <w:vertAlign w:val="superscript"/>
              </w:rPr>
              <w:t>(1)</w:t>
            </w:r>
          </w:p>
        </w:tc>
        <w:tc>
          <w:tcPr>
            <w:tcW w:w="28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vMerge w:val="continue"/>
          </w:tcPr>
          <w:p>
            <w:pPr>
              <w:spacing w:after="0"/>
              <w:rPr>
                <w:sz w:val="16"/>
                <w:szCs w:val="16"/>
                <w:color w:val="auto"/>
              </w:rPr>
            </w:pPr>
          </w:p>
        </w:tc>
        <w:tc>
          <w:tcPr>
            <w:tcW w:w="1440" w:type="dxa"/>
            <w:vAlign w:val="bottom"/>
            <w:tcBorders>
              <w:bottom w:val="single" w:sz="8" w:color="2C6937"/>
            </w:tcBorders>
          </w:tcPr>
          <w:p>
            <w:pPr>
              <w:jc w:val="center"/>
              <w:ind w:left="25"/>
              <w:spacing w:after="0" w:line="192" w:lineRule="exact"/>
              <w:rPr>
                <w:sz w:val="20"/>
                <w:szCs w:val="20"/>
                <w:color w:val="auto"/>
              </w:rPr>
            </w:pPr>
            <w:r>
              <w:rPr>
                <w:rFonts w:ascii="Arial" w:cs="Arial" w:eastAsia="Arial" w:hAnsi="Arial"/>
                <w:sz w:val="14"/>
                <w:szCs w:val="14"/>
                <w:b w:val="1"/>
                <w:bCs w:val="1"/>
                <w:color w:val="auto"/>
                <w:w w:val="89"/>
              </w:rPr>
              <w:t>Class</w:t>
            </w:r>
            <w:r>
              <w:rPr>
                <w:rFonts w:ascii="Arial" w:cs="Arial" w:eastAsia="Arial" w:hAnsi="Arial"/>
                <w:sz w:val="17"/>
                <w:szCs w:val="17"/>
                <w:b w:val="1"/>
                <w:bCs w:val="1"/>
                <w:color w:val="auto"/>
                <w:w w:val="89"/>
                <w:vertAlign w:val="superscript"/>
              </w:rPr>
              <w:t>(2)</w:t>
            </w:r>
          </w:p>
        </w:tc>
        <w:tc>
          <w:tcPr>
            <w:tcW w:w="0" w:type="dxa"/>
            <w:vAlign w:val="bottom"/>
          </w:tcPr>
          <w:p>
            <w:pPr>
              <w:spacing w:after="0"/>
              <w:rPr>
                <w:sz w:val="1"/>
                <w:szCs w:val="1"/>
                <w:color w:val="auto"/>
              </w:rPr>
            </w:pPr>
          </w:p>
        </w:tc>
      </w:tr>
      <w:tr>
        <w:trPr>
          <w:trHeight w:val="198"/>
        </w:trPr>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6"/>
              </w:rPr>
              <w:t>(Dollars in millions)</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98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980" w:type="dxa"/>
            <w:vAlign w:val="bottom"/>
            <w:gridSpan w:val="2"/>
          </w:tcPr>
          <w:p>
            <w:pPr>
              <w:ind w:left="180"/>
              <w:spacing w:after="0"/>
              <w:rPr>
                <w:sz w:val="20"/>
                <w:szCs w:val="20"/>
                <w:color w:val="auto"/>
              </w:rPr>
            </w:pPr>
            <w:r>
              <w:rPr>
                <w:rFonts w:ascii="Arial" w:cs="Arial" w:eastAsia="Arial" w:hAnsi="Arial"/>
                <w:sz w:val="15"/>
                <w:szCs w:val="15"/>
                <w:color w:val="auto"/>
              </w:rPr>
              <w:t>20- and 30-year or</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980" w:type="dxa"/>
            <w:vAlign w:val="bottom"/>
            <w:gridSpan w:val="2"/>
          </w:tcPr>
          <w:p>
            <w:pPr>
              <w:ind w:left="320"/>
              <w:spacing w:after="0"/>
              <w:rPr>
                <w:sz w:val="20"/>
                <w:szCs w:val="20"/>
                <w:color w:val="auto"/>
              </w:rPr>
            </w:pPr>
            <w:r>
              <w:rPr>
                <w:rFonts w:ascii="Arial" w:cs="Arial" w:eastAsia="Arial" w:hAnsi="Arial"/>
                <w:sz w:val="15"/>
                <w:szCs w:val="15"/>
                <w:color w:val="auto"/>
              </w:rPr>
              <w:t>more, amortizing</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980" w:type="dxa"/>
            <w:vAlign w:val="bottom"/>
            <w:gridSpan w:val="2"/>
          </w:tcPr>
          <w:p>
            <w:pPr>
              <w:ind w:left="320"/>
              <w:spacing w:after="0"/>
              <w:rPr>
                <w:sz w:val="20"/>
                <w:szCs w:val="20"/>
                <w:color w:val="auto"/>
              </w:rPr>
            </w:pPr>
            <w:r>
              <w:rPr>
                <w:rFonts w:ascii="Arial" w:cs="Arial" w:eastAsia="Arial" w:hAnsi="Arial"/>
                <w:sz w:val="15"/>
                <w:szCs w:val="15"/>
                <w:color w:val="auto"/>
              </w:rPr>
              <w:t>fixed-rate</w:t>
            </w:r>
          </w:p>
        </w:tc>
        <w:tc>
          <w:tcPr>
            <w:tcW w:w="440" w:type="dxa"/>
            <w:vAlign w:val="bottom"/>
          </w:tcPr>
          <w:p>
            <w:pPr>
              <w:ind w:left="2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7,287</w:t>
            </w:r>
          </w:p>
        </w:tc>
        <w:tc>
          <w:tcPr>
            <w:tcW w:w="540" w:type="dxa"/>
            <w:vAlign w:val="bottom"/>
            <w:gridSpan w:val="4"/>
          </w:tcPr>
          <w:p>
            <w:pPr>
              <w:jc w:val="right"/>
              <w:ind w:right="248"/>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2,424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3,407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1,819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41</w:t>
            </w:r>
          </w:p>
        </w:tc>
        <w:tc>
          <w:tcPr>
            <w:tcW w:w="100" w:type="dxa"/>
            <w:vAlign w:val="bottom"/>
          </w:tcPr>
          <w:p>
            <w:pPr>
              <w:spacing w:after="0"/>
              <w:rPr>
                <w:sz w:val="19"/>
                <w:szCs w:val="19"/>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14,978</w:t>
            </w:r>
          </w:p>
        </w:tc>
        <w:tc>
          <w:tcPr>
            <w:tcW w:w="144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1980" w:type="dxa"/>
            <w:vAlign w:val="bottom"/>
            <w:gridSpan w:val="2"/>
          </w:tcPr>
          <w:p>
            <w:pPr>
              <w:ind w:left="180"/>
              <w:spacing w:after="0"/>
              <w:rPr>
                <w:sz w:val="20"/>
                <w:szCs w:val="20"/>
                <w:color w:val="auto"/>
              </w:rPr>
            </w:pPr>
            <w:r>
              <w:rPr>
                <w:rFonts w:ascii="Arial" w:cs="Arial" w:eastAsia="Arial" w:hAnsi="Arial"/>
                <w:sz w:val="15"/>
                <w:szCs w:val="15"/>
                <w:color w:val="auto"/>
              </w:rPr>
              <w:t>15-year or less,</w:t>
            </w: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80" w:type="dxa"/>
            <w:vAlign w:val="bottom"/>
            <w:gridSpan w:val="2"/>
          </w:tcPr>
          <w:p>
            <w:pPr>
              <w:ind w:left="320"/>
              <w:spacing w:after="0"/>
              <w:rPr>
                <w:sz w:val="20"/>
                <w:szCs w:val="20"/>
                <w:color w:val="auto"/>
              </w:rPr>
            </w:pPr>
            <w:r>
              <w:rPr>
                <w:rFonts w:ascii="Arial" w:cs="Arial" w:eastAsia="Arial" w:hAnsi="Arial"/>
                <w:sz w:val="15"/>
                <w:szCs w:val="15"/>
                <w:color w:val="auto"/>
              </w:rPr>
              <w:t>amortizing fixed-rate</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311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97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130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4"/>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538</w:t>
            </w:r>
          </w:p>
        </w:tc>
        <w:tc>
          <w:tcPr>
            <w:tcW w:w="144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2"/>
        </w:trPr>
        <w:tc>
          <w:tcPr>
            <w:tcW w:w="198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4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11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4"/>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62</w:t>
            </w:r>
          </w:p>
        </w:tc>
        <w:tc>
          <w:tcPr>
            <w:tcW w:w="144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7"/>
        </w:trPr>
        <w:tc>
          <w:tcPr>
            <w:tcW w:w="188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19"/>
                <w:szCs w:val="19"/>
                <w:color w:val="auto"/>
              </w:rPr>
            </w:pPr>
          </w:p>
        </w:tc>
        <w:tc>
          <w:tcPr>
            <w:tcW w:w="440" w:type="dxa"/>
            <w:vAlign w:val="bottom"/>
            <w:tcBorders>
              <w:bottom w:val="single" w:sz="8" w:color="2C6937"/>
            </w:tcBorders>
          </w:tcPr>
          <w:p>
            <w:pPr>
              <w:spacing w:after="0"/>
              <w:rPr>
                <w:sz w:val="19"/>
                <w:szCs w:val="19"/>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54</w:t>
            </w:r>
          </w:p>
        </w:tc>
        <w:tc>
          <w:tcPr>
            <w:tcW w:w="20" w:type="dxa"/>
            <w:vAlign w:val="bottom"/>
            <w:tcBorders>
              <w:bottom w:val="single" w:sz="8" w:color="2C6937"/>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2C6937"/>
            </w:tcBorders>
          </w:tcPr>
          <w:p>
            <w:pPr>
              <w:spacing w:after="0"/>
              <w:rPr>
                <w:sz w:val="19"/>
                <w:szCs w:val="19"/>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2C6937"/>
            </w:tcBorders>
          </w:tcPr>
          <w:p>
            <w:pPr>
              <w:spacing w:after="0"/>
              <w:rPr>
                <w:sz w:val="19"/>
                <w:szCs w:val="19"/>
                <w:color w:val="auto"/>
              </w:rPr>
            </w:pPr>
          </w:p>
        </w:tc>
        <w:tc>
          <w:tcPr>
            <w:tcW w:w="112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57</w:t>
            </w:r>
          </w:p>
        </w:tc>
        <w:tc>
          <w:tcPr>
            <w:tcW w:w="80" w:type="dxa"/>
            <w:vAlign w:val="bottom"/>
          </w:tcPr>
          <w:p>
            <w:pPr>
              <w:spacing w:after="0"/>
              <w:rPr>
                <w:sz w:val="19"/>
                <w:szCs w:val="19"/>
                <w:color w:val="auto"/>
              </w:rPr>
            </w:pPr>
          </w:p>
        </w:tc>
        <w:tc>
          <w:tcPr>
            <w:tcW w:w="20" w:type="dxa"/>
            <w:vAlign w:val="bottom"/>
            <w:tcBorders>
              <w:bottom w:val="single" w:sz="8" w:color="2C6937"/>
            </w:tcBorders>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112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31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2C6937"/>
            </w:tcBorders>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19"/>
                <w:szCs w:val="19"/>
                <w:color w:val="auto"/>
              </w:rPr>
            </w:pPr>
          </w:p>
        </w:tc>
        <w:tc>
          <w:tcPr>
            <w:tcW w:w="280" w:type="dxa"/>
            <w:vAlign w:val="bottom"/>
            <w:tcBorders>
              <w:bottom w:val="single" w:sz="8" w:color="2C6937"/>
            </w:tcBorders>
          </w:tcPr>
          <w:p>
            <w:pPr>
              <w:spacing w:after="0"/>
              <w:rPr>
                <w:sz w:val="19"/>
                <w:szCs w:val="19"/>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194</w:t>
            </w:r>
          </w:p>
        </w:tc>
        <w:tc>
          <w:tcPr>
            <w:tcW w:w="1440" w:type="dxa"/>
            <w:vAlign w:val="bottom"/>
          </w:tcPr>
          <w:p>
            <w:pPr>
              <w:jc w:val="right"/>
              <w:spacing w:after="0"/>
              <w:rPr>
                <w:sz w:val="20"/>
                <w:szCs w:val="20"/>
                <w:color w:val="auto"/>
              </w:rPr>
            </w:pPr>
            <w:r>
              <w:rPr>
                <w:rFonts w:ascii="Arial" w:cs="Arial" w:eastAsia="Arial" w:hAnsi="Arial"/>
                <w:sz w:val="15"/>
                <w:szCs w:val="15"/>
                <w:color w:val="auto"/>
              </w:rPr>
              <w:t>1 %</w:t>
            </w:r>
          </w:p>
        </w:tc>
        <w:tc>
          <w:tcPr>
            <w:tcW w:w="0" w:type="dxa"/>
            <w:vAlign w:val="bottom"/>
          </w:tcPr>
          <w:p>
            <w:pPr>
              <w:spacing w:after="0"/>
              <w:rPr>
                <w:sz w:val="1"/>
                <w:szCs w:val="1"/>
                <w:color w:val="auto"/>
              </w:rPr>
            </w:pPr>
          </w:p>
        </w:tc>
      </w:tr>
      <w:tr>
        <w:trPr>
          <w:trHeight w:val="230"/>
        </w:trPr>
        <w:tc>
          <w:tcPr>
            <w:tcW w:w="1980" w:type="dxa"/>
            <w:vAlign w:val="bottom"/>
            <w:gridSpan w:val="2"/>
          </w:tcPr>
          <w:p>
            <w:pPr>
              <w:ind w:left="20"/>
              <w:spacing w:after="0"/>
              <w:rPr>
                <w:sz w:val="20"/>
                <w:szCs w:val="20"/>
                <w:color w:val="auto"/>
              </w:rPr>
            </w:pPr>
            <w:r>
              <w:rPr>
                <w:rFonts w:ascii="Arial" w:cs="Arial" w:eastAsia="Arial" w:hAnsi="Arial"/>
                <w:sz w:val="15"/>
                <w:szCs w:val="15"/>
                <w:color w:val="auto"/>
              </w:rPr>
              <w:t>Total single-family</w:t>
            </w:r>
          </w:p>
        </w:tc>
        <w:tc>
          <w:tcPr>
            <w:tcW w:w="4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7,694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2,559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3,605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1,850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15,772</w:t>
            </w:r>
          </w:p>
        </w:tc>
        <w:tc>
          <w:tcPr>
            <w:tcW w:w="144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3"/>
        </w:trPr>
        <w:tc>
          <w:tcPr>
            <w:tcW w:w="18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0"/>
                <w:szCs w:val="20"/>
                <w:color w:val="auto"/>
              </w:rPr>
            </w:pPr>
          </w:p>
        </w:tc>
        <w:tc>
          <w:tcPr>
            <w:tcW w:w="440" w:type="dxa"/>
            <w:vAlign w:val="bottom"/>
            <w:tcBorders>
              <w:bottom w:val="single" w:sz="8" w:color="2C6937"/>
            </w:tcBorders>
          </w:tcPr>
          <w:p>
            <w:pPr>
              <w:spacing w:after="0"/>
              <w:rPr>
                <w:sz w:val="20"/>
                <w:szCs w:val="20"/>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361</w:t>
            </w:r>
          </w:p>
        </w:tc>
        <w:tc>
          <w:tcPr>
            <w:tcW w:w="20" w:type="dxa"/>
            <w:vAlign w:val="bottom"/>
            <w:tcBorders>
              <w:bottom w:val="single" w:sz="8" w:color="2C6937"/>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Borders>
              <w:bottom w:val="single" w:sz="8" w:color="2C6937"/>
            </w:tcBorders>
          </w:tcPr>
          <w:p>
            <w:pPr>
              <w:spacing w:after="0"/>
              <w:rPr>
                <w:sz w:val="20"/>
                <w:szCs w:val="20"/>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gridSpan w:val="2"/>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20" w:type="dxa"/>
            <w:vAlign w:val="bottom"/>
            <w:tcBorders>
              <w:bottom w:val="single" w:sz="8" w:color="2C6937"/>
            </w:tcBorders>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gridSpan w:val="2"/>
          </w:tcPr>
          <w:p>
            <w:pPr>
              <w:spacing w:after="0"/>
              <w:rPr>
                <w:sz w:val="20"/>
                <w:szCs w:val="20"/>
                <w:color w:val="auto"/>
              </w:rPr>
            </w:pPr>
          </w:p>
        </w:tc>
        <w:tc>
          <w:tcPr>
            <w:tcW w:w="20" w:type="dxa"/>
            <w:vAlign w:val="bottom"/>
            <w:tcBorders>
              <w:bottom w:val="single" w:sz="8" w:color="2C6937"/>
            </w:tcBorders>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560</w:t>
            </w:r>
          </w:p>
        </w:tc>
        <w:tc>
          <w:tcPr>
            <w:tcW w:w="100" w:type="dxa"/>
            <w:vAlign w:val="bottom"/>
          </w:tcPr>
          <w:p>
            <w:pPr>
              <w:spacing w:after="0"/>
              <w:rPr>
                <w:sz w:val="20"/>
                <w:szCs w:val="20"/>
                <w:color w:val="auto"/>
              </w:rPr>
            </w:pPr>
          </w:p>
        </w:tc>
        <w:tc>
          <w:tcPr>
            <w:tcW w:w="280" w:type="dxa"/>
            <w:vAlign w:val="bottom"/>
            <w:tcBorders>
              <w:bottom w:val="single" w:sz="8" w:color="2C6937"/>
            </w:tcBorders>
          </w:tcPr>
          <w:p>
            <w:pPr>
              <w:spacing w:after="0"/>
              <w:rPr>
                <w:sz w:val="20"/>
                <w:szCs w:val="20"/>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921</w:t>
            </w:r>
          </w:p>
        </w:tc>
        <w:tc>
          <w:tcPr>
            <w:tcW w:w="144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6"/>
        </w:trPr>
        <w:tc>
          <w:tcPr>
            <w:tcW w:w="1980" w:type="dxa"/>
            <w:vAlign w:val="bottom"/>
            <w:gridSpan w:val="2"/>
          </w:tcPr>
          <w:p>
            <w:pPr>
              <w:ind w:left="180"/>
              <w:spacing w:after="0" w:line="226" w:lineRule="exact"/>
              <w:rPr>
                <w:sz w:val="20"/>
                <w:szCs w:val="20"/>
                <w:color w:val="auto"/>
              </w:rPr>
            </w:pPr>
            <w:r>
              <w:rPr>
                <w:rFonts w:ascii="Arial" w:cs="Arial" w:eastAsia="Arial" w:hAnsi="Arial"/>
                <w:sz w:val="15"/>
                <w:szCs w:val="15"/>
                <w:color w:val="auto"/>
              </w:rPr>
              <w:t>Total</w:t>
            </w:r>
            <w:r>
              <w:rPr>
                <w:rFonts w:ascii="Arial" w:cs="Arial" w:eastAsia="Arial" w:hAnsi="Arial"/>
                <w:sz w:val="20"/>
                <w:szCs w:val="20"/>
                <w:color w:val="auto"/>
                <w:vertAlign w:val="superscript"/>
              </w:rPr>
              <w:t>(3)</w:t>
            </w:r>
          </w:p>
        </w:tc>
        <w:tc>
          <w:tcPr>
            <w:tcW w:w="440" w:type="dxa"/>
            <w:vAlign w:val="bottom"/>
          </w:tcPr>
          <w:p>
            <w:pPr>
              <w:ind w:left="2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8,055</w:t>
            </w:r>
          </w:p>
        </w:tc>
        <w:tc>
          <w:tcPr>
            <w:tcW w:w="540" w:type="dxa"/>
            <w:vAlign w:val="bottom"/>
            <w:gridSpan w:val="4"/>
          </w:tcPr>
          <w:p>
            <w:pPr>
              <w:jc w:val="right"/>
              <w:ind w:right="248"/>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2,559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3,605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1,850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624</w:t>
            </w:r>
          </w:p>
        </w:tc>
        <w:tc>
          <w:tcPr>
            <w:tcW w:w="100" w:type="dxa"/>
            <w:vAlign w:val="bottom"/>
          </w:tcPr>
          <w:p>
            <w:pPr>
              <w:spacing w:after="0"/>
              <w:rPr>
                <w:sz w:val="19"/>
                <w:szCs w:val="19"/>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16,693</w:t>
            </w:r>
          </w:p>
        </w:tc>
        <w:tc>
          <w:tcPr>
            <w:tcW w:w="144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1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2C6937"/>
              <w:bottom w:val="single" w:sz="8" w:color="2C6937"/>
            </w:tcBorders>
          </w:tcPr>
          <w:p>
            <w:pPr>
              <w:spacing w:after="0" w:line="20" w:lineRule="exact"/>
              <w:rPr>
                <w:sz w:val="1"/>
                <w:szCs w:val="1"/>
                <w:color w:val="auto"/>
              </w:rPr>
            </w:pPr>
          </w:p>
        </w:tc>
        <w:tc>
          <w:tcPr>
            <w:tcW w:w="76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2C6937"/>
              <w:bottom w:val="single" w:sz="8" w:color="2C6937"/>
            </w:tcBorders>
          </w:tcPr>
          <w:p>
            <w:pPr>
              <w:spacing w:after="0" w:line="20" w:lineRule="exact"/>
              <w:rPr>
                <w:sz w:val="1"/>
                <w:szCs w:val="1"/>
                <w:color w:val="auto"/>
              </w:rPr>
            </w:pPr>
          </w:p>
        </w:tc>
        <w:tc>
          <w:tcPr>
            <w:tcW w:w="78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2C6937"/>
              <w:bottom w:val="single" w:sz="8" w:color="2C6937"/>
            </w:tcBorders>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425450</wp:posOffset>
            </wp:positionV>
            <wp:extent cx="680593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84" w:name="page85"/>
    <w:bookmarkEnd w:id="84"/>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060"/>
        <w:spacing w:after="0"/>
        <w:rPr>
          <w:sz w:val="20"/>
          <w:szCs w:val="20"/>
          <w:color w:val="auto"/>
        </w:rPr>
      </w:pPr>
      <w:r>
        <w:rPr>
          <w:rFonts w:ascii="Arial" w:cs="Arial" w:eastAsia="Arial" w:hAnsi="Arial"/>
          <w:sz w:val="14"/>
          <w:szCs w:val="14"/>
          <w:b w:val="1"/>
          <w:bCs w:val="1"/>
          <w:color w:val="auto"/>
        </w:rPr>
        <w:t>For the Nine Months Ended September 30, 2023</w:t>
      </w:r>
    </w:p>
    <w:p>
      <w:pPr>
        <w:spacing w:after="0" w:line="27" w:lineRule="exact"/>
        <w:rPr>
          <w:sz w:val="20"/>
          <w:szCs w:val="20"/>
          <w:color w:val="auto"/>
        </w:rPr>
      </w:pPr>
    </w:p>
    <w:tbl>
      <w:tblPr>
        <w:tblLayout w:type="fixed"/>
        <w:tblInd w:w="1980" w:type="dxa"/>
        <w:tblCellMar>
          <w:top w:w="0" w:type="dxa"/>
          <w:left w:w="0" w:type="dxa"/>
          <w:bottom w:w="0" w:type="dxa"/>
          <w:right w:w="0" w:type="dxa"/>
        </w:tblCellMar>
      </w:tblPr>
      <w:tr>
        <w:trPr>
          <w:trHeight w:val="199"/>
        </w:trPr>
        <w:tc>
          <w:tcPr>
            <w:tcW w:w="2640" w:type="dxa"/>
            <w:vAlign w:val="bottom"/>
            <w:tcBorders>
              <w:top w:val="single" w:sz="8" w:color="2C6937"/>
              <w:bottom w:val="single" w:sz="8" w:color="2C6937"/>
            </w:tcBorders>
          </w:tcPr>
          <w:p>
            <w:pPr>
              <w:ind w:left="1220"/>
              <w:spacing w:after="0"/>
              <w:rPr>
                <w:sz w:val="20"/>
                <w:szCs w:val="20"/>
                <w:color w:val="auto"/>
              </w:rPr>
            </w:pPr>
            <w:r>
              <w:rPr>
                <w:rFonts w:ascii="Arial" w:cs="Arial" w:eastAsia="Arial" w:hAnsi="Arial"/>
                <w:sz w:val="14"/>
                <w:szCs w:val="14"/>
                <w:b w:val="1"/>
                <w:bCs w:val="1"/>
                <w:color w:val="auto"/>
                <w:w w:val="97"/>
              </w:rPr>
              <w:t>Payment Delay (Only)</w:t>
            </w:r>
          </w:p>
        </w:tc>
        <w:tc>
          <w:tcPr>
            <w:tcW w:w="1220" w:type="dxa"/>
            <w:vAlign w:val="bottom"/>
            <w:tcBorders>
              <w:top w:val="single" w:sz="8" w:color="2C6937"/>
              <w:bottom w:val="single" w:sz="8" w:color="2C6937"/>
            </w:tcBorders>
          </w:tcPr>
          <w:p>
            <w:pPr>
              <w:spacing w:after="0"/>
              <w:rPr>
                <w:sz w:val="17"/>
                <w:szCs w:val="17"/>
                <w:color w:val="auto"/>
              </w:rPr>
            </w:pPr>
          </w:p>
        </w:tc>
        <w:tc>
          <w:tcPr>
            <w:tcW w:w="1440" w:type="dxa"/>
            <w:vAlign w:val="bottom"/>
            <w:tcBorders>
              <w:top w:val="single" w:sz="8" w:color="2C6937"/>
            </w:tcBorders>
          </w:tcPr>
          <w:p>
            <w:pPr>
              <w:spacing w:after="0"/>
              <w:rPr>
                <w:sz w:val="17"/>
                <w:szCs w:val="17"/>
                <w:color w:val="auto"/>
              </w:rPr>
            </w:pPr>
          </w:p>
        </w:tc>
        <w:tc>
          <w:tcPr>
            <w:tcW w:w="1440" w:type="dxa"/>
            <w:vAlign w:val="bottom"/>
            <w:tcBorders>
              <w:top w:val="single" w:sz="8" w:color="2C6937"/>
            </w:tcBorders>
          </w:tcPr>
          <w:p>
            <w:pPr>
              <w:spacing w:after="0"/>
              <w:rPr>
                <w:sz w:val="17"/>
                <w:szCs w:val="17"/>
                <w:color w:val="auto"/>
              </w:rPr>
            </w:pPr>
          </w:p>
        </w:tc>
        <w:tc>
          <w:tcPr>
            <w:tcW w:w="920" w:type="dxa"/>
            <w:vAlign w:val="bottom"/>
            <w:tcBorders>
              <w:top w:val="single" w:sz="8" w:color="2C6937"/>
            </w:tcBorders>
          </w:tcPr>
          <w:p>
            <w:pPr>
              <w:spacing w:after="0"/>
              <w:rPr>
                <w:sz w:val="17"/>
                <w:szCs w:val="17"/>
                <w:color w:val="auto"/>
              </w:rPr>
            </w:pPr>
          </w:p>
        </w:tc>
        <w:tc>
          <w:tcPr>
            <w:tcW w:w="1600" w:type="dxa"/>
            <w:vAlign w:val="bottom"/>
            <w:tcBorders>
              <w:top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27"/>
        </w:trPr>
        <w:tc>
          <w:tcPr>
            <w:tcW w:w="2640" w:type="dxa"/>
            <w:vAlign w:val="bottom"/>
          </w:tcPr>
          <w:p>
            <w:pPr>
              <w:spacing w:after="0"/>
              <w:rPr>
                <w:sz w:val="11"/>
                <w:szCs w:val="11"/>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Trial Modification</w:t>
            </w: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Payment Delay</w:t>
            </w:r>
          </w:p>
        </w:tc>
        <w:tc>
          <w:tcPr>
            <w:tcW w:w="1440" w:type="dxa"/>
            <w:vAlign w:val="bottom"/>
          </w:tcPr>
          <w:p>
            <w:pPr>
              <w:jc w:val="center"/>
              <w:ind w:right="211"/>
              <w:spacing w:after="0" w:line="127" w:lineRule="exact"/>
              <w:rPr>
                <w:sz w:val="20"/>
                <w:szCs w:val="20"/>
                <w:color w:val="auto"/>
              </w:rPr>
            </w:pPr>
            <w:r>
              <w:rPr>
                <w:rFonts w:ascii="Arial" w:cs="Arial" w:eastAsia="Arial" w:hAnsi="Arial"/>
                <w:sz w:val="14"/>
                <w:szCs w:val="14"/>
                <w:b w:val="1"/>
                <w:bCs w:val="1"/>
                <w:color w:val="auto"/>
                <w:w w:val="96"/>
              </w:rPr>
              <w:t>Payment Delay,</w:t>
            </w:r>
          </w:p>
        </w:tc>
        <w:tc>
          <w:tcPr>
            <w:tcW w:w="920" w:type="dxa"/>
            <w:vAlign w:val="bottom"/>
          </w:tcPr>
          <w:p>
            <w:pPr>
              <w:spacing w:after="0"/>
              <w:rPr>
                <w:sz w:val="11"/>
                <w:szCs w:val="11"/>
                <w:color w:val="auto"/>
              </w:rPr>
            </w:pPr>
          </w:p>
        </w:tc>
        <w:tc>
          <w:tcPr>
            <w:tcW w:w="1600" w:type="dxa"/>
            <w:vAlign w:val="bottom"/>
            <w:vMerge w:val="restart"/>
          </w:tcPr>
          <w:p>
            <w:pPr>
              <w:jc w:val="center"/>
              <w:ind w:left="191"/>
              <w:spacing w:after="0"/>
              <w:rPr>
                <w:sz w:val="20"/>
                <w:szCs w:val="20"/>
                <w:color w:val="auto"/>
              </w:rPr>
            </w:pPr>
            <w:r>
              <w:rPr>
                <w:rFonts w:ascii="Arial" w:cs="Arial" w:eastAsia="Arial" w:hAnsi="Arial"/>
                <w:sz w:val="14"/>
                <w:szCs w:val="14"/>
                <w:b w:val="1"/>
                <w:bCs w:val="1"/>
                <w:color w:val="auto"/>
                <w:w w:val="96"/>
              </w:rPr>
              <w:t>Percentage of Total</w:t>
            </w:r>
          </w:p>
        </w:tc>
        <w:tc>
          <w:tcPr>
            <w:tcW w:w="0" w:type="dxa"/>
            <w:vAlign w:val="bottom"/>
          </w:tcPr>
          <w:p>
            <w:pPr>
              <w:spacing w:after="0"/>
              <w:rPr>
                <w:sz w:val="1"/>
                <w:szCs w:val="1"/>
                <w:color w:val="auto"/>
              </w:rPr>
            </w:pPr>
          </w:p>
        </w:tc>
      </w:tr>
      <w:tr>
        <w:trPr>
          <w:trHeight w:val="138"/>
        </w:trPr>
        <w:tc>
          <w:tcPr>
            <w:tcW w:w="26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1440" w:type="dxa"/>
            <w:vAlign w:val="bottom"/>
          </w:tcPr>
          <w:p>
            <w:pPr>
              <w:jc w:val="center"/>
              <w:ind w:right="191"/>
              <w:spacing w:after="0" w:line="139" w:lineRule="exact"/>
              <w:rPr>
                <w:sz w:val="20"/>
                <w:szCs w:val="20"/>
                <w:color w:val="auto"/>
              </w:rPr>
            </w:pPr>
            <w:r>
              <w:rPr>
                <w:rFonts w:ascii="Arial" w:cs="Arial" w:eastAsia="Arial" w:hAnsi="Arial"/>
                <w:sz w:val="14"/>
                <w:szCs w:val="14"/>
                <w:b w:val="1"/>
                <w:bCs w:val="1"/>
                <w:color w:val="auto"/>
                <w:w w:val="97"/>
              </w:rPr>
              <w:t>Term Extension</w:t>
            </w:r>
          </w:p>
        </w:tc>
        <w:tc>
          <w:tcPr>
            <w:tcW w:w="92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Forbearance Plan  Payment Deferral</w:t>
            </w:r>
          </w:p>
        </w:tc>
        <w:tc>
          <w:tcPr>
            <w:tcW w:w="12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7"/>
              </w:rPr>
              <w:t>and Repayment</w:t>
            </w:r>
          </w:p>
        </w:tc>
        <w:tc>
          <w:tcPr>
            <w:tcW w:w="14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and Term</w:t>
            </w:r>
          </w:p>
        </w:tc>
        <w:tc>
          <w:tcPr>
            <w:tcW w:w="1440" w:type="dxa"/>
            <w:vAlign w:val="bottom"/>
          </w:tcPr>
          <w:p>
            <w:pPr>
              <w:jc w:val="center"/>
              <w:ind w:right="211"/>
              <w:spacing w:after="0" w:line="142" w:lineRule="exact"/>
              <w:rPr>
                <w:sz w:val="20"/>
                <w:szCs w:val="20"/>
                <w:color w:val="auto"/>
              </w:rPr>
            </w:pPr>
            <w:r>
              <w:rPr>
                <w:rFonts w:ascii="Arial" w:cs="Arial" w:eastAsia="Arial" w:hAnsi="Arial"/>
                <w:sz w:val="14"/>
                <w:szCs w:val="14"/>
                <w:b w:val="1"/>
                <w:bCs w:val="1"/>
                <w:color w:val="auto"/>
                <w:w w:val="98"/>
              </w:rPr>
              <w:t>and Interest Rate</w:t>
            </w:r>
          </w:p>
        </w:tc>
        <w:tc>
          <w:tcPr>
            <w:tcW w:w="92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Total</w:t>
            </w:r>
          </w:p>
        </w:tc>
        <w:tc>
          <w:tcPr>
            <w:tcW w:w="1600" w:type="dxa"/>
            <w:vAlign w:val="bottom"/>
          </w:tcPr>
          <w:p>
            <w:pPr>
              <w:jc w:val="center"/>
              <w:ind w:left="191"/>
              <w:spacing w:after="0" w:line="142" w:lineRule="exact"/>
              <w:rPr>
                <w:sz w:val="20"/>
                <w:szCs w:val="20"/>
                <w:color w:val="auto"/>
              </w:rPr>
            </w:pPr>
            <w:r>
              <w:rPr>
                <w:rFonts w:ascii="Arial" w:cs="Arial" w:eastAsia="Arial" w:hAnsi="Arial"/>
                <w:sz w:val="14"/>
                <w:szCs w:val="14"/>
                <w:b w:val="1"/>
                <w:bCs w:val="1"/>
                <w:color w:val="auto"/>
                <w:w w:val="99"/>
              </w:rPr>
              <w:t>by Financing</w:t>
            </w:r>
          </w:p>
        </w:tc>
        <w:tc>
          <w:tcPr>
            <w:tcW w:w="0" w:type="dxa"/>
            <w:vAlign w:val="bottom"/>
          </w:tcPr>
          <w:p>
            <w:pPr>
              <w:spacing w:after="0"/>
              <w:rPr>
                <w:sz w:val="1"/>
                <w:szCs w:val="1"/>
                <w:color w:val="auto"/>
              </w:rPr>
            </w:pPr>
          </w:p>
        </w:tc>
      </w:tr>
      <w:tr>
        <w:trPr>
          <w:trHeight w:val="180"/>
        </w:trPr>
        <w:tc>
          <w:tcPr>
            <w:tcW w:w="2640" w:type="dxa"/>
            <w:vAlign w:val="bottom"/>
            <w:tcBorders>
              <w:bottom w:val="single" w:sz="8" w:color="2C6937"/>
            </w:tcBorders>
            <w:vMerge w:val="continue"/>
          </w:tcPr>
          <w:p>
            <w:pPr>
              <w:spacing w:after="0"/>
              <w:rPr>
                <w:sz w:val="15"/>
                <w:szCs w:val="15"/>
                <w:color w:val="auto"/>
              </w:rPr>
            </w:pPr>
          </w:p>
        </w:tc>
        <w:tc>
          <w:tcPr>
            <w:tcW w:w="122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rPr>
              <w:t>Plans</w:t>
            </w:r>
          </w:p>
        </w:tc>
        <w:tc>
          <w:tcPr>
            <w:tcW w:w="144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9"/>
              </w:rPr>
              <w:t>Extension</w:t>
            </w:r>
            <w:r>
              <w:rPr>
                <w:rFonts w:ascii="Arial" w:cs="Arial" w:eastAsia="Arial" w:hAnsi="Arial"/>
                <w:sz w:val="8"/>
                <w:szCs w:val="8"/>
                <w:b w:val="1"/>
                <w:bCs w:val="1"/>
                <w:color w:val="auto"/>
                <w:w w:val="99"/>
              </w:rPr>
              <w:t>(1)</w:t>
            </w:r>
          </w:p>
        </w:tc>
        <w:tc>
          <w:tcPr>
            <w:tcW w:w="1440" w:type="dxa"/>
            <w:vAlign w:val="bottom"/>
            <w:tcBorders>
              <w:bottom w:val="single" w:sz="8" w:color="2C6937"/>
            </w:tcBorders>
          </w:tcPr>
          <w:p>
            <w:pPr>
              <w:jc w:val="center"/>
              <w:ind w:right="191"/>
              <w:spacing w:after="0" w:line="180" w:lineRule="exact"/>
              <w:rPr>
                <w:sz w:val="20"/>
                <w:szCs w:val="20"/>
                <w:color w:val="auto"/>
              </w:rPr>
            </w:pPr>
            <w:r>
              <w:rPr>
                <w:rFonts w:ascii="Arial" w:cs="Arial" w:eastAsia="Arial" w:hAnsi="Arial"/>
                <w:sz w:val="14"/>
                <w:szCs w:val="14"/>
                <w:b w:val="1"/>
                <w:bCs w:val="1"/>
                <w:color w:val="auto"/>
                <w:w w:val="94"/>
              </w:rPr>
              <w:t>Reduction</w:t>
            </w:r>
            <w:r>
              <w:rPr>
                <w:rFonts w:ascii="Arial" w:cs="Arial" w:eastAsia="Arial" w:hAnsi="Arial"/>
                <w:sz w:val="17"/>
                <w:szCs w:val="17"/>
                <w:b w:val="1"/>
                <w:bCs w:val="1"/>
                <w:color w:val="auto"/>
                <w:w w:val="94"/>
                <w:vertAlign w:val="superscript"/>
              </w:rPr>
              <w:t>(1)</w:t>
            </w:r>
          </w:p>
        </w:tc>
        <w:tc>
          <w:tcPr>
            <w:tcW w:w="920" w:type="dxa"/>
            <w:vAlign w:val="bottom"/>
            <w:tcBorders>
              <w:bottom w:val="single" w:sz="8" w:color="2C6937"/>
            </w:tcBorders>
            <w:vMerge w:val="continue"/>
          </w:tcPr>
          <w:p>
            <w:pPr>
              <w:spacing w:after="0"/>
              <w:rPr>
                <w:sz w:val="15"/>
                <w:szCs w:val="15"/>
                <w:color w:val="auto"/>
              </w:rPr>
            </w:pPr>
          </w:p>
        </w:tc>
        <w:tc>
          <w:tcPr>
            <w:tcW w:w="1600" w:type="dxa"/>
            <w:vAlign w:val="bottom"/>
            <w:tcBorders>
              <w:bottom w:val="single" w:sz="8" w:color="2C6937"/>
            </w:tcBorders>
          </w:tcPr>
          <w:p>
            <w:pPr>
              <w:jc w:val="center"/>
              <w:ind w:left="191"/>
              <w:spacing w:after="0"/>
              <w:rPr>
                <w:sz w:val="20"/>
                <w:szCs w:val="20"/>
                <w:color w:val="auto"/>
              </w:rPr>
            </w:pPr>
            <w:r>
              <w:rPr>
                <w:rFonts w:ascii="Arial" w:cs="Arial" w:eastAsia="Arial" w:hAnsi="Arial"/>
                <w:sz w:val="14"/>
                <w:szCs w:val="14"/>
                <w:b w:val="1"/>
                <w:bCs w:val="1"/>
                <w:color w:val="auto"/>
                <w:w w:val="97"/>
              </w:rPr>
              <w:t>Class</w:t>
            </w:r>
            <w:r>
              <w:rPr>
                <w:rFonts w:ascii="Arial" w:cs="Arial" w:eastAsia="Arial" w:hAnsi="Arial"/>
                <w:sz w:val="8"/>
                <w:szCs w:val="8"/>
                <w:b w:val="1"/>
                <w:bCs w:val="1"/>
                <w:color w:val="auto"/>
                <w:w w:val="97"/>
              </w:rPr>
              <w:t>(2)</w:t>
            </w:r>
          </w:p>
        </w:tc>
        <w:tc>
          <w:tcPr>
            <w:tcW w:w="0" w:type="dxa"/>
            <w:vAlign w:val="bottom"/>
          </w:tcPr>
          <w:p>
            <w:pPr>
              <w:spacing w:after="0"/>
              <w:rPr>
                <w:sz w:val="1"/>
                <w:szCs w:val="1"/>
                <w:color w:val="auto"/>
              </w:rPr>
            </w:pPr>
          </w:p>
        </w:tc>
      </w:tr>
      <w:tr>
        <w:trPr>
          <w:trHeight w:val="198"/>
        </w:trPr>
        <w:tc>
          <w:tcPr>
            <w:tcW w:w="2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40" w:type="dxa"/>
            <w:vAlign w:val="bottom"/>
          </w:tcPr>
          <w:p>
            <w:pPr>
              <w:ind w:left="140"/>
              <w:spacing w:after="0"/>
              <w:rPr>
                <w:sz w:val="20"/>
                <w:szCs w:val="20"/>
                <w:color w:val="auto"/>
              </w:rPr>
            </w:pPr>
            <w:r>
              <w:rPr>
                <w:rFonts w:ascii="Arial" w:cs="Arial" w:eastAsia="Arial" w:hAnsi="Arial"/>
                <w:sz w:val="14"/>
                <w:szCs w:val="14"/>
                <w:b w:val="1"/>
                <w:bCs w:val="1"/>
                <w:color w:val="auto"/>
                <w:w w:val="98"/>
              </w:rPr>
              <w:t>(Dollars in millions)</w:t>
            </w:r>
          </w:p>
        </w:tc>
        <w:tc>
          <w:tcPr>
            <w:tcW w:w="1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8" w:lineRule="exact"/>
        <w:rPr>
          <w:sz w:val="20"/>
          <w:szCs w:val="20"/>
          <w:color w:val="auto"/>
        </w:rPr>
      </w:pPr>
    </w:p>
    <w:p>
      <w:pPr>
        <w:sectPr>
          <w:pgSz w:w="11900" w:h="16838" w:orient="portrait"/>
          <w:cols w:equalWidth="0" w:num="1">
            <w:col w:w="11240"/>
          </w:cols>
          <w:pgMar w:left="320" w:top="248" w:right="339" w:bottom="1440" w:gutter="0" w:footer="0" w:header="0"/>
        </w:sectPr>
      </w:pPr>
    </w:p>
    <w:tbl>
      <w:tblPr>
        <w:tblLayout w:type="fixed"/>
        <w:tblInd w:w="0" w:type="dxa"/>
        <w:tblCellMar>
          <w:top w:w="0" w:type="dxa"/>
          <w:left w:w="0" w:type="dxa"/>
          <w:bottom w:w="0" w:type="dxa"/>
          <w:right w:w="0" w:type="dxa"/>
        </w:tblCellMar>
      </w:tblPr>
      <w:tr>
        <w:trPr>
          <w:trHeight w:val="204"/>
        </w:trPr>
        <w:tc>
          <w:tcPr>
            <w:tcW w:w="198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9"/>
        </w:trPr>
        <w:tc>
          <w:tcPr>
            <w:tcW w:w="1980" w:type="dxa"/>
            <w:vAlign w:val="bottom"/>
            <w:gridSpan w:val="2"/>
          </w:tcPr>
          <w:p>
            <w:pPr>
              <w:ind w:left="180"/>
              <w:spacing w:after="0"/>
              <w:rPr>
                <w:sz w:val="20"/>
                <w:szCs w:val="20"/>
                <w:color w:val="auto"/>
              </w:rPr>
            </w:pPr>
            <w:r>
              <w:rPr>
                <w:rFonts w:ascii="Arial" w:cs="Arial" w:eastAsia="Arial" w:hAnsi="Arial"/>
                <w:sz w:val="15"/>
                <w:szCs w:val="15"/>
                <w:color w:val="auto"/>
              </w:rPr>
              <w:t>20- and 30-year or</w:t>
            </w: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93"/>
        </w:trPr>
        <w:tc>
          <w:tcPr>
            <w:tcW w:w="1980" w:type="dxa"/>
            <w:vAlign w:val="bottom"/>
            <w:gridSpan w:val="2"/>
          </w:tcPr>
          <w:p>
            <w:pPr>
              <w:ind w:left="320"/>
              <w:spacing w:after="0"/>
              <w:rPr>
                <w:sz w:val="20"/>
                <w:szCs w:val="20"/>
                <w:color w:val="auto"/>
              </w:rPr>
            </w:pPr>
            <w:r>
              <w:rPr>
                <w:rFonts w:ascii="Arial" w:cs="Arial" w:eastAsia="Arial" w:hAnsi="Arial"/>
                <w:sz w:val="15"/>
                <w:szCs w:val="15"/>
                <w:color w:val="auto"/>
              </w:rPr>
              <w:t>more, amortizing</w:t>
            </w: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4"/>
        </w:trPr>
        <w:tc>
          <w:tcPr>
            <w:tcW w:w="1980" w:type="dxa"/>
            <w:vAlign w:val="bottom"/>
            <w:gridSpan w:val="2"/>
          </w:tcPr>
          <w:p>
            <w:pPr>
              <w:ind w:left="320"/>
              <w:spacing w:after="0"/>
              <w:rPr>
                <w:sz w:val="20"/>
                <w:szCs w:val="20"/>
                <w:color w:val="auto"/>
              </w:rPr>
            </w:pPr>
            <w:r>
              <w:rPr>
                <w:rFonts w:ascii="Arial" w:cs="Arial" w:eastAsia="Arial" w:hAnsi="Arial"/>
                <w:sz w:val="15"/>
                <w:szCs w:val="15"/>
                <w:color w:val="auto"/>
              </w:rPr>
              <w:t>fixed-rate</w:t>
            </w: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10,851</w:t>
            </w:r>
          </w:p>
        </w:tc>
        <w:tc>
          <w:tcPr>
            <w:tcW w:w="100" w:type="dxa"/>
            <w:vAlign w:val="bottom"/>
          </w:tcPr>
          <w:p>
            <w:pPr>
              <w:spacing w:after="0"/>
              <w:rPr>
                <w:sz w:val="17"/>
                <w:szCs w:val="17"/>
                <w:color w:val="auto"/>
              </w:rPr>
            </w:pP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8,306</w:t>
            </w:r>
          </w:p>
        </w:tc>
        <w:tc>
          <w:tcPr>
            <w:tcW w:w="100" w:type="dxa"/>
            <w:vAlign w:val="bottom"/>
          </w:tcPr>
          <w:p>
            <w:pPr>
              <w:spacing w:after="0"/>
              <w:rPr>
                <w:sz w:val="17"/>
                <w:szCs w:val="17"/>
                <w:color w:val="auto"/>
              </w:rPr>
            </w:pPr>
          </w:p>
        </w:tc>
        <w:tc>
          <w:tcPr>
            <w:tcW w:w="440" w:type="dxa"/>
            <w:vAlign w:val="bottom"/>
          </w:tcPr>
          <w:p>
            <w:pPr>
              <w:jc w:val="right"/>
              <w:ind w:right="263"/>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6,216</w:t>
            </w:r>
          </w:p>
        </w:tc>
        <w:tc>
          <w:tcPr>
            <w:tcW w:w="80" w:type="dxa"/>
            <w:vAlign w:val="bottom"/>
          </w:tcPr>
          <w:p>
            <w:pPr>
              <w:spacing w:after="0"/>
              <w:rPr>
                <w:sz w:val="17"/>
                <w:szCs w:val="17"/>
                <w:color w:val="auto"/>
              </w:rPr>
            </w:pPr>
          </w:p>
        </w:tc>
        <w:tc>
          <w:tcPr>
            <w:tcW w:w="440" w:type="dxa"/>
            <w:vAlign w:val="bottom"/>
          </w:tcPr>
          <w:p>
            <w:pPr>
              <w:jc w:val="right"/>
              <w:ind w:right="263"/>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5,209</w:t>
            </w:r>
          </w:p>
        </w:tc>
        <w:tc>
          <w:tcPr>
            <w:tcW w:w="80" w:type="dxa"/>
            <w:vAlign w:val="bottom"/>
          </w:tcPr>
          <w:p>
            <w:pPr>
              <w:spacing w:after="0"/>
              <w:rPr>
                <w:sz w:val="17"/>
                <w:szCs w:val="17"/>
                <w:color w:val="auto"/>
              </w:rPr>
            </w:pPr>
          </w:p>
        </w:tc>
        <w:tc>
          <w:tcPr>
            <w:tcW w:w="46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360</w:t>
            </w:r>
          </w:p>
        </w:tc>
        <w:tc>
          <w:tcPr>
            <w:tcW w:w="100" w:type="dxa"/>
            <w:vAlign w:val="bottom"/>
          </w:tcPr>
          <w:p>
            <w:pPr>
              <w:spacing w:after="0"/>
              <w:rPr>
                <w:sz w:val="17"/>
                <w:szCs w:val="17"/>
                <w:color w:val="auto"/>
              </w:rPr>
            </w:pP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30,942</w:t>
            </w:r>
          </w:p>
        </w:tc>
      </w:tr>
      <w:tr>
        <w:trPr>
          <w:trHeight w:val="209"/>
        </w:trPr>
        <w:tc>
          <w:tcPr>
            <w:tcW w:w="1980" w:type="dxa"/>
            <w:vAlign w:val="bottom"/>
            <w:gridSpan w:val="2"/>
          </w:tcPr>
          <w:p>
            <w:pPr>
              <w:ind w:left="180"/>
              <w:spacing w:after="0"/>
              <w:rPr>
                <w:sz w:val="20"/>
                <w:szCs w:val="20"/>
                <w:color w:val="auto"/>
              </w:rPr>
            </w:pPr>
            <w:r>
              <w:rPr>
                <w:rFonts w:ascii="Arial" w:cs="Arial" w:eastAsia="Arial" w:hAnsi="Arial"/>
                <w:sz w:val="15"/>
                <w:szCs w:val="15"/>
                <w:color w:val="auto"/>
              </w:rPr>
              <w:t>15-year or less,</w:t>
            </w: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7"/>
        </w:trPr>
        <w:tc>
          <w:tcPr>
            <w:tcW w:w="1980" w:type="dxa"/>
            <w:vAlign w:val="bottom"/>
            <w:gridSpan w:val="2"/>
          </w:tcPr>
          <w:p>
            <w:pPr>
              <w:ind w:left="320"/>
              <w:spacing w:after="0"/>
              <w:rPr>
                <w:sz w:val="20"/>
                <w:szCs w:val="20"/>
                <w:color w:val="auto"/>
              </w:rPr>
            </w:pPr>
            <w:r>
              <w:rPr>
                <w:rFonts w:ascii="Arial" w:cs="Arial" w:eastAsia="Arial" w:hAnsi="Arial"/>
                <w:sz w:val="15"/>
                <w:szCs w:val="15"/>
                <w:color w:val="auto"/>
              </w:rPr>
              <w:t>amortizing fixed-rate</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465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343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241</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1,051</w:t>
            </w:r>
          </w:p>
        </w:tc>
      </w:tr>
      <w:tr>
        <w:trPr>
          <w:trHeight w:val="232"/>
        </w:trPr>
        <w:tc>
          <w:tcPr>
            <w:tcW w:w="198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22</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119</w:t>
            </w:r>
          </w:p>
        </w:tc>
      </w:tr>
      <w:tr>
        <w:trPr>
          <w:trHeight w:val="239"/>
        </w:trPr>
        <w:tc>
          <w:tcPr>
            <w:tcW w:w="188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20"/>
                <w:szCs w:val="20"/>
                <w:color w:val="auto"/>
              </w:rPr>
            </w:pPr>
          </w:p>
        </w:tc>
        <w:tc>
          <w:tcPr>
            <w:tcW w:w="380" w:type="dxa"/>
            <w:vAlign w:val="bottom"/>
            <w:tcBorders>
              <w:bottom w:val="single" w:sz="8" w:color="2C6937"/>
            </w:tcBorders>
          </w:tcPr>
          <w:p>
            <w:pPr>
              <w:spacing w:after="0"/>
              <w:rPr>
                <w:sz w:val="20"/>
                <w:szCs w:val="20"/>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128</w:t>
            </w:r>
          </w:p>
        </w:tc>
        <w:tc>
          <w:tcPr>
            <w:tcW w:w="100" w:type="dxa"/>
            <w:vAlign w:val="bottom"/>
          </w:tcPr>
          <w:p>
            <w:pPr>
              <w:spacing w:after="0"/>
              <w:rPr>
                <w:sz w:val="20"/>
                <w:szCs w:val="20"/>
                <w:color w:val="auto"/>
              </w:rPr>
            </w:pPr>
          </w:p>
        </w:tc>
        <w:tc>
          <w:tcPr>
            <w:tcW w:w="420" w:type="dxa"/>
            <w:vAlign w:val="bottom"/>
            <w:tcBorders>
              <w:bottom w:val="single" w:sz="8" w:color="2C6937"/>
            </w:tcBorders>
          </w:tcPr>
          <w:p>
            <w:pPr>
              <w:spacing w:after="0"/>
              <w:rPr>
                <w:sz w:val="20"/>
                <w:szCs w:val="20"/>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108</w:t>
            </w:r>
          </w:p>
        </w:tc>
        <w:tc>
          <w:tcPr>
            <w:tcW w:w="100" w:type="dxa"/>
            <w:vAlign w:val="bottom"/>
          </w:tcPr>
          <w:p>
            <w:pPr>
              <w:spacing w:after="0"/>
              <w:rPr>
                <w:sz w:val="20"/>
                <w:szCs w:val="20"/>
                <w:color w:val="auto"/>
              </w:rPr>
            </w:pPr>
          </w:p>
        </w:tc>
        <w:tc>
          <w:tcPr>
            <w:tcW w:w="440" w:type="dxa"/>
            <w:vAlign w:val="bottom"/>
            <w:tcBorders>
              <w:bottom w:val="single" w:sz="8" w:color="2C6937"/>
            </w:tcBorders>
          </w:tcPr>
          <w:p>
            <w:pPr>
              <w:spacing w:after="0"/>
              <w:rPr>
                <w:sz w:val="20"/>
                <w:szCs w:val="20"/>
                <w:color w:val="auto"/>
              </w:rPr>
            </w:pPr>
          </w:p>
        </w:tc>
        <w:tc>
          <w:tcPr>
            <w:tcW w:w="8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137</w:t>
            </w:r>
          </w:p>
        </w:tc>
        <w:tc>
          <w:tcPr>
            <w:tcW w:w="80" w:type="dxa"/>
            <w:vAlign w:val="bottom"/>
          </w:tcPr>
          <w:p>
            <w:pPr>
              <w:spacing w:after="0"/>
              <w:rPr>
                <w:sz w:val="20"/>
                <w:szCs w:val="20"/>
                <w:color w:val="auto"/>
              </w:rPr>
            </w:pPr>
          </w:p>
        </w:tc>
        <w:tc>
          <w:tcPr>
            <w:tcW w:w="440" w:type="dxa"/>
            <w:vAlign w:val="bottom"/>
            <w:tcBorders>
              <w:bottom w:val="single" w:sz="8" w:color="2C6937"/>
            </w:tcBorders>
          </w:tcPr>
          <w:p>
            <w:pPr>
              <w:spacing w:after="0"/>
              <w:rPr>
                <w:sz w:val="20"/>
                <w:szCs w:val="20"/>
                <w:color w:val="auto"/>
              </w:rPr>
            </w:pPr>
          </w:p>
        </w:tc>
        <w:tc>
          <w:tcPr>
            <w:tcW w:w="8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94</w:t>
            </w:r>
          </w:p>
        </w:tc>
        <w:tc>
          <w:tcPr>
            <w:tcW w:w="80" w:type="dxa"/>
            <w:vAlign w:val="bottom"/>
          </w:tcPr>
          <w:p>
            <w:pPr>
              <w:spacing w:after="0"/>
              <w:rPr>
                <w:sz w:val="20"/>
                <w:szCs w:val="20"/>
                <w:color w:val="auto"/>
              </w:rPr>
            </w:pPr>
          </w:p>
        </w:tc>
        <w:tc>
          <w:tcPr>
            <w:tcW w:w="460" w:type="dxa"/>
            <w:vAlign w:val="bottom"/>
            <w:tcBorders>
              <w:bottom w:val="single" w:sz="8" w:color="2C6937"/>
            </w:tcBorders>
          </w:tcPr>
          <w:p>
            <w:pPr>
              <w:spacing w:after="0"/>
              <w:rPr>
                <w:sz w:val="20"/>
                <w:szCs w:val="20"/>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65</w:t>
            </w:r>
          </w:p>
        </w:tc>
        <w:tc>
          <w:tcPr>
            <w:tcW w:w="100" w:type="dxa"/>
            <w:vAlign w:val="bottom"/>
          </w:tcPr>
          <w:p>
            <w:pPr>
              <w:spacing w:after="0"/>
              <w:rPr>
                <w:sz w:val="20"/>
                <w:szCs w:val="20"/>
                <w:color w:val="auto"/>
              </w:rPr>
            </w:pPr>
          </w:p>
        </w:tc>
        <w:tc>
          <w:tcPr>
            <w:tcW w:w="380" w:type="dxa"/>
            <w:vAlign w:val="bottom"/>
            <w:tcBorders>
              <w:bottom w:val="single" w:sz="8" w:color="2C6937"/>
            </w:tcBorders>
          </w:tcPr>
          <w:p>
            <w:pPr>
              <w:spacing w:after="0"/>
              <w:rPr>
                <w:sz w:val="20"/>
                <w:szCs w:val="20"/>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532</w:t>
            </w:r>
          </w:p>
        </w:tc>
      </w:tr>
      <w:tr>
        <w:trPr>
          <w:trHeight w:val="218"/>
        </w:trPr>
        <w:tc>
          <w:tcPr>
            <w:tcW w:w="1980" w:type="dxa"/>
            <w:vAlign w:val="bottom"/>
            <w:gridSpan w:val="2"/>
          </w:tcPr>
          <w:p>
            <w:pPr>
              <w:ind w:left="20"/>
              <w:spacing w:after="0"/>
              <w:rPr>
                <w:sz w:val="20"/>
                <w:szCs w:val="20"/>
                <w:color w:val="auto"/>
              </w:rPr>
            </w:pPr>
            <w:r>
              <w:rPr>
                <w:rFonts w:ascii="Arial" w:cs="Arial" w:eastAsia="Arial" w:hAnsi="Arial"/>
                <w:sz w:val="15"/>
                <w:szCs w:val="15"/>
                <w:color w:val="auto"/>
              </w:rPr>
              <w:t>Total single-family</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11,503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8,788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6,616</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5,304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433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32,644</w:t>
            </w:r>
          </w:p>
        </w:tc>
      </w:tr>
      <w:tr>
        <w:trPr>
          <w:trHeight w:val="239"/>
        </w:trPr>
        <w:tc>
          <w:tcPr>
            <w:tcW w:w="18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0"/>
                <w:szCs w:val="20"/>
                <w:color w:val="auto"/>
              </w:rPr>
            </w:pPr>
          </w:p>
        </w:tc>
        <w:tc>
          <w:tcPr>
            <w:tcW w:w="380" w:type="dxa"/>
            <w:vAlign w:val="bottom"/>
            <w:tcBorders>
              <w:bottom w:val="single" w:sz="8" w:color="2C6937"/>
            </w:tcBorders>
          </w:tcPr>
          <w:p>
            <w:pPr>
              <w:spacing w:after="0"/>
              <w:rPr>
                <w:sz w:val="20"/>
                <w:szCs w:val="20"/>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1,045</w:t>
            </w:r>
          </w:p>
        </w:tc>
        <w:tc>
          <w:tcPr>
            <w:tcW w:w="100" w:type="dxa"/>
            <w:vAlign w:val="bottom"/>
          </w:tcPr>
          <w:p>
            <w:pPr>
              <w:spacing w:after="0"/>
              <w:rPr>
                <w:sz w:val="20"/>
                <w:szCs w:val="20"/>
                <w:color w:val="auto"/>
              </w:rPr>
            </w:pPr>
          </w:p>
        </w:tc>
        <w:tc>
          <w:tcPr>
            <w:tcW w:w="420" w:type="dxa"/>
            <w:vAlign w:val="bottom"/>
            <w:tcBorders>
              <w:bottom w:val="single" w:sz="8" w:color="2C6937"/>
            </w:tcBorders>
          </w:tcPr>
          <w:p>
            <w:pPr>
              <w:spacing w:after="0"/>
              <w:rPr>
                <w:sz w:val="20"/>
                <w:szCs w:val="20"/>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440" w:type="dxa"/>
            <w:vAlign w:val="bottom"/>
            <w:tcBorders>
              <w:bottom w:val="single" w:sz="8" w:color="2C6937"/>
            </w:tcBorders>
          </w:tcPr>
          <w:p>
            <w:pPr>
              <w:spacing w:after="0"/>
              <w:rPr>
                <w:sz w:val="20"/>
                <w:szCs w:val="20"/>
                <w:color w:val="auto"/>
              </w:rPr>
            </w:pPr>
          </w:p>
        </w:tc>
        <w:tc>
          <w:tcPr>
            <w:tcW w:w="8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440" w:type="dxa"/>
            <w:vAlign w:val="bottom"/>
            <w:tcBorders>
              <w:bottom w:val="single" w:sz="8" w:color="2C6937"/>
            </w:tcBorders>
          </w:tcPr>
          <w:p>
            <w:pPr>
              <w:spacing w:after="0"/>
              <w:rPr>
                <w:sz w:val="20"/>
                <w:szCs w:val="20"/>
                <w:color w:val="auto"/>
              </w:rPr>
            </w:pPr>
          </w:p>
        </w:tc>
        <w:tc>
          <w:tcPr>
            <w:tcW w:w="8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460" w:type="dxa"/>
            <w:vAlign w:val="bottom"/>
            <w:tcBorders>
              <w:bottom w:val="single" w:sz="8" w:color="2C6937"/>
            </w:tcBorders>
          </w:tcPr>
          <w:p>
            <w:pPr>
              <w:spacing w:after="0"/>
              <w:rPr>
                <w:sz w:val="20"/>
                <w:szCs w:val="20"/>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585</w:t>
            </w:r>
          </w:p>
        </w:tc>
        <w:tc>
          <w:tcPr>
            <w:tcW w:w="100" w:type="dxa"/>
            <w:vAlign w:val="bottom"/>
          </w:tcPr>
          <w:p>
            <w:pPr>
              <w:spacing w:after="0"/>
              <w:rPr>
                <w:sz w:val="20"/>
                <w:szCs w:val="20"/>
                <w:color w:val="auto"/>
              </w:rPr>
            </w:pPr>
          </w:p>
        </w:tc>
        <w:tc>
          <w:tcPr>
            <w:tcW w:w="380" w:type="dxa"/>
            <w:vAlign w:val="bottom"/>
            <w:tcBorders>
              <w:bottom w:val="single" w:sz="8" w:color="2C6937"/>
            </w:tcBorders>
          </w:tcPr>
          <w:p>
            <w:pPr>
              <w:spacing w:after="0"/>
              <w:rPr>
                <w:sz w:val="20"/>
                <w:szCs w:val="20"/>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1,630</w:t>
            </w:r>
          </w:p>
        </w:tc>
      </w:tr>
      <w:tr>
        <w:trPr>
          <w:trHeight w:val="232"/>
        </w:trPr>
        <w:tc>
          <w:tcPr>
            <w:tcW w:w="1980" w:type="dxa"/>
            <w:vAlign w:val="bottom"/>
            <w:gridSpan w:val="2"/>
          </w:tcPr>
          <w:p>
            <w:pPr>
              <w:ind w:left="180"/>
              <w:spacing w:after="0"/>
              <w:rPr>
                <w:sz w:val="20"/>
                <w:szCs w:val="20"/>
                <w:color w:val="auto"/>
              </w:rPr>
            </w:pPr>
            <w:r>
              <w:rPr>
                <w:rFonts w:ascii="Arial" w:cs="Arial" w:eastAsia="Arial" w:hAnsi="Arial"/>
                <w:sz w:val="15"/>
                <w:szCs w:val="15"/>
                <w:color w:val="auto"/>
              </w:rPr>
              <w:t>Total</w:t>
            </w:r>
            <w:r>
              <w:rPr>
                <w:rFonts w:ascii="Arial" w:cs="Arial" w:eastAsia="Arial" w:hAnsi="Arial"/>
                <w:sz w:val="20"/>
                <w:szCs w:val="20"/>
                <w:color w:val="auto"/>
                <w:vertAlign w:val="superscript"/>
              </w:rPr>
              <w:t>(3)</w:t>
            </w: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12,548</w:t>
            </w:r>
          </w:p>
        </w:tc>
        <w:tc>
          <w:tcPr>
            <w:tcW w:w="100" w:type="dxa"/>
            <w:vAlign w:val="bottom"/>
          </w:tcPr>
          <w:p>
            <w:pPr>
              <w:spacing w:after="0"/>
              <w:rPr>
                <w:sz w:val="20"/>
                <w:szCs w:val="20"/>
                <w:color w:val="auto"/>
              </w:rPr>
            </w:pP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8,788</w:t>
            </w:r>
          </w:p>
        </w:tc>
        <w:tc>
          <w:tcPr>
            <w:tcW w:w="100" w:type="dxa"/>
            <w:vAlign w:val="bottom"/>
          </w:tcPr>
          <w:p>
            <w:pPr>
              <w:spacing w:after="0"/>
              <w:rPr>
                <w:sz w:val="20"/>
                <w:szCs w:val="20"/>
                <w:color w:val="auto"/>
              </w:rPr>
            </w:pPr>
          </w:p>
        </w:tc>
        <w:tc>
          <w:tcPr>
            <w:tcW w:w="440" w:type="dxa"/>
            <w:vAlign w:val="bottom"/>
          </w:tcPr>
          <w:p>
            <w:pPr>
              <w:jc w:val="right"/>
              <w:ind w:right="263"/>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6,616</w:t>
            </w:r>
          </w:p>
        </w:tc>
        <w:tc>
          <w:tcPr>
            <w:tcW w:w="80" w:type="dxa"/>
            <w:vAlign w:val="bottom"/>
          </w:tcPr>
          <w:p>
            <w:pPr>
              <w:spacing w:after="0"/>
              <w:rPr>
                <w:sz w:val="20"/>
                <w:szCs w:val="20"/>
                <w:color w:val="auto"/>
              </w:rPr>
            </w:pPr>
          </w:p>
        </w:tc>
        <w:tc>
          <w:tcPr>
            <w:tcW w:w="440" w:type="dxa"/>
            <w:vAlign w:val="bottom"/>
          </w:tcPr>
          <w:p>
            <w:pPr>
              <w:jc w:val="right"/>
              <w:ind w:right="263"/>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5,304</w:t>
            </w:r>
          </w:p>
        </w:tc>
        <w:tc>
          <w:tcPr>
            <w:tcW w:w="80" w:type="dxa"/>
            <w:vAlign w:val="bottom"/>
          </w:tcPr>
          <w:p>
            <w:pPr>
              <w:spacing w:after="0"/>
              <w:rPr>
                <w:sz w:val="20"/>
                <w:szCs w:val="20"/>
                <w:color w:val="auto"/>
              </w:rPr>
            </w:pPr>
          </w:p>
        </w:tc>
        <w:tc>
          <w:tcPr>
            <w:tcW w:w="46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1,018</w:t>
            </w:r>
          </w:p>
        </w:tc>
        <w:tc>
          <w:tcPr>
            <w:tcW w:w="100" w:type="dxa"/>
            <w:vAlign w:val="bottom"/>
          </w:tcPr>
          <w:p>
            <w:pPr>
              <w:spacing w:after="0"/>
              <w:rPr>
                <w:sz w:val="20"/>
                <w:szCs w:val="20"/>
                <w:color w:val="auto"/>
              </w:rPr>
            </w:pP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34,274</w:t>
            </w:r>
          </w:p>
        </w:tc>
      </w:tr>
      <w:tr>
        <w:trPr>
          <w:trHeight w:val="20"/>
        </w:trPr>
        <w:tc>
          <w:tcPr>
            <w:tcW w:w="1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2C6937"/>
              <w:bottom w:val="single" w:sz="8" w:color="2C6937"/>
            </w:tcBorders>
          </w:tcPr>
          <w:p>
            <w:pPr>
              <w:spacing w:after="0" w:line="20" w:lineRule="exact"/>
              <w:rPr>
                <w:sz w:val="1"/>
                <w:szCs w:val="1"/>
                <w:color w:val="auto"/>
              </w:rPr>
            </w:pPr>
          </w:p>
        </w:tc>
        <w:tc>
          <w:tcPr>
            <w:tcW w:w="7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2C6937"/>
              <w:bottom w:val="single" w:sz="8" w:color="2C6937"/>
            </w:tcBorders>
          </w:tcPr>
          <w:p>
            <w:pPr>
              <w:spacing w:after="0" w:line="20" w:lineRule="exact"/>
              <w:rPr>
                <w:sz w:val="1"/>
                <w:szCs w:val="1"/>
                <w:color w:val="auto"/>
              </w:rPr>
            </w:pPr>
          </w:p>
        </w:tc>
        <w:tc>
          <w:tcPr>
            <w:tcW w:w="7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r>
    </w:tbl>
    <w:p>
      <w:pPr>
        <w:spacing w:after="0" w:line="121" w:lineRule="exact"/>
        <w:rPr>
          <w:sz w:val="20"/>
          <w:szCs w:val="20"/>
          <w:color w:val="auto"/>
        </w:rPr>
      </w:pPr>
    </w:p>
    <w:p>
      <w:pPr>
        <w:ind w:left="200" w:hanging="197"/>
        <w:spacing w:after="0"/>
        <w:tabs>
          <w:tab w:leader="none" w:pos="200" w:val="left"/>
        </w:tabs>
        <w:numPr>
          <w:ilvl w:val="0"/>
          <w:numId w:val="74"/>
        </w:numPr>
        <w:rPr>
          <w:rFonts w:ascii="Arial" w:cs="Arial" w:eastAsia="Arial" w:hAnsi="Arial"/>
          <w:sz w:val="14"/>
          <w:szCs w:val="14"/>
          <w:color w:val="auto"/>
        </w:rPr>
      </w:pPr>
      <w:r>
        <w:rPr>
          <w:rFonts w:ascii="Arial" w:cs="Arial" w:eastAsia="Arial" w:hAnsi="Arial"/>
          <w:sz w:val="14"/>
          <w:szCs w:val="14"/>
          <w:color w:val="auto"/>
        </w:rPr>
        <w:t>Represents less than 0.5% of total by financing class.</w:t>
      </w:r>
    </w:p>
    <w:p>
      <w:pPr>
        <w:spacing w:after="0" w:line="19" w:lineRule="exact"/>
        <w:rPr>
          <w:sz w:val="20"/>
          <w:szCs w:val="20"/>
          <w:color w:val="auto"/>
        </w:rPr>
      </w:pPr>
    </w:p>
    <w:p>
      <w:pPr>
        <w:ind w:left="260" w:hanging="257"/>
        <w:spacing w:after="0"/>
        <w:tabs>
          <w:tab w:leader="none" w:pos="260" w:val="left"/>
        </w:tabs>
        <w:numPr>
          <w:ilvl w:val="0"/>
          <w:numId w:val="75"/>
        </w:numPr>
        <w:rPr>
          <w:rFonts w:ascii="Arial" w:cs="Arial" w:eastAsia="Arial" w:hAnsi="Arial"/>
          <w:sz w:val="18"/>
          <w:szCs w:val="18"/>
          <w:color w:val="auto"/>
          <w:vertAlign w:val="superscript"/>
        </w:rPr>
      </w:pPr>
      <w:r>
        <w:rPr>
          <w:rFonts w:ascii="Arial" w:cs="Arial" w:eastAsia="Arial" w:hAnsi="Arial"/>
          <w:sz w:val="14"/>
          <w:szCs w:val="14"/>
          <w:color w:val="auto"/>
        </w:rPr>
        <w:t>Represents loans that received a contractual modification.</w:t>
      </w:r>
    </w:p>
    <w:p>
      <w:pPr>
        <w:spacing w:after="0" w:line="25" w:lineRule="exact"/>
        <w:rPr>
          <w:rFonts w:ascii="Arial" w:cs="Arial" w:eastAsia="Arial" w:hAnsi="Arial"/>
          <w:sz w:val="18"/>
          <w:szCs w:val="18"/>
          <w:color w:val="auto"/>
          <w:vertAlign w:val="superscript"/>
        </w:rPr>
      </w:pPr>
    </w:p>
    <w:p>
      <w:pPr>
        <w:ind w:left="260" w:hanging="257"/>
        <w:spacing w:after="0"/>
        <w:tabs>
          <w:tab w:leader="none" w:pos="260" w:val="left"/>
        </w:tabs>
        <w:numPr>
          <w:ilvl w:val="0"/>
          <w:numId w:val="75"/>
        </w:numPr>
        <w:rPr>
          <w:rFonts w:ascii="Arial" w:cs="Arial" w:eastAsia="Arial" w:hAnsi="Arial"/>
          <w:sz w:val="9"/>
          <w:szCs w:val="9"/>
          <w:color w:val="auto"/>
        </w:rPr>
      </w:pPr>
      <w:r>
        <w:rPr>
          <w:rFonts w:ascii="Arial" w:cs="Arial" w:eastAsia="Arial" w:hAnsi="Arial"/>
          <w:sz w:val="14"/>
          <w:szCs w:val="14"/>
          <w:color w:val="auto"/>
        </w:rPr>
        <w:t>Based on the amortized cost basis as of period end, divided by the period-end amortized cost basis of the corresponding class of financing receivable.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20"/>
        <w:spacing w:after="0"/>
        <w:rPr>
          <w:sz w:val="20"/>
          <w:szCs w:val="20"/>
          <w:color w:val="auto"/>
        </w:rPr>
      </w:pPr>
      <w:r>
        <w:rPr>
          <w:rFonts w:ascii="Arial" w:cs="Arial" w:eastAsia="Arial" w:hAnsi="Arial"/>
          <w:sz w:val="15"/>
          <w:szCs w:val="15"/>
          <w:color w:val="auto"/>
        </w:rPr>
        <w:t>1 %</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5"/>
          <w:szCs w:val="15"/>
          <w:color w:val="auto"/>
        </w:rPr>
        <w:t>*</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5"/>
          <w:szCs w:val="15"/>
          <w:color w:val="auto"/>
        </w:rPr>
        <w:t>2</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5"/>
          <w:szCs w:val="15"/>
          <w:color w:val="auto"/>
        </w:rPr>
        <w:t>1</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5"/>
          <w:szCs w:val="15"/>
          <w:color w:val="auto"/>
        </w:rPr>
        <w:t>*</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1</w:t>
      </w:r>
    </w:p>
    <w:p>
      <w:pPr>
        <w:spacing w:after="0" w:line="785" w:lineRule="exact"/>
        <w:rPr>
          <w:sz w:val="20"/>
          <w:szCs w:val="20"/>
          <w:color w:val="auto"/>
        </w:rPr>
      </w:pPr>
    </w:p>
    <w:p>
      <w:pPr>
        <w:sectPr>
          <w:pgSz w:w="11900" w:h="16838" w:orient="portrait"/>
          <w:cols w:equalWidth="0" w:num="2">
            <w:col w:w="10220" w:space="720"/>
            <w:col w:w="300"/>
          </w:cols>
          <w:pgMar w:left="320" w:top="248" w:right="339" w:bottom="1440" w:gutter="0" w:footer="0" w:header="0"/>
          <w:type w:val="continuous"/>
        </w:sectPr>
      </w:pPr>
    </w:p>
    <w:p>
      <w:pPr>
        <w:ind w:left="240" w:right="20" w:hanging="237"/>
        <w:spacing w:after="0" w:line="259" w:lineRule="auto"/>
        <w:tabs>
          <w:tab w:leader="none" w:pos="216" w:val="left"/>
        </w:tabs>
        <w:numPr>
          <w:ilvl w:val="0"/>
          <w:numId w:val="76"/>
        </w:numPr>
        <w:rPr>
          <w:rFonts w:ascii="Arial" w:cs="Arial" w:eastAsia="Arial" w:hAnsi="Arial"/>
          <w:sz w:val="9"/>
          <w:szCs w:val="9"/>
          <w:color w:val="auto"/>
        </w:rPr>
      </w:pPr>
      <w:r>
        <w:rPr>
          <w:rFonts w:ascii="Arial" w:cs="Arial" w:eastAsia="Arial" w:hAnsi="Arial"/>
          <w:sz w:val="14"/>
          <w:szCs w:val="14"/>
          <w:color w:val="auto"/>
        </w:rPr>
        <w:t>Excludes $269 million and $1.0 billion for the three and nine months ended September 30, 2024, respectively, and $276 million and $1.2 billion for the three and nine months ended September 30, 2023, respectively, for loans that were the subject of loss mitigation activity during the period that paid off, were repurchased or were sold prior to period end. Also excludes loans that liquidated either through foreclosure, deed-in-lieu of foreclosure, or a short sale. Loans may move from one category to another, as a result of the restructuring(s) they received during the period.</w:t>
      </w:r>
    </w:p>
    <w:p>
      <w:pPr>
        <w:spacing w:after="0" w:line="51" w:lineRule="exact"/>
        <w:rPr>
          <w:sz w:val="20"/>
          <w:szCs w:val="20"/>
          <w:color w:val="auto"/>
        </w:rPr>
      </w:pPr>
    </w:p>
    <w:p>
      <w:pPr>
        <w:jc w:val="both"/>
        <w:ind w:right="60"/>
        <w:spacing w:after="0" w:line="271" w:lineRule="auto"/>
        <w:rPr>
          <w:sz w:val="20"/>
          <w:szCs w:val="20"/>
          <w:color w:val="auto"/>
        </w:rPr>
      </w:pPr>
      <w:r>
        <w:rPr>
          <w:rFonts w:ascii="Arial" w:cs="Arial" w:eastAsia="Arial" w:hAnsi="Arial"/>
          <w:sz w:val="16"/>
          <w:szCs w:val="16"/>
          <w:color w:val="auto"/>
        </w:rPr>
        <w:t>Our estimate of future credit losses uses a lifetime methodology, derived from modeled loan performance based on extensive historical experience of loans with similar risk characteristics, adjusted to reflect current conditions and reasonable and supportable forecasts. The historical loss experience used in our single-family and multifamily credit loss models includes the impact of the loss mitigation options provided to borrowers experiencing financial difficulty, and also includes the impact of projected loss severities as a result of a loan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361950</wp:posOffset>
            </wp:positionV>
            <wp:extent cx="680593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85" w:name="page86"/>
    <w:bookmarkEnd w:id="85"/>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right="200"/>
        <w:spacing w:after="0" w:line="272" w:lineRule="auto"/>
        <w:rPr>
          <w:sz w:val="20"/>
          <w:szCs w:val="20"/>
          <w:color w:val="auto"/>
        </w:rPr>
      </w:pPr>
      <w:r>
        <w:rPr>
          <w:rFonts w:ascii="Arial" w:cs="Arial" w:eastAsia="Arial" w:hAnsi="Arial"/>
          <w:sz w:val="16"/>
          <w:szCs w:val="16"/>
          <w:color w:val="auto"/>
        </w:rPr>
        <w:t>The following table summarizes the financial impacts of loan modifications and payment deferrals made to single-family HFI loans presented by class of financing receivable. We discuss the qualitative impacts of forbearance plans, repayment plans, and trial modifications earlier in this footnote. As a result, those loss mitigation options are excluded from the table below.</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3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100" w:type="dxa"/>
            <w:vAlign w:val="bottom"/>
            <w:tcBorders>
              <w:bottom w:val="single" w:sz="8" w:color="2C6937"/>
            </w:tcBorders>
          </w:tcPr>
          <w:p>
            <w:pPr>
              <w:spacing w:after="0"/>
              <w:rPr>
                <w:sz w:val="17"/>
                <w:szCs w:val="17"/>
                <w:color w:val="auto"/>
              </w:rPr>
            </w:pPr>
          </w:p>
        </w:tc>
        <w:tc>
          <w:tcPr>
            <w:tcW w:w="60" w:type="dxa"/>
            <w:vAlign w:val="bottom"/>
            <w:tcBorders>
              <w:bottom w:val="single" w:sz="8" w:color="2C6937"/>
            </w:tcBorders>
          </w:tcPr>
          <w:p>
            <w:pPr>
              <w:spacing w:after="0"/>
              <w:rPr>
                <w:sz w:val="17"/>
                <w:szCs w:val="17"/>
                <w:color w:val="auto"/>
              </w:rPr>
            </w:pPr>
          </w:p>
        </w:tc>
        <w:tc>
          <w:tcPr>
            <w:tcW w:w="2920" w:type="dxa"/>
            <w:vAlign w:val="bottom"/>
            <w:tcBorders>
              <w:bottom w:val="single" w:sz="8" w:color="2C6937"/>
            </w:tcBorders>
            <w:gridSpan w:val="12"/>
          </w:tcPr>
          <w:p>
            <w:pPr>
              <w:ind w:left="20"/>
              <w:spacing w:after="0"/>
              <w:rPr>
                <w:sz w:val="20"/>
                <w:szCs w:val="20"/>
                <w:color w:val="auto"/>
              </w:rPr>
            </w:pPr>
            <w:r>
              <w:rPr>
                <w:rFonts w:ascii="Arial" w:cs="Arial" w:eastAsia="Arial" w:hAnsi="Arial"/>
                <w:sz w:val="14"/>
                <w:szCs w:val="14"/>
                <w:b w:val="1"/>
                <w:bCs w:val="1"/>
                <w:color w:val="auto"/>
                <w:w w:val="99"/>
              </w:rPr>
              <w:t>For the Three Months Ended September 30,</w:t>
            </w:r>
          </w:p>
        </w:tc>
        <w:tc>
          <w:tcPr>
            <w:tcW w:w="980" w:type="dxa"/>
            <w:vAlign w:val="bottom"/>
            <w:tcBorders>
              <w:bottom w:val="single" w:sz="8" w:color="2C6937"/>
            </w:tcBorders>
          </w:tcPr>
          <w:p>
            <w:pPr>
              <w:spacing w:after="0"/>
              <w:rPr>
                <w:sz w:val="17"/>
                <w:szCs w:val="17"/>
                <w:color w:val="auto"/>
              </w:rPr>
            </w:pPr>
          </w:p>
        </w:tc>
        <w:tc>
          <w:tcPr>
            <w:tcW w:w="4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60" w:type="dxa"/>
            <w:vAlign w:val="bottom"/>
            <w:tcBorders>
              <w:bottom w:val="single" w:sz="8" w:color="2C6937"/>
            </w:tcBorders>
          </w:tcPr>
          <w:p>
            <w:pPr>
              <w:spacing w:after="0"/>
              <w:rPr>
                <w:sz w:val="17"/>
                <w:szCs w:val="17"/>
                <w:color w:val="auto"/>
              </w:rPr>
            </w:pPr>
          </w:p>
        </w:tc>
        <w:tc>
          <w:tcPr>
            <w:tcW w:w="6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spacing w:after="0"/>
              <w:rPr>
                <w:sz w:val="17"/>
                <w:szCs w:val="17"/>
                <w:color w:val="auto"/>
              </w:rPr>
            </w:pPr>
          </w:p>
        </w:tc>
        <w:tc>
          <w:tcPr>
            <w:tcW w:w="22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Borders>
              <w:bottom w:val="single" w:sz="8" w:color="2C6937"/>
            </w:tcBorders>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1100" w:type="dxa"/>
            <w:vAlign w:val="bottom"/>
            <w:tcBorders>
              <w:bottom w:val="single" w:sz="8" w:color="2C6937"/>
            </w:tcBorders>
          </w:tcPr>
          <w:p>
            <w:pPr>
              <w:jc w:val="right"/>
              <w:ind w:right="328"/>
              <w:spacing w:after="0"/>
              <w:rPr>
                <w:sz w:val="20"/>
                <w:szCs w:val="20"/>
                <w:color w:val="auto"/>
              </w:rPr>
            </w:pPr>
            <w:r>
              <w:rPr>
                <w:rFonts w:ascii="Arial" w:cs="Arial" w:eastAsia="Arial" w:hAnsi="Arial"/>
                <w:sz w:val="14"/>
                <w:szCs w:val="14"/>
                <w:b w:val="1"/>
                <w:bCs w:val="1"/>
                <w:color w:val="auto"/>
              </w:rPr>
              <w:t>2024</w:t>
            </w:r>
          </w:p>
        </w:tc>
        <w:tc>
          <w:tcPr>
            <w:tcW w:w="60" w:type="dxa"/>
            <w:vAlign w:val="bottom"/>
            <w:tcBorders>
              <w:bottom w:val="single" w:sz="8" w:color="2C6937"/>
            </w:tcBorders>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40" w:type="dxa"/>
            <w:vAlign w:val="bottom"/>
            <w:tcBorders>
              <w:bottom w:val="single" w:sz="8" w:color="2C6937"/>
            </w:tcBorders>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960" w:type="dxa"/>
            <w:vAlign w:val="bottom"/>
            <w:tcBorders>
              <w:bottom w:val="single" w:sz="8" w:color="2C6937"/>
            </w:tcBorders>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60" w:type="dxa"/>
            <w:vAlign w:val="bottom"/>
            <w:tcBorders>
              <w:bottom w:val="single" w:sz="8" w:color="2C6937"/>
            </w:tcBorders>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Borders>
              <w:bottom w:val="single" w:sz="8" w:color="2C6937"/>
            </w:tcBorders>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980" w:type="dxa"/>
            <w:vAlign w:val="bottom"/>
            <w:tcBorders>
              <w:bottom w:val="single" w:sz="8" w:color="2C6937"/>
            </w:tcBorders>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40" w:type="dxa"/>
            <w:vAlign w:val="bottom"/>
            <w:tcBorders>
              <w:bottom w:val="single" w:sz="8" w:color="2C6937"/>
            </w:tcBorders>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60" w:type="dxa"/>
            <w:vAlign w:val="bottom"/>
            <w:tcBorders>
              <w:bottom w:val="single" w:sz="8" w:color="2C6937"/>
            </w:tcBorders>
          </w:tcPr>
          <w:p>
            <w:pPr>
              <w:spacing w:after="0"/>
              <w:rPr>
                <w:sz w:val="18"/>
                <w:szCs w:val="18"/>
                <w:color w:val="auto"/>
              </w:rPr>
            </w:pPr>
          </w:p>
        </w:tc>
        <w:tc>
          <w:tcPr>
            <w:tcW w:w="60" w:type="dxa"/>
            <w:vAlign w:val="bottom"/>
            <w:tcBorders>
              <w:bottom w:val="single" w:sz="8" w:color="2C6937"/>
            </w:tcBorders>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80" w:type="dxa"/>
            <w:vAlign w:val="bottom"/>
            <w:tcBorders>
              <w:bottom w:val="single" w:sz="8" w:color="2C6937"/>
            </w:tcBorders>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7"/>
              </w:rPr>
              <w:t>Weighted-</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96"/>
              </w:rPr>
              <w:t>Average Amount</w:t>
            </w:r>
          </w:p>
        </w:tc>
        <w:tc>
          <w:tcPr>
            <w:tcW w:w="146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97"/>
              </w:rPr>
              <w:t>Weighted-</w:t>
            </w:r>
          </w:p>
        </w:tc>
        <w:tc>
          <w:tcPr>
            <w:tcW w:w="980" w:type="dxa"/>
            <w:vAlign w:val="bottom"/>
          </w:tcPr>
          <w:p>
            <w:pPr>
              <w:jc w:val="center"/>
              <w:ind w:left="168"/>
              <w:spacing w:after="0" w:line="142" w:lineRule="exact"/>
              <w:rPr>
                <w:sz w:val="20"/>
                <w:szCs w:val="20"/>
                <w:color w:val="auto"/>
              </w:rPr>
            </w:pPr>
            <w:r>
              <w:rPr>
                <w:rFonts w:ascii="Arial" w:cs="Arial" w:eastAsia="Arial" w:hAnsi="Arial"/>
                <w:sz w:val="14"/>
                <w:szCs w:val="14"/>
                <w:b w:val="1"/>
                <w:bCs w:val="1"/>
                <w:color w:val="auto"/>
                <w:w w:val="97"/>
              </w:rPr>
              <w:t>Weighted-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rPr>
              <w:t>Average Amount</w:t>
            </w:r>
          </w:p>
        </w:tc>
        <w:tc>
          <w:tcPr>
            <w:tcW w:w="0" w:type="dxa"/>
            <w:vAlign w:val="bottom"/>
          </w:tcPr>
          <w:p>
            <w:pPr>
              <w:spacing w:after="0"/>
              <w:rPr>
                <w:sz w:val="1"/>
                <w:szCs w:val="1"/>
                <w:color w:val="auto"/>
              </w:rPr>
            </w:pPr>
          </w:p>
        </w:tc>
      </w:tr>
      <w:tr>
        <w:trPr>
          <w:trHeight w:val="129"/>
        </w:trPr>
        <w:tc>
          <w:tcPr>
            <w:tcW w:w="3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4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7"/>
              </w:rPr>
              <w:t>Weighted-Average</w:t>
            </w:r>
          </w:p>
        </w:tc>
        <w:tc>
          <w:tcPr>
            <w:tcW w:w="11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5"/>
            <w:vMerge w:val="continue"/>
          </w:tcPr>
          <w:p>
            <w:pPr>
              <w:spacing w:after="0"/>
              <w:rPr>
                <w:sz w:val="11"/>
                <w:szCs w:val="11"/>
                <w:color w:val="auto"/>
              </w:rPr>
            </w:pPr>
          </w:p>
        </w:tc>
        <w:tc>
          <w:tcPr>
            <w:tcW w:w="1460" w:type="dxa"/>
            <w:vAlign w:val="bottom"/>
            <w:gridSpan w:val="4"/>
            <w:vMerge w:val="continue"/>
          </w:tcPr>
          <w:p>
            <w:pPr>
              <w:spacing w:after="0"/>
              <w:rPr>
                <w:sz w:val="11"/>
                <w:szCs w:val="11"/>
                <w:color w:val="auto"/>
              </w:rPr>
            </w:pPr>
          </w:p>
        </w:tc>
        <w:tc>
          <w:tcPr>
            <w:tcW w:w="980" w:type="dxa"/>
            <w:vAlign w:val="bottom"/>
          </w:tcPr>
          <w:p>
            <w:pPr>
              <w:jc w:val="center"/>
              <w:ind w:left="128"/>
              <w:spacing w:after="0" w:line="129" w:lineRule="exact"/>
              <w:rPr>
                <w:sz w:val="20"/>
                <w:szCs w:val="20"/>
                <w:color w:val="auto"/>
              </w:rPr>
            </w:pPr>
            <w:r>
              <w:rPr>
                <w:rFonts w:ascii="Arial" w:cs="Arial" w:eastAsia="Arial" w:hAnsi="Arial"/>
                <w:sz w:val="14"/>
                <w:szCs w:val="14"/>
                <w:b w:val="1"/>
                <w:bCs w:val="1"/>
                <w:color w:val="auto"/>
                <w:w w:val="97"/>
              </w:rPr>
              <w:t>Average</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1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6"/>
              </w:rPr>
              <w:t>Average Term</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4"/>
          </w:tcPr>
          <w:p>
            <w:pPr>
              <w:jc w:val="center"/>
              <w:ind w:right="220"/>
              <w:spacing w:after="0" w:line="142" w:lineRule="exact"/>
              <w:rPr>
                <w:sz w:val="20"/>
                <w:szCs w:val="20"/>
                <w:color w:val="auto"/>
              </w:rPr>
            </w:pPr>
            <w:r>
              <w:rPr>
                <w:rFonts w:ascii="Arial" w:cs="Arial" w:eastAsia="Arial" w:hAnsi="Arial"/>
                <w:sz w:val="14"/>
                <w:szCs w:val="14"/>
                <w:b w:val="1"/>
                <w:bCs w:val="1"/>
                <w:color w:val="auto"/>
                <w:w w:val="98"/>
              </w:rPr>
              <w:t>Capitalized as</w:t>
            </w:r>
          </w:p>
        </w:tc>
        <w:tc>
          <w:tcPr>
            <w:tcW w:w="1460" w:type="dxa"/>
            <w:vAlign w:val="bottom"/>
            <w:gridSpan w:val="4"/>
          </w:tcPr>
          <w:p>
            <w:pPr>
              <w:jc w:val="center"/>
              <w:ind w:right="120"/>
              <w:spacing w:after="0" w:line="142" w:lineRule="exact"/>
              <w:rPr>
                <w:sz w:val="20"/>
                <w:szCs w:val="20"/>
                <w:color w:val="auto"/>
              </w:rPr>
            </w:pPr>
            <w:r>
              <w:rPr>
                <w:rFonts w:ascii="Arial" w:cs="Arial" w:eastAsia="Arial" w:hAnsi="Arial"/>
                <w:sz w:val="14"/>
                <w:szCs w:val="14"/>
                <w:b w:val="1"/>
                <w:bCs w:val="1"/>
                <w:color w:val="auto"/>
                <w:w w:val="97"/>
              </w:rPr>
              <w:t>Average</w:t>
            </w:r>
          </w:p>
        </w:tc>
        <w:tc>
          <w:tcPr>
            <w:tcW w:w="980" w:type="dxa"/>
            <w:vAlign w:val="bottom"/>
          </w:tcPr>
          <w:p>
            <w:pPr>
              <w:jc w:val="center"/>
              <w:ind w:left="108"/>
              <w:spacing w:after="0" w:line="142" w:lineRule="exact"/>
              <w:rPr>
                <w:sz w:val="20"/>
                <w:szCs w:val="20"/>
                <w:color w:val="auto"/>
              </w:rPr>
            </w:pPr>
            <w:r>
              <w:rPr>
                <w:rFonts w:ascii="Arial" w:cs="Arial" w:eastAsia="Arial" w:hAnsi="Arial"/>
                <w:sz w:val="14"/>
                <w:szCs w:val="14"/>
                <w:b w:val="1"/>
                <w:bCs w:val="1"/>
                <w:color w:val="auto"/>
                <w:w w:val="93"/>
              </w:rPr>
              <w:t>Term</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w w:val="98"/>
              </w:rPr>
              <w:t>Capitalized as</w:t>
            </w: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3"/>
          </w:tcPr>
          <w:p>
            <w:pPr>
              <w:jc w:val="center"/>
              <w:ind w:right="80"/>
              <w:spacing w:after="0" w:line="142" w:lineRule="exact"/>
              <w:rPr>
                <w:sz w:val="20"/>
                <w:szCs w:val="20"/>
                <w:color w:val="auto"/>
              </w:rPr>
            </w:pPr>
            <w:r>
              <w:rPr>
                <w:rFonts w:ascii="Arial" w:cs="Arial" w:eastAsia="Arial" w:hAnsi="Arial"/>
                <w:sz w:val="14"/>
                <w:szCs w:val="14"/>
                <w:b w:val="1"/>
                <w:bCs w:val="1"/>
                <w:color w:val="auto"/>
                <w:w w:val="99"/>
              </w:rPr>
              <w:t>Interest Rate</w:t>
            </w:r>
          </w:p>
        </w:tc>
        <w:tc>
          <w:tcPr>
            <w:tcW w:w="11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7"/>
              </w:rPr>
              <w:t>Extension (in</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4"/>
          </w:tcPr>
          <w:p>
            <w:pPr>
              <w:jc w:val="center"/>
              <w:ind w:right="220"/>
              <w:spacing w:after="0" w:line="142" w:lineRule="exact"/>
              <w:rPr>
                <w:sz w:val="20"/>
                <w:szCs w:val="20"/>
                <w:color w:val="auto"/>
              </w:rPr>
            </w:pPr>
            <w:r>
              <w:rPr>
                <w:rFonts w:ascii="Arial" w:cs="Arial" w:eastAsia="Arial" w:hAnsi="Arial"/>
                <w:sz w:val="14"/>
                <w:szCs w:val="14"/>
                <w:b w:val="1"/>
                <w:bCs w:val="1"/>
                <w:color w:val="auto"/>
                <w:w w:val="96"/>
              </w:rPr>
              <w:t>a Result of a</w:t>
            </w:r>
          </w:p>
        </w:tc>
        <w:tc>
          <w:tcPr>
            <w:tcW w:w="1460" w:type="dxa"/>
            <w:vAlign w:val="bottom"/>
            <w:gridSpan w:val="4"/>
          </w:tcPr>
          <w:p>
            <w:pPr>
              <w:jc w:val="center"/>
              <w:ind w:right="120"/>
              <w:spacing w:after="0" w:line="142" w:lineRule="exact"/>
              <w:rPr>
                <w:sz w:val="20"/>
                <w:szCs w:val="20"/>
                <w:color w:val="auto"/>
              </w:rPr>
            </w:pPr>
            <w:r>
              <w:rPr>
                <w:rFonts w:ascii="Arial" w:cs="Arial" w:eastAsia="Arial" w:hAnsi="Arial"/>
                <w:sz w:val="14"/>
                <w:szCs w:val="14"/>
                <w:b w:val="1"/>
                <w:bCs w:val="1"/>
                <w:color w:val="auto"/>
                <w:w w:val="96"/>
              </w:rPr>
              <w:t>Interest Rate</w:t>
            </w:r>
          </w:p>
        </w:tc>
        <w:tc>
          <w:tcPr>
            <w:tcW w:w="980" w:type="dxa"/>
            <w:vAlign w:val="bottom"/>
          </w:tcPr>
          <w:p>
            <w:pPr>
              <w:jc w:val="center"/>
              <w:ind w:left="128"/>
              <w:spacing w:after="0" w:line="142" w:lineRule="exact"/>
              <w:rPr>
                <w:sz w:val="20"/>
                <w:szCs w:val="20"/>
                <w:color w:val="auto"/>
              </w:rPr>
            </w:pPr>
            <w:r>
              <w:rPr>
                <w:rFonts w:ascii="Arial" w:cs="Arial" w:eastAsia="Arial" w:hAnsi="Arial"/>
                <w:sz w:val="14"/>
                <w:szCs w:val="14"/>
                <w:b w:val="1"/>
                <w:bCs w:val="1"/>
                <w:color w:val="auto"/>
                <w:w w:val="98"/>
              </w:rPr>
              <w:t>Extension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a Result of a</w:t>
            </w:r>
          </w:p>
        </w:tc>
        <w:tc>
          <w:tcPr>
            <w:tcW w:w="0" w:type="dxa"/>
            <w:vAlign w:val="bottom"/>
          </w:tcPr>
          <w:p>
            <w:pPr>
              <w:spacing w:after="0"/>
              <w:rPr>
                <w:sz w:val="1"/>
                <w:szCs w:val="1"/>
                <w:color w:val="auto"/>
              </w:rPr>
            </w:pPr>
          </w:p>
        </w:tc>
      </w:tr>
      <w:tr>
        <w:trPr>
          <w:trHeight w:val="180"/>
        </w:trPr>
        <w:tc>
          <w:tcPr>
            <w:tcW w:w="3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9"/>
              </w:rPr>
              <w:t>Reduction</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Months)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5"/>
          </w:tcPr>
          <w:p>
            <w:pPr>
              <w:jc w:val="center"/>
              <w:ind w:right="80"/>
              <w:spacing w:after="0" w:line="180" w:lineRule="exact"/>
              <w:rPr>
                <w:sz w:val="20"/>
                <w:szCs w:val="20"/>
                <w:color w:val="auto"/>
              </w:rPr>
            </w:pPr>
            <w:r>
              <w:rPr>
                <w:rFonts w:ascii="Arial" w:cs="Arial" w:eastAsia="Arial" w:hAnsi="Arial"/>
                <w:sz w:val="14"/>
                <w:szCs w:val="14"/>
                <w:b w:val="1"/>
                <w:bCs w:val="1"/>
                <w:color w:val="auto"/>
                <w:w w:val="95"/>
              </w:rPr>
              <w:t>Payment Delay</w:t>
            </w:r>
            <w:r>
              <w:rPr>
                <w:rFonts w:ascii="Arial" w:cs="Arial" w:eastAsia="Arial" w:hAnsi="Arial"/>
                <w:sz w:val="17"/>
                <w:szCs w:val="17"/>
                <w:b w:val="1"/>
                <w:bCs w:val="1"/>
                <w:color w:val="auto"/>
                <w:w w:val="95"/>
                <w:vertAlign w:val="superscript"/>
              </w:rPr>
              <w:t>(1)</w:t>
            </w: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9"/>
              </w:rPr>
              <w:t>Reduction</w:t>
            </w:r>
          </w:p>
        </w:tc>
        <w:tc>
          <w:tcPr>
            <w:tcW w:w="980" w:type="dxa"/>
            <w:vAlign w:val="bottom"/>
          </w:tcPr>
          <w:p>
            <w:pPr>
              <w:jc w:val="center"/>
              <w:ind w:left="168"/>
              <w:spacing w:after="0"/>
              <w:rPr>
                <w:sz w:val="20"/>
                <w:szCs w:val="20"/>
                <w:color w:val="auto"/>
              </w:rPr>
            </w:pPr>
            <w:r>
              <w:rPr>
                <w:rFonts w:ascii="Arial" w:cs="Arial" w:eastAsia="Arial" w:hAnsi="Arial"/>
                <w:sz w:val="14"/>
                <w:szCs w:val="14"/>
                <w:b w:val="1"/>
                <w:bCs w:val="1"/>
                <w:color w:val="auto"/>
                <w:w w:val="98"/>
              </w:rPr>
              <w:t>(in Months)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3"/>
          </w:tcPr>
          <w:p>
            <w:pPr>
              <w:jc w:val="right"/>
              <w:ind w:right="80"/>
              <w:spacing w:after="0" w:line="180" w:lineRule="exact"/>
              <w:rPr>
                <w:sz w:val="20"/>
                <w:szCs w:val="20"/>
                <w:color w:val="auto"/>
              </w:rPr>
            </w:pPr>
            <w:r>
              <w:rPr>
                <w:rFonts w:ascii="Arial" w:cs="Arial" w:eastAsia="Arial" w:hAnsi="Arial"/>
                <w:sz w:val="14"/>
                <w:szCs w:val="14"/>
                <w:b w:val="1"/>
                <w:bCs w:val="1"/>
                <w:color w:val="auto"/>
              </w:rPr>
              <w:t>Payment Delay</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288"/>
        </w:trPr>
        <w:tc>
          <w:tcPr>
            <w:tcW w:w="3100" w:type="dxa"/>
            <w:vAlign w:val="bottom"/>
          </w:tcPr>
          <w:p>
            <w:pPr>
              <w:spacing w:after="0"/>
              <w:rPr>
                <w:sz w:val="20"/>
                <w:szCs w:val="20"/>
                <w:color w:val="auto"/>
              </w:rPr>
            </w:pPr>
            <w:r>
              <w:rPr>
                <w:rFonts w:ascii="Arial" w:cs="Arial" w:eastAsia="Arial" w:hAnsi="Arial"/>
                <w:sz w:val="14"/>
                <w:szCs w:val="14"/>
                <w:color w:val="auto"/>
              </w:rPr>
              <w:t>Loan by class of financing receivable:</w:t>
            </w:r>
            <w:r>
              <w:rPr>
                <w:rFonts w:ascii="Arial" w:cs="Arial" w:eastAsia="Arial" w:hAnsi="Arial"/>
                <w:sz w:val="17"/>
                <w:szCs w:val="17"/>
                <w:color w:val="auto"/>
                <w:vertAlign w:val="superscript"/>
              </w:rPr>
              <w:t>(2)</w:t>
            </w:r>
          </w:p>
        </w:tc>
        <w:tc>
          <w:tcPr>
            <w:tcW w:w="60" w:type="dxa"/>
            <w:vAlign w:val="bottom"/>
          </w:tcPr>
          <w:p>
            <w:pPr>
              <w:spacing w:after="0"/>
              <w:rPr>
                <w:sz w:val="24"/>
                <w:szCs w:val="24"/>
                <w:color w:val="auto"/>
              </w:rPr>
            </w:pPr>
          </w:p>
        </w:tc>
        <w:tc>
          <w:tcPr>
            <w:tcW w:w="1260" w:type="dxa"/>
            <w:vAlign w:val="bottom"/>
            <w:tcBorders>
              <w:top w:val="single" w:sz="8" w:color="2C6937"/>
            </w:tcBorders>
          </w:tcPr>
          <w:p>
            <w:pPr>
              <w:spacing w:after="0"/>
              <w:rPr>
                <w:sz w:val="24"/>
                <w:szCs w:val="24"/>
                <w:color w:val="auto"/>
              </w:rPr>
            </w:pPr>
          </w:p>
        </w:tc>
        <w:tc>
          <w:tcPr>
            <w:tcW w:w="80" w:type="dxa"/>
            <w:vAlign w:val="bottom"/>
            <w:tcBorders>
              <w:top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top w:val="single" w:sz="8" w:color="2C6937"/>
            </w:tcBorders>
          </w:tcPr>
          <w:p>
            <w:pPr>
              <w:spacing w:after="0"/>
              <w:rPr>
                <w:sz w:val="24"/>
                <w:szCs w:val="24"/>
                <w:color w:val="auto"/>
              </w:rPr>
            </w:pPr>
          </w:p>
        </w:tc>
        <w:tc>
          <w:tcPr>
            <w:tcW w:w="60" w:type="dxa"/>
            <w:vAlign w:val="bottom"/>
            <w:tcBorders>
              <w:top w:val="single" w:sz="8" w:color="2C6937"/>
            </w:tcBorders>
          </w:tcPr>
          <w:p>
            <w:pPr>
              <w:spacing w:after="0"/>
              <w:rPr>
                <w:sz w:val="24"/>
                <w:szCs w:val="24"/>
                <w:color w:val="auto"/>
              </w:rPr>
            </w:pPr>
          </w:p>
        </w:tc>
        <w:tc>
          <w:tcPr>
            <w:tcW w:w="20" w:type="dxa"/>
            <w:vAlign w:val="bottom"/>
            <w:tcBorders>
              <w:top w:val="single" w:sz="8" w:color="2C6937"/>
            </w:tcBorders>
          </w:tcPr>
          <w:p>
            <w:pPr>
              <w:spacing w:after="0"/>
              <w:rPr>
                <w:sz w:val="24"/>
                <w:szCs w:val="24"/>
                <w:color w:val="auto"/>
              </w:rPr>
            </w:pPr>
          </w:p>
        </w:tc>
        <w:tc>
          <w:tcPr>
            <w:tcW w:w="40" w:type="dxa"/>
            <w:vAlign w:val="bottom"/>
            <w:tcBorders>
              <w:top w:val="single" w:sz="8" w:color="2C6937"/>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2C6937"/>
            </w:tcBorders>
          </w:tcPr>
          <w:p>
            <w:pPr>
              <w:spacing w:after="0"/>
              <w:rPr>
                <w:sz w:val="24"/>
                <w:szCs w:val="24"/>
                <w:color w:val="auto"/>
              </w:rPr>
            </w:pPr>
          </w:p>
        </w:tc>
        <w:tc>
          <w:tcPr>
            <w:tcW w:w="960" w:type="dxa"/>
            <w:vAlign w:val="bottom"/>
            <w:tcBorders>
              <w:top w:val="single" w:sz="8" w:color="2C6937"/>
            </w:tcBorders>
          </w:tcPr>
          <w:p>
            <w:pPr>
              <w:spacing w:after="0"/>
              <w:rPr>
                <w:sz w:val="24"/>
                <w:szCs w:val="24"/>
                <w:color w:val="auto"/>
              </w:rPr>
            </w:pPr>
          </w:p>
        </w:tc>
        <w:tc>
          <w:tcPr>
            <w:tcW w:w="80" w:type="dxa"/>
            <w:vAlign w:val="bottom"/>
            <w:tcBorders>
              <w:top w:val="single" w:sz="8" w:color="2C6937"/>
            </w:tcBorders>
          </w:tcPr>
          <w:p>
            <w:pPr>
              <w:spacing w:after="0"/>
              <w:rPr>
                <w:sz w:val="24"/>
                <w:szCs w:val="24"/>
                <w:color w:val="auto"/>
              </w:rPr>
            </w:pPr>
          </w:p>
        </w:tc>
        <w:tc>
          <w:tcPr>
            <w:tcW w:w="60" w:type="dxa"/>
            <w:vAlign w:val="bottom"/>
            <w:tcBorders>
              <w:top w:val="single" w:sz="8" w:color="2C6937"/>
            </w:tcBorders>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Borders>
              <w:top w:val="single" w:sz="8" w:color="2C6937"/>
            </w:tcBorders>
          </w:tcPr>
          <w:p>
            <w:pPr>
              <w:spacing w:after="0"/>
              <w:rPr>
                <w:sz w:val="24"/>
                <w:szCs w:val="24"/>
                <w:color w:val="auto"/>
              </w:rPr>
            </w:pPr>
          </w:p>
        </w:tc>
        <w:tc>
          <w:tcPr>
            <w:tcW w:w="100" w:type="dxa"/>
            <w:vAlign w:val="bottom"/>
            <w:tcBorders>
              <w:top w:val="single" w:sz="8" w:color="2C6937"/>
            </w:tcBorders>
          </w:tcPr>
          <w:p>
            <w:pPr>
              <w:spacing w:after="0"/>
              <w:rPr>
                <w:sz w:val="24"/>
                <w:szCs w:val="24"/>
                <w:color w:val="auto"/>
              </w:rPr>
            </w:pPr>
          </w:p>
        </w:tc>
        <w:tc>
          <w:tcPr>
            <w:tcW w:w="80" w:type="dxa"/>
            <w:vAlign w:val="bottom"/>
            <w:tcBorders>
              <w:top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Borders>
              <w:top w:val="single" w:sz="8" w:color="2C6937"/>
            </w:tcBorders>
          </w:tcPr>
          <w:p>
            <w:pPr>
              <w:spacing w:after="0"/>
              <w:rPr>
                <w:sz w:val="24"/>
                <w:szCs w:val="24"/>
                <w:color w:val="auto"/>
              </w:rPr>
            </w:pPr>
          </w:p>
        </w:tc>
        <w:tc>
          <w:tcPr>
            <w:tcW w:w="40" w:type="dxa"/>
            <w:vAlign w:val="bottom"/>
            <w:tcBorders>
              <w:top w:val="single" w:sz="8" w:color="2C6937"/>
            </w:tcBorders>
          </w:tcPr>
          <w:p>
            <w:pPr>
              <w:spacing w:after="0"/>
              <w:rPr>
                <w:sz w:val="24"/>
                <w:szCs w:val="24"/>
                <w:color w:val="auto"/>
              </w:rPr>
            </w:pPr>
          </w:p>
        </w:tc>
        <w:tc>
          <w:tcPr>
            <w:tcW w:w="80" w:type="dxa"/>
            <w:vAlign w:val="bottom"/>
            <w:tcBorders>
              <w:top w:val="single" w:sz="8" w:color="2C6937"/>
            </w:tcBorders>
          </w:tcPr>
          <w:p>
            <w:pPr>
              <w:spacing w:after="0"/>
              <w:rPr>
                <w:sz w:val="24"/>
                <w:szCs w:val="24"/>
                <w:color w:val="auto"/>
              </w:rPr>
            </w:pPr>
          </w:p>
        </w:tc>
        <w:tc>
          <w:tcPr>
            <w:tcW w:w="60" w:type="dxa"/>
            <w:vAlign w:val="bottom"/>
            <w:tcBorders>
              <w:top w:val="single" w:sz="8" w:color="2C6937"/>
            </w:tcBorders>
          </w:tcPr>
          <w:p>
            <w:pPr>
              <w:spacing w:after="0"/>
              <w:rPr>
                <w:sz w:val="24"/>
                <w:szCs w:val="24"/>
                <w:color w:val="auto"/>
              </w:rPr>
            </w:pPr>
          </w:p>
        </w:tc>
        <w:tc>
          <w:tcPr>
            <w:tcW w:w="60" w:type="dxa"/>
            <w:vAlign w:val="bottom"/>
            <w:tcBorders>
              <w:top w:val="single" w:sz="8" w:color="2C6937"/>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2C6937"/>
            </w:tcBorders>
          </w:tcPr>
          <w:p>
            <w:pPr>
              <w:spacing w:after="0"/>
              <w:rPr>
                <w:sz w:val="24"/>
                <w:szCs w:val="24"/>
                <w:color w:val="auto"/>
              </w:rPr>
            </w:pPr>
          </w:p>
        </w:tc>
        <w:tc>
          <w:tcPr>
            <w:tcW w:w="880" w:type="dxa"/>
            <w:vAlign w:val="bottom"/>
            <w:tcBorders>
              <w:top w:val="single" w:sz="8" w:color="2C6937"/>
            </w:tcBorders>
          </w:tcPr>
          <w:p>
            <w:pPr>
              <w:spacing w:after="0"/>
              <w:rPr>
                <w:sz w:val="24"/>
                <w:szCs w:val="24"/>
                <w:color w:val="auto"/>
              </w:rPr>
            </w:pPr>
          </w:p>
        </w:tc>
        <w:tc>
          <w:tcPr>
            <w:tcW w:w="220" w:type="dxa"/>
            <w:vAlign w:val="bottom"/>
            <w:tcBorders>
              <w:top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100" w:type="dxa"/>
            <w:vAlign w:val="bottom"/>
          </w:tcPr>
          <w:p>
            <w:pPr>
              <w:ind w:left="160"/>
              <w:spacing w:after="0"/>
              <w:rPr>
                <w:sz w:val="20"/>
                <w:szCs w:val="20"/>
                <w:color w:val="auto"/>
              </w:rPr>
            </w:pPr>
            <w:r>
              <w:rPr>
                <w:rFonts w:ascii="Arial" w:cs="Arial" w:eastAsia="Arial" w:hAnsi="Arial"/>
                <w:sz w:val="14"/>
                <w:szCs w:val="14"/>
                <w:color w:val="auto"/>
              </w:rPr>
              <w:t>20- and 30-year or more, amortizing fixed-rate</w:t>
            </w:r>
          </w:p>
        </w:tc>
        <w:tc>
          <w:tcPr>
            <w:tcW w:w="1400" w:type="dxa"/>
            <w:vAlign w:val="bottom"/>
            <w:gridSpan w:val="3"/>
          </w:tcPr>
          <w:p>
            <w:pPr>
              <w:ind w:left="900"/>
              <w:spacing w:after="0"/>
              <w:rPr>
                <w:sz w:val="20"/>
                <w:szCs w:val="20"/>
                <w:color w:val="auto"/>
              </w:rPr>
            </w:pPr>
            <w:r>
              <w:rPr>
                <w:rFonts w:ascii="Arial" w:cs="Arial" w:eastAsia="Arial" w:hAnsi="Arial"/>
                <w:sz w:val="15"/>
                <w:szCs w:val="15"/>
                <w:b w:val="1"/>
                <w:bCs w:val="1"/>
                <w:color w:val="auto"/>
              </w:rPr>
              <w:t>0.59 %</w:t>
            </w: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160</w:t>
            </w:r>
          </w:p>
        </w:tc>
        <w:tc>
          <w:tcPr>
            <w:tcW w:w="280" w:type="dxa"/>
            <w:vAlign w:val="bottom"/>
            <w:gridSpan w:val="4"/>
          </w:tcPr>
          <w:p>
            <w:pPr>
              <w:ind w:left="160"/>
              <w:spacing w:after="0"/>
              <w:rPr>
                <w:sz w:val="20"/>
                <w:szCs w:val="20"/>
                <w:color w:val="auto"/>
              </w:rPr>
            </w:pPr>
            <w:r>
              <w:rPr>
                <w:rFonts w:ascii="Arial" w:cs="Arial" w:eastAsia="Arial" w:hAnsi="Arial"/>
                <w:sz w:val="15"/>
                <w:szCs w:val="15"/>
                <w:b w:val="1"/>
                <w:bCs w:val="1"/>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12,928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ind w:left="860"/>
              <w:spacing w:after="0"/>
              <w:rPr>
                <w:sz w:val="20"/>
                <w:szCs w:val="20"/>
                <w:color w:val="auto"/>
              </w:rPr>
            </w:pPr>
            <w:r>
              <w:rPr>
                <w:rFonts w:ascii="Arial" w:cs="Arial" w:eastAsia="Arial" w:hAnsi="Arial"/>
                <w:sz w:val="15"/>
                <w:szCs w:val="15"/>
                <w:color w:val="auto"/>
              </w:rPr>
              <w:t>1.05 %</w:t>
            </w:r>
          </w:p>
        </w:tc>
        <w:tc>
          <w:tcPr>
            <w:tcW w:w="100" w:type="dxa"/>
            <w:vAlign w:val="bottom"/>
          </w:tcPr>
          <w:p>
            <w:pPr>
              <w:spacing w:after="0"/>
              <w:rPr>
                <w:sz w:val="18"/>
                <w:szCs w:val="18"/>
                <w:color w:val="auto"/>
              </w:rPr>
            </w:pPr>
          </w:p>
        </w:tc>
        <w:tc>
          <w:tcPr>
            <w:tcW w:w="1160" w:type="dxa"/>
            <w:vAlign w:val="bottom"/>
            <w:gridSpan w:val="4"/>
          </w:tcPr>
          <w:p>
            <w:pPr>
              <w:jc w:val="right"/>
              <w:ind w:right="20"/>
              <w:spacing w:after="0"/>
              <w:rPr>
                <w:sz w:val="20"/>
                <w:szCs w:val="20"/>
                <w:color w:val="auto"/>
              </w:rPr>
            </w:pPr>
            <w:r>
              <w:rPr>
                <w:rFonts w:ascii="Arial" w:cs="Arial" w:eastAsia="Arial" w:hAnsi="Arial"/>
                <w:sz w:val="15"/>
                <w:szCs w:val="15"/>
                <w:color w:val="auto"/>
              </w:rPr>
              <w:t>167</w:t>
            </w:r>
          </w:p>
        </w:tc>
        <w:tc>
          <w:tcPr>
            <w:tcW w:w="28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5"/>
                <w:szCs w:val="15"/>
                <w:color w:val="auto"/>
              </w:rPr>
              <w:t>16,464</w:t>
            </w:r>
          </w:p>
        </w:tc>
        <w:tc>
          <w:tcPr>
            <w:tcW w:w="0" w:type="dxa"/>
            <w:vAlign w:val="bottom"/>
          </w:tcPr>
          <w:p>
            <w:pPr>
              <w:spacing w:after="0"/>
              <w:rPr>
                <w:sz w:val="1"/>
                <w:szCs w:val="1"/>
                <w:color w:val="auto"/>
              </w:rPr>
            </w:pPr>
          </w:p>
        </w:tc>
      </w:tr>
      <w:tr>
        <w:trPr>
          <w:trHeight w:val="219"/>
        </w:trPr>
        <w:tc>
          <w:tcPr>
            <w:tcW w:w="3100" w:type="dxa"/>
            <w:vAlign w:val="bottom"/>
          </w:tcPr>
          <w:p>
            <w:pPr>
              <w:ind w:left="160"/>
              <w:spacing w:after="0"/>
              <w:rPr>
                <w:sz w:val="20"/>
                <w:szCs w:val="20"/>
                <w:color w:val="auto"/>
              </w:rPr>
            </w:pPr>
            <w:r>
              <w:rPr>
                <w:rFonts w:ascii="Arial" w:cs="Arial" w:eastAsia="Arial" w:hAnsi="Arial"/>
                <w:sz w:val="14"/>
                <w:szCs w:val="14"/>
                <w:color w:val="auto"/>
              </w:rPr>
              <w:t>15-year or less, amortizing fixed-rate</w:t>
            </w:r>
          </w:p>
        </w:tc>
        <w:tc>
          <w:tcPr>
            <w:tcW w:w="1320" w:type="dxa"/>
            <w:vAlign w:val="bottom"/>
            <w:gridSpan w:val="2"/>
          </w:tcPr>
          <w:p>
            <w:pPr>
              <w:ind w:left="900"/>
              <w:spacing w:after="0"/>
              <w:rPr>
                <w:sz w:val="20"/>
                <w:szCs w:val="20"/>
                <w:color w:val="auto"/>
              </w:rPr>
            </w:pPr>
            <w:r>
              <w:rPr>
                <w:rFonts w:ascii="Arial" w:cs="Arial" w:eastAsia="Arial" w:hAnsi="Arial"/>
                <w:sz w:val="15"/>
                <w:szCs w:val="15"/>
                <w:b w:val="1"/>
                <w:bCs w:val="1"/>
                <w:color w:val="auto"/>
              </w:rPr>
              <w:t>1.03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77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9,652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ind w:left="860"/>
              <w:spacing w:after="0"/>
              <w:rPr>
                <w:sz w:val="20"/>
                <w:szCs w:val="20"/>
                <w:color w:val="auto"/>
              </w:rPr>
            </w:pPr>
            <w:r>
              <w:rPr>
                <w:rFonts w:ascii="Arial" w:cs="Arial" w:eastAsia="Arial" w:hAnsi="Arial"/>
                <w:sz w:val="15"/>
                <w:szCs w:val="15"/>
                <w:color w:val="auto"/>
              </w:rPr>
              <w:t>2.41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5"/>
                <w:szCs w:val="15"/>
                <w:color w:val="auto"/>
                <w:w w:val="83"/>
              </w:rPr>
              <w:t>52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5"/>
                <w:szCs w:val="15"/>
                <w:color w:val="auto"/>
              </w:rPr>
              <w:t>14,218</w:t>
            </w:r>
          </w:p>
        </w:tc>
        <w:tc>
          <w:tcPr>
            <w:tcW w:w="0" w:type="dxa"/>
            <w:vAlign w:val="bottom"/>
          </w:tcPr>
          <w:p>
            <w:pPr>
              <w:spacing w:after="0"/>
              <w:rPr>
                <w:sz w:val="1"/>
                <w:szCs w:val="1"/>
                <w:color w:val="auto"/>
              </w:rPr>
            </w:pPr>
          </w:p>
        </w:tc>
      </w:tr>
      <w:tr>
        <w:trPr>
          <w:trHeight w:val="297"/>
        </w:trPr>
        <w:tc>
          <w:tcPr>
            <w:tcW w:w="3100" w:type="dxa"/>
            <w:vAlign w:val="bottom"/>
          </w:tcPr>
          <w:p>
            <w:pPr>
              <w:ind w:left="160"/>
              <w:spacing w:after="0"/>
              <w:rPr>
                <w:sz w:val="20"/>
                <w:szCs w:val="20"/>
                <w:color w:val="auto"/>
              </w:rPr>
            </w:pPr>
            <w:r>
              <w:rPr>
                <w:rFonts w:ascii="Arial" w:cs="Arial" w:eastAsia="Arial" w:hAnsi="Arial"/>
                <w:sz w:val="14"/>
                <w:szCs w:val="14"/>
                <w:color w:val="auto"/>
              </w:rPr>
              <w:t>Adjustable-rate</w:t>
            </w:r>
          </w:p>
        </w:tc>
        <w:tc>
          <w:tcPr>
            <w:tcW w:w="1320" w:type="dxa"/>
            <w:vAlign w:val="bottom"/>
            <w:gridSpan w:val="2"/>
          </w:tcPr>
          <w:p>
            <w:pPr>
              <w:ind w:left="900"/>
              <w:spacing w:after="0"/>
              <w:rPr>
                <w:sz w:val="20"/>
                <w:szCs w:val="20"/>
                <w:color w:val="auto"/>
              </w:rPr>
            </w:pPr>
            <w:r>
              <w:rPr>
                <w:rFonts w:ascii="Arial" w:cs="Arial" w:eastAsia="Arial" w:hAnsi="Arial"/>
                <w:sz w:val="15"/>
                <w:szCs w:val="15"/>
                <w:b w:val="1"/>
                <w:bCs w:val="1"/>
                <w:color w:val="auto"/>
              </w:rPr>
              <w:t>2.88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11,157</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ind w:left="860"/>
              <w:spacing w:after="0"/>
              <w:rPr>
                <w:sz w:val="20"/>
                <w:szCs w:val="20"/>
                <w:color w:val="auto"/>
              </w:rPr>
            </w:pPr>
            <w:r>
              <w:rPr>
                <w:rFonts w:ascii="Arial" w:cs="Arial" w:eastAsia="Arial" w:hAnsi="Arial"/>
                <w:sz w:val="15"/>
                <w:szCs w:val="15"/>
                <w:color w:val="auto"/>
              </w:rPr>
              <w:t>1.97</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5"/>
                <w:szCs w:val="15"/>
                <w:color w:val="auto"/>
                <w:w w:val="93"/>
              </w:rPr>
              <w: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5"/>
                <w:szCs w:val="15"/>
                <w:color w:val="auto"/>
              </w:rPr>
              <w:t>12,980</w:t>
            </w:r>
          </w:p>
        </w:tc>
        <w:tc>
          <w:tcPr>
            <w:tcW w:w="0" w:type="dxa"/>
            <w:vAlign w:val="bottom"/>
          </w:tcPr>
          <w:p>
            <w:pPr>
              <w:spacing w:after="0"/>
              <w:rPr>
                <w:sz w:val="1"/>
                <w:szCs w:val="1"/>
                <w:color w:val="auto"/>
              </w:rPr>
            </w:pPr>
          </w:p>
        </w:tc>
      </w:tr>
      <w:tr>
        <w:trPr>
          <w:trHeight w:val="297"/>
        </w:trPr>
        <w:tc>
          <w:tcPr>
            <w:tcW w:w="3100" w:type="dxa"/>
            <w:vAlign w:val="bottom"/>
          </w:tcPr>
          <w:p>
            <w:pPr>
              <w:ind w:left="160"/>
              <w:spacing w:after="0"/>
              <w:rPr>
                <w:sz w:val="20"/>
                <w:szCs w:val="20"/>
                <w:color w:val="auto"/>
              </w:rPr>
            </w:pPr>
            <w:r>
              <w:rPr>
                <w:rFonts w:ascii="Arial" w:cs="Arial" w:eastAsia="Arial" w:hAnsi="Arial"/>
                <w:sz w:val="14"/>
                <w:szCs w:val="14"/>
                <w:color w:val="auto"/>
              </w:rPr>
              <w:t>Other</w:t>
            </w:r>
          </w:p>
        </w:tc>
        <w:tc>
          <w:tcPr>
            <w:tcW w:w="1320" w:type="dxa"/>
            <w:vAlign w:val="bottom"/>
            <w:gridSpan w:val="2"/>
          </w:tcPr>
          <w:p>
            <w:pPr>
              <w:ind w:left="900"/>
              <w:spacing w:after="0"/>
              <w:rPr>
                <w:sz w:val="20"/>
                <w:szCs w:val="20"/>
                <w:color w:val="auto"/>
              </w:rPr>
            </w:pPr>
            <w:r>
              <w:rPr>
                <w:rFonts w:ascii="Arial" w:cs="Arial" w:eastAsia="Arial" w:hAnsi="Arial"/>
                <w:sz w:val="15"/>
                <w:szCs w:val="15"/>
                <w:b w:val="1"/>
                <w:bCs w:val="1"/>
                <w:color w:val="auto"/>
              </w:rPr>
              <w:t>0.96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182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21,043</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ind w:left="860"/>
              <w:spacing w:after="0"/>
              <w:rPr>
                <w:sz w:val="20"/>
                <w:szCs w:val="20"/>
                <w:color w:val="auto"/>
              </w:rPr>
            </w:pPr>
            <w:r>
              <w:rPr>
                <w:rFonts w:ascii="Arial" w:cs="Arial" w:eastAsia="Arial" w:hAnsi="Arial"/>
                <w:sz w:val="15"/>
                <w:szCs w:val="15"/>
                <w:color w:val="auto"/>
              </w:rPr>
              <w:t>1.04</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4"/>
          </w:tcPr>
          <w:p>
            <w:pPr>
              <w:jc w:val="right"/>
              <w:ind w:right="20"/>
              <w:spacing w:after="0"/>
              <w:rPr>
                <w:sz w:val="20"/>
                <w:szCs w:val="20"/>
                <w:color w:val="auto"/>
              </w:rPr>
            </w:pPr>
            <w:r>
              <w:rPr>
                <w:rFonts w:ascii="Arial" w:cs="Arial" w:eastAsia="Arial" w:hAnsi="Arial"/>
                <w:sz w:val="15"/>
                <w:szCs w:val="15"/>
                <w:color w:val="auto"/>
              </w:rPr>
              <w:t>199</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5"/>
                <w:szCs w:val="15"/>
                <w:color w:val="auto"/>
              </w:rPr>
              <w:t>23,072</w:t>
            </w:r>
          </w:p>
        </w:tc>
        <w:tc>
          <w:tcPr>
            <w:tcW w:w="0" w:type="dxa"/>
            <w:vAlign w:val="bottom"/>
          </w:tcPr>
          <w:p>
            <w:pPr>
              <w:spacing w:after="0"/>
              <w:rPr>
                <w:sz w:val="1"/>
                <w:szCs w:val="1"/>
                <w:color w:val="auto"/>
              </w:rPr>
            </w:pPr>
          </w:p>
        </w:tc>
      </w:tr>
      <w:tr>
        <w:trPr>
          <w:trHeight w:val="412"/>
        </w:trPr>
        <w:tc>
          <w:tcPr>
            <w:tcW w:w="3100" w:type="dxa"/>
            <w:vAlign w:val="bottom"/>
          </w:tcPr>
          <w:p>
            <w:pPr>
              <w:spacing w:after="0"/>
              <w:rPr>
                <w:sz w:val="24"/>
                <w:szCs w:val="24"/>
                <w:color w:val="auto"/>
              </w:rPr>
            </w:pPr>
          </w:p>
        </w:tc>
        <w:tc>
          <w:tcPr>
            <w:tcW w:w="60" w:type="dxa"/>
            <w:vAlign w:val="bottom"/>
            <w:tcBorders>
              <w:bottom w:val="single" w:sz="8" w:color="2C6937"/>
            </w:tcBorders>
          </w:tcPr>
          <w:p>
            <w:pPr>
              <w:spacing w:after="0"/>
              <w:rPr>
                <w:sz w:val="24"/>
                <w:szCs w:val="24"/>
                <w:color w:val="auto"/>
              </w:rPr>
            </w:pPr>
          </w:p>
        </w:tc>
        <w:tc>
          <w:tcPr>
            <w:tcW w:w="126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4080" w:type="dxa"/>
            <w:vAlign w:val="bottom"/>
            <w:tcBorders>
              <w:bottom w:val="single" w:sz="8" w:color="2C6937"/>
            </w:tcBorders>
            <w:gridSpan w:val="14"/>
          </w:tcPr>
          <w:p>
            <w:pPr>
              <w:ind w:left="1060"/>
              <w:spacing w:after="0"/>
              <w:rPr>
                <w:sz w:val="20"/>
                <w:szCs w:val="20"/>
                <w:color w:val="auto"/>
              </w:rPr>
            </w:pPr>
            <w:r>
              <w:rPr>
                <w:rFonts w:ascii="Arial" w:cs="Arial" w:eastAsia="Arial" w:hAnsi="Arial"/>
                <w:sz w:val="14"/>
                <w:szCs w:val="14"/>
                <w:b w:val="1"/>
                <w:bCs w:val="1"/>
                <w:color w:val="auto"/>
              </w:rPr>
              <w:t>For the Nine Months Ended September 30,</w:t>
            </w:r>
          </w:p>
        </w:tc>
        <w:tc>
          <w:tcPr>
            <w:tcW w:w="98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60" w:type="dxa"/>
            <w:vAlign w:val="bottom"/>
            <w:tcBorders>
              <w:bottom w:val="single" w:sz="8" w:color="2C6937"/>
            </w:tcBorders>
          </w:tcPr>
          <w:p>
            <w:pPr>
              <w:spacing w:after="0"/>
              <w:rPr>
                <w:sz w:val="24"/>
                <w:szCs w:val="24"/>
                <w:color w:val="auto"/>
              </w:rPr>
            </w:pPr>
          </w:p>
        </w:tc>
        <w:tc>
          <w:tcPr>
            <w:tcW w:w="6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880" w:type="dxa"/>
            <w:vAlign w:val="bottom"/>
            <w:tcBorders>
              <w:bottom w:val="single" w:sz="8" w:color="2C6937"/>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00" w:type="dxa"/>
            <w:vAlign w:val="bottom"/>
          </w:tcPr>
          <w:p>
            <w:pPr>
              <w:spacing w:after="0"/>
              <w:rPr>
                <w:sz w:val="18"/>
                <w:szCs w:val="18"/>
                <w:color w:val="auto"/>
              </w:rPr>
            </w:pPr>
          </w:p>
        </w:tc>
        <w:tc>
          <w:tcPr>
            <w:tcW w:w="60" w:type="dxa"/>
            <w:vAlign w:val="bottom"/>
            <w:tcBorders>
              <w:bottom w:val="single" w:sz="8" w:color="2C6937"/>
            </w:tcBorders>
          </w:tcPr>
          <w:p>
            <w:pPr>
              <w:spacing w:after="0"/>
              <w:rPr>
                <w:sz w:val="18"/>
                <w:szCs w:val="18"/>
                <w:color w:val="auto"/>
              </w:rPr>
            </w:pPr>
          </w:p>
        </w:tc>
        <w:tc>
          <w:tcPr>
            <w:tcW w:w="1260" w:type="dxa"/>
            <w:vAlign w:val="bottom"/>
            <w:tcBorders>
              <w:bottom w:val="single" w:sz="8" w:color="2C6937"/>
            </w:tcBorders>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1100" w:type="dxa"/>
            <w:vAlign w:val="bottom"/>
            <w:tcBorders>
              <w:bottom w:val="single" w:sz="8" w:color="2C6937"/>
            </w:tcBorders>
          </w:tcPr>
          <w:p>
            <w:pPr>
              <w:jc w:val="right"/>
              <w:ind w:right="428"/>
              <w:spacing w:after="0"/>
              <w:rPr>
                <w:sz w:val="20"/>
                <w:szCs w:val="20"/>
                <w:color w:val="auto"/>
              </w:rPr>
            </w:pPr>
            <w:r>
              <w:rPr>
                <w:rFonts w:ascii="Arial" w:cs="Arial" w:eastAsia="Arial" w:hAnsi="Arial"/>
                <w:sz w:val="14"/>
                <w:szCs w:val="14"/>
                <w:b w:val="1"/>
                <w:bCs w:val="1"/>
                <w:color w:val="auto"/>
              </w:rPr>
              <w:t>2024</w:t>
            </w:r>
          </w:p>
        </w:tc>
        <w:tc>
          <w:tcPr>
            <w:tcW w:w="60" w:type="dxa"/>
            <w:vAlign w:val="bottom"/>
            <w:tcBorders>
              <w:bottom w:val="single" w:sz="8" w:color="2C6937"/>
            </w:tcBorders>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40" w:type="dxa"/>
            <w:vAlign w:val="bottom"/>
            <w:tcBorders>
              <w:bottom w:val="single" w:sz="8" w:color="2C6937"/>
            </w:tcBorders>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960" w:type="dxa"/>
            <w:vAlign w:val="bottom"/>
            <w:tcBorders>
              <w:bottom w:val="single" w:sz="8" w:color="2C6937"/>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Borders>
              <w:bottom w:val="single" w:sz="8" w:color="2C6937"/>
            </w:tcBorders>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1180" w:type="dxa"/>
            <w:vAlign w:val="bottom"/>
            <w:tcBorders>
              <w:bottom w:val="single" w:sz="8" w:color="2C6937"/>
            </w:tcBorders>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980" w:type="dxa"/>
            <w:vAlign w:val="bottom"/>
            <w:tcBorders>
              <w:bottom w:val="single" w:sz="8" w:color="2C6937"/>
            </w:tcBorders>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40" w:type="dxa"/>
            <w:vAlign w:val="bottom"/>
            <w:tcBorders>
              <w:bottom w:val="single" w:sz="8" w:color="2C6937"/>
            </w:tcBorders>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60" w:type="dxa"/>
            <w:vAlign w:val="bottom"/>
            <w:tcBorders>
              <w:bottom w:val="single" w:sz="8" w:color="2C6937"/>
            </w:tcBorders>
          </w:tcPr>
          <w:p>
            <w:pPr>
              <w:spacing w:after="0"/>
              <w:rPr>
                <w:sz w:val="18"/>
                <w:szCs w:val="18"/>
                <w:color w:val="auto"/>
              </w:rPr>
            </w:pPr>
          </w:p>
        </w:tc>
        <w:tc>
          <w:tcPr>
            <w:tcW w:w="60" w:type="dxa"/>
            <w:vAlign w:val="bottom"/>
            <w:tcBorders>
              <w:bottom w:val="single" w:sz="8" w:color="2C6937"/>
            </w:tcBorders>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80" w:type="dxa"/>
            <w:vAlign w:val="bottom"/>
            <w:tcBorders>
              <w:bottom w:val="single" w:sz="8" w:color="2C6937"/>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3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Weighted-</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rPr>
              <w:t>Average Amount</w:t>
            </w:r>
          </w:p>
        </w:tc>
        <w:tc>
          <w:tcPr>
            <w:tcW w:w="1460" w:type="dxa"/>
            <w:vAlign w:val="bottom"/>
            <w:gridSpan w:val="4"/>
            <w:vMerge w:val="restart"/>
          </w:tcPr>
          <w:p>
            <w:pPr>
              <w:jc w:val="center"/>
              <w:ind w:right="400"/>
              <w:spacing w:after="0"/>
              <w:rPr>
                <w:sz w:val="20"/>
                <w:szCs w:val="20"/>
                <w:color w:val="auto"/>
              </w:rPr>
            </w:pPr>
            <w:r>
              <w:rPr>
                <w:rFonts w:ascii="Arial" w:cs="Arial" w:eastAsia="Arial" w:hAnsi="Arial"/>
                <w:sz w:val="14"/>
                <w:szCs w:val="14"/>
                <w:b w:val="1"/>
                <w:bCs w:val="1"/>
                <w:color w:val="auto"/>
                <w:w w:val="97"/>
              </w:rPr>
              <w:t>Weighted-</w:t>
            </w:r>
          </w:p>
        </w:tc>
        <w:tc>
          <w:tcPr>
            <w:tcW w:w="980" w:type="dxa"/>
            <w:vAlign w:val="bottom"/>
          </w:tcPr>
          <w:p>
            <w:pPr>
              <w:jc w:val="center"/>
              <w:ind w:right="88"/>
              <w:spacing w:after="0" w:line="145" w:lineRule="exact"/>
              <w:rPr>
                <w:sz w:val="20"/>
                <w:szCs w:val="20"/>
                <w:color w:val="auto"/>
              </w:rPr>
            </w:pPr>
            <w:r>
              <w:rPr>
                <w:rFonts w:ascii="Arial" w:cs="Arial" w:eastAsia="Arial" w:hAnsi="Arial"/>
                <w:sz w:val="14"/>
                <w:szCs w:val="14"/>
                <w:b w:val="1"/>
                <w:bCs w:val="1"/>
                <w:color w:val="auto"/>
                <w:w w:val="97"/>
              </w:rPr>
              <w:t>Weighted-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5"/>
            <w:vMerge w:val="restart"/>
          </w:tcPr>
          <w:p>
            <w:pPr>
              <w:jc w:val="right"/>
              <w:ind w:right="280"/>
              <w:spacing w:after="0"/>
              <w:rPr>
                <w:sz w:val="20"/>
                <w:szCs w:val="20"/>
                <w:color w:val="auto"/>
              </w:rPr>
            </w:pPr>
            <w:r>
              <w:rPr>
                <w:rFonts w:ascii="Arial" w:cs="Arial" w:eastAsia="Arial" w:hAnsi="Arial"/>
                <w:sz w:val="14"/>
                <w:szCs w:val="14"/>
                <w:b w:val="1"/>
                <w:bCs w:val="1"/>
                <w:color w:val="auto"/>
                <w:w w:val="96"/>
              </w:rPr>
              <w:t>Average Amount</w:t>
            </w:r>
          </w:p>
        </w:tc>
        <w:tc>
          <w:tcPr>
            <w:tcW w:w="0" w:type="dxa"/>
            <w:vAlign w:val="bottom"/>
          </w:tcPr>
          <w:p>
            <w:pPr>
              <w:spacing w:after="0"/>
              <w:rPr>
                <w:sz w:val="1"/>
                <w:szCs w:val="1"/>
                <w:color w:val="auto"/>
              </w:rPr>
            </w:pPr>
          </w:p>
        </w:tc>
      </w:tr>
      <w:tr>
        <w:trPr>
          <w:trHeight w:val="138"/>
        </w:trPr>
        <w:tc>
          <w:tcPr>
            <w:tcW w:w="3100" w:type="dxa"/>
            <w:vAlign w:val="bottom"/>
          </w:tcPr>
          <w:p>
            <w:pPr>
              <w:spacing w:after="0"/>
              <w:rPr>
                <w:sz w:val="12"/>
                <w:szCs w:val="12"/>
                <w:color w:val="auto"/>
              </w:rPr>
            </w:pPr>
          </w:p>
        </w:tc>
        <w:tc>
          <w:tcPr>
            <w:tcW w:w="1500" w:type="dxa"/>
            <w:vAlign w:val="bottom"/>
            <w:gridSpan w:val="4"/>
            <w:vMerge w:val="restart"/>
          </w:tcPr>
          <w:p>
            <w:pPr>
              <w:jc w:val="center"/>
              <w:ind w:right="180"/>
              <w:spacing w:after="0"/>
              <w:rPr>
                <w:sz w:val="20"/>
                <w:szCs w:val="20"/>
                <w:color w:val="auto"/>
              </w:rPr>
            </w:pPr>
            <w:r>
              <w:rPr>
                <w:rFonts w:ascii="Arial" w:cs="Arial" w:eastAsia="Arial" w:hAnsi="Arial"/>
                <w:sz w:val="14"/>
                <w:szCs w:val="14"/>
                <w:b w:val="1"/>
                <w:bCs w:val="1"/>
                <w:color w:val="auto"/>
                <w:w w:val="97"/>
              </w:rPr>
              <w:t>Weighted-Average</w:t>
            </w:r>
          </w:p>
        </w:tc>
        <w:tc>
          <w:tcPr>
            <w:tcW w:w="11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gridSpan w:val="6"/>
            <w:vMerge w:val="continue"/>
          </w:tcPr>
          <w:p>
            <w:pPr>
              <w:spacing w:after="0"/>
              <w:rPr>
                <w:sz w:val="12"/>
                <w:szCs w:val="12"/>
                <w:color w:val="auto"/>
              </w:rPr>
            </w:pPr>
          </w:p>
        </w:tc>
        <w:tc>
          <w:tcPr>
            <w:tcW w:w="1460" w:type="dxa"/>
            <w:vAlign w:val="bottom"/>
            <w:gridSpan w:val="4"/>
            <w:vMerge w:val="continue"/>
          </w:tcPr>
          <w:p>
            <w:pPr>
              <w:spacing w:after="0"/>
              <w:rPr>
                <w:sz w:val="12"/>
                <w:szCs w:val="12"/>
                <w:color w:val="auto"/>
              </w:rPr>
            </w:pPr>
          </w:p>
        </w:tc>
        <w:tc>
          <w:tcPr>
            <w:tcW w:w="980" w:type="dxa"/>
            <w:vAlign w:val="bottom"/>
          </w:tcPr>
          <w:p>
            <w:pPr>
              <w:jc w:val="center"/>
              <w:ind w:right="128"/>
              <w:spacing w:after="0" w:line="139" w:lineRule="exact"/>
              <w:rPr>
                <w:sz w:val="20"/>
                <w:szCs w:val="20"/>
                <w:color w:val="auto"/>
              </w:rPr>
            </w:pPr>
            <w:r>
              <w:rPr>
                <w:rFonts w:ascii="Arial" w:cs="Arial" w:eastAsia="Arial" w:hAnsi="Arial"/>
                <w:sz w:val="14"/>
                <w:szCs w:val="14"/>
                <w:b w:val="1"/>
                <w:bCs w:val="1"/>
                <w:color w:val="auto"/>
                <w:w w:val="97"/>
              </w:rPr>
              <w:t>Average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500" w:type="dxa"/>
            <w:vAlign w:val="bottom"/>
            <w:gridSpan w:val="4"/>
            <w:vMerge w:val="continue"/>
          </w:tcPr>
          <w:p>
            <w:pPr>
              <w:spacing w:after="0"/>
              <w:rPr>
                <w:sz w:val="12"/>
                <w:szCs w:val="12"/>
                <w:color w:val="auto"/>
              </w:rPr>
            </w:pPr>
          </w:p>
        </w:tc>
        <w:tc>
          <w:tcPr>
            <w:tcW w:w="116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6"/>
              </w:rPr>
              <w:t>Average Term</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5"/>
          </w:tcPr>
          <w:p>
            <w:pPr>
              <w:ind w:left="40"/>
              <w:spacing w:after="0" w:line="142" w:lineRule="exact"/>
              <w:rPr>
                <w:sz w:val="20"/>
                <w:szCs w:val="20"/>
                <w:color w:val="auto"/>
              </w:rPr>
            </w:pPr>
            <w:r>
              <w:rPr>
                <w:rFonts w:ascii="Arial" w:cs="Arial" w:eastAsia="Arial" w:hAnsi="Arial"/>
                <w:sz w:val="14"/>
                <w:szCs w:val="14"/>
                <w:b w:val="1"/>
                <w:bCs w:val="1"/>
                <w:color w:val="auto"/>
              </w:rPr>
              <w:t>Capitalized as</w:t>
            </w:r>
          </w:p>
        </w:tc>
        <w:tc>
          <w:tcPr>
            <w:tcW w:w="1460" w:type="dxa"/>
            <w:vAlign w:val="bottom"/>
            <w:gridSpan w:val="4"/>
          </w:tcPr>
          <w:p>
            <w:pPr>
              <w:jc w:val="center"/>
              <w:ind w:right="440"/>
              <w:spacing w:after="0" w:line="142" w:lineRule="exact"/>
              <w:rPr>
                <w:sz w:val="20"/>
                <w:szCs w:val="20"/>
                <w:color w:val="auto"/>
              </w:rPr>
            </w:pPr>
            <w:r>
              <w:rPr>
                <w:rFonts w:ascii="Arial" w:cs="Arial" w:eastAsia="Arial" w:hAnsi="Arial"/>
                <w:sz w:val="14"/>
                <w:szCs w:val="14"/>
                <w:b w:val="1"/>
                <w:bCs w:val="1"/>
                <w:color w:val="auto"/>
                <w:w w:val="97"/>
              </w:rPr>
              <w:t>Average</w:t>
            </w:r>
          </w:p>
        </w:tc>
        <w:tc>
          <w:tcPr>
            <w:tcW w:w="980" w:type="dxa"/>
            <w:vAlign w:val="bottom"/>
          </w:tcPr>
          <w:p>
            <w:pPr>
              <w:jc w:val="center"/>
              <w:ind w:right="128"/>
              <w:spacing w:after="0" w:line="142" w:lineRule="exact"/>
              <w:rPr>
                <w:sz w:val="20"/>
                <w:szCs w:val="20"/>
                <w:color w:val="auto"/>
              </w:rPr>
            </w:pPr>
            <w:r>
              <w:rPr>
                <w:rFonts w:ascii="Arial" w:cs="Arial" w:eastAsia="Arial" w:hAnsi="Arial"/>
                <w:sz w:val="14"/>
                <w:szCs w:val="14"/>
                <w:b w:val="1"/>
                <w:bCs w:val="1"/>
                <w:color w:val="auto"/>
                <w:w w:val="99"/>
              </w:rPr>
              <w:t>Term</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gridSpan w:val="4"/>
          </w:tcPr>
          <w:p>
            <w:pPr>
              <w:jc w:val="right"/>
              <w:ind w:right="380"/>
              <w:spacing w:after="0" w:line="142" w:lineRule="exact"/>
              <w:rPr>
                <w:sz w:val="20"/>
                <w:szCs w:val="20"/>
                <w:color w:val="auto"/>
              </w:rPr>
            </w:pPr>
            <w:r>
              <w:rPr>
                <w:rFonts w:ascii="Arial" w:cs="Arial" w:eastAsia="Arial" w:hAnsi="Arial"/>
                <w:sz w:val="14"/>
                <w:szCs w:val="14"/>
                <w:b w:val="1"/>
                <w:bCs w:val="1"/>
                <w:color w:val="auto"/>
                <w:w w:val="98"/>
              </w:rPr>
              <w:t>Capitalized as</w:t>
            </w:r>
          </w:p>
        </w:tc>
        <w:tc>
          <w:tcPr>
            <w:tcW w:w="0" w:type="dxa"/>
            <w:vAlign w:val="bottom"/>
          </w:tcPr>
          <w:p>
            <w:pPr>
              <w:spacing w:after="0"/>
              <w:rPr>
                <w:sz w:val="1"/>
                <w:szCs w:val="1"/>
                <w:color w:val="auto"/>
              </w:rPr>
            </w:pPr>
          </w:p>
        </w:tc>
      </w:tr>
      <w:tr>
        <w:trPr>
          <w:trHeight w:val="133"/>
        </w:trPr>
        <w:tc>
          <w:tcPr>
            <w:tcW w:w="3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40" w:type="dxa"/>
            <w:vAlign w:val="bottom"/>
            <w:gridSpan w:val="3"/>
          </w:tcPr>
          <w:p>
            <w:pPr>
              <w:jc w:val="center"/>
              <w:ind w:right="240"/>
              <w:spacing w:after="0" w:line="133" w:lineRule="exact"/>
              <w:rPr>
                <w:sz w:val="20"/>
                <w:szCs w:val="20"/>
                <w:color w:val="auto"/>
              </w:rPr>
            </w:pPr>
            <w:r>
              <w:rPr>
                <w:rFonts w:ascii="Arial" w:cs="Arial" w:eastAsia="Arial" w:hAnsi="Arial"/>
                <w:sz w:val="14"/>
                <w:szCs w:val="14"/>
                <w:b w:val="1"/>
                <w:bCs w:val="1"/>
                <w:color w:val="auto"/>
                <w:w w:val="99"/>
              </w:rPr>
              <w:t>Interest Rate</w:t>
            </w:r>
          </w:p>
        </w:tc>
        <w:tc>
          <w:tcPr>
            <w:tcW w:w="1160" w:type="dxa"/>
            <w:vAlign w:val="bottom"/>
            <w:gridSpan w:val="2"/>
          </w:tcPr>
          <w:p>
            <w:pPr>
              <w:jc w:val="center"/>
              <w:ind w:right="140"/>
              <w:spacing w:after="0" w:line="133" w:lineRule="exact"/>
              <w:rPr>
                <w:sz w:val="20"/>
                <w:szCs w:val="20"/>
                <w:color w:val="auto"/>
              </w:rPr>
            </w:pPr>
            <w:r>
              <w:rPr>
                <w:rFonts w:ascii="Arial" w:cs="Arial" w:eastAsia="Arial" w:hAnsi="Arial"/>
                <w:sz w:val="14"/>
                <w:szCs w:val="14"/>
                <w:b w:val="1"/>
                <w:bCs w:val="1"/>
                <w:color w:val="auto"/>
                <w:w w:val="97"/>
              </w:rPr>
              <w:t>Extension (in</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 xml:space="preserve">a Result of a </w:t>
            </w:r>
            <w:r>
              <w:rPr>
                <w:rFonts w:ascii="Arial" w:cs="Arial" w:eastAsia="Arial" w:hAnsi="Arial"/>
                <w:sz w:val="15"/>
                <w:szCs w:val="15"/>
                <w:b w:val="1"/>
                <w:bCs w:val="1"/>
                <w:color w:val="auto"/>
                <w:vertAlign w:val="subscript"/>
              </w:rPr>
              <w:t>(1)</w:t>
            </w:r>
          </w:p>
        </w:tc>
        <w:tc>
          <w:tcPr>
            <w:tcW w:w="1460" w:type="dxa"/>
            <w:vAlign w:val="bottom"/>
            <w:gridSpan w:val="4"/>
          </w:tcPr>
          <w:p>
            <w:pPr>
              <w:jc w:val="center"/>
              <w:ind w:right="460"/>
              <w:spacing w:after="0" w:line="133" w:lineRule="exact"/>
              <w:rPr>
                <w:sz w:val="20"/>
                <w:szCs w:val="20"/>
                <w:color w:val="auto"/>
              </w:rPr>
            </w:pPr>
            <w:r>
              <w:rPr>
                <w:rFonts w:ascii="Arial" w:cs="Arial" w:eastAsia="Arial" w:hAnsi="Arial"/>
                <w:sz w:val="14"/>
                <w:szCs w:val="14"/>
                <w:b w:val="1"/>
                <w:bCs w:val="1"/>
                <w:color w:val="auto"/>
                <w:w w:val="99"/>
              </w:rPr>
              <w:t>Interest Rate</w:t>
            </w:r>
          </w:p>
        </w:tc>
        <w:tc>
          <w:tcPr>
            <w:tcW w:w="980" w:type="dxa"/>
            <w:vAlign w:val="bottom"/>
          </w:tcPr>
          <w:p>
            <w:pPr>
              <w:jc w:val="center"/>
              <w:ind w:right="128"/>
              <w:spacing w:after="0" w:line="133" w:lineRule="exact"/>
              <w:rPr>
                <w:sz w:val="20"/>
                <w:szCs w:val="20"/>
                <w:color w:val="auto"/>
              </w:rPr>
            </w:pPr>
            <w:r>
              <w:rPr>
                <w:rFonts w:ascii="Arial" w:cs="Arial" w:eastAsia="Arial" w:hAnsi="Arial"/>
                <w:sz w:val="14"/>
                <w:szCs w:val="14"/>
                <w:b w:val="1"/>
                <w:bCs w:val="1"/>
                <w:color w:val="auto"/>
                <w:w w:val="98"/>
              </w:rPr>
              <w:t>Extension</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20" w:type="dxa"/>
            <w:vAlign w:val="bottom"/>
            <w:gridSpan w:val="4"/>
          </w:tcPr>
          <w:p>
            <w:pPr>
              <w:jc w:val="right"/>
              <w:ind w:right="280"/>
              <w:spacing w:after="0" w:line="133" w:lineRule="exact"/>
              <w:rPr>
                <w:sz w:val="20"/>
                <w:szCs w:val="20"/>
                <w:color w:val="auto"/>
              </w:rPr>
            </w:pPr>
            <w:r>
              <w:rPr>
                <w:rFonts w:ascii="Arial" w:cs="Arial" w:eastAsia="Arial" w:hAnsi="Arial"/>
                <w:sz w:val="12"/>
                <w:szCs w:val="12"/>
                <w:b w:val="1"/>
                <w:bCs w:val="1"/>
                <w:color w:val="auto"/>
              </w:rPr>
              <w:t xml:space="preserve">a Result of a </w:t>
            </w:r>
            <w:r>
              <w:rPr>
                <w:rFonts w:ascii="Arial" w:cs="Arial" w:eastAsia="Arial" w:hAnsi="Arial"/>
                <w:sz w:val="15"/>
                <w:szCs w:val="15"/>
                <w:b w:val="1"/>
                <w:bCs w:val="1"/>
                <w:color w:val="auto"/>
                <w:vertAlign w:val="subscript"/>
              </w:rPr>
              <w:t>(1)</w:t>
            </w:r>
          </w:p>
        </w:tc>
        <w:tc>
          <w:tcPr>
            <w:tcW w:w="0" w:type="dxa"/>
            <w:vAlign w:val="bottom"/>
          </w:tcPr>
          <w:p>
            <w:pPr>
              <w:spacing w:after="0"/>
              <w:rPr>
                <w:sz w:val="1"/>
                <w:szCs w:val="1"/>
                <w:color w:val="auto"/>
              </w:rPr>
            </w:pPr>
          </w:p>
        </w:tc>
      </w:tr>
      <w:tr>
        <w:trPr>
          <w:trHeight w:val="176"/>
        </w:trPr>
        <w:tc>
          <w:tcPr>
            <w:tcW w:w="3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9"/>
              </w:rPr>
              <w:t>Reduction</w:t>
            </w: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Months)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gridSpan w:val="6"/>
          </w:tcPr>
          <w:p>
            <w:pPr>
              <w:ind w:left="20"/>
              <w:spacing w:after="0"/>
              <w:rPr>
                <w:sz w:val="20"/>
                <w:szCs w:val="20"/>
                <w:color w:val="auto"/>
              </w:rPr>
            </w:pPr>
            <w:r>
              <w:rPr>
                <w:rFonts w:ascii="Arial" w:cs="Arial" w:eastAsia="Arial" w:hAnsi="Arial"/>
                <w:sz w:val="14"/>
                <w:szCs w:val="14"/>
                <w:b w:val="1"/>
                <w:bCs w:val="1"/>
                <w:color w:val="auto"/>
              </w:rPr>
              <w:t>Payment Delay</w:t>
            </w:r>
          </w:p>
        </w:tc>
        <w:tc>
          <w:tcPr>
            <w:tcW w:w="14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9"/>
              </w:rPr>
              <w:t>Reduction</w:t>
            </w:r>
          </w:p>
        </w:tc>
        <w:tc>
          <w:tcPr>
            <w:tcW w:w="980" w:type="dxa"/>
            <w:vAlign w:val="bottom"/>
          </w:tcPr>
          <w:p>
            <w:pPr>
              <w:jc w:val="center"/>
              <w:ind w:right="88"/>
              <w:spacing w:after="0"/>
              <w:rPr>
                <w:sz w:val="20"/>
                <w:szCs w:val="20"/>
                <w:color w:val="auto"/>
              </w:rPr>
            </w:pPr>
            <w:r>
              <w:rPr>
                <w:rFonts w:ascii="Arial" w:cs="Arial" w:eastAsia="Arial" w:hAnsi="Arial"/>
                <w:sz w:val="14"/>
                <w:szCs w:val="14"/>
                <w:b w:val="1"/>
                <w:bCs w:val="1"/>
                <w:color w:val="auto"/>
                <w:w w:val="98"/>
              </w:rPr>
              <w:t>(in Months)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6"/>
              </w:rPr>
              <w:t>Payment Delay</w:t>
            </w:r>
          </w:p>
        </w:tc>
        <w:tc>
          <w:tcPr>
            <w:tcW w:w="0" w:type="dxa"/>
            <w:vAlign w:val="bottom"/>
          </w:tcPr>
          <w:p>
            <w:pPr>
              <w:spacing w:after="0"/>
              <w:rPr>
                <w:sz w:val="1"/>
                <w:szCs w:val="1"/>
                <w:color w:val="auto"/>
              </w:rPr>
            </w:pPr>
          </w:p>
        </w:tc>
      </w:tr>
      <w:tr>
        <w:trPr>
          <w:trHeight w:val="256"/>
        </w:trPr>
        <w:tc>
          <w:tcPr>
            <w:tcW w:w="3100" w:type="dxa"/>
            <w:vAlign w:val="bottom"/>
          </w:tcPr>
          <w:p>
            <w:pPr>
              <w:spacing w:after="0"/>
              <w:rPr>
                <w:sz w:val="20"/>
                <w:szCs w:val="20"/>
                <w:color w:val="auto"/>
              </w:rPr>
            </w:pPr>
            <w:r>
              <w:rPr>
                <w:rFonts w:ascii="Arial" w:cs="Arial" w:eastAsia="Arial" w:hAnsi="Arial"/>
                <w:sz w:val="14"/>
                <w:szCs w:val="14"/>
                <w:color w:val="auto"/>
              </w:rPr>
              <w:t>Loan by class of financing receivable:</w:t>
            </w:r>
            <w:r>
              <w:rPr>
                <w:rFonts w:ascii="Arial" w:cs="Arial" w:eastAsia="Arial" w:hAnsi="Arial"/>
                <w:sz w:val="8"/>
                <w:szCs w:val="8"/>
                <w:color w:val="auto"/>
              </w:rPr>
              <w:t>(2)</w:t>
            </w:r>
          </w:p>
        </w:tc>
        <w:tc>
          <w:tcPr>
            <w:tcW w:w="60" w:type="dxa"/>
            <w:vAlign w:val="bottom"/>
            <w:tcBorders>
              <w:top w:val="single" w:sz="8" w:color="2C6937"/>
            </w:tcBorders>
          </w:tcPr>
          <w:p>
            <w:pPr>
              <w:spacing w:after="0"/>
              <w:rPr>
                <w:sz w:val="22"/>
                <w:szCs w:val="22"/>
                <w:color w:val="auto"/>
              </w:rPr>
            </w:pPr>
          </w:p>
        </w:tc>
        <w:tc>
          <w:tcPr>
            <w:tcW w:w="1260" w:type="dxa"/>
            <w:vAlign w:val="bottom"/>
            <w:tcBorders>
              <w:top w:val="single" w:sz="8" w:color="2C6937"/>
            </w:tcBorders>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top w:val="single" w:sz="8" w:color="2C6937"/>
            </w:tcBorders>
          </w:tcPr>
          <w:p>
            <w:pPr>
              <w:spacing w:after="0"/>
              <w:rPr>
                <w:sz w:val="22"/>
                <w:szCs w:val="22"/>
                <w:color w:val="auto"/>
              </w:rPr>
            </w:pPr>
          </w:p>
        </w:tc>
        <w:tc>
          <w:tcPr>
            <w:tcW w:w="1100" w:type="dxa"/>
            <w:vAlign w:val="bottom"/>
            <w:tcBorders>
              <w:top w:val="single" w:sz="8" w:color="2C6937"/>
            </w:tcBorders>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Borders>
              <w:top w:val="single" w:sz="8" w:color="2C6937"/>
            </w:tcBorders>
          </w:tcPr>
          <w:p>
            <w:pPr>
              <w:spacing w:after="0"/>
              <w:rPr>
                <w:sz w:val="22"/>
                <w:szCs w:val="22"/>
                <w:color w:val="auto"/>
              </w:rPr>
            </w:pPr>
          </w:p>
        </w:tc>
        <w:tc>
          <w:tcPr>
            <w:tcW w:w="80" w:type="dxa"/>
            <w:vAlign w:val="bottom"/>
            <w:tcBorders>
              <w:top w:val="single" w:sz="8" w:color="2C6937"/>
            </w:tcBorders>
          </w:tcPr>
          <w:p>
            <w:pPr>
              <w:spacing w:after="0"/>
              <w:rPr>
                <w:sz w:val="22"/>
                <w:szCs w:val="22"/>
                <w:color w:val="auto"/>
              </w:rPr>
            </w:pPr>
          </w:p>
        </w:tc>
        <w:tc>
          <w:tcPr>
            <w:tcW w:w="140" w:type="dxa"/>
            <w:vAlign w:val="bottom"/>
            <w:tcBorders>
              <w:top w:val="single" w:sz="8" w:color="2C6937"/>
            </w:tcBorders>
          </w:tcPr>
          <w:p>
            <w:pPr>
              <w:spacing w:after="0"/>
              <w:rPr>
                <w:sz w:val="22"/>
                <w:szCs w:val="22"/>
                <w:color w:val="auto"/>
              </w:rPr>
            </w:pPr>
          </w:p>
        </w:tc>
        <w:tc>
          <w:tcPr>
            <w:tcW w:w="960" w:type="dxa"/>
            <w:vAlign w:val="bottom"/>
            <w:tcBorders>
              <w:top w:val="single" w:sz="8" w:color="2C6937"/>
            </w:tcBorders>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Borders>
              <w:top w:val="single" w:sz="8" w:color="2C6937"/>
            </w:tcBorders>
          </w:tcPr>
          <w:p>
            <w:pPr>
              <w:spacing w:after="0"/>
              <w:rPr>
                <w:sz w:val="22"/>
                <w:szCs w:val="22"/>
                <w:color w:val="auto"/>
              </w:rPr>
            </w:pPr>
          </w:p>
        </w:tc>
        <w:tc>
          <w:tcPr>
            <w:tcW w:w="80" w:type="dxa"/>
            <w:vAlign w:val="bottom"/>
            <w:tcBorders>
              <w:top w:val="single" w:sz="8" w:color="2C6937"/>
            </w:tcBorders>
          </w:tcPr>
          <w:p>
            <w:pPr>
              <w:spacing w:after="0"/>
              <w:rPr>
                <w:sz w:val="22"/>
                <w:szCs w:val="22"/>
                <w:color w:val="auto"/>
              </w:rPr>
            </w:pPr>
          </w:p>
        </w:tc>
        <w:tc>
          <w:tcPr>
            <w:tcW w:w="1180" w:type="dxa"/>
            <w:vAlign w:val="bottom"/>
            <w:tcBorders>
              <w:top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Borders>
              <w:top w:val="single" w:sz="8" w:color="2C6937"/>
            </w:tcBorders>
          </w:tcPr>
          <w:p>
            <w:pPr>
              <w:spacing w:after="0"/>
              <w:rPr>
                <w:sz w:val="22"/>
                <w:szCs w:val="22"/>
                <w:color w:val="auto"/>
              </w:rPr>
            </w:pPr>
          </w:p>
        </w:tc>
        <w:tc>
          <w:tcPr>
            <w:tcW w:w="100" w:type="dxa"/>
            <w:vAlign w:val="bottom"/>
            <w:tcBorders>
              <w:top w:val="single" w:sz="8" w:color="2C6937"/>
            </w:tcBorders>
          </w:tcPr>
          <w:p>
            <w:pPr>
              <w:spacing w:after="0"/>
              <w:rPr>
                <w:sz w:val="22"/>
                <w:szCs w:val="22"/>
                <w:color w:val="auto"/>
              </w:rPr>
            </w:pPr>
          </w:p>
        </w:tc>
        <w:tc>
          <w:tcPr>
            <w:tcW w:w="980" w:type="dxa"/>
            <w:vAlign w:val="bottom"/>
            <w:tcBorders>
              <w:top w:val="single" w:sz="8" w:color="2C6937"/>
            </w:tcBorders>
          </w:tcPr>
          <w:p>
            <w:pPr>
              <w:spacing w:after="0"/>
              <w:rPr>
                <w:sz w:val="22"/>
                <w:szCs w:val="22"/>
                <w:color w:val="auto"/>
              </w:rPr>
            </w:pPr>
          </w:p>
        </w:tc>
        <w:tc>
          <w:tcPr>
            <w:tcW w:w="40" w:type="dxa"/>
            <w:vAlign w:val="bottom"/>
            <w:tcBorders>
              <w:top w:val="single" w:sz="8" w:color="2C6937"/>
            </w:tcBorders>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Borders>
              <w:top w:val="single" w:sz="8" w:color="2C6937"/>
            </w:tcBorders>
          </w:tcPr>
          <w:p>
            <w:pPr>
              <w:spacing w:after="0"/>
              <w:rPr>
                <w:sz w:val="22"/>
                <w:szCs w:val="22"/>
                <w:color w:val="auto"/>
              </w:rPr>
            </w:pPr>
          </w:p>
        </w:tc>
        <w:tc>
          <w:tcPr>
            <w:tcW w:w="60" w:type="dxa"/>
            <w:vAlign w:val="bottom"/>
            <w:tcBorders>
              <w:top w:val="single" w:sz="8" w:color="2C6937"/>
            </w:tcBorders>
          </w:tcPr>
          <w:p>
            <w:pPr>
              <w:spacing w:after="0"/>
              <w:rPr>
                <w:sz w:val="22"/>
                <w:szCs w:val="22"/>
                <w:color w:val="auto"/>
              </w:rPr>
            </w:pPr>
          </w:p>
        </w:tc>
        <w:tc>
          <w:tcPr>
            <w:tcW w:w="80" w:type="dxa"/>
            <w:vAlign w:val="bottom"/>
            <w:tcBorders>
              <w:top w:val="single" w:sz="8" w:color="2C6937"/>
            </w:tcBorders>
          </w:tcPr>
          <w:p>
            <w:pPr>
              <w:spacing w:after="0"/>
              <w:rPr>
                <w:sz w:val="22"/>
                <w:szCs w:val="22"/>
                <w:color w:val="auto"/>
              </w:rPr>
            </w:pPr>
          </w:p>
        </w:tc>
        <w:tc>
          <w:tcPr>
            <w:tcW w:w="140" w:type="dxa"/>
            <w:vAlign w:val="bottom"/>
            <w:tcBorders>
              <w:top w:val="single" w:sz="8" w:color="2C6937"/>
            </w:tcBorders>
          </w:tcPr>
          <w:p>
            <w:pPr>
              <w:spacing w:after="0"/>
              <w:rPr>
                <w:sz w:val="22"/>
                <w:szCs w:val="22"/>
                <w:color w:val="auto"/>
              </w:rPr>
            </w:pPr>
          </w:p>
        </w:tc>
        <w:tc>
          <w:tcPr>
            <w:tcW w:w="880" w:type="dxa"/>
            <w:vAlign w:val="bottom"/>
            <w:tcBorders>
              <w:top w:val="single" w:sz="8" w:color="2C6937"/>
            </w:tcBorders>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3100" w:type="dxa"/>
            <w:vAlign w:val="bottom"/>
          </w:tcPr>
          <w:p>
            <w:pPr>
              <w:ind w:left="160"/>
              <w:spacing w:after="0"/>
              <w:rPr>
                <w:sz w:val="20"/>
                <w:szCs w:val="20"/>
                <w:color w:val="auto"/>
              </w:rPr>
            </w:pPr>
            <w:r>
              <w:rPr>
                <w:rFonts w:ascii="Arial" w:cs="Arial" w:eastAsia="Arial" w:hAnsi="Arial"/>
                <w:sz w:val="14"/>
                <w:szCs w:val="14"/>
                <w:color w:val="auto"/>
              </w:rPr>
              <w:t>20- and 30-year or more, amortizing fixed-rate</w:t>
            </w:r>
          </w:p>
        </w:tc>
        <w:tc>
          <w:tcPr>
            <w:tcW w:w="1320" w:type="dxa"/>
            <w:vAlign w:val="bottom"/>
            <w:gridSpan w:val="2"/>
          </w:tcPr>
          <w:p>
            <w:pPr>
              <w:ind w:left="820"/>
              <w:spacing w:after="0"/>
              <w:rPr>
                <w:sz w:val="20"/>
                <w:szCs w:val="20"/>
                <w:color w:val="auto"/>
              </w:rPr>
            </w:pPr>
            <w:r>
              <w:rPr>
                <w:rFonts w:ascii="Arial" w:cs="Arial" w:eastAsia="Arial" w:hAnsi="Arial"/>
                <w:sz w:val="15"/>
                <w:szCs w:val="15"/>
                <w:b w:val="1"/>
                <w:bCs w:val="1"/>
                <w:color w:val="auto"/>
              </w:rPr>
              <w:t>0.72 %</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ind w:right="8"/>
              <w:spacing w:after="0"/>
              <w:rPr>
                <w:sz w:val="20"/>
                <w:szCs w:val="20"/>
                <w:color w:val="auto"/>
              </w:rPr>
            </w:pPr>
            <w:r>
              <w:rPr>
                <w:rFonts w:ascii="Arial" w:cs="Arial" w:eastAsia="Arial" w:hAnsi="Arial"/>
                <w:sz w:val="15"/>
                <w:szCs w:val="15"/>
                <w:b w:val="1"/>
                <w:bCs w:val="1"/>
                <w:color w:val="auto"/>
              </w:rPr>
              <w:t>161</w:t>
            </w:r>
          </w:p>
        </w:tc>
        <w:tc>
          <w:tcPr>
            <w:tcW w:w="60" w:type="dxa"/>
            <w:vAlign w:val="bottom"/>
          </w:tcPr>
          <w:p>
            <w:pPr>
              <w:spacing w:after="0"/>
              <w:rPr>
                <w:sz w:val="21"/>
                <w:szCs w:val="21"/>
                <w:color w:val="auto"/>
              </w:rPr>
            </w:pPr>
          </w:p>
        </w:tc>
        <w:tc>
          <w:tcPr>
            <w:tcW w:w="140" w:type="dxa"/>
            <w:vAlign w:val="bottom"/>
            <w:gridSpan w:val="3"/>
          </w:tcPr>
          <w:p>
            <w:pPr>
              <w:jc w:val="right"/>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21"/>
                <w:szCs w:val="21"/>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b w:val="1"/>
                <w:bCs w:val="1"/>
                <w:color w:val="auto"/>
              </w:rPr>
              <w:t>13,408</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ind w:left="680"/>
              <w:spacing w:after="0"/>
              <w:rPr>
                <w:sz w:val="20"/>
                <w:szCs w:val="20"/>
                <w:color w:val="auto"/>
              </w:rPr>
            </w:pPr>
            <w:r>
              <w:rPr>
                <w:rFonts w:ascii="Arial" w:cs="Arial" w:eastAsia="Arial" w:hAnsi="Arial"/>
                <w:sz w:val="15"/>
                <w:szCs w:val="15"/>
                <w:color w:val="auto"/>
              </w:rPr>
              <w:t>1.08 %</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171</w:t>
            </w:r>
          </w:p>
        </w:tc>
        <w:tc>
          <w:tcPr>
            <w:tcW w:w="24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16,798</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3100" w:type="dxa"/>
            <w:vAlign w:val="bottom"/>
          </w:tcPr>
          <w:p>
            <w:pPr>
              <w:ind w:left="160"/>
              <w:spacing w:after="0"/>
              <w:rPr>
                <w:sz w:val="20"/>
                <w:szCs w:val="20"/>
                <w:color w:val="auto"/>
              </w:rPr>
            </w:pPr>
            <w:r>
              <w:rPr>
                <w:rFonts w:ascii="Arial" w:cs="Arial" w:eastAsia="Arial" w:hAnsi="Arial"/>
                <w:sz w:val="14"/>
                <w:szCs w:val="14"/>
                <w:color w:val="auto"/>
              </w:rPr>
              <w:t>15-year or less, amortizing fixed-rate</w:t>
            </w:r>
          </w:p>
        </w:tc>
        <w:tc>
          <w:tcPr>
            <w:tcW w:w="1320" w:type="dxa"/>
            <w:vAlign w:val="bottom"/>
            <w:gridSpan w:val="2"/>
          </w:tcPr>
          <w:p>
            <w:pPr>
              <w:ind w:left="820"/>
              <w:spacing w:after="0"/>
              <w:rPr>
                <w:sz w:val="20"/>
                <w:szCs w:val="20"/>
                <w:color w:val="auto"/>
              </w:rPr>
            </w:pPr>
            <w:r>
              <w:rPr>
                <w:rFonts w:ascii="Arial" w:cs="Arial" w:eastAsia="Arial" w:hAnsi="Arial"/>
                <w:sz w:val="15"/>
                <w:szCs w:val="15"/>
                <w:b w:val="1"/>
                <w:bCs w:val="1"/>
                <w:color w:val="auto"/>
              </w:rPr>
              <w:t>1.82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ind w:right="8"/>
              <w:spacing w:after="0"/>
              <w:rPr>
                <w:sz w:val="20"/>
                <w:szCs w:val="20"/>
                <w:color w:val="auto"/>
              </w:rPr>
            </w:pPr>
            <w:r>
              <w:rPr>
                <w:rFonts w:ascii="Arial" w:cs="Arial" w:eastAsia="Arial" w:hAnsi="Arial"/>
                <w:sz w:val="15"/>
                <w:szCs w:val="15"/>
                <w:b w:val="1"/>
                <w:bCs w:val="1"/>
                <w:color w:val="auto"/>
              </w:rPr>
              <w:t>84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b w:val="1"/>
                <w:bCs w:val="1"/>
                <w:color w:val="auto"/>
              </w:rPr>
              <w:t>11,538</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ind w:left="680"/>
              <w:spacing w:after="0"/>
              <w:rPr>
                <w:sz w:val="20"/>
                <w:szCs w:val="20"/>
                <w:color w:val="auto"/>
              </w:rPr>
            </w:pPr>
            <w:r>
              <w:rPr>
                <w:rFonts w:ascii="Arial" w:cs="Arial" w:eastAsia="Arial" w:hAnsi="Arial"/>
                <w:sz w:val="15"/>
                <w:szCs w:val="15"/>
                <w:color w:val="auto"/>
              </w:rPr>
              <w:t>2.22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14,588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3100" w:type="dxa"/>
            <w:vAlign w:val="bottom"/>
          </w:tcPr>
          <w:p>
            <w:pPr>
              <w:ind w:left="160"/>
              <w:spacing w:after="0"/>
              <w:rPr>
                <w:sz w:val="20"/>
                <w:szCs w:val="20"/>
                <w:color w:val="auto"/>
              </w:rPr>
            </w:pPr>
            <w:r>
              <w:rPr>
                <w:rFonts w:ascii="Arial" w:cs="Arial" w:eastAsia="Arial" w:hAnsi="Arial"/>
                <w:sz w:val="14"/>
                <w:szCs w:val="14"/>
                <w:color w:val="auto"/>
              </w:rPr>
              <w:t>Adjustable-rate</w:t>
            </w:r>
          </w:p>
        </w:tc>
        <w:tc>
          <w:tcPr>
            <w:tcW w:w="1320" w:type="dxa"/>
            <w:vAlign w:val="bottom"/>
            <w:gridSpan w:val="2"/>
          </w:tcPr>
          <w:p>
            <w:pPr>
              <w:ind w:left="820"/>
              <w:spacing w:after="0"/>
              <w:rPr>
                <w:sz w:val="20"/>
                <w:szCs w:val="20"/>
                <w:color w:val="auto"/>
              </w:rPr>
            </w:pPr>
            <w:r>
              <w:rPr>
                <w:rFonts w:ascii="Arial" w:cs="Arial" w:eastAsia="Arial" w:hAnsi="Arial"/>
                <w:sz w:val="15"/>
                <w:szCs w:val="15"/>
                <w:b w:val="1"/>
                <w:bCs w:val="1"/>
                <w:color w:val="auto"/>
              </w:rPr>
              <w:t>2.58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b w:val="1"/>
                <w:bCs w:val="1"/>
                <w:color w:val="auto"/>
              </w:rPr>
              <w:t>11,508</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ind w:left="680"/>
              <w:spacing w:after="0"/>
              <w:rPr>
                <w:sz w:val="20"/>
                <w:szCs w:val="20"/>
                <w:color w:val="auto"/>
              </w:rPr>
            </w:pPr>
            <w:r>
              <w:rPr>
                <w:rFonts w:ascii="Arial" w:cs="Arial" w:eastAsia="Arial" w:hAnsi="Arial"/>
                <w:sz w:val="15"/>
                <w:szCs w:val="15"/>
                <w:color w:val="auto"/>
              </w:rPr>
              <w:t>1.29</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14,823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00" w:type="dxa"/>
            <w:vAlign w:val="bottom"/>
          </w:tcPr>
          <w:p>
            <w:pPr>
              <w:ind w:left="160"/>
              <w:spacing w:after="0"/>
              <w:rPr>
                <w:sz w:val="20"/>
                <w:szCs w:val="20"/>
                <w:color w:val="auto"/>
              </w:rPr>
            </w:pPr>
            <w:r>
              <w:rPr>
                <w:rFonts w:ascii="Arial" w:cs="Arial" w:eastAsia="Arial" w:hAnsi="Arial"/>
                <w:sz w:val="14"/>
                <w:szCs w:val="14"/>
                <w:color w:val="auto"/>
              </w:rPr>
              <w:t>Other</w:t>
            </w:r>
          </w:p>
        </w:tc>
        <w:tc>
          <w:tcPr>
            <w:tcW w:w="1320" w:type="dxa"/>
            <w:vAlign w:val="bottom"/>
            <w:gridSpan w:val="2"/>
          </w:tcPr>
          <w:p>
            <w:pPr>
              <w:ind w:left="820"/>
              <w:spacing w:after="0"/>
              <w:rPr>
                <w:sz w:val="20"/>
                <w:szCs w:val="20"/>
                <w:color w:val="auto"/>
              </w:rPr>
            </w:pPr>
            <w:r>
              <w:rPr>
                <w:rFonts w:ascii="Arial" w:cs="Arial" w:eastAsia="Arial" w:hAnsi="Arial"/>
                <w:sz w:val="15"/>
                <w:szCs w:val="15"/>
                <w:b w:val="1"/>
                <w:bCs w:val="1"/>
                <w:color w:val="auto"/>
              </w:rPr>
              <w:t>0.86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ind w:right="8"/>
              <w:spacing w:after="0"/>
              <w:rPr>
                <w:sz w:val="20"/>
                <w:szCs w:val="20"/>
                <w:color w:val="auto"/>
              </w:rPr>
            </w:pPr>
            <w:r>
              <w:rPr>
                <w:rFonts w:ascii="Arial" w:cs="Arial" w:eastAsia="Arial" w:hAnsi="Arial"/>
                <w:sz w:val="15"/>
                <w:szCs w:val="15"/>
                <w:b w:val="1"/>
                <w:bCs w:val="1"/>
                <w:color w:val="auto"/>
              </w:rPr>
              <w:t>162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b w:val="1"/>
                <w:bCs w:val="1"/>
                <w:color w:val="auto"/>
              </w:rPr>
              <w:t>18,705</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ind w:left="680"/>
              <w:spacing w:after="0"/>
              <w:rPr>
                <w:sz w:val="20"/>
                <w:szCs w:val="20"/>
                <w:color w:val="auto"/>
              </w:rPr>
            </w:pPr>
            <w:r>
              <w:rPr>
                <w:rFonts w:ascii="Arial" w:cs="Arial" w:eastAsia="Arial" w:hAnsi="Arial"/>
                <w:sz w:val="15"/>
                <w:szCs w:val="15"/>
                <w:color w:val="auto"/>
              </w:rPr>
              <w:t>1.31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188</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21,396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220" w:hanging="217"/>
        <w:spacing w:after="0"/>
        <w:tabs>
          <w:tab w:leader="none" w:pos="220" w:val="left"/>
        </w:tabs>
        <w:numPr>
          <w:ilvl w:val="0"/>
          <w:numId w:val="77"/>
        </w:numPr>
        <w:rPr>
          <w:rFonts w:ascii="Arial" w:cs="Arial" w:eastAsia="Arial" w:hAnsi="Arial"/>
          <w:sz w:val="18"/>
          <w:szCs w:val="18"/>
          <w:color w:val="auto"/>
          <w:vertAlign w:val="superscript"/>
        </w:rPr>
      </w:pPr>
      <w:r>
        <w:rPr>
          <w:rFonts w:ascii="Arial" w:cs="Arial" w:eastAsia="Arial" w:hAnsi="Arial"/>
          <w:sz w:val="14"/>
          <w:szCs w:val="14"/>
          <w:color w:val="auto"/>
        </w:rPr>
        <w:t>Represents the average amount of delinquency-related amounts that were capitalized as part of the loan balance. Amounts are in whole dollars.</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77"/>
        </w:numPr>
        <w:rPr>
          <w:rFonts w:ascii="Arial" w:cs="Arial" w:eastAsia="Arial" w:hAnsi="Arial"/>
          <w:sz w:val="18"/>
          <w:szCs w:val="18"/>
          <w:color w:val="auto"/>
          <w:vertAlign w:val="superscript"/>
        </w:rPr>
      </w:pPr>
      <w:r>
        <w:rPr>
          <w:rFonts w:ascii="Arial" w:cs="Arial" w:eastAsia="Arial" w:hAnsi="Arial"/>
          <w:sz w:val="14"/>
          <w:szCs w:val="14"/>
          <w:color w:val="auto"/>
        </w:rPr>
        <w:t>Excludes the financial effects of modifications for loans that were paid off or otherwise liquidated as of period-end.</w:t>
      </w:r>
    </w:p>
    <w:p>
      <w:pPr>
        <w:spacing w:after="0" w:line="76"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The following tables display the amortized cost of HFI loans that defaulted during the period and had received a completed modification or payment deferral in the twelve months prior to the payment default. For purposes of this disclosure, we define loans that had a payment default as single-family loans with completed modifications that are two or more months delinquent during the period; or multifamily loans with completed modifications that are one or more months delinquent during the period. For loans that receive a forbearance plan, repayment plan or trial modification, these loss mitigation options generally remain in default until the loan is no longer delinquent as a result of the payment of all past-due amounts or as a result of a loan modification or payment deferral. Therefore, forbearance plans, repayment plans and trial modifications are not included in default tables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358775</wp:posOffset>
            </wp:positionV>
            <wp:extent cx="680593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86" w:name="page87"/>
    <w:bookmarkEnd w:id="86"/>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46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3300" w:type="dxa"/>
            <w:vAlign w:val="bottom"/>
            <w:tcBorders>
              <w:bottom w:val="single" w:sz="8" w:color="2C6937"/>
            </w:tcBorders>
            <w:gridSpan w:val="6"/>
          </w:tcPr>
          <w:p>
            <w:pPr>
              <w:ind w:left="20"/>
              <w:spacing w:after="0"/>
              <w:rPr>
                <w:sz w:val="20"/>
                <w:szCs w:val="20"/>
                <w:color w:val="auto"/>
              </w:rPr>
            </w:pPr>
            <w:r>
              <w:rPr>
                <w:rFonts w:ascii="Arial" w:cs="Arial" w:eastAsia="Arial" w:hAnsi="Arial"/>
                <w:sz w:val="14"/>
                <w:szCs w:val="14"/>
                <w:b w:val="1"/>
                <w:bCs w:val="1"/>
                <w:color w:val="auto"/>
              </w:rPr>
              <w:t>For the Three Months Ended September 30, 2024</w:t>
            </w:r>
          </w:p>
        </w:tc>
        <w:tc>
          <w:tcPr>
            <w:tcW w:w="360" w:type="dxa"/>
            <w:vAlign w:val="bottom"/>
            <w:tcBorders>
              <w:bottom w:val="single" w:sz="8" w:color="2C6937"/>
            </w:tcBorders>
          </w:tcPr>
          <w:p>
            <w:pPr>
              <w:spacing w:after="0"/>
              <w:rPr>
                <w:sz w:val="17"/>
                <w:szCs w:val="17"/>
                <w:color w:val="auto"/>
              </w:rPr>
            </w:pPr>
          </w:p>
        </w:tc>
        <w:tc>
          <w:tcPr>
            <w:tcW w:w="120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7"/>
              </w:rPr>
              <w:t>Payment Delay as a</w:t>
            </w: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3"/>
          </w:tcPr>
          <w:p>
            <w:pPr>
              <w:jc w:val="center"/>
              <w:ind w:right="80"/>
              <w:spacing w:after="0" w:line="145" w:lineRule="exact"/>
              <w:rPr>
                <w:sz w:val="20"/>
                <w:szCs w:val="20"/>
                <w:color w:val="auto"/>
              </w:rPr>
            </w:pPr>
            <w:r>
              <w:rPr>
                <w:rFonts w:ascii="Arial" w:cs="Arial" w:eastAsia="Arial" w:hAnsi="Arial"/>
                <w:sz w:val="14"/>
                <w:szCs w:val="14"/>
                <w:b w:val="1"/>
                <w:bCs w:val="1"/>
                <w:color w:val="auto"/>
                <w:w w:val="96"/>
              </w:rPr>
              <w:t>Payment Delay, Term</w:t>
            </w: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Payment Delay and</w:t>
            </w:r>
          </w:p>
        </w:tc>
        <w:tc>
          <w:tcPr>
            <w:tcW w:w="120" w:type="dxa"/>
            <w:vAlign w:val="bottom"/>
          </w:tcPr>
          <w:p>
            <w:pPr>
              <w:spacing w:after="0"/>
              <w:rPr>
                <w:sz w:val="12"/>
                <w:szCs w:val="12"/>
                <w:color w:val="auto"/>
              </w:rPr>
            </w:pPr>
          </w:p>
        </w:tc>
        <w:tc>
          <w:tcPr>
            <w:tcW w:w="152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w w:val="97"/>
              </w:rPr>
              <w:t>Extension, Interest</w:t>
            </w: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8"/>
              </w:rPr>
              <w:t>Result of a Payment</w:t>
            </w:r>
          </w:p>
        </w:tc>
        <w:tc>
          <w:tcPr>
            <w:tcW w:w="1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8"/>
              </w:rPr>
              <w:t>Rate Reduction and</w:t>
            </w:r>
          </w:p>
        </w:tc>
        <w:tc>
          <w:tcPr>
            <w:tcW w:w="360" w:type="dxa"/>
            <w:vAlign w:val="bottom"/>
          </w:tcPr>
          <w:p>
            <w:pPr>
              <w:spacing w:after="0"/>
              <w:rPr>
                <w:sz w:val="12"/>
                <w:szCs w:val="12"/>
                <w:color w:val="auto"/>
              </w:rPr>
            </w:pPr>
          </w:p>
        </w:tc>
        <w:tc>
          <w:tcPr>
            <w:tcW w:w="1200" w:type="dxa"/>
            <w:vAlign w:val="bottom"/>
            <w:vMerge w:val="restart"/>
          </w:tcPr>
          <w:p>
            <w:pPr>
              <w:jc w:val="right"/>
              <w:ind w:right="54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4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1460" w:type="dxa"/>
            <w:vAlign w:val="bottom"/>
            <w:tcBorders>
              <w:bottom w:val="single" w:sz="8" w:color="2C6937"/>
            </w:tcBorders>
          </w:tcPr>
          <w:p>
            <w:pPr>
              <w:jc w:val="center"/>
              <w:ind w:right="25"/>
              <w:spacing w:after="0"/>
              <w:rPr>
                <w:sz w:val="20"/>
                <w:szCs w:val="20"/>
                <w:color w:val="auto"/>
              </w:rPr>
            </w:pPr>
            <w:r>
              <w:rPr>
                <w:rFonts w:ascii="Arial" w:cs="Arial" w:eastAsia="Arial" w:hAnsi="Arial"/>
                <w:sz w:val="14"/>
                <w:szCs w:val="14"/>
                <w:b w:val="1"/>
                <w:bCs w:val="1"/>
                <w:color w:val="auto"/>
                <w:w w:val="98"/>
              </w:rPr>
              <w:t>Deferral (Only)</w:t>
            </w:r>
          </w:p>
        </w:tc>
        <w:tc>
          <w:tcPr>
            <w:tcW w:w="8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420" w:type="dxa"/>
            <w:vAlign w:val="bottom"/>
            <w:tcBorders>
              <w:bottom w:val="single" w:sz="8" w:color="2C6937"/>
            </w:tcBorders>
          </w:tcPr>
          <w:p>
            <w:pPr>
              <w:jc w:val="right"/>
              <w:ind w:right="185"/>
              <w:spacing w:after="0"/>
              <w:rPr>
                <w:sz w:val="20"/>
                <w:szCs w:val="20"/>
                <w:color w:val="auto"/>
              </w:rPr>
            </w:pPr>
            <w:r>
              <w:rPr>
                <w:rFonts w:ascii="Arial" w:cs="Arial" w:eastAsia="Arial" w:hAnsi="Arial"/>
                <w:sz w:val="14"/>
                <w:szCs w:val="14"/>
                <w:b w:val="1"/>
                <w:bCs w:val="1"/>
                <w:color w:val="auto"/>
              </w:rPr>
              <w:t>Term Extension</w:t>
            </w:r>
          </w:p>
        </w:tc>
        <w:tc>
          <w:tcPr>
            <w:tcW w:w="10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440" w:type="dxa"/>
            <w:vAlign w:val="bottom"/>
            <w:tcBorders>
              <w:bottom w:val="single" w:sz="8" w:color="2C6937"/>
            </w:tcBorders>
          </w:tcPr>
          <w:p>
            <w:pPr>
              <w:jc w:val="center"/>
              <w:ind w:right="45"/>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5"/>
                <w:szCs w:val="15"/>
                <w:color w:val="auto"/>
              </w:rPr>
            </w:pPr>
          </w:p>
        </w:tc>
        <w:tc>
          <w:tcPr>
            <w:tcW w:w="36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60" w:type="dxa"/>
            <w:vAlign w:val="bottom"/>
            <w:gridSpan w:val="5"/>
          </w:tcPr>
          <w:p>
            <w:pPr>
              <w:ind w:left="78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74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740" w:type="dxa"/>
            <w:vAlign w:val="bottom"/>
            <w:gridSpan w:val="2"/>
          </w:tcPr>
          <w:p>
            <w:pPr>
              <w:ind w:left="180"/>
              <w:spacing w:after="0"/>
              <w:rPr>
                <w:sz w:val="20"/>
                <w:szCs w:val="20"/>
                <w:color w:val="auto"/>
              </w:rPr>
            </w:pPr>
            <w:r>
              <w:rPr>
                <w:rFonts w:ascii="Arial" w:cs="Arial" w:eastAsia="Arial" w:hAnsi="Arial"/>
                <w:sz w:val="15"/>
                <w:szCs w:val="15"/>
                <w:color w:val="auto"/>
              </w:rPr>
              <w:t>20- and 30-year or more, amortizing fixed-rate</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ind w:right="5"/>
              <w:spacing w:after="0"/>
              <w:rPr>
                <w:sz w:val="20"/>
                <w:szCs w:val="20"/>
                <w:color w:val="auto"/>
              </w:rPr>
            </w:pPr>
            <w:r>
              <w:rPr>
                <w:rFonts w:ascii="Arial" w:cs="Arial" w:eastAsia="Arial" w:hAnsi="Arial"/>
                <w:sz w:val="15"/>
                <w:szCs w:val="15"/>
                <w:color w:val="auto"/>
              </w:rPr>
              <w:t>1,438</w:t>
            </w:r>
          </w:p>
        </w:tc>
        <w:tc>
          <w:tcPr>
            <w:tcW w:w="8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5"/>
                <w:szCs w:val="15"/>
                <w:color w:val="auto"/>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774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11</w:t>
            </w:r>
          </w:p>
        </w:tc>
        <w:tc>
          <w:tcPr>
            <w:tcW w:w="80" w:type="dxa"/>
            <w:vAlign w:val="bottom"/>
          </w:tcPr>
          <w:p>
            <w:pPr>
              <w:spacing w:after="0"/>
              <w:rPr>
                <w:sz w:val="21"/>
                <w:szCs w:val="21"/>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2,223</w:t>
            </w:r>
          </w:p>
        </w:tc>
        <w:tc>
          <w:tcPr>
            <w:tcW w:w="0" w:type="dxa"/>
            <w:vAlign w:val="bottom"/>
          </w:tcPr>
          <w:p>
            <w:pPr>
              <w:spacing w:after="0"/>
              <w:rPr>
                <w:sz w:val="1"/>
                <w:szCs w:val="1"/>
                <w:color w:val="auto"/>
              </w:rPr>
            </w:pPr>
          </w:p>
        </w:tc>
      </w:tr>
      <w:tr>
        <w:trPr>
          <w:trHeight w:val="232"/>
        </w:trPr>
        <w:tc>
          <w:tcPr>
            <w:tcW w:w="4740" w:type="dxa"/>
            <w:vAlign w:val="bottom"/>
            <w:gridSpan w:val="2"/>
          </w:tcPr>
          <w:p>
            <w:pPr>
              <w:ind w:left="180"/>
              <w:spacing w:after="0"/>
              <w:rPr>
                <w:sz w:val="20"/>
                <w:szCs w:val="20"/>
                <w:color w:val="auto"/>
              </w:rPr>
            </w:pPr>
            <w:r>
              <w:rPr>
                <w:rFonts w:ascii="Arial" w:cs="Arial" w:eastAsia="Arial" w:hAnsi="Arial"/>
                <w:sz w:val="15"/>
                <w:szCs w:val="15"/>
                <w:color w:val="auto"/>
              </w:rPr>
              <w:t>15-year or less, amortizing fixed-rate</w:t>
            </w:r>
          </w:p>
        </w:tc>
        <w:tc>
          <w:tcPr>
            <w:tcW w:w="100" w:type="dxa"/>
            <w:vAlign w:val="bottom"/>
          </w:tcPr>
          <w:p>
            <w:pPr>
              <w:spacing w:after="0"/>
              <w:rPr>
                <w:sz w:val="20"/>
                <w:szCs w:val="20"/>
                <w:color w:val="auto"/>
              </w:rPr>
            </w:pPr>
          </w:p>
        </w:tc>
        <w:tc>
          <w:tcPr>
            <w:tcW w:w="1460" w:type="dxa"/>
            <w:vAlign w:val="bottom"/>
          </w:tcPr>
          <w:p>
            <w:pPr>
              <w:jc w:val="right"/>
              <w:ind w:right="5"/>
              <w:spacing w:after="0"/>
              <w:rPr>
                <w:sz w:val="20"/>
                <w:szCs w:val="20"/>
                <w:color w:val="auto"/>
              </w:rPr>
            </w:pPr>
            <w:r>
              <w:rPr>
                <w:rFonts w:ascii="Arial" w:cs="Arial" w:eastAsia="Arial" w:hAnsi="Arial"/>
                <w:sz w:val="15"/>
                <w:szCs w:val="15"/>
                <w:color w:val="auto"/>
              </w:rPr>
              <w:t>40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232"/>
        </w:trPr>
        <w:tc>
          <w:tcPr>
            <w:tcW w:w="474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100" w:type="dxa"/>
            <w:vAlign w:val="bottom"/>
          </w:tcPr>
          <w:p>
            <w:pPr>
              <w:spacing w:after="0"/>
              <w:rPr>
                <w:sz w:val="20"/>
                <w:szCs w:val="20"/>
                <w:color w:val="auto"/>
              </w:rPr>
            </w:pPr>
          </w:p>
        </w:tc>
        <w:tc>
          <w:tcPr>
            <w:tcW w:w="1460" w:type="dxa"/>
            <w:vAlign w:val="bottom"/>
          </w:tcPr>
          <w:p>
            <w:pPr>
              <w:jc w:val="right"/>
              <w:ind w:right="5"/>
              <w:spacing w:after="0"/>
              <w:rPr>
                <w:sz w:val="20"/>
                <w:szCs w:val="20"/>
                <w:color w:val="auto"/>
              </w:rPr>
            </w:pPr>
            <w:r>
              <w:rPr>
                <w:rFonts w:ascii="Arial" w:cs="Arial" w:eastAsia="Arial" w:hAnsi="Arial"/>
                <w:sz w:val="15"/>
                <w:szCs w:val="15"/>
                <w:color w:val="auto"/>
              </w:rPr>
              <w:t>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33"/>
        </w:trPr>
        <w:tc>
          <w:tcPr>
            <w:tcW w:w="464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46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17</w:t>
            </w:r>
          </w:p>
        </w:tc>
        <w:tc>
          <w:tcPr>
            <w:tcW w:w="80" w:type="dxa"/>
            <w:vAlign w:val="bottom"/>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14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w:t>
            </w:r>
          </w:p>
        </w:tc>
        <w:tc>
          <w:tcPr>
            <w:tcW w:w="10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44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6</w:t>
            </w:r>
          </w:p>
        </w:tc>
        <w:tc>
          <w:tcPr>
            <w:tcW w:w="80" w:type="dxa"/>
            <w:vAlign w:val="bottom"/>
          </w:tcPr>
          <w:p>
            <w:pPr>
              <w:spacing w:after="0"/>
              <w:rPr>
                <w:sz w:val="20"/>
                <w:szCs w:val="20"/>
                <w:color w:val="auto"/>
              </w:rPr>
            </w:pPr>
          </w:p>
        </w:tc>
        <w:tc>
          <w:tcPr>
            <w:tcW w:w="360" w:type="dxa"/>
            <w:vAlign w:val="bottom"/>
            <w:tcBorders>
              <w:bottom w:val="single" w:sz="8" w:color="2C6937"/>
            </w:tcBorders>
          </w:tcPr>
          <w:p>
            <w:pPr>
              <w:spacing w:after="0"/>
              <w:rPr>
                <w:sz w:val="20"/>
                <w:szCs w:val="20"/>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224"/>
        </w:trPr>
        <w:tc>
          <w:tcPr>
            <w:tcW w:w="4740" w:type="dxa"/>
            <w:vAlign w:val="bottom"/>
            <w:gridSpan w:val="2"/>
          </w:tcPr>
          <w:p>
            <w:pPr>
              <w:ind w:left="20"/>
              <w:spacing w:after="0"/>
              <w:rPr>
                <w:sz w:val="20"/>
                <w:szCs w:val="20"/>
                <w:color w:val="auto"/>
              </w:rPr>
            </w:pPr>
            <w:r>
              <w:rPr>
                <w:rFonts w:ascii="Arial" w:cs="Arial" w:eastAsia="Arial" w:hAnsi="Arial"/>
                <w:sz w:val="15"/>
                <w:szCs w:val="15"/>
                <w:color w:val="auto"/>
              </w:rPr>
              <w:t>Total single-family</w:t>
            </w:r>
          </w:p>
        </w:tc>
        <w:tc>
          <w:tcPr>
            <w:tcW w:w="100" w:type="dxa"/>
            <w:vAlign w:val="bottom"/>
          </w:tcPr>
          <w:p>
            <w:pPr>
              <w:spacing w:after="0"/>
              <w:rPr>
                <w:sz w:val="19"/>
                <w:szCs w:val="19"/>
                <w:color w:val="auto"/>
              </w:rPr>
            </w:pPr>
          </w:p>
        </w:tc>
        <w:tc>
          <w:tcPr>
            <w:tcW w:w="1460" w:type="dxa"/>
            <w:vAlign w:val="bottom"/>
          </w:tcPr>
          <w:p>
            <w:pPr>
              <w:jc w:val="right"/>
              <w:ind w:right="5"/>
              <w:spacing w:after="0"/>
              <w:rPr>
                <w:sz w:val="20"/>
                <w:szCs w:val="20"/>
                <w:color w:val="auto"/>
              </w:rPr>
            </w:pPr>
            <w:r>
              <w:rPr>
                <w:rFonts w:ascii="Arial" w:cs="Arial" w:eastAsia="Arial" w:hAnsi="Arial"/>
                <w:sz w:val="15"/>
                <w:szCs w:val="15"/>
                <w:color w:val="auto"/>
              </w:rPr>
              <w:t>1,499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783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17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2,299</w:t>
            </w:r>
          </w:p>
        </w:tc>
        <w:tc>
          <w:tcPr>
            <w:tcW w:w="0" w:type="dxa"/>
            <w:vAlign w:val="bottom"/>
          </w:tcPr>
          <w:p>
            <w:pPr>
              <w:spacing w:after="0"/>
              <w:rPr>
                <w:sz w:val="1"/>
                <w:szCs w:val="1"/>
                <w:color w:val="auto"/>
              </w:rPr>
            </w:pPr>
          </w:p>
        </w:tc>
      </w:tr>
      <w:tr>
        <w:trPr>
          <w:trHeight w:val="233"/>
        </w:trPr>
        <w:tc>
          <w:tcPr>
            <w:tcW w:w="464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46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14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44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360" w:type="dxa"/>
            <w:vAlign w:val="bottom"/>
            <w:tcBorders>
              <w:bottom w:val="single" w:sz="8" w:color="2C6937"/>
            </w:tcBorders>
          </w:tcPr>
          <w:p>
            <w:pPr>
              <w:spacing w:after="0"/>
              <w:rPr>
                <w:sz w:val="20"/>
                <w:szCs w:val="20"/>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6"/>
        </w:trPr>
        <w:tc>
          <w:tcPr>
            <w:tcW w:w="4740" w:type="dxa"/>
            <w:vAlign w:val="bottom"/>
            <w:gridSpan w:val="2"/>
          </w:tcPr>
          <w:p>
            <w:pPr>
              <w:ind w:left="180"/>
              <w:spacing w:after="0" w:line="226" w:lineRule="exact"/>
              <w:rPr>
                <w:sz w:val="20"/>
                <w:szCs w:val="20"/>
                <w:color w:val="auto"/>
              </w:rPr>
            </w:pPr>
            <w:r>
              <w:rPr>
                <w:rFonts w:ascii="Arial" w:cs="Arial" w:eastAsia="Arial" w:hAnsi="Arial"/>
                <w:sz w:val="15"/>
                <w:szCs w:val="15"/>
                <w:color w:val="auto"/>
              </w:rPr>
              <w:t>Total loans that subsequently defaulted</w:t>
            </w:r>
            <w:r>
              <w:rPr>
                <w:rFonts w:ascii="Arial" w:cs="Arial" w:eastAsia="Arial" w:hAnsi="Arial"/>
                <w:sz w:val="20"/>
                <w:szCs w:val="20"/>
                <w:color w:val="auto"/>
                <w:vertAlign w:val="superscript"/>
              </w:rPr>
              <w:t>(1)(2)</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ind w:right="5"/>
              <w:spacing w:after="0"/>
              <w:rPr>
                <w:sz w:val="20"/>
                <w:szCs w:val="20"/>
                <w:color w:val="auto"/>
              </w:rPr>
            </w:pPr>
            <w:r>
              <w:rPr>
                <w:rFonts w:ascii="Arial" w:cs="Arial" w:eastAsia="Arial" w:hAnsi="Arial"/>
                <w:sz w:val="15"/>
                <w:szCs w:val="15"/>
                <w:color w:val="auto"/>
              </w:rPr>
              <w:t>1,499</w:t>
            </w:r>
          </w:p>
        </w:tc>
        <w:tc>
          <w:tcPr>
            <w:tcW w:w="8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5"/>
                <w:szCs w:val="15"/>
                <w:color w:val="auto"/>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783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17</w:t>
            </w:r>
          </w:p>
        </w:tc>
        <w:tc>
          <w:tcPr>
            <w:tcW w:w="80" w:type="dxa"/>
            <w:vAlign w:val="bottom"/>
          </w:tcPr>
          <w:p>
            <w:pPr>
              <w:spacing w:after="0"/>
              <w:rPr>
                <w:sz w:val="19"/>
                <w:szCs w:val="19"/>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2,299</w:t>
            </w:r>
          </w:p>
        </w:tc>
        <w:tc>
          <w:tcPr>
            <w:tcW w:w="0" w:type="dxa"/>
            <w:vAlign w:val="bottom"/>
          </w:tcPr>
          <w:p>
            <w:pPr>
              <w:spacing w:after="0"/>
              <w:rPr>
                <w:sz w:val="1"/>
                <w:szCs w:val="1"/>
                <w:color w:val="auto"/>
              </w:rPr>
            </w:pPr>
          </w:p>
        </w:tc>
      </w:tr>
      <w:tr>
        <w:trPr>
          <w:trHeight w:val="20"/>
        </w:trPr>
        <w:tc>
          <w:tcPr>
            <w:tcW w:w="46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46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4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4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2C6937"/>
              <w:bottom w:val="single" w:sz="8" w:color="2C6937"/>
            </w:tcBorders>
          </w:tcPr>
          <w:p>
            <w:pPr>
              <w:spacing w:after="0" w:line="20" w:lineRule="exact"/>
              <w:rPr>
                <w:sz w:val="1"/>
                <w:szCs w:val="1"/>
                <w:color w:val="auto"/>
              </w:rPr>
            </w:pPr>
          </w:p>
        </w:tc>
        <w:tc>
          <w:tcPr>
            <w:tcW w:w="120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left="6440"/>
        <w:spacing w:after="0"/>
        <w:rPr>
          <w:sz w:val="20"/>
          <w:szCs w:val="20"/>
          <w:color w:val="auto"/>
        </w:rPr>
      </w:pPr>
      <w:r>
        <w:rPr>
          <w:rFonts w:ascii="Arial" w:cs="Arial" w:eastAsia="Arial" w:hAnsi="Arial"/>
          <w:sz w:val="14"/>
          <w:szCs w:val="14"/>
          <w:b w:val="1"/>
          <w:bCs w:val="1"/>
          <w:color w:val="auto"/>
        </w:rPr>
        <w:t>For the Nine Months Ended September 30, 2024</w:t>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
        <w:spacing w:after="0"/>
        <w:rPr>
          <w:sz w:val="20"/>
          <w:szCs w:val="20"/>
          <w:color w:val="auto"/>
        </w:rPr>
      </w:pPr>
      <w:r>
        <w:rPr>
          <w:rFonts w:ascii="Arial" w:cs="Arial" w:eastAsia="Arial" w:hAnsi="Arial"/>
          <w:sz w:val="15"/>
          <w:szCs w:val="15"/>
          <w:color w:val="auto"/>
        </w:rPr>
        <w:t>Single-family:</w:t>
      </w:r>
    </w:p>
    <w:p>
      <w:pPr>
        <w:spacing w:after="0" w:line="7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20- and 30-year or more, amortizing fixed-rate</w:t>
      </w:r>
    </w:p>
    <w:p>
      <w:pPr>
        <w:spacing w:after="0" w:line="6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15-year or less, amortizing fixed-rate</w:t>
      </w:r>
    </w:p>
    <w:p>
      <w:pPr>
        <w:spacing w:after="0" w:line="47" w:lineRule="exact"/>
        <w:rPr>
          <w:sz w:val="20"/>
          <w:szCs w:val="20"/>
          <w:color w:val="auto"/>
        </w:rPr>
      </w:pPr>
    </w:p>
    <w:p>
      <w:pPr>
        <w:ind w:left="180"/>
        <w:spacing w:after="0"/>
        <w:rPr>
          <w:sz w:val="20"/>
          <w:szCs w:val="20"/>
          <w:color w:val="auto"/>
        </w:rPr>
      </w:pPr>
      <w:r>
        <w:rPr>
          <w:rFonts w:ascii="Arial" w:cs="Arial" w:eastAsia="Arial" w:hAnsi="Arial"/>
          <w:sz w:val="15"/>
          <w:szCs w:val="15"/>
          <w:color w:val="auto"/>
        </w:rPr>
        <w:t>Adjustable-rate</w:t>
      </w:r>
    </w:p>
    <w:p>
      <w:pPr>
        <w:spacing w:after="0" w:line="7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294703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947035" cy="8255"/>
                    </a:xfrm>
                    <a:prstGeom prst="rect">
                      <a:avLst/>
                    </a:prstGeom>
                    <a:noFill/>
                  </pic:spPr>
                </pic:pic>
              </a:graphicData>
            </a:graphic>
          </wp:anchor>
        </w:drawing>
      </w:r>
    </w:p>
    <w:p>
      <w:pPr>
        <w:spacing w:after="0" w:line="40" w:lineRule="exact"/>
        <w:rPr>
          <w:sz w:val="20"/>
          <w:szCs w:val="20"/>
          <w:color w:val="auto"/>
        </w:rPr>
      </w:pPr>
    </w:p>
    <w:p>
      <w:pPr>
        <w:ind w:left="20"/>
        <w:spacing w:after="0"/>
        <w:rPr>
          <w:sz w:val="20"/>
          <w:szCs w:val="20"/>
          <w:color w:val="auto"/>
        </w:rPr>
      </w:pPr>
      <w:r>
        <w:rPr>
          <w:rFonts w:ascii="Arial" w:cs="Arial" w:eastAsia="Arial" w:hAnsi="Arial"/>
          <w:sz w:val="15"/>
          <w:szCs w:val="15"/>
          <w:color w:val="auto"/>
        </w:rPr>
        <w:t>Total single-family</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Multifamily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294703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947035" cy="8255"/>
                    </a:xfrm>
                    <a:prstGeom prst="rect">
                      <a:avLst/>
                    </a:prstGeom>
                    <a:noFill/>
                  </pic:spPr>
                </pic:pic>
              </a:graphicData>
            </a:graphic>
          </wp:anchor>
        </w:drawing>
      </w:r>
    </w:p>
    <w:p>
      <w:pPr>
        <w:spacing w:after="0" w:line="41"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Total loans that subsequently defaulted</w:t>
      </w:r>
      <w:r>
        <w:rPr>
          <w:rFonts w:ascii="Arial" w:cs="Arial" w:eastAsia="Arial" w:hAnsi="Arial"/>
          <w:sz w:val="20"/>
          <w:szCs w:val="20"/>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294703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9470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wp:posOffset>
            </wp:positionV>
            <wp:extent cx="294703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9470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Arial" w:cs="Arial" w:eastAsia="Arial" w:hAnsi="Arial"/>
          <w:sz w:val="15"/>
          <w:szCs w:val="15"/>
          <w:color w:val="auto"/>
        </w:rPr>
        <w:t>Single-family:</w:t>
      </w:r>
    </w:p>
    <w:p>
      <w:pPr>
        <w:spacing w:after="0" w:line="6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20- and 30-year or more, amortizing fixed-rate</w:t>
      </w:r>
    </w:p>
    <w:p>
      <w:pPr>
        <w:spacing w:after="0" w:line="6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15-year or less, amortizing fixed-rate</w:t>
      </w:r>
    </w:p>
    <w:p>
      <w:pPr>
        <w:spacing w:after="0" w:line="6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Adjustable-rate</w:t>
      </w:r>
    </w:p>
    <w:p>
      <w:pPr>
        <w:spacing w:after="0" w:line="6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294703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947035" cy="8255"/>
                    </a:xfrm>
                    <a:prstGeom prst="rect">
                      <a:avLst/>
                    </a:prstGeom>
                    <a:noFill/>
                  </pic:spPr>
                </pic:pic>
              </a:graphicData>
            </a:graphic>
          </wp:anchor>
        </w:drawing>
      </w:r>
    </w:p>
    <w:p>
      <w:pPr>
        <w:spacing w:after="0" w:line="52" w:lineRule="exact"/>
        <w:rPr>
          <w:sz w:val="20"/>
          <w:szCs w:val="20"/>
          <w:color w:val="auto"/>
        </w:rPr>
      </w:pPr>
    </w:p>
    <w:p>
      <w:pPr>
        <w:ind w:left="20"/>
        <w:spacing w:after="0"/>
        <w:rPr>
          <w:sz w:val="20"/>
          <w:szCs w:val="20"/>
          <w:color w:val="auto"/>
        </w:rPr>
      </w:pPr>
      <w:r>
        <w:rPr>
          <w:rFonts w:ascii="Arial" w:cs="Arial" w:eastAsia="Arial" w:hAnsi="Arial"/>
          <w:sz w:val="15"/>
          <w:szCs w:val="15"/>
          <w:color w:val="auto"/>
        </w:rPr>
        <w:t>Total single-family</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Multifamily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294703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947035" cy="8255"/>
                    </a:xfrm>
                    <a:prstGeom prst="rect">
                      <a:avLst/>
                    </a:prstGeom>
                    <a:noFill/>
                  </pic:spPr>
                </pic:pic>
              </a:graphicData>
            </a:graphic>
          </wp:anchor>
        </w:drawing>
      </w:r>
    </w:p>
    <w:p>
      <w:pPr>
        <w:spacing w:after="0" w:line="5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Total loans that subsequently defaulted</w:t>
      </w:r>
      <w:r>
        <w:rPr>
          <w:rFonts w:ascii="Arial" w:cs="Arial" w:eastAsia="Arial" w:hAnsi="Arial"/>
          <w:sz w:val="20"/>
          <w:szCs w:val="20"/>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294703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9470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wp:posOffset>
            </wp:positionV>
            <wp:extent cx="294703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9470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00" w:type="dxa"/>
            <w:vAlign w:val="bottom"/>
            <w:tcBorders>
              <w:top w:val="single" w:sz="8" w:color="2C6937"/>
            </w:tcBorders>
          </w:tcPr>
          <w:p>
            <w:pPr>
              <w:spacing w:after="0"/>
              <w:rPr>
                <w:sz w:val="12"/>
                <w:szCs w:val="12"/>
                <w:color w:val="auto"/>
              </w:rPr>
            </w:pPr>
          </w:p>
        </w:tc>
        <w:tc>
          <w:tcPr>
            <w:tcW w:w="1540" w:type="dxa"/>
            <w:vAlign w:val="bottom"/>
            <w:tcBorders>
              <w:top w:val="single" w:sz="8" w:color="2C6937"/>
            </w:tcBorders>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7"/>
              </w:rPr>
              <w:t>Payment Delay as a</w:t>
            </w:r>
          </w:p>
        </w:tc>
        <w:tc>
          <w:tcPr>
            <w:tcW w:w="140" w:type="dxa"/>
            <w:vAlign w:val="bottom"/>
            <w:tcBorders>
              <w:top w:val="single" w:sz="8" w:color="2C6937"/>
            </w:tcBorders>
          </w:tcPr>
          <w:p>
            <w:pPr>
              <w:spacing w:after="0"/>
              <w:rPr>
                <w:sz w:val="12"/>
                <w:szCs w:val="12"/>
                <w:color w:val="auto"/>
              </w:rPr>
            </w:pPr>
          </w:p>
        </w:tc>
        <w:tc>
          <w:tcPr>
            <w:tcW w:w="1420" w:type="dxa"/>
            <w:vAlign w:val="bottom"/>
            <w:tcBorders>
              <w:top w:val="single" w:sz="8" w:color="2C6937"/>
            </w:tcBorders>
          </w:tcPr>
          <w:p>
            <w:pPr>
              <w:spacing w:after="0"/>
              <w:rPr>
                <w:sz w:val="12"/>
                <w:szCs w:val="12"/>
                <w:color w:val="auto"/>
              </w:rPr>
            </w:pPr>
          </w:p>
        </w:tc>
        <w:tc>
          <w:tcPr>
            <w:tcW w:w="100" w:type="dxa"/>
            <w:vAlign w:val="bottom"/>
            <w:tcBorders>
              <w:top w:val="single" w:sz="8" w:color="2C6937"/>
            </w:tcBorders>
          </w:tcPr>
          <w:p>
            <w:pPr>
              <w:spacing w:after="0"/>
              <w:rPr>
                <w:sz w:val="12"/>
                <w:szCs w:val="12"/>
                <w:color w:val="auto"/>
              </w:rPr>
            </w:pPr>
          </w:p>
        </w:tc>
        <w:tc>
          <w:tcPr>
            <w:tcW w:w="1640" w:type="dxa"/>
            <w:vAlign w:val="bottom"/>
            <w:tcBorders>
              <w:top w:val="single" w:sz="8" w:color="2C6937"/>
            </w:tcBorders>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Payment Delay, Term</w:t>
            </w:r>
          </w:p>
        </w:tc>
        <w:tc>
          <w:tcPr>
            <w:tcW w:w="360" w:type="dxa"/>
            <w:vAlign w:val="bottom"/>
            <w:tcBorders>
              <w:top w:val="single" w:sz="8" w:color="2C6937"/>
            </w:tcBorders>
          </w:tcPr>
          <w:p>
            <w:pPr>
              <w:spacing w:after="0"/>
              <w:rPr>
                <w:sz w:val="12"/>
                <w:szCs w:val="12"/>
                <w:color w:val="auto"/>
              </w:rPr>
            </w:pPr>
          </w:p>
        </w:tc>
        <w:tc>
          <w:tcPr>
            <w:tcW w:w="1200" w:type="dxa"/>
            <w:vAlign w:val="bottom"/>
            <w:tcBorders>
              <w:top w:val="single" w:sz="8" w:color="2C6937"/>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Payment Delay and</w:t>
            </w:r>
          </w:p>
        </w:tc>
        <w:tc>
          <w:tcPr>
            <w:tcW w:w="120" w:type="dxa"/>
            <w:vAlign w:val="bottom"/>
          </w:tcPr>
          <w:p>
            <w:pPr>
              <w:spacing w:after="0"/>
              <w:rPr>
                <w:sz w:val="12"/>
                <w:szCs w:val="12"/>
                <w:color w:val="auto"/>
              </w:rPr>
            </w:pPr>
          </w:p>
        </w:tc>
        <w:tc>
          <w:tcPr>
            <w:tcW w:w="15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7"/>
              </w:rPr>
              <w:t>Extension, Interest</w:t>
            </w: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154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8"/>
              </w:rPr>
              <w:t>Result of a Payment</w:t>
            </w:r>
          </w:p>
        </w:tc>
        <w:tc>
          <w:tcPr>
            <w:tcW w:w="1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8"/>
              </w:rPr>
              <w:t>Rate Reduction and</w:t>
            </w:r>
          </w:p>
        </w:tc>
        <w:tc>
          <w:tcPr>
            <w:tcW w:w="360" w:type="dxa"/>
            <w:vAlign w:val="bottom"/>
          </w:tcPr>
          <w:p>
            <w:pPr>
              <w:spacing w:after="0"/>
              <w:rPr>
                <w:sz w:val="12"/>
                <w:szCs w:val="12"/>
                <w:color w:val="auto"/>
              </w:rPr>
            </w:pPr>
          </w:p>
        </w:tc>
        <w:tc>
          <w:tcPr>
            <w:tcW w:w="1200" w:type="dxa"/>
            <w:vAlign w:val="bottom"/>
            <w:vMerge w:val="restart"/>
          </w:tcPr>
          <w:p>
            <w:pPr>
              <w:jc w:val="right"/>
              <w:ind w:right="54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100" w:type="dxa"/>
            <w:vAlign w:val="bottom"/>
            <w:tcBorders>
              <w:bottom w:val="single" w:sz="8" w:color="2C6937"/>
            </w:tcBorders>
          </w:tcPr>
          <w:p>
            <w:pPr>
              <w:spacing w:after="0"/>
              <w:rPr>
                <w:sz w:val="15"/>
                <w:szCs w:val="15"/>
                <w:color w:val="auto"/>
              </w:rPr>
            </w:pPr>
          </w:p>
        </w:tc>
        <w:tc>
          <w:tcPr>
            <w:tcW w:w="1460" w:type="dxa"/>
            <w:vAlign w:val="bottom"/>
            <w:tcBorders>
              <w:bottom w:val="single" w:sz="8" w:color="2C6937"/>
            </w:tcBorders>
          </w:tcPr>
          <w:p>
            <w:pPr>
              <w:jc w:val="center"/>
              <w:ind w:right="25"/>
              <w:spacing w:after="0"/>
              <w:rPr>
                <w:sz w:val="20"/>
                <w:szCs w:val="20"/>
                <w:color w:val="auto"/>
              </w:rPr>
            </w:pPr>
            <w:r>
              <w:rPr>
                <w:rFonts w:ascii="Arial" w:cs="Arial" w:eastAsia="Arial" w:hAnsi="Arial"/>
                <w:sz w:val="14"/>
                <w:szCs w:val="14"/>
                <w:b w:val="1"/>
                <w:bCs w:val="1"/>
                <w:color w:val="auto"/>
                <w:w w:val="98"/>
              </w:rPr>
              <w:t>Deferral (Only)</w:t>
            </w:r>
          </w:p>
        </w:tc>
        <w:tc>
          <w:tcPr>
            <w:tcW w:w="8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420" w:type="dxa"/>
            <w:vAlign w:val="bottom"/>
            <w:tcBorders>
              <w:bottom w:val="single" w:sz="8" w:color="2C6937"/>
            </w:tcBorders>
          </w:tcPr>
          <w:p>
            <w:pPr>
              <w:jc w:val="center"/>
              <w:ind w:right="45"/>
              <w:spacing w:after="0"/>
              <w:rPr>
                <w:sz w:val="20"/>
                <w:szCs w:val="20"/>
                <w:color w:val="auto"/>
              </w:rPr>
            </w:pPr>
            <w:r>
              <w:rPr>
                <w:rFonts w:ascii="Arial" w:cs="Arial" w:eastAsia="Arial" w:hAnsi="Arial"/>
                <w:sz w:val="14"/>
                <w:szCs w:val="14"/>
                <w:b w:val="1"/>
                <w:bCs w:val="1"/>
                <w:color w:val="auto"/>
                <w:w w:val="97"/>
              </w:rPr>
              <w:t>Term Extension</w:t>
            </w:r>
          </w:p>
        </w:tc>
        <w:tc>
          <w:tcPr>
            <w:tcW w:w="10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440" w:type="dxa"/>
            <w:vAlign w:val="bottom"/>
            <w:tcBorders>
              <w:bottom w:val="single" w:sz="8" w:color="2C6937"/>
            </w:tcBorders>
          </w:tcPr>
          <w:p>
            <w:pPr>
              <w:jc w:val="center"/>
              <w:ind w:right="45"/>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5"/>
                <w:szCs w:val="15"/>
                <w:color w:val="auto"/>
              </w:rPr>
            </w:pPr>
          </w:p>
        </w:tc>
        <w:tc>
          <w:tcPr>
            <w:tcW w:w="36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60" w:type="dxa"/>
            <w:vAlign w:val="bottom"/>
            <w:gridSpan w:val="5"/>
          </w:tcPr>
          <w:p>
            <w:pPr>
              <w:ind w:left="78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7"/>
        </w:trPr>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ind w:right="5"/>
              <w:spacing w:after="0"/>
              <w:rPr>
                <w:sz w:val="20"/>
                <w:szCs w:val="20"/>
                <w:color w:val="auto"/>
              </w:rPr>
            </w:pPr>
            <w:r>
              <w:rPr>
                <w:rFonts w:ascii="Arial" w:cs="Arial" w:eastAsia="Arial" w:hAnsi="Arial"/>
                <w:sz w:val="15"/>
                <w:szCs w:val="15"/>
                <w:color w:val="auto"/>
              </w:rPr>
              <w:t>2,592</w:t>
            </w:r>
          </w:p>
        </w:tc>
        <w:tc>
          <w:tcPr>
            <w:tcW w:w="80" w:type="dxa"/>
            <w:vAlign w:val="bottom"/>
          </w:tcPr>
          <w:p>
            <w:pPr>
              <w:spacing w:after="0"/>
              <w:rPr>
                <w:sz w:val="24"/>
                <w:szCs w:val="24"/>
                <w:color w:val="auto"/>
              </w:rPr>
            </w:pPr>
          </w:p>
        </w:tc>
        <w:tc>
          <w:tcPr>
            <w:tcW w:w="140" w:type="dxa"/>
            <w:vAlign w:val="bottom"/>
          </w:tcPr>
          <w:p>
            <w:pPr>
              <w:ind w:left="20"/>
              <w:spacing w:after="0"/>
              <w:rPr>
                <w:sz w:val="20"/>
                <w:szCs w:val="20"/>
                <w:color w:val="auto"/>
              </w:rPr>
            </w:pPr>
            <w:r>
              <w:rPr>
                <w:rFonts w:ascii="Arial" w:cs="Arial" w:eastAsia="Arial" w:hAnsi="Arial"/>
                <w:sz w:val="15"/>
                <w:szCs w:val="15"/>
                <w:color w:val="auto"/>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1,383</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25</w:t>
            </w:r>
          </w:p>
        </w:tc>
        <w:tc>
          <w:tcPr>
            <w:tcW w:w="80" w:type="dxa"/>
            <w:vAlign w:val="bottom"/>
          </w:tcPr>
          <w:p>
            <w:pPr>
              <w:spacing w:after="0"/>
              <w:rPr>
                <w:sz w:val="24"/>
                <w:szCs w:val="24"/>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4,000</w:t>
            </w:r>
          </w:p>
        </w:tc>
        <w:tc>
          <w:tcPr>
            <w:tcW w:w="0" w:type="dxa"/>
            <w:vAlign w:val="bottom"/>
          </w:tcPr>
          <w:p>
            <w:pPr>
              <w:spacing w:after="0"/>
              <w:rPr>
                <w:sz w:val="1"/>
                <w:szCs w:val="1"/>
                <w:color w:val="auto"/>
              </w:rPr>
            </w:pPr>
          </w:p>
        </w:tc>
      </w:tr>
      <w:tr>
        <w:trPr>
          <w:trHeight w:val="232"/>
        </w:trPr>
        <w:tc>
          <w:tcPr>
            <w:tcW w:w="100" w:type="dxa"/>
            <w:vAlign w:val="bottom"/>
          </w:tcPr>
          <w:p>
            <w:pPr>
              <w:spacing w:after="0"/>
              <w:rPr>
                <w:sz w:val="20"/>
                <w:szCs w:val="20"/>
                <w:color w:val="auto"/>
              </w:rPr>
            </w:pPr>
          </w:p>
        </w:tc>
        <w:tc>
          <w:tcPr>
            <w:tcW w:w="1460" w:type="dxa"/>
            <w:vAlign w:val="bottom"/>
          </w:tcPr>
          <w:p>
            <w:pPr>
              <w:jc w:val="right"/>
              <w:ind w:right="5"/>
              <w:spacing w:after="0"/>
              <w:rPr>
                <w:sz w:val="20"/>
                <w:szCs w:val="20"/>
                <w:color w:val="auto"/>
              </w:rPr>
            </w:pPr>
            <w:r>
              <w:rPr>
                <w:rFonts w:ascii="Arial" w:cs="Arial" w:eastAsia="Arial" w:hAnsi="Arial"/>
                <w:sz w:val="15"/>
                <w:szCs w:val="15"/>
                <w:color w:val="auto"/>
              </w:rPr>
              <w:t>73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73</w:t>
            </w:r>
          </w:p>
        </w:tc>
        <w:tc>
          <w:tcPr>
            <w:tcW w:w="0" w:type="dxa"/>
            <w:vAlign w:val="bottom"/>
          </w:tcPr>
          <w:p>
            <w:pPr>
              <w:spacing w:after="0"/>
              <w:rPr>
                <w:sz w:val="1"/>
                <w:szCs w:val="1"/>
                <w:color w:val="auto"/>
              </w:rPr>
            </w:pPr>
          </w:p>
        </w:tc>
      </w:tr>
      <w:tr>
        <w:trPr>
          <w:trHeight w:val="232"/>
        </w:trPr>
        <w:tc>
          <w:tcPr>
            <w:tcW w:w="100" w:type="dxa"/>
            <w:vAlign w:val="bottom"/>
          </w:tcPr>
          <w:p>
            <w:pPr>
              <w:spacing w:after="0"/>
              <w:rPr>
                <w:sz w:val="20"/>
                <w:szCs w:val="20"/>
                <w:color w:val="auto"/>
              </w:rPr>
            </w:pPr>
          </w:p>
        </w:tc>
        <w:tc>
          <w:tcPr>
            <w:tcW w:w="1460" w:type="dxa"/>
            <w:vAlign w:val="bottom"/>
          </w:tcPr>
          <w:p>
            <w:pPr>
              <w:jc w:val="right"/>
              <w:ind w:right="5"/>
              <w:spacing w:after="0"/>
              <w:rPr>
                <w:sz w:val="20"/>
                <w:szCs w:val="20"/>
                <w:color w:val="auto"/>
              </w:rPr>
            </w:pPr>
            <w:r>
              <w:rPr>
                <w:rFonts w:ascii="Arial" w:cs="Arial" w:eastAsia="Arial" w:hAnsi="Arial"/>
                <w:sz w:val="15"/>
                <w:szCs w:val="15"/>
                <w:color w:val="auto"/>
              </w:rPr>
              <w:t>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33"/>
        </w:trPr>
        <w:tc>
          <w:tcPr>
            <w:tcW w:w="100" w:type="dxa"/>
            <w:vAlign w:val="bottom"/>
            <w:tcBorders>
              <w:bottom w:val="single" w:sz="8" w:color="2C6937"/>
            </w:tcBorders>
          </w:tcPr>
          <w:p>
            <w:pPr>
              <w:spacing w:after="0"/>
              <w:rPr>
                <w:sz w:val="20"/>
                <w:szCs w:val="20"/>
                <w:color w:val="auto"/>
              </w:rPr>
            </w:pPr>
          </w:p>
        </w:tc>
        <w:tc>
          <w:tcPr>
            <w:tcW w:w="146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33</w:t>
            </w:r>
          </w:p>
        </w:tc>
        <w:tc>
          <w:tcPr>
            <w:tcW w:w="80" w:type="dxa"/>
            <w:vAlign w:val="bottom"/>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14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44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12</w:t>
            </w:r>
          </w:p>
        </w:tc>
        <w:tc>
          <w:tcPr>
            <w:tcW w:w="80" w:type="dxa"/>
            <w:vAlign w:val="bottom"/>
          </w:tcPr>
          <w:p>
            <w:pPr>
              <w:spacing w:after="0"/>
              <w:rPr>
                <w:sz w:val="20"/>
                <w:szCs w:val="20"/>
                <w:color w:val="auto"/>
              </w:rPr>
            </w:pPr>
          </w:p>
        </w:tc>
        <w:tc>
          <w:tcPr>
            <w:tcW w:w="360" w:type="dxa"/>
            <w:vAlign w:val="bottom"/>
            <w:tcBorders>
              <w:bottom w:val="single" w:sz="8" w:color="2C6937"/>
            </w:tcBorders>
          </w:tcPr>
          <w:p>
            <w:pPr>
              <w:spacing w:after="0"/>
              <w:rPr>
                <w:sz w:val="20"/>
                <w:szCs w:val="20"/>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r>
        <w:trPr>
          <w:trHeight w:val="224"/>
        </w:trPr>
        <w:tc>
          <w:tcPr>
            <w:tcW w:w="100" w:type="dxa"/>
            <w:vAlign w:val="bottom"/>
          </w:tcPr>
          <w:p>
            <w:pPr>
              <w:spacing w:after="0"/>
              <w:rPr>
                <w:sz w:val="19"/>
                <w:szCs w:val="19"/>
                <w:color w:val="auto"/>
              </w:rPr>
            </w:pPr>
          </w:p>
        </w:tc>
        <w:tc>
          <w:tcPr>
            <w:tcW w:w="1460" w:type="dxa"/>
            <w:vAlign w:val="bottom"/>
          </w:tcPr>
          <w:p>
            <w:pPr>
              <w:jc w:val="right"/>
              <w:ind w:right="5"/>
              <w:spacing w:after="0"/>
              <w:rPr>
                <w:sz w:val="20"/>
                <w:szCs w:val="20"/>
                <w:color w:val="auto"/>
              </w:rPr>
            </w:pPr>
            <w:r>
              <w:rPr>
                <w:rFonts w:ascii="Arial" w:cs="Arial" w:eastAsia="Arial" w:hAnsi="Arial"/>
                <w:sz w:val="15"/>
                <w:szCs w:val="15"/>
                <w:color w:val="auto"/>
              </w:rPr>
              <w:t>2,705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1,398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39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4,142</w:t>
            </w:r>
          </w:p>
        </w:tc>
        <w:tc>
          <w:tcPr>
            <w:tcW w:w="0" w:type="dxa"/>
            <w:vAlign w:val="bottom"/>
          </w:tcPr>
          <w:p>
            <w:pPr>
              <w:spacing w:after="0"/>
              <w:rPr>
                <w:sz w:val="1"/>
                <w:szCs w:val="1"/>
                <w:color w:val="auto"/>
              </w:rPr>
            </w:pPr>
          </w:p>
        </w:tc>
      </w:tr>
      <w:tr>
        <w:trPr>
          <w:trHeight w:val="233"/>
        </w:trPr>
        <w:tc>
          <w:tcPr>
            <w:tcW w:w="100" w:type="dxa"/>
            <w:vAlign w:val="bottom"/>
          </w:tcPr>
          <w:p>
            <w:pPr>
              <w:spacing w:after="0"/>
              <w:rPr>
                <w:sz w:val="20"/>
                <w:szCs w:val="20"/>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9"/>
        </w:trPr>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Borders>
              <w:top w:val="single" w:sz="8" w:color="2C6937"/>
              <w:bottom w:val="single" w:sz="8" w:color="2C6937"/>
            </w:tcBorders>
          </w:tcPr>
          <w:p>
            <w:pPr>
              <w:jc w:val="right"/>
              <w:ind w:right="5"/>
              <w:spacing w:after="0"/>
              <w:rPr>
                <w:sz w:val="20"/>
                <w:szCs w:val="20"/>
                <w:color w:val="auto"/>
              </w:rPr>
            </w:pPr>
            <w:r>
              <w:rPr>
                <w:rFonts w:ascii="Arial" w:cs="Arial" w:eastAsia="Arial" w:hAnsi="Arial"/>
                <w:sz w:val="15"/>
                <w:szCs w:val="15"/>
                <w:color w:val="auto"/>
              </w:rPr>
              <w:t>2,705</w:t>
            </w:r>
          </w:p>
        </w:tc>
        <w:tc>
          <w:tcPr>
            <w:tcW w:w="80" w:type="dxa"/>
            <w:vAlign w:val="bottom"/>
          </w:tcPr>
          <w:p>
            <w:pPr>
              <w:spacing w:after="0"/>
              <w:rPr>
                <w:sz w:val="19"/>
                <w:szCs w:val="19"/>
                <w:color w:val="auto"/>
              </w:rPr>
            </w:pPr>
          </w:p>
        </w:tc>
        <w:tc>
          <w:tcPr>
            <w:tcW w:w="140" w:type="dxa"/>
            <w:vAlign w:val="bottom"/>
            <w:tcBorders>
              <w:top w:val="single" w:sz="8" w:color="2C6937"/>
              <w:bottom w:val="single" w:sz="8" w:color="2C6937"/>
            </w:tcBorders>
          </w:tcPr>
          <w:p>
            <w:pPr>
              <w:ind w:left="20"/>
              <w:spacing w:after="0"/>
              <w:rPr>
                <w:sz w:val="20"/>
                <w:szCs w:val="20"/>
                <w:color w:val="auto"/>
              </w:rPr>
            </w:pPr>
            <w:r>
              <w:rPr>
                <w:rFonts w:ascii="Arial" w:cs="Arial" w:eastAsia="Arial" w:hAnsi="Arial"/>
                <w:sz w:val="15"/>
                <w:szCs w:val="15"/>
                <w:color w:val="auto"/>
              </w:rPr>
              <w:t>$</w:t>
            </w:r>
          </w:p>
        </w:tc>
        <w:tc>
          <w:tcPr>
            <w:tcW w:w="14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1,398</w:t>
            </w:r>
          </w:p>
        </w:tc>
        <w:tc>
          <w:tcPr>
            <w:tcW w:w="100" w:type="dxa"/>
            <w:vAlign w:val="bottom"/>
          </w:tcPr>
          <w:p>
            <w:pPr>
              <w:spacing w:after="0"/>
              <w:rPr>
                <w:sz w:val="19"/>
                <w:szCs w:val="19"/>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Borders>
              <w:top w:val="single" w:sz="8" w:color="2C6937"/>
              <w:bottom w:val="single" w:sz="8" w:color="2C6937"/>
            </w:tcBorders>
          </w:tcPr>
          <w:p>
            <w:pPr>
              <w:jc w:val="right"/>
              <w:ind w:right="5"/>
              <w:spacing w:after="0"/>
              <w:rPr>
                <w:sz w:val="20"/>
                <w:szCs w:val="20"/>
                <w:color w:val="auto"/>
              </w:rPr>
            </w:pPr>
            <w:r>
              <w:rPr>
                <w:rFonts w:ascii="Arial" w:cs="Arial" w:eastAsia="Arial" w:hAnsi="Arial"/>
                <w:sz w:val="15"/>
                <w:szCs w:val="15"/>
                <w:color w:val="auto"/>
              </w:rPr>
              <w:t>43</w:t>
            </w:r>
          </w:p>
        </w:tc>
        <w:tc>
          <w:tcPr>
            <w:tcW w:w="80" w:type="dxa"/>
            <w:vAlign w:val="bottom"/>
          </w:tcPr>
          <w:p>
            <w:pPr>
              <w:spacing w:after="0"/>
              <w:rPr>
                <w:sz w:val="19"/>
                <w:szCs w:val="19"/>
                <w:color w:val="auto"/>
              </w:rPr>
            </w:pPr>
          </w:p>
        </w:tc>
        <w:tc>
          <w:tcPr>
            <w:tcW w:w="360" w:type="dxa"/>
            <w:vAlign w:val="bottom"/>
            <w:tcBorders>
              <w:top w:val="single" w:sz="8" w:color="2C6937"/>
              <w:bottom w:val="single" w:sz="8" w:color="2C6937"/>
            </w:tcBorders>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4,146</w:t>
            </w:r>
          </w:p>
        </w:tc>
        <w:tc>
          <w:tcPr>
            <w:tcW w:w="0" w:type="dxa"/>
            <w:vAlign w:val="bottom"/>
          </w:tcPr>
          <w:p>
            <w:pPr>
              <w:spacing w:after="0"/>
              <w:rPr>
                <w:sz w:val="1"/>
                <w:szCs w:val="1"/>
                <w:color w:val="auto"/>
              </w:rPr>
            </w:pPr>
          </w:p>
        </w:tc>
      </w:tr>
      <w:tr>
        <w:trPr>
          <w:trHeight w:val="26"/>
        </w:trPr>
        <w:tc>
          <w:tcPr>
            <w:tcW w:w="100" w:type="dxa"/>
            <w:vAlign w:val="bottom"/>
            <w:tcBorders>
              <w:bottom w:val="single" w:sz="8" w:color="2C6937"/>
            </w:tcBorders>
          </w:tcPr>
          <w:p>
            <w:pPr>
              <w:spacing w:after="0"/>
              <w:rPr>
                <w:sz w:val="2"/>
                <w:szCs w:val="2"/>
                <w:color w:val="auto"/>
              </w:rPr>
            </w:pPr>
          </w:p>
        </w:tc>
        <w:tc>
          <w:tcPr>
            <w:tcW w:w="146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Borders>
              <w:bottom w:val="single" w:sz="8" w:color="2C6937"/>
            </w:tcBorders>
            <w:gridSpan w:val="2"/>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2C6937"/>
            </w:tcBorders>
            <w:gridSpan w:val="2"/>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2C6937"/>
            </w:tcBorders>
          </w:tcPr>
          <w:p>
            <w:pPr>
              <w:spacing w:after="0"/>
              <w:rPr>
                <w:sz w:val="2"/>
                <w:szCs w:val="2"/>
                <w:color w:val="auto"/>
              </w:rPr>
            </w:pPr>
          </w:p>
        </w:tc>
        <w:tc>
          <w:tcPr>
            <w:tcW w:w="1200" w:type="dxa"/>
            <w:vAlign w:val="bottom"/>
            <w:tcBorders>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r>
        <w:trPr>
          <w:trHeight w:val="411"/>
        </w:trPr>
        <w:tc>
          <w:tcPr>
            <w:tcW w:w="100" w:type="dxa"/>
            <w:vAlign w:val="bottom"/>
            <w:tcBorders>
              <w:bottom w:val="single" w:sz="8" w:color="2C6937"/>
            </w:tcBorders>
          </w:tcPr>
          <w:p>
            <w:pPr>
              <w:spacing w:after="0"/>
              <w:rPr>
                <w:sz w:val="24"/>
                <w:szCs w:val="24"/>
                <w:color w:val="auto"/>
              </w:rPr>
            </w:pPr>
          </w:p>
        </w:tc>
        <w:tc>
          <w:tcPr>
            <w:tcW w:w="146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3300" w:type="dxa"/>
            <w:vAlign w:val="bottom"/>
            <w:tcBorders>
              <w:bottom w:val="single" w:sz="8" w:color="2C6937"/>
            </w:tcBorders>
            <w:gridSpan w:val="6"/>
          </w:tcPr>
          <w:p>
            <w:pPr>
              <w:ind w:left="20"/>
              <w:spacing w:after="0"/>
              <w:rPr>
                <w:sz w:val="20"/>
                <w:szCs w:val="20"/>
                <w:color w:val="auto"/>
              </w:rPr>
            </w:pPr>
            <w:r>
              <w:rPr>
                <w:rFonts w:ascii="Arial" w:cs="Arial" w:eastAsia="Arial" w:hAnsi="Arial"/>
                <w:sz w:val="14"/>
                <w:szCs w:val="14"/>
                <w:b w:val="1"/>
                <w:bCs w:val="1"/>
                <w:color w:val="auto"/>
              </w:rPr>
              <w:t>For the Three Months Ended September 30, 2023</w:t>
            </w:r>
          </w:p>
        </w:tc>
        <w:tc>
          <w:tcPr>
            <w:tcW w:w="360" w:type="dxa"/>
            <w:vAlign w:val="bottom"/>
            <w:tcBorders>
              <w:bottom w:val="single" w:sz="8" w:color="2C6937"/>
            </w:tcBorders>
          </w:tcPr>
          <w:p>
            <w:pPr>
              <w:spacing w:after="0"/>
              <w:rPr>
                <w:sz w:val="24"/>
                <w:szCs w:val="24"/>
                <w:color w:val="auto"/>
              </w:rPr>
            </w:pPr>
          </w:p>
        </w:tc>
        <w:tc>
          <w:tcPr>
            <w:tcW w:w="120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100" w:type="dxa"/>
            <w:vAlign w:val="bottom"/>
          </w:tcPr>
          <w:p>
            <w:pPr>
              <w:spacing w:after="0"/>
              <w:rPr>
                <w:sz w:val="12"/>
                <w:szCs w:val="12"/>
                <w:color w:val="auto"/>
              </w:rPr>
            </w:pPr>
          </w:p>
        </w:tc>
        <w:tc>
          <w:tcPr>
            <w:tcW w:w="154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7"/>
              </w:rPr>
              <w:t>Payment Delay as a</w:t>
            </w:r>
          </w:p>
        </w:tc>
        <w:tc>
          <w:tcPr>
            <w:tcW w:w="140" w:type="dxa"/>
            <w:vAlign w:val="bottom"/>
          </w:tcPr>
          <w:p>
            <w:pPr>
              <w:spacing w:after="0"/>
              <w:rPr>
                <w:sz w:val="12"/>
                <w:szCs w:val="12"/>
                <w:color w:val="auto"/>
              </w:rPr>
            </w:pPr>
          </w:p>
        </w:tc>
        <w:tc>
          <w:tcPr>
            <w:tcW w:w="15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Payment Delay and</w:t>
            </w:r>
          </w:p>
        </w:tc>
        <w:tc>
          <w:tcPr>
            <w:tcW w:w="1640" w:type="dxa"/>
            <w:vAlign w:val="bottom"/>
            <w:gridSpan w:val="3"/>
          </w:tcPr>
          <w:p>
            <w:pPr>
              <w:jc w:val="center"/>
              <w:ind w:right="80"/>
              <w:spacing w:after="0" w:line="145" w:lineRule="exact"/>
              <w:rPr>
                <w:sz w:val="20"/>
                <w:szCs w:val="20"/>
                <w:color w:val="auto"/>
              </w:rPr>
            </w:pPr>
            <w:r>
              <w:rPr>
                <w:rFonts w:ascii="Arial" w:cs="Arial" w:eastAsia="Arial" w:hAnsi="Arial"/>
                <w:sz w:val="14"/>
                <w:szCs w:val="14"/>
                <w:b w:val="1"/>
                <w:bCs w:val="1"/>
                <w:color w:val="auto"/>
                <w:w w:val="96"/>
              </w:rPr>
              <w:t>Payment Delay, Term</w:t>
            </w: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154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8"/>
              </w:rPr>
              <w:t>Result of a Payment</w:t>
            </w:r>
          </w:p>
        </w:tc>
        <w:tc>
          <w:tcPr>
            <w:tcW w:w="1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40" w:type="dxa"/>
            <w:vAlign w:val="bottom"/>
            <w:gridSpan w:val="3"/>
          </w:tcPr>
          <w:p>
            <w:pPr>
              <w:jc w:val="center"/>
              <w:ind w:right="80"/>
              <w:spacing w:after="0" w:line="142" w:lineRule="exact"/>
              <w:rPr>
                <w:sz w:val="20"/>
                <w:szCs w:val="20"/>
                <w:color w:val="auto"/>
              </w:rPr>
            </w:pPr>
            <w:r>
              <w:rPr>
                <w:rFonts w:ascii="Arial" w:cs="Arial" w:eastAsia="Arial" w:hAnsi="Arial"/>
                <w:sz w:val="14"/>
                <w:szCs w:val="14"/>
                <w:b w:val="1"/>
                <w:bCs w:val="1"/>
                <w:color w:val="auto"/>
                <w:w w:val="98"/>
              </w:rPr>
              <w:t>Extension and Interest</w:t>
            </w:r>
          </w:p>
        </w:tc>
        <w:tc>
          <w:tcPr>
            <w:tcW w:w="360" w:type="dxa"/>
            <w:vAlign w:val="bottom"/>
          </w:tcPr>
          <w:p>
            <w:pPr>
              <w:spacing w:after="0"/>
              <w:rPr>
                <w:sz w:val="12"/>
                <w:szCs w:val="12"/>
                <w:color w:val="auto"/>
              </w:rPr>
            </w:pPr>
          </w:p>
        </w:tc>
        <w:tc>
          <w:tcPr>
            <w:tcW w:w="1200" w:type="dxa"/>
            <w:vAlign w:val="bottom"/>
            <w:vMerge w:val="restart"/>
          </w:tcPr>
          <w:p>
            <w:pPr>
              <w:jc w:val="right"/>
              <w:ind w:right="54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7"/>
        </w:trPr>
        <w:tc>
          <w:tcPr>
            <w:tcW w:w="100" w:type="dxa"/>
            <w:vAlign w:val="bottom"/>
            <w:tcBorders>
              <w:bottom w:val="single" w:sz="8" w:color="2C6937"/>
            </w:tcBorders>
          </w:tcPr>
          <w:p>
            <w:pPr>
              <w:spacing w:after="0"/>
              <w:rPr>
                <w:sz w:val="15"/>
                <w:szCs w:val="15"/>
                <w:color w:val="auto"/>
              </w:rPr>
            </w:pPr>
          </w:p>
        </w:tc>
        <w:tc>
          <w:tcPr>
            <w:tcW w:w="1540" w:type="dxa"/>
            <w:vAlign w:val="bottom"/>
            <w:tcBorders>
              <w:bottom w:val="single" w:sz="8" w:color="2C6937"/>
            </w:tcBorders>
            <w:gridSpan w:val="2"/>
          </w:tcPr>
          <w:p>
            <w:pPr>
              <w:jc w:val="center"/>
              <w:ind w:right="180"/>
              <w:spacing w:after="0"/>
              <w:rPr>
                <w:sz w:val="20"/>
                <w:szCs w:val="20"/>
                <w:color w:val="auto"/>
              </w:rPr>
            </w:pPr>
            <w:r>
              <w:rPr>
                <w:rFonts w:ascii="Arial" w:cs="Arial" w:eastAsia="Arial" w:hAnsi="Arial"/>
                <w:sz w:val="14"/>
                <w:szCs w:val="14"/>
                <w:b w:val="1"/>
                <w:bCs w:val="1"/>
                <w:color w:val="auto"/>
                <w:w w:val="98"/>
              </w:rPr>
              <w:t>Deferral (Only)</w:t>
            </w:r>
          </w:p>
        </w:tc>
        <w:tc>
          <w:tcPr>
            <w:tcW w:w="140" w:type="dxa"/>
            <w:vAlign w:val="bottom"/>
            <w:tcBorders>
              <w:bottom w:val="single" w:sz="8" w:color="2C6937"/>
            </w:tcBorders>
          </w:tcPr>
          <w:p>
            <w:pPr>
              <w:spacing w:after="0"/>
              <w:rPr>
                <w:sz w:val="15"/>
                <w:szCs w:val="15"/>
                <w:color w:val="auto"/>
              </w:rPr>
            </w:pPr>
          </w:p>
        </w:tc>
        <w:tc>
          <w:tcPr>
            <w:tcW w:w="152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4"/>
                <w:szCs w:val="14"/>
                <w:b w:val="1"/>
                <w:bCs w:val="1"/>
                <w:color w:val="auto"/>
                <w:w w:val="97"/>
              </w:rPr>
              <w:t>Term Extension</w:t>
            </w:r>
          </w:p>
        </w:tc>
        <w:tc>
          <w:tcPr>
            <w:tcW w:w="120" w:type="dxa"/>
            <w:vAlign w:val="bottom"/>
            <w:tcBorders>
              <w:bottom w:val="single" w:sz="8" w:color="2C6937"/>
            </w:tcBorders>
          </w:tcPr>
          <w:p>
            <w:pPr>
              <w:spacing w:after="0"/>
              <w:rPr>
                <w:sz w:val="15"/>
                <w:szCs w:val="15"/>
                <w:color w:val="auto"/>
              </w:rPr>
            </w:pPr>
          </w:p>
        </w:tc>
        <w:tc>
          <w:tcPr>
            <w:tcW w:w="152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14"/>
                <w:szCs w:val="14"/>
                <w:b w:val="1"/>
                <w:bCs w:val="1"/>
                <w:color w:val="auto"/>
                <w:w w:val="97"/>
              </w:rPr>
              <w:t>Rate Reduction</w:t>
            </w:r>
          </w:p>
        </w:tc>
        <w:tc>
          <w:tcPr>
            <w:tcW w:w="36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60" w:type="dxa"/>
            <w:vAlign w:val="bottom"/>
            <w:gridSpan w:val="5"/>
          </w:tcPr>
          <w:p>
            <w:pPr>
              <w:ind w:left="8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4"/>
        </w:trPr>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ind w:right="5"/>
              <w:spacing w:after="0"/>
              <w:rPr>
                <w:sz w:val="20"/>
                <w:szCs w:val="20"/>
                <w:color w:val="auto"/>
              </w:rPr>
            </w:pPr>
            <w:r>
              <w:rPr>
                <w:rFonts w:ascii="Arial" w:cs="Arial" w:eastAsia="Arial" w:hAnsi="Arial"/>
                <w:sz w:val="15"/>
                <w:szCs w:val="15"/>
                <w:color w:val="auto"/>
              </w:rPr>
              <w:t>861</w:t>
            </w:r>
          </w:p>
        </w:tc>
        <w:tc>
          <w:tcPr>
            <w:tcW w:w="80" w:type="dxa"/>
            <w:vAlign w:val="bottom"/>
          </w:tcPr>
          <w:p>
            <w:pPr>
              <w:spacing w:after="0"/>
              <w:rPr>
                <w:sz w:val="24"/>
                <w:szCs w:val="24"/>
                <w:color w:val="auto"/>
              </w:rPr>
            </w:pPr>
          </w:p>
        </w:tc>
        <w:tc>
          <w:tcPr>
            <w:tcW w:w="140" w:type="dxa"/>
            <w:vAlign w:val="bottom"/>
          </w:tcPr>
          <w:p>
            <w:pPr>
              <w:ind w:left="20"/>
              <w:spacing w:after="0"/>
              <w:rPr>
                <w:sz w:val="20"/>
                <w:szCs w:val="20"/>
                <w:color w:val="auto"/>
              </w:rPr>
            </w:pPr>
            <w:r>
              <w:rPr>
                <w:rFonts w:ascii="Arial" w:cs="Arial" w:eastAsia="Arial" w:hAnsi="Arial"/>
                <w:sz w:val="15"/>
                <w:szCs w:val="15"/>
                <w:color w:val="auto"/>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468</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80</w:t>
            </w:r>
          </w:p>
        </w:tc>
        <w:tc>
          <w:tcPr>
            <w:tcW w:w="80" w:type="dxa"/>
            <w:vAlign w:val="bottom"/>
          </w:tcPr>
          <w:p>
            <w:pPr>
              <w:spacing w:after="0"/>
              <w:rPr>
                <w:sz w:val="24"/>
                <w:szCs w:val="24"/>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1,409</w:t>
            </w:r>
          </w:p>
        </w:tc>
        <w:tc>
          <w:tcPr>
            <w:tcW w:w="0" w:type="dxa"/>
            <w:vAlign w:val="bottom"/>
          </w:tcPr>
          <w:p>
            <w:pPr>
              <w:spacing w:after="0"/>
              <w:rPr>
                <w:sz w:val="1"/>
                <w:szCs w:val="1"/>
                <w:color w:val="auto"/>
              </w:rPr>
            </w:pPr>
          </w:p>
        </w:tc>
      </w:tr>
      <w:tr>
        <w:trPr>
          <w:trHeight w:val="232"/>
        </w:trPr>
        <w:tc>
          <w:tcPr>
            <w:tcW w:w="100" w:type="dxa"/>
            <w:vAlign w:val="bottom"/>
          </w:tcPr>
          <w:p>
            <w:pPr>
              <w:spacing w:after="0"/>
              <w:rPr>
                <w:sz w:val="20"/>
                <w:szCs w:val="20"/>
                <w:color w:val="auto"/>
              </w:rPr>
            </w:pPr>
          </w:p>
        </w:tc>
        <w:tc>
          <w:tcPr>
            <w:tcW w:w="1460" w:type="dxa"/>
            <w:vAlign w:val="bottom"/>
          </w:tcPr>
          <w:p>
            <w:pPr>
              <w:jc w:val="right"/>
              <w:ind w:right="5"/>
              <w:spacing w:after="0"/>
              <w:rPr>
                <w:sz w:val="20"/>
                <w:szCs w:val="20"/>
                <w:color w:val="auto"/>
              </w:rPr>
            </w:pPr>
            <w:r>
              <w:rPr>
                <w:rFonts w:ascii="Arial" w:cs="Arial" w:eastAsia="Arial" w:hAnsi="Arial"/>
                <w:sz w:val="15"/>
                <w:szCs w:val="15"/>
                <w:color w:val="auto"/>
              </w:rPr>
              <w:t>28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232"/>
        </w:trPr>
        <w:tc>
          <w:tcPr>
            <w:tcW w:w="100" w:type="dxa"/>
            <w:vAlign w:val="bottom"/>
          </w:tcPr>
          <w:p>
            <w:pPr>
              <w:spacing w:after="0"/>
              <w:rPr>
                <w:sz w:val="20"/>
                <w:szCs w:val="20"/>
                <w:color w:val="auto"/>
              </w:rPr>
            </w:pPr>
          </w:p>
        </w:tc>
        <w:tc>
          <w:tcPr>
            <w:tcW w:w="1460" w:type="dxa"/>
            <w:vAlign w:val="bottom"/>
          </w:tcPr>
          <w:p>
            <w:pPr>
              <w:jc w:val="right"/>
              <w:ind w:right="5"/>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39"/>
        </w:trPr>
        <w:tc>
          <w:tcPr>
            <w:tcW w:w="100" w:type="dxa"/>
            <w:vAlign w:val="bottom"/>
            <w:tcBorders>
              <w:bottom w:val="single" w:sz="8" w:color="2C6937"/>
            </w:tcBorders>
          </w:tcPr>
          <w:p>
            <w:pPr>
              <w:spacing w:after="0"/>
              <w:rPr>
                <w:sz w:val="20"/>
                <w:szCs w:val="20"/>
                <w:color w:val="auto"/>
              </w:rPr>
            </w:pPr>
          </w:p>
        </w:tc>
        <w:tc>
          <w:tcPr>
            <w:tcW w:w="146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12</w:t>
            </w:r>
          </w:p>
        </w:tc>
        <w:tc>
          <w:tcPr>
            <w:tcW w:w="80" w:type="dxa"/>
            <w:vAlign w:val="bottom"/>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14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w:t>
            </w:r>
          </w:p>
        </w:tc>
        <w:tc>
          <w:tcPr>
            <w:tcW w:w="10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44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6</w:t>
            </w:r>
          </w:p>
        </w:tc>
        <w:tc>
          <w:tcPr>
            <w:tcW w:w="80" w:type="dxa"/>
            <w:vAlign w:val="bottom"/>
          </w:tcPr>
          <w:p>
            <w:pPr>
              <w:spacing w:after="0"/>
              <w:rPr>
                <w:sz w:val="20"/>
                <w:szCs w:val="20"/>
                <w:color w:val="auto"/>
              </w:rPr>
            </w:pPr>
          </w:p>
        </w:tc>
        <w:tc>
          <w:tcPr>
            <w:tcW w:w="360" w:type="dxa"/>
            <w:vAlign w:val="bottom"/>
            <w:tcBorders>
              <w:bottom w:val="single" w:sz="8" w:color="2C6937"/>
            </w:tcBorders>
          </w:tcPr>
          <w:p>
            <w:pPr>
              <w:spacing w:after="0"/>
              <w:rPr>
                <w:sz w:val="20"/>
                <w:szCs w:val="20"/>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218"/>
        </w:trPr>
        <w:tc>
          <w:tcPr>
            <w:tcW w:w="100" w:type="dxa"/>
            <w:vAlign w:val="bottom"/>
          </w:tcPr>
          <w:p>
            <w:pPr>
              <w:spacing w:after="0"/>
              <w:rPr>
                <w:sz w:val="18"/>
                <w:szCs w:val="18"/>
                <w:color w:val="auto"/>
              </w:rPr>
            </w:pPr>
          </w:p>
        </w:tc>
        <w:tc>
          <w:tcPr>
            <w:tcW w:w="1460" w:type="dxa"/>
            <w:vAlign w:val="bottom"/>
          </w:tcPr>
          <w:p>
            <w:pPr>
              <w:jc w:val="right"/>
              <w:ind w:right="5"/>
              <w:spacing w:after="0"/>
              <w:rPr>
                <w:sz w:val="20"/>
                <w:szCs w:val="20"/>
                <w:color w:val="auto"/>
              </w:rPr>
            </w:pPr>
            <w:r>
              <w:rPr>
                <w:rFonts w:ascii="Arial" w:cs="Arial" w:eastAsia="Arial" w:hAnsi="Arial"/>
                <w:sz w:val="15"/>
                <w:szCs w:val="15"/>
                <w:color w:val="auto"/>
              </w:rPr>
              <w:t>902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477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87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1,466</w:t>
            </w:r>
          </w:p>
        </w:tc>
        <w:tc>
          <w:tcPr>
            <w:tcW w:w="0" w:type="dxa"/>
            <w:vAlign w:val="bottom"/>
          </w:tcPr>
          <w:p>
            <w:pPr>
              <w:spacing w:after="0"/>
              <w:rPr>
                <w:sz w:val="1"/>
                <w:szCs w:val="1"/>
                <w:color w:val="auto"/>
              </w:rPr>
            </w:pPr>
          </w:p>
        </w:tc>
      </w:tr>
      <w:tr>
        <w:trPr>
          <w:trHeight w:val="239"/>
        </w:trPr>
        <w:tc>
          <w:tcPr>
            <w:tcW w:w="100" w:type="dxa"/>
            <w:vAlign w:val="bottom"/>
          </w:tcPr>
          <w:p>
            <w:pPr>
              <w:spacing w:after="0"/>
              <w:rPr>
                <w:sz w:val="20"/>
                <w:szCs w:val="20"/>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5"/>
        </w:trPr>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Borders>
              <w:top w:val="single" w:sz="8" w:color="2C6937"/>
              <w:bottom w:val="single" w:sz="8" w:color="2C6937"/>
            </w:tcBorders>
          </w:tcPr>
          <w:p>
            <w:pPr>
              <w:jc w:val="right"/>
              <w:ind w:right="5"/>
              <w:spacing w:after="0"/>
              <w:rPr>
                <w:sz w:val="20"/>
                <w:szCs w:val="20"/>
                <w:color w:val="auto"/>
              </w:rPr>
            </w:pPr>
            <w:r>
              <w:rPr>
                <w:rFonts w:ascii="Arial" w:cs="Arial" w:eastAsia="Arial" w:hAnsi="Arial"/>
                <w:sz w:val="15"/>
                <w:szCs w:val="15"/>
                <w:color w:val="auto"/>
              </w:rPr>
              <w:t>902</w:t>
            </w:r>
          </w:p>
        </w:tc>
        <w:tc>
          <w:tcPr>
            <w:tcW w:w="80" w:type="dxa"/>
            <w:vAlign w:val="bottom"/>
          </w:tcPr>
          <w:p>
            <w:pPr>
              <w:spacing w:after="0"/>
              <w:rPr>
                <w:sz w:val="19"/>
                <w:szCs w:val="19"/>
                <w:color w:val="auto"/>
              </w:rPr>
            </w:pPr>
          </w:p>
        </w:tc>
        <w:tc>
          <w:tcPr>
            <w:tcW w:w="140" w:type="dxa"/>
            <w:vAlign w:val="bottom"/>
            <w:tcBorders>
              <w:top w:val="single" w:sz="8" w:color="2C6937"/>
              <w:bottom w:val="single" w:sz="8" w:color="2C6937"/>
            </w:tcBorders>
          </w:tcPr>
          <w:p>
            <w:pPr>
              <w:ind w:left="20"/>
              <w:spacing w:after="0"/>
              <w:rPr>
                <w:sz w:val="20"/>
                <w:szCs w:val="20"/>
                <w:color w:val="auto"/>
              </w:rPr>
            </w:pPr>
            <w:r>
              <w:rPr>
                <w:rFonts w:ascii="Arial" w:cs="Arial" w:eastAsia="Arial" w:hAnsi="Arial"/>
                <w:sz w:val="15"/>
                <w:szCs w:val="15"/>
                <w:color w:val="auto"/>
              </w:rPr>
              <w:t>$</w:t>
            </w:r>
          </w:p>
        </w:tc>
        <w:tc>
          <w:tcPr>
            <w:tcW w:w="14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477</w:t>
            </w:r>
          </w:p>
        </w:tc>
        <w:tc>
          <w:tcPr>
            <w:tcW w:w="100" w:type="dxa"/>
            <w:vAlign w:val="bottom"/>
          </w:tcPr>
          <w:p>
            <w:pPr>
              <w:spacing w:after="0"/>
              <w:rPr>
                <w:sz w:val="19"/>
                <w:szCs w:val="19"/>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Borders>
              <w:top w:val="single" w:sz="8" w:color="2C6937"/>
              <w:bottom w:val="single" w:sz="8" w:color="2C6937"/>
            </w:tcBorders>
          </w:tcPr>
          <w:p>
            <w:pPr>
              <w:jc w:val="right"/>
              <w:ind w:right="5"/>
              <w:spacing w:after="0"/>
              <w:rPr>
                <w:sz w:val="20"/>
                <w:szCs w:val="20"/>
                <w:color w:val="auto"/>
              </w:rPr>
            </w:pPr>
            <w:r>
              <w:rPr>
                <w:rFonts w:ascii="Arial" w:cs="Arial" w:eastAsia="Arial" w:hAnsi="Arial"/>
                <w:sz w:val="15"/>
                <w:szCs w:val="15"/>
                <w:color w:val="auto"/>
              </w:rPr>
              <w:t>87</w:t>
            </w:r>
          </w:p>
        </w:tc>
        <w:tc>
          <w:tcPr>
            <w:tcW w:w="80" w:type="dxa"/>
            <w:vAlign w:val="bottom"/>
          </w:tcPr>
          <w:p>
            <w:pPr>
              <w:spacing w:after="0"/>
              <w:rPr>
                <w:sz w:val="19"/>
                <w:szCs w:val="19"/>
                <w:color w:val="auto"/>
              </w:rPr>
            </w:pPr>
          </w:p>
        </w:tc>
        <w:tc>
          <w:tcPr>
            <w:tcW w:w="360" w:type="dxa"/>
            <w:vAlign w:val="bottom"/>
            <w:tcBorders>
              <w:top w:val="single" w:sz="8" w:color="2C6937"/>
              <w:bottom w:val="single" w:sz="8" w:color="2C6937"/>
            </w:tcBorders>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1,466</w:t>
            </w:r>
          </w:p>
        </w:tc>
        <w:tc>
          <w:tcPr>
            <w:tcW w:w="0" w:type="dxa"/>
            <w:vAlign w:val="bottom"/>
          </w:tcPr>
          <w:p>
            <w:pPr>
              <w:spacing w:after="0"/>
              <w:rPr>
                <w:sz w:val="1"/>
                <w:szCs w:val="1"/>
                <w:color w:val="auto"/>
              </w:rPr>
            </w:pPr>
          </w:p>
        </w:tc>
      </w:tr>
      <w:tr>
        <w:trPr>
          <w:trHeight w:val="26"/>
        </w:trPr>
        <w:tc>
          <w:tcPr>
            <w:tcW w:w="100" w:type="dxa"/>
            <w:vAlign w:val="bottom"/>
            <w:tcBorders>
              <w:bottom w:val="single" w:sz="8" w:color="2C6937"/>
            </w:tcBorders>
          </w:tcPr>
          <w:p>
            <w:pPr>
              <w:spacing w:after="0"/>
              <w:rPr>
                <w:sz w:val="2"/>
                <w:szCs w:val="2"/>
                <w:color w:val="auto"/>
              </w:rPr>
            </w:pPr>
          </w:p>
        </w:tc>
        <w:tc>
          <w:tcPr>
            <w:tcW w:w="146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142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144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2C6937"/>
            </w:tcBorders>
          </w:tcPr>
          <w:p>
            <w:pPr>
              <w:spacing w:after="0"/>
              <w:rPr>
                <w:sz w:val="2"/>
                <w:szCs w:val="2"/>
                <w:color w:val="auto"/>
              </w:rPr>
            </w:pPr>
          </w:p>
        </w:tc>
        <w:tc>
          <w:tcPr>
            <w:tcW w:w="1200" w:type="dxa"/>
            <w:vAlign w:val="bottom"/>
            <w:tcBorders>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-2614295</wp:posOffset>
            </wp:positionH>
            <wp:positionV relativeFrom="paragraph">
              <wp:posOffset>794385</wp:posOffset>
            </wp:positionV>
            <wp:extent cx="680593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20" w:space="720"/>
            <w:col w:w="6500"/>
          </w:cols>
          <w:pgMar w:left="320" w:top="24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40"/>
        <w:spacing w:after="0"/>
        <w:rPr>
          <w:sz w:val="20"/>
          <w:szCs w:val="20"/>
          <w:color w:val="auto"/>
        </w:rPr>
      </w:pPr>
      <w:r>
        <w:rPr>
          <w:rFonts w:ascii="Arial" w:cs="Arial" w:eastAsia="Arial" w:hAnsi="Arial"/>
          <w:sz w:val="13"/>
          <w:szCs w:val="13"/>
          <w:color w:val="05314D"/>
        </w:rPr>
        <w:t>Fannie Mae (In conservatorship)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167005</wp:posOffset>
            </wp:positionV>
            <wp:extent cx="7164070" cy="4191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87" w:name="page88"/>
    <w:bookmarkEnd w:id="87"/>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46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3300" w:type="dxa"/>
            <w:vAlign w:val="bottom"/>
            <w:tcBorders>
              <w:bottom w:val="single" w:sz="8" w:color="2C6937"/>
            </w:tcBorders>
            <w:gridSpan w:val="6"/>
          </w:tcPr>
          <w:p>
            <w:pPr>
              <w:jc w:val="center"/>
              <w:ind w:right="80"/>
              <w:spacing w:after="0"/>
              <w:rPr>
                <w:sz w:val="20"/>
                <w:szCs w:val="20"/>
                <w:color w:val="auto"/>
              </w:rPr>
            </w:pPr>
            <w:r>
              <w:rPr>
                <w:rFonts w:ascii="Arial" w:cs="Arial" w:eastAsia="Arial" w:hAnsi="Arial"/>
                <w:sz w:val="14"/>
                <w:szCs w:val="14"/>
                <w:b w:val="1"/>
                <w:bCs w:val="1"/>
                <w:color w:val="auto"/>
                <w:w w:val="97"/>
              </w:rPr>
              <w:t>For the Nine Months Ended September 30, 2023</w:t>
            </w:r>
          </w:p>
        </w:tc>
        <w:tc>
          <w:tcPr>
            <w:tcW w:w="360" w:type="dxa"/>
            <w:vAlign w:val="bottom"/>
            <w:tcBorders>
              <w:bottom w:val="single" w:sz="8" w:color="2C6937"/>
            </w:tcBorders>
          </w:tcPr>
          <w:p>
            <w:pPr>
              <w:spacing w:after="0"/>
              <w:rPr>
                <w:sz w:val="17"/>
                <w:szCs w:val="17"/>
                <w:color w:val="auto"/>
              </w:rPr>
            </w:pPr>
          </w:p>
        </w:tc>
        <w:tc>
          <w:tcPr>
            <w:tcW w:w="120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7"/>
              </w:rPr>
              <w:t>Payment Delay as a</w:t>
            </w:r>
          </w:p>
        </w:tc>
        <w:tc>
          <w:tcPr>
            <w:tcW w:w="140" w:type="dxa"/>
            <w:vAlign w:val="bottom"/>
          </w:tcPr>
          <w:p>
            <w:pPr>
              <w:spacing w:after="0"/>
              <w:rPr>
                <w:sz w:val="12"/>
                <w:szCs w:val="12"/>
                <w:color w:val="auto"/>
              </w:rPr>
            </w:pPr>
          </w:p>
        </w:tc>
        <w:tc>
          <w:tcPr>
            <w:tcW w:w="15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Payment Delay and</w:t>
            </w:r>
          </w:p>
        </w:tc>
        <w:tc>
          <w:tcPr>
            <w:tcW w:w="1640" w:type="dxa"/>
            <w:vAlign w:val="bottom"/>
            <w:gridSpan w:val="3"/>
          </w:tcPr>
          <w:p>
            <w:pPr>
              <w:jc w:val="center"/>
              <w:ind w:right="80"/>
              <w:spacing w:after="0" w:line="145" w:lineRule="exact"/>
              <w:rPr>
                <w:sz w:val="20"/>
                <w:szCs w:val="20"/>
                <w:color w:val="auto"/>
              </w:rPr>
            </w:pPr>
            <w:r>
              <w:rPr>
                <w:rFonts w:ascii="Arial" w:cs="Arial" w:eastAsia="Arial" w:hAnsi="Arial"/>
                <w:sz w:val="14"/>
                <w:szCs w:val="14"/>
                <w:b w:val="1"/>
                <w:bCs w:val="1"/>
                <w:color w:val="auto"/>
                <w:w w:val="96"/>
              </w:rPr>
              <w:t>Payment Delay, Term</w:t>
            </w: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180"/>
              <w:spacing w:after="0" w:line="139" w:lineRule="exact"/>
              <w:rPr>
                <w:sz w:val="20"/>
                <w:szCs w:val="20"/>
                <w:color w:val="auto"/>
              </w:rPr>
            </w:pPr>
            <w:r>
              <w:rPr>
                <w:rFonts w:ascii="Arial" w:cs="Arial" w:eastAsia="Arial" w:hAnsi="Arial"/>
                <w:sz w:val="14"/>
                <w:szCs w:val="14"/>
                <w:b w:val="1"/>
                <w:bCs w:val="1"/>
                <w:color w:val="auto"/>
                <w:w w:val="98"/>
              </w:rPr>
              <w:t>Result of a Payment</w:t>
            </w:r>
          </w:p>
        </w:tc>
        <w:tc>
          <w:tcPr>
            <w:tcW w:w="1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40" w:type="dxa"/>
            <w:vAlign w:val="bottom"/>
            <w:gridSpan w:val="3"/>
          </w:tcPr>
          <w:p>
            <w:pPr>
              <w:jc w:val="center"/>
              <w:ind w:right="80"/>
              <w:spacing w:after="0" w:line="139" w:lineRule="exact"/>
              <w:rPr>
                <w:sz w:val="20"/>
                <w:szCs w:val="20"/>
                <w:color w:val="auto"/>
              </w:rPr>
            </w:pPr>
            <w:r>
              <w:rPr>
                <w:rFonts w:ascii="Arial" w:cs="Arial" w:eastAsia="Arial" w:hAnsi="Arial"/>
                <w:sz w:val="14"/>
                <w:szCs w:val="14"/>
                <w:b w:val="1"/>
                <w:bCs w:val="1"/>
                <w:color w:val="auto"/>
                <w:w w:val="98"/>
              </w:rPr>
              <w:t>Extension and Interest</w:t>
            </w:r>
          </w:p>
        </w:tc>
        <w:tc>
          <w:tcPr>
            <w:tcW w:w="360" w:type="dxa"/>
            <w:vAlign w:val="bottom"/>
          </w:tcPr>
          <w:p>
            <w:pPr>
              <w:spacing w:after="0"/>
              <w:rPr>
                <w:sz w:val="12"/>
                <w:szCs w:val="12"/>
                <w:color w:val="auto"/>
              </w:rPr>
            </w:pPr>
          </w:p>
        </w:tc>
        <w:tc>
          <w:tcPr>
            <w:tcW w:w="1200" w:type="dxa"/>
            <w:vAlign w:val="bottom"/>
            <w:vMerge w:val="restart"/>
          </w:tcPr>
          <w:p>
            <w:pPr>
              <w:jc w:val="right"/>
              <w:ind w:right="54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4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1540" w:type="dxa"/>
            <w:vAlign w:val="bottom"/>
            <w:tcBorders>
              <w:bottom w:val="single" w:sz="8" w:color="2C6937"/>
            </w:tcBorders>
            <w:gridSpan w:val="2"/>
          </w:tcPr>
          <w:p>
            <w:pPr>
              <w:jc w:val="center"/>
              <w:ind w:right="180"/>
              <w:spacing w:after="0"/>
              <w:rPr>
                <w:sz w:val="20"/>
                <w:szCs w:val="20"/>
                <w:color w:val="auto"/>
              </w:rPr>
            </w:pPr>
            <w:r>
              <w:rPr>
                <w:rFonts w:ascii="Arial" w:cs="Arial" w:eastAsia="Arial" w:hAnsi="Arial"/>
                <w:sz w:val="14"/>
                <w:szCs w:val="14"/>
                <w:b w:val="1"/>
                <w:bCs w:val="1"/>
                <w:color w:val="auto"/>
                <w:w w:val="98"/>
              </w:rPr>
              <w:t>Deferral (Only)</w:t>
            </w:r>
          </w:p>
        </w:tc>
        <w:tc>
          <w:tcPr>
            <w:tcW w:w="140" w:type="dxa"/>
            <w:vAlign w:val="bottom"/>
            <w:tcBorders>
              <w:bottom w:val="single" w:sz="8" w:color="2C6937"/>
            </w:tcBorders>
          </w:tcPr>
          <w:p>
            <w:pPr>
              <w:spacing w:after="0"/>
              <w:rPr>
                <w:sz w:val="15"/>
                <w:szCs w:val="15"/>
                <w:color w:val="auto"/>
              </w:rPr>
            </w:pPr>
          </w:p>
        </w:tc>
        <w:tc>
          <w:tcPr>
            <w:tcW w:w="152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4"/>
                <w:szCs w:val="14"/>
                <w:b w:val="1"/>
                <w:bCs w:val="1"/>
                <w:color w:val="auto"/>
                <w:w w:val="97"/>
              </w:rPr>
              <w:t>Term Extension</w:t>
            </w:r>
          </w:p>
        </w:tc>
        <w:tc>
          <w:tcPr>
            <w:tcW w:w="180" w:type="dxa"/>
            <w:vAlign w:val="bottom"/>
            <w:tcBorders>
              <w:bottom w:val="single" w:sz="8" w:color="2C6937"/>
            </w:tcBorders>
          </w:tcPr>
          <w:p>
            <w:pPr>
              <w:spacing w:after="0"/>
              <w:rPr>
                <w:sz w:val="15"/>
                <w:szCs w:val="15"/>
                <w:color w:val="auto"/>
              </w:rPr>
            </w:pPr>
          </w:p>
        </w:tc>
        <w:tc>
          <w:tcPr>
            <w:tcW w:w="1460" w:type="dxa"/>
            <w:vAlign w:val="bottom"/>
            <w:tcBorders>
              <w:bottom w:val="single" w:sz="8" w:color="2C6937"/>
            </w:tcBorders>
            <w:gridSpan w:val="2"/>
          </w:tcPr>
          <w:p>
            <w:pPr>
              <w:jc w:val="center"/>
              <w:ind w:right="260"/>
              <w:spacing w:after="0"/>
              <w:rPr>
                <w:sz w:val="20"/>
                <w:szCs w:val="20"/>
                <w:color w:val="auto"/>
              </w:rPr>
            </w:pPr>
            <w:r>
              <w:rPr>
                <w:rFonts w:ascii="Arial" w:cs="Arial" w:eastAsia="Arial" w:hAnsi="Arial"/>
                <w:sz w:val="14"/>
                <w:szCs w:val="14"/>
                <w:b w:val="1"/>
                <w:bCs w:val="1"/>
                <w:color w:val="auto"/>
                <w:w w:val="97"/>
              </w:rPr>
              <w:t>Rate Reduction</w:t>
            </w:r>
          </w:p>
        </w:tc>
        <w:tc>
          <w:tcPr>
            <w:tcW w:w="36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6"/>
              </w:rPr>
              <w:t>(Dollars in millions)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74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740" w:type="dxa"/>
            <w:vAlign w:val="bottom"/>
            <w:gridSpan w:val="2"/>
          </w:tcPr>
          <w:p>
            <w:pPr>
              <w:ind w:left="180"/>
              <w:spacing w:after="0"/>
              <w:rPr>
                <w:sz w:val="20"/>
                <w:szCs w:val="20"/>
                <w:color w:val="auto"/>
              </w:rPr>
            </w:pPr>
            <w:r>
              <w:rPr>
                <w:rFonts w:ascii="Arial" w:cs="Arial" w:eastAsia="Arial" w:hAnsi="Arial"/>
                <w:sz w:val="15"/>
                <w:szCs w:val="15"/>
                <w:color w:val="auto"/>
              </w:rPr>
              <w:t>20- and 30-year or more, amortizing fixed-rate</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ind w:right="5"/>
              <w:spacing w:after="0"/>
              <w:rPr>
                <w:sz w:val="20"/>
                <w:szCs w:val="20"/>
                <w:color w:val="auto"/>
              </w:rPr>
            </w:pPr>
            <w:r>
              <w:rPr>
                <w:rFonts w:ascii="Arial" w:cs="Arial" w:eastAsia="Arial" w:hAnsi="Arial"/>
                <w:sz w:val="15"/>
                <w:szCs w:val="15"/>
                <w:color w:val="auto"/>
              </w:rPr>
              <w:t>1,635</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746</w:t>
            </w:r>
          </w:p>
        </w:tc>
        <w:tc>
          <w:tcPr>
            <w:tcW w:w="100" w:type="dxa"/>
            <w:vAlign w:val="bottom"/>
          </w:tcPr>
          <w:p>
            <w:pPr>
              <w:spacing w:after="0"/>
              <w:rPr>
                <w:sz w:val="20"/>
                <w:szCs w:val="20"/>
                <w:color w:val="auto"/>
              </w:rPr>
            </w:pP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ind w:right="4"/>
              <w:spacing w:after="0"/>
              <w:rPr>
                <w:sz w:val="20"/>
                <w:szCs w:val="20"/>
                <w:color w:val="auto"/>
              </w:rPr>
            </w:pPr>
            <w:r>
              <w:rPr>
                <w:rFonts w:ascii="Arial" w:cs="Arial" w:eastAsia="Arial" w:hAnsi="Arial"/>
                <w:sz w:val="15"/>
                <w:szCs w:val="15"/>
                <w:color w:val="auto"/>
              </w:rPr>
              <w:t>298</w:t>
            </w:r>
          </w:p>
        </w:tc>
        <w:tc>
          <w:tcPr>
            <w:tcW w:w="80" w:type="dxa"/>
            <w:vAlign w:val="bottom"/>
          </w:tcPr>
          <w:p>
            <w:pPr>
              <w:spacing w:after="0"/>
              <w:rPr>
                <w:sz w:val="20"/>
                <w:szCs w:val="20"/>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2,679</w:t>
            </w:r>
          </w:p>
        </w:tc>
        <w:tc>
          <w:tcPr>
            <w:tcW w:w="0" w:type="dxa"/>
            <w:vAlign w:val="bottom"/>
          </w:tcPr>
          <w:p>
            <w:pPr>
              <w:spacing w:after="0"/>
              <w:rPr>
                <w:sz w:val="1"/>
                <w:szCs w:val="1"/>
                <w:color w:val="auto"/>
              </w:rPr>
            </w:pPr>
          </w:p>
        </w:tc>
      </w:tr>
      <w:tr>
        <w:trPr>
          <w:trHeight w:val="232"/>
        </w:trPr>
        <w:tc>
          <w:tcPr>
            <w:tcW w:w="4740" w:type="dxa"/>
            <w:vAlign w:val="bottom"/>
            <w:gridSpan w:val="2"/>
          </w:tcPr>
          <w:p>
            <w:pPr>
              <w:ind w:left="180"/>
              <w:spacing w:after="0"/>
              <w:rPr>
                <w:sz w:val="20"/>
                <w:szCs w:val="20"/>
                <w:color w:val="auto"/>
              </w:rPr>
            </w:pPr>
            <w:r>
              <w:rPr>
                <w:rFonts w:ascii="Arial" w:cs="Arial" w:eastAsia="Arial" w:hAnsi="Arial"/>
                <w:sz w:val="15"/>
                <w:szCs w:val="15"/>
                <w:color w:val="auto"/>
              </w:rPr>
              <w:t>15-year or less, amortizing fixed-rate</w:t>
            </w:r>
          </w:p>
        </w:tc>
        <w:tc>
          <w:tcPr>
            <w:tcW w:w="100" w:type="dxa"/>
            <w:vAlign w:val="bottom"/>
          </w:tcPr>
          <w:p>
            <w:pPr>
              <w:spacing w:after="0"/>
              <w:rPr>
                <w:sz w:val="20"/>
                <w:szCs w:val="20"/>
                <w:color w:val="auto"/>
              </w:rPr>
            </w:pPr>
          </w:p>
        </w:tc>
        <w:tc>
          <w:tcPr>
            <w:tcW w:w="1460" w:type="dxa"/>
            <w:vAlign w:val="bottom"/>
          </w:tcPr>
          <w:p>
            <w:pPr>
              <w:jc w:val="right"/>
              <w:ind w:right="5"/>
              <w:spacing w:after="0"/>
              <w:rPr>
                <w:sz w:val="20"/>
                <w:szCs w:val="20"/>
                <w:color w:val="auto"/>
              </w:rPr>
            </w:pPr>
            <w:r>
              <w:rPr>
                <w:rFonts w:ascii="Arial" w:cs="Arial" w:eastAsia="Arial" w:hAnsi="Arial"/>
                <w:sz w:val="15"/>
                <w:szCs w:val="15"/>
                <w:color w:val="auto"/>
              </w:rPr>
              <w:t>51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52</w:t>
            </w:r>
          </w:p>
        </w:tc>
        <w:tc>
          <w:tcPr>
            <w:tcW w:w="0" w:type="dxa"/>
            <w:vAlign w:val="bottom"/>
          </w:tcPr>
          <w:p>
            <w:pPr>
              <w:spacing w:after="0"/>
              <w:rPr>
                <w:sz w:val="1"/>
                <w:szCs w:val="1"/>
                <w:color w:val="auto"/>
              </w:rPr>
            </w:pPr>
          </w:p>
        </w:tc>
      </w:tr>
      <w:tr>
        <w:trPr>
          <w:trHeight w:val="232"/>
        </w:trPr>
        <w:tc>
          <w:tcPr>
            <w:tcW w:w="474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100" w:type="dxa"/>
            <w:vAlign w:val="bottom"/>
          </w:tcPr>
          <w:p>
            <w:pPr>
              <w:spacing w:after="0"/>
              <w:rPr>
                <w:sz w:val="20"/>
                <w:szCs w:val="20"/>
                <w:color w:val="auto"/>
              </w:rPr>
            </w:pPr>
          </w:p>
        </w:tc>
        <w:tc>
          <w:tcPr>
            <w:tcW w:w="1460" w:type="dxa"/>
            <w:vAlign w:val="bottom"/>
          </w:tcPr>
          <w:p>
            <w:pPr>
              <w:jc w:val="right"/>
              <w:ind w:right="5"/>
              <w:spacing w:after="0"/>
              <w:rPr>
                <w:sz w:val="20"/>
                <w:szCs w:val="20"/>
                <w:color w:val="auto"/>
              </w:rPr>
            </w:pPr>
            <w:r>
              <w:rPr>
                <w:rFonts w:ascii="Arial" w:cs="Arial" w:eastAsia="Arial" w:hAnsi="Arial"/>
                <w:sz w:val="15"/>
                <w:szCs w:val="15"/>
                <w:color w:val="auto"/>
              </w:rPr>
              <w:t>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0"/>
                <w:szCs w:val="20"/>
                <w:color w:val="auto"/>
              </w:rPr>
            </w:pPr>
          </w:p>
        </w:tc>
        <w:tc>
          <w:tcPr>
            <w:tcW w:w="1380" w:type="dxa"/>
            <w:vAlign w:val="bottom"/>
          </w:tcPr>
          <w:p>
            <w:pPr>
              <w:jc w:val="right"/>
              <w:ind w:right="4"/>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39"/>
        </w:trPr>
        <w:tc>
          <w:tcPr>
            <w:tcW w:w="464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46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20</w:t>
            </w:r>
          </w:p>
        </w:tc>
        <w:tc>
          <w:tcPr>
            <w:tcW w:w="80" w:type="dxa"/>
            <w:vAlign w:val="bottom"/>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14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138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17</w:t>
            </w:r>
          </w:p>
        </w:tc>
        <w:tc>
          <w:tcPr>
            <w:tcW w:w="80" w:type="dxa"/>
            <w:vAlign w:val="bottom"/>
          </w:tcPr>
          <w:p>
            <w:pPr>
              <w:spacing w:after="0"/>
              <w:rPr>
                <w:sz w:val="20"/>
                <w:szCs w:val="20"/>
                <w:color w:val="auto"/>
              </w:rPr>
            </w:pPr>
          </w:p>
        </w:tc>
        <w:tc>
          <w:tcPr>
            <w:tcW w:w="360" w:type="dxa"/>
            <w:vAlign w:val="bottom"/>
            <w:tcBorders>
              <w:bottom w:val="single" w:sz="8" w:color="2C6937"/>
            </w:tcBorders>
          </w:tcPr>
          <w:p>
            <w:pPr>
              <w:spacing w:after="0"/>
              <w:rPr>
                <w:sz w:val="20"/>
                <w:szCs w:val="20"/>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51</w:t>
            </w:r>
          </w:p>
        </w:tc>
        <w:tc>
          <w:tcPr>
            <w:tcW w:w="0" w:type="dxa"/>
            <w:vAlign w:val="bottom"/>
          </w:tcPr>
          <w:p>
            <w:pPr>
              <w:spacing w:after="0"/>
              <w:rPr>
                <w:sz w:val="1"/>
                <w:szCs w:val="1"/>
                <w:color w:val="auto"/>
              </w:rPr>
            </w:pPr>
          </w:p>
        </w:tc>
      </w:tr>
      <w:tr>
        <w:trPr>
          <w:trHeight w:val="218"/>
        </w:trPr>
        <w:tc>
          <w:tcPr>
            <w:tcW w:w="4740" w:type="dxa"/>
            <w:vAlign w:val="bottom"/>
            <w:gridSpan w:val="2"/>
          </w:tcPr>
          <w:p>
            <w:pPr>
              <w:ind w:left="20"/>
              <w:spacing w:after="0"/>
              <w:rPr>
                <w:sz w:val="20"/>
                <w:szCs w:val="20"/>
                <w:color w:val="auto"/>
              </w:rPr>
            </w:pPr>
            <w:r>
              <w:rPr>
                <w:rFonts w:ascii="Arial" w:cs="Arial" w:eastAsia="Arial" w:hAnsi="Arial"/>
                <w:sz w:val="15"/>
                <w:szCs w:val="15"/>
                <w:color w:val="auto"/>
              </w:rPr>
              <w:t>Total single-family</w:t>
            </w:r>
          </w:p>
        </w:tc>
        <w:tc>
          <w:tcPr>
            <w:tcW w:w="100" w:type="dxa"/>
            <w:vAlign w:val="bottom"/>
          </w:tcPr>
          <w:p>
            <w:pPr>
              <w:spacing w:after="0"/>
              <w:rPr>
                <w:sz w:val="18"/>
                <w:szCs w:val="18"/>
                <w:color w:val="auto"/>
              </w:rPr>
            </w:pPr>
          </w:p>
        </w:tc>
        <w:tc>
          <w:tcPr>
            <w:tcW w:w="1460" w:type="dxa"/>
            <w:vAlign w:val="bottom"/>
          </w:tcPr>
          <w:p>
            <w:pPr>
              <w:jc w:val="right"/>
              <w:ind w:right="5"/>
              <w:spacing w:after="0"/>
              <w:rPr>
                <w:sz w:val="20"/>
                <w:szCs w:val="20"/>
                <w:color w:val="auto"/>
              </w:rPr>
            </w:pPr>
            <w:r>
              <w:rPr>
                <w:rFonts w:ascii="Arial" w:cs="Arial" w:eastAsia="Arial" w:hAnsi="Arial"/>
                <w:sz w:val="15"/>
                <w:szCs w:val="15"/>
                <w:color w:val="auto"/>
              </w:rPr>
              <w:t>1,710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761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4"/>
              <w:spacing w:after="0"/>
              <w:rPr>
                <w:sz w:val="20"/>
                <w:szCs w:val="20"/>
                <w:color w:val="auto"/>
              </w:rPr>
            </w:pPr>
            <w:r>
              <w:rPr>
                <w:rFonts w:ascii="Arial" w:cs="Arial" w:eastAsia="Arial" w:hAnsi="Arial"/>
                <w:sz w:val="15"/>
                <w:szCs w:val="15"/>
                <w:color w:val="auto"/>
              </w:rPr>
              <w:t>317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2,788</w:t>
            </w:r>
          </w:p>
        </w:tc>
        <w:tc>
          <w:tcPr>
            <w:tcW w:w="0" w:type="dxa"/>
            <w:vAlign w:val="bottom"/>
          </w:tcPr>
          <w:p>
            <w:pPr>
              <w:spacing w:after="0"/>
              <w:rPr>
                <w:sz w:val="1"/>
                <w:szCs w:val="1"/>
                <w:color w:val="auto"/>
              </w:rPr>
            </w:pPr>
          </w:p>
        </w:tc>
      </w:tr>
      <w:tr>
        <w:trPr>
          <w:trHeight w:val="239"/>
        </w:trPr>
        <w:tc>
          <w:tcPr>
            <w:tcW w:w="464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46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14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138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360" w:type="dxa"/>
            <w:vAlign w:val="bottom"/>
            <w:tcBorders>
              <w:bottom w:val="single" w:sz="8" w:color="2C6937"/>
            </w:tcBorders>
          </w:tcPr>
          <w:p>
            <w:pPr>
              <w:spacing w:after="0"/>
              <w:rPr>
                <w:sz w:val="20"/>
                <w:szCs w:val="20"/>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2"/>
        </w:trPr>
        <w:tc>
          <w:tcPr>
            <w:tcW w:w="4740" w:type="dxa"/>
            <w:vAlign w:val="bottom"/>
            <w:gridSpan w:val="2"/>
          </w:tcPr>
          <w:p>
            <w:pPr>
              <w:ind w:left="180"/>
              <w:spacing w:after="0"/>
              <w:rPr>
                <w:sz w:val="20"/>
                <w:szCs w:val="20"/>
                <w:color w:val="auto"/>
              </w:rPr>
            </w:pPr>
            <w:r>
              <w:rPr>
                <w:rFonts w:ascii="Arial" w:cs="Arial" w:eastAsia="Arial" w:hAnsi="Arial"/>
                <w:sz w:val="15"/>
                <w:szCs w:val="15"/>
                <w:color w:val="auto"/>
              </w:rPr>
              <w:t>Total loans that subsequently defaulted</w:t>
            </w:r>
            <w:r>
              <w:rPr>
                <w:rFonts w:ascii="Arial" w:cs="Arial" w:eastAsia="Arial" w:hAnsi="Arial"/>
                <w:sz w:val="20"/>
                <w:szCs w:val="20"/>
                <w:color w:val="auto"/>
                <w:vertAlign w:val="superscript"/>
              </w:rPr>
              <w:t>(1)(2)</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ind w:right="5"/>
              <w:spacing w:after="0"/>
              <w:rPr>
                <w:sz w:val="20"/>
                <w:szCs w:val="20"/>
                <w:color w:val="auto"/>
              </w:rPr>
            </w:pPr>
            <w:r>
              <w:rPr>
                <w:rFonts w:ascii="Arial" w:cs="Arial" w:eastAsia="Arial" w:hAnsi="Arial"/>
                <w:sz w:val="15"/>
                <w:szCs w:val="15"/>
                <w:color w:val="auto"/>
              </w:rPr>
              <w:t>1,710</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761</w:t>
            </w:r>
          </w:p>
        </w:tc>
        <w:tc>
          <w:tcPr>
            <w:tcW w:w="100" w:type="dxa"/>
            <w:vAlign w:val="bottom"/>
          </w:tcPr>
          <w:p>
            <w:pPr>
              <w:spacing w:after="0"/>
              <w:rPr>
                <w:sz w:val="20"/>
                <w:szCs w:val="20"/>
                <w:color w:val="auto"/>
              </w:rPr>
            </w:pP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ind w:right="4"/>
              <w:spacing w:after="0"/>
              <w:rPr>
                <w:sz w:val="20"/>
                <w:szCs w:val="20"/>
                <w:color w:val="auto"/>
              </w:rPr>
            </w:pPr>
            <w:r>
              <w:rPr>
                <w:rFonts w:ascii="Arial" w:cs="Arial" w:eastAsia="Arial" w:hAnsi="Arial"/>
                <w:sz w:val="15"/>
                <w:szCs w:val="15"/>
                <w:color w:val="auto"/>
              </w:rPr>
              <w:t>317</w:t>
            </w:r>
          </w:p>
        </w:tc>
        <w:tc>
          <w:tcPr>
            <w:tcW w:w="80" w:type="dxa"/>
            <w:vAlign w:val="bottom"/>
          </w:tcPr>
          <w:p>
            <w:pPr>
              <w:spacing w:after="0"/>
              <w:rPr>
                <w:sz w:val="20"/>
                <w:szCs w:val="20"/>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2,788</w:t>
            </w:r>
          </w:p>
        </w:tc>
        <w:tc>
          <w:tcPr>
            <w:tcW w:w="0" w:type="dxa"/>
            <w:vAlign w:val="bottom"/>
          </w:tcPr>
          <w:p>
            <w:pPr>
              <w:spacing w:after="0"/>
              <w:rPr>
                <w:sz w:val="1"/>
                <w:szCs w:val="1"/>
                <w:color w:val="auto"/>
              </w:rPr>
            </w:pPr>
          </w:p>
        </w:tc>
      </w:tr>
      <w:tr>
        <w:trPr>
          <w:trHeight w:val="20"/>
        </w:trPr>
        <w:tc>
          <w:tcPr>
            <w:tcW w:w="46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46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4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138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2C6937"/>
              <w:bottom w:val="single" w:sz="8" w:color="2C6937"/>
            </w:tcBorders>
          </w:tcPr>
          <w:p>
            <w:pPr>
              <w:spacing w:after="0" w:line="20" w:lineRule="exact"/>
              <w:rPr>
                <w:sz w:val="1"/>
                <w:szCs w:val="1"/>
                <w:color w:val="auto"/>
              </w:rPr>
            </w:pPr>
          </w:p>
        </w:tc>
        <w:tc>
          <w:tcPr>
            <w:tcW w:w="120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ind w:left="220" w:hanging="217"/>
        <w:spacing w:after="0"/>
        <w:tabs>
          <w:tab w:leader="none" w:pos="220" w:val="left"/>
        </w:tabs>
        <w:numPr>
          <w:ilvl w:val="0"/>
          <w:numId w:val="78"/>
        </w:numPr>
        <w:rPr>
          <w:rFonts w:ascii="Arial" w:cs="Arial" w:eastAsia="Arial" w:hAnsi="Arial"/>
          <w:sz w:val="18"/>
          <w:szCs w:val="18"/>
          <w:color w:val="auto"/>
          <w:vertAlign w:val="superscript"/>
        </w:rPr>
      </w:pPr>
      <w:r>
        <w:rPr>
          <w:rFonts w:ascii="Arial" w:cs="Arial" w:eastAsia="Arial" w:hAnsi="Arial"/>
          <w:sz w:val="14"/>
          <w:szCs w:val="14"/>
          <w:color w:val="auto"/>
        </w:rPr>
        <w:t>Represents amortized cost as of period end. Excludes loans that liquidated either through foreclosure, deed-in-lieu of foreclosure, or a short sale.</w:t>
      </w:r>
    </w:p>
    <w:p>
      <w:pPr>
        <w:spacing w:after="0" w:line="37" w:lineRule="exact"/>
        <w:rPr>
          <w:rFonts w:ascii="Arial" w:cs="Arial" w:eastAsia="Arial" w:hAnsi="Arial"/>
          <w:sz w:val="18"/>
          <w:szCs w:val="18"/>
          <w:color w:val="auto"/>
          <w:vertAlign w:val="superscript"/>
        </w:rPr>
      </w:pPr>
    </w:p>
    <w:p>
      <w:pPr>
        <w:ind w:left="240" w:right="80" w:hanging="237"/>
        <w:spacing w:after="0" w:line="222" w:lineRule="auto"/>
        <w:tabs>
          <w:tab w:leader="none" w:pos="216" w:val="left"/>
        </w:tabs>
        <w:numPr>
          <w:ilvl w:val="0"/>
          <w:numId w:val="78"/>
        </w:numPr>
        <w:rPr>
          <w:rFonts w:ascii="Arial" w:cs="Arial" w:eastAsia="Arial" w:hAnsi="Arial"/>
          <w:sz w:val="18"/>
          <w:szCs w:val="18"/>
          <w:color w:val="auto"/>
          <w:vertAlign w:val="superscript"/>
        </w:rPr>
      </w:pPr>
      <w:r>
        <w:rPr>
          <w:rFonts w:ascii="Arial" w:cs="Arial" w:eastAsia="Arial" w:hAnsi="Arial"/>
          <w:sz w:val="14"/>
          <w:szCs w:val="14"/>
          <w:color w:val="auto"/>
        </w:rPr>
        <w:t>The substantial majority of loans that received a completed modification or a payment deferral during for the three months ended September 30, 2024 did not default during the third quarter of 2024. The substantial majority of loans that received a completed modification or a payment deferral during the three months ended September 30, 2023 did not default during the third quarter of 2023.</w:t>
      </w:r>
    </w:p>
    <w:p>
      <w:pPr>
        <w:spacing w:after="0" w:line="52" w:lineRule="exact"/>
        <w:rPr>
          <w:sz w:val="20"/>
          <w:szCs w:val="20"/>
          <w:color w:val="auto"/>
        </w:rPr>
      </w:pPr>
    </w:p>
    <w:p>
      <w:pPr>
        <w:ind w:right="380"/>
        <w:spacing w:after="0" w:line="293" w:lineRule="auto"/>
        <w:rPr>
          <w:sz w:val="20"/>
          <w:szCs w:val="20"/>
          <w:color w:val="auto"/>
        </w:rPr>
      </w:pPr>
      <w:r>
        <w:rPr>
          <w:rFonts w:ascii="Arial" w:cs="Arial" w:eastAsia="Arial" w:hAnsi="Arial"/>
          <w:sz w:val="16"/>
          <w:szCs w:val="16"/>
          <w:color w:val="auto"/>
        </w:rPr>
        <w:t>The following tables display an aging analysis of HFI mortgage loans that were restructured during the twelve months prior to September 30, 2024 and September 30, 2023, respectively, presented by portfolio segment and class of financing receivable.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2640" w:type="dxa"/>
            <w:vAlign w:val="bottom"/>
            <w:tcBorders>
              <w:bottom w:val="single" w:sz="8" w:color="2C6937"/>
            </w:tcBorders>
            <w:gridSpan w:val="5"/>
          </w:tcPr>
          <w:p>
            <w:pPr>
              <w:jc w:val="center"/>
              <w:ind w:right="300"/>
              <w:spacing w:after="0"/>
              <w:rPr>
                <w:sz w:val="20"/>
                <w:szCs w:val="20"/>
                <w:color w:val="auto"/>
              </w:rPr>
            </w:pPr>
            <w:r>
              <w:rPr>
                <w:rFonts w:ascii="Arial" w:cs="Arial" w:eastAsia="Arial" w:hAnsi="Arial"/>
                <w:sz w:val="14"/>
                <w:szCs w:val="14"/>
                <w:b w:val="1"/>
                <w:bCs w:val="1"/>
                <w:color w:val="auto"/>
                <w:w w:val="99"/>
              </w:rPr>
              <w:t>As of September 30, 2024</w:t>
            </w:r>
            <w:r>
              <w:rPr>
                <w:rFonts w:ascii="Arial" w:cs="Arial" w:eastAsia="Arial" w:hAnsi="Arial"/>
                <w:sz w:val="8"/>
                <w:szCs w:val="8"/>
                <w:b w:val="1"/>
                <w:bCs w:val="1"/>
                <w:color w:val="auto"/>
                <w:w w:val="99"/>
              </w:rPr>
              <w:t>(1)</w:t>
            </w:r>
          </w:p>
        </w:tc>
        <w:tc>
          <w:tcPr>
            <w:tcW w:w="26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30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30-59 Days</w:t>
            </w:r>
          </w:p>
        </w:tc>
        <w:tc>
          <w:tcPr>
            <w:tcW w:w="180" w:type="dxa"/>
            <w:vAlign w:val="bottom"/>
          </w:tcPr>
          <w:p>
            <w:pPr>
              <w:spacing w:after="0"/>
              <w:rPr>
                <w:sz w:val="13"/>
                <w:szCs w:val="13"/>
                <w:color w:val="auto"/>
              </w:rPr>
            </w:pPr>
          </w:p>
        </w:tc>
        <w:tc>
          <w:tcPr>
            <w:tcW w:w="124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8"/>
              </w:rPr>
              <w:t>60-89 Days</w:t>
            </w:r>
          </w:p>
        </w:tc>
        <w:tc>
          <w:tcPr>
            <w:tcW w:w="200" w:type="dxa"/>
            <w:vAlign w:val="bottom"/>
          </w:tcPr>
          <w:p>
            <w:pPr>
              <w:spacing w:after="0"/>
              <w:rPr>
                <w:sz w:val="13"/>
                <w:szCs w:val="13"/>
                <w:color w:val="auto"/>
              </w:rPr>
            </w:pPr>
          </w:p>
        </w:tc>
        <w:tc>
          <w:tcPr>
            <w:tcW w:w="122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8"/>
              </w:rPr>
              <w:t>Seriously</w:t>
            </w:r>
          </w:p>
        </w:tc>
        <w:tc>
          <w:tcPr>
            <w:tcW w:w="120" w:type="dxa"/>
            <w:vAlign w:val="bottom"/>
          </w:tcPr>
          <w:p>
            <w:pPr>
              <w:spacing w:after="0"/>
              <w:rPr>
                <w:sz w:val="13"/>
                <w:szCs w:val="13"/>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 Delinquent</w:t>
            </w:r>
          </w:p>
        </w:tc>
        <w:tc>
          <w:tcPr>
            <w:tcW w:w="260" w:type="dxa"/>
            <w:vAlign w:val="bottom"/>
          </w:tcPr>
          <w:p>
            <w:pPr>
              <w:spacing w:after="0"/>
              <w:rPr>
                <w:sz w:val="13"/>
                <w:szCs w:val="13"/>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Current</w:t>
            </w:r>
          </w:p>
        </w:tc>
        <w:tc>
          <w:tcPr>
            <w:tcW w:w="300" w:type="dxa"/>
            <w:vAlign w:val="bottom"/>
          </w:tcPr>
          <w:p>
            <w:pPr>
              <w:spacing w:after="0"/>
              <w:rPr>
                <w:sz w:val="13"/>
                <w:szCs w:val="13"/>
                <w:color w:val="auto"/>
              </w:rPr>
            </w:pPr>
          </w:p>
        </w:tc>
        <w:tc>
          <w:tcPr>
            <w:tcW w:w="1020" w:type="dxa"/>
            <w:vAlign w:val="bottom"/>
            <w:vMerge w:val="restart"/>
          </w:tcPr>
          <w:p>
            <w:pPr>
              <w:jc w:val="right"/>
              <w:ind w:right="42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2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gridSpan w:val="2"/>
          </w:tcPr>
          <w:p>
            <w:pPr>
              <w:ind w:left="100"/>
              <w:spacing w:after="0"/>
              <w:rPr>
                <w:sz w:val="20"/>
                <w:szCs w:val="20"/>
                <w:color w:val="auto"/>
              </w:rPr>
            </w:pPr>
            <w:r>
              <w:rPr>
                <w:rFonts w:ascii="Arial" w:cs="Arial" w:eastAsia="Arial" w:hAnsi="Arial"/>
                <w:sz w:val="14"/>
                <w:szCs w:val="14"/>
                <w:b w:val="1"/>
                <w:bCs w:val="1"/>
                <w:color w:val="auto"/>
              </w:rPr>
              <w:t>Delinquent</w:t>
            </w:r>
          </w:p>
        </w:tc>
        <w:tc>
          <w:tcPr>
            <w:tcW w:w="180" w:type="dxa"/>
            <w:vAlign w:val="bottom"/>
            <w:tcBorders>
              <w:bottom w:val="single" w:sz="8" w:color="2C6937"/>
            </w:tcBorders>
          </w:tcPr>
          <w:p>
            <w:pPr>
              <w:spacing w:after="0"/>
              <w:rPr>
                <w:sz w:val="15"/>
                <w:szCs w:val="15"/>
                <w:color w:val="auto"/>
              </w:rPr>
            </w:pPr>
          </w:p>
        </w:tc>
        <w:tc>
          <w:tcPr>
            <w:tcW w:w="1240" w:type="dxa"/>
            <w:vAlign w:val="bottom"/>
            <w:tcBorders>
              <w:bottom w:val="single" w:sz="8" w:color="2C6937"/>
            </w:tcBorders>
            <w:gridSpan w:val="2"/>
          </w:tcPr>
          <w:p>
            <w:pPr>
              <w:jc w:val="center"/>
              <w:ind w:right="260"/>
              <w:spacing w:after="0" w:line="180" w:lineRule="exact"/>
              <w:rPr>
                <w:sz w:val="20"/>
                <w:szCs w:val="20"/>
                <w:color w:val="auto"/>
              </w:rPr>
            </w:pPr>
            <w:r>
              <w:rPr>
                <w:rFonts w:ascii="Arial" w:cs="Arial" w:eastAsia="Arial" w:hAnsi="Arial"/>
                <w:sz w:val="14"/>
                <w:szCs w:val="14"/>
                <w:b w:val="1"/>
                <w:bCs w:val="1"/>
                <w:color w:val="auto"/>
                <w:w w:val="95"/>
              </w:rPr>
              <w:t>Delinquent</w:t>
            </w:r>
            <w:r>
              <w:rPr>
                <w:rFonts w:ascii="Arial" w:cs="Arial" w:eastAsia="Arial" w:hAnsi="Arial"/>
                <w:sz w:val="17"/>
                <w:szCs w:val="17"/>
                <w:b w:val="1"/>
                <w:bCs w:val="1"/>
                <w:color w:val="auto"/>
                <w:w w:val="95"/>
                <w:vertAlign w:val="superscript"/>
              </w:rPr>
              <w:t>(2)</w:t>
            </w:r>
          </w:p>
        </w:tc>
        <w:tc>
          <w:tcPr>
            <w:tcW w:w="20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Delinquent</w:t>
            </w:r>
          </w:p>
        </w:tc>
        <w:tc>
          <w:tcPr>
            <w:tcW w:w="120" w:type="dxa"/>
            <w:vAlign w:val="bottom"/>
            <w:tcBorders>
              <w:bottom w:val="single" w:sz="8" w:color="2C6937"/>
            </w:tcBorders>
          </w:tcPr>
          <w:p>
            <w:pPr>
              <w:spacing w:after="0"/>
              <w:rPr>
                <w:sz w:val="15"/>
                <w:szCs w:val="15"/>
                <w:color w:val="auto"/>
              </w:rPr>
            </w:pPr>
          </w:p>
        </w:tc>
        <w:tc>
          <w:tcPr>
            <w:tcW w:w="1300" w:type="dxa"/>
            <w:vAlign w:val="bottom"/>
            <w:tcBorders>
              <w:bottom w:val="single" w:sz="8" w:color="2C6937"/>
            </w:tcBorders>
            <w:gridSpan w:val="2"/>
            <w:vMerge w:val="continue"/>
          </w:tcPr>
          <w:p>
            <w:pPr>
              <w:spacing w:after="0"/>
              <w:rPr>
                <w:sz w:val="15"/>
                <w:szCs w:val="15"/>
                <w:color w:val="auto"/>
              </w:rPr>
            </w:pPr>
          </w:p>
        </w:tc>
        <w:tc>
          <w:tcPr>
            <w:tcW w:w="260" w:type="dxa"/>
            <w:vAlign w:val="bottom"/>
            <w:tcBorders>
              <w:bottom w:val="single" w:sz="8" w:color="2C6937"/>
            </w:tcBorders>
          </w:tcPr>
          <w:p>
            <w:pPr>
              <w:spacing w:after="0"/>
              <w:rPr>
                <w:sz w:val="15"/>
                <w:szCs w:val="15"/>
                <w:color w:val="auto"/>
              </w:rPr>
            </w:pPr>
          </w:p>
        </w:tc>
        <w:tc>
          <w:tcPr>
            <w:tcW w:w="1160" w:type="dxa"/>
            <w:vAlign w:val="bottom"/>
            <w:tcBorders>
              <w:bottom w:val="single" w:sz="8" w:color="2C6937"/>
            </w:tcBorders>
            <w:gridSpan w:val="2"/>
            <w:vMerge w:val="continue"/>
          </w:tcPr>
          <w:p>
            <w:pPr>
              <w:spacing w:after="0"/>
              <w:rPr>
                <w:sz w:val="15"/>
                <w:szCs w:val="15"/>
                <w:color w:val="auto"/>
              </w:rPr>
            </w:pPr>
          </w:p>
        </w:tc>
        <w:tc>
          <w:tcPr>
            <w:tcW w:w="300" w:type="dxa"/>
            <w:vAlign w:val="bottom"/>
            <w:tcBorders>
              <w:bottom w:val="single" w:sz="8" w:color="2C6937"/>
            </w:tcBorders>
          </w:tcPr>
          <w:p>
            <w:pPr>
              <w:spacing w:after="0"/>
              <w:rPr>
                <w:sz w:val="15"/>
                <w:szCs w:val="15"/>
                <w:color w:val="auto"/>
              </w:rPr>
            </w:pPr>
          </w:p>
        </w:tc>
        <w:tc>
          <w:tcPr>
            <w:tcW w:w="102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6"/>
              </w:rPr>
              <w:t>(Dollars in millions)</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82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820" w:type="dxa"/>
            <w:vAlign w:val="bottom"/>
            <w:gridSpan w:val="2"/>
          </w:tcPr>
          <w:p>
            <w:pPr>
              <w:ind w:left="180"/>
              <w:spacing w:after="0"/>
              <w:rPr>
                <w:sz w:val="20"/>
                <w:szCs w:val="20"/>
                <w:color w:val="auto"/>
              </w:rPr>
            </w:pPr>
            <w:r>
              <w:rPr>
                <w:rFonts w:ascii="Arial" w:cs="Arial" w:eastAsia="Arial" w:hAnsi="Arial"/>
                <w:sz w:val="15"/>
                <w:szCs w:val="15"/>
                <w:color w:val="auto"/>
              </w:rPr>
              <w:t>20- and 30-year or more, amortizing</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820" w:type="dxa"/>
            <w:vAlign w:val="bottom"/>
            <w:gridSpan w:val="2"/>
          </w:tcPr>
          <w:p>
            <w:pPr>
              <w:ind w:left="320"/>
              <w:spacing w:after="0"/>
              <w:rPr>
                <w:sz w:val="20"/>
                <w:szCs w:val="20"/>
                <w:color w:val="auto"/>
              </w:rPr>
            </w:pPr>
            <w:r>
              <w:rPr>
                <w:rFonts w:ascii="Arial" w:cs="Arial" w:eastAsia="Arial" w:hAnsi="Arial"/>
                <w:sz w:val="15"/>
                <w:szCs w:val="15"/>
                <w:color w:val="auto"/>
              </w:rPr>
              <w:t>fixed-rate</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4,240</w:t>
            </w:r>
          </w:p>
        </w:tc>
        <w:tc>
          <w:tcPr>
            <w:tcW w:w="10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2,874</w:t>
            </w:r>
          </w:p>
        </w:tc>
        <w:tc>
          <w:tcPr>
            <w:tcW w:w="8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11,401</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18,515</w:t>
            </w:r>
          </w:p>
        </w:tc>
        <w:tc>
          <w:tcPr>
            <w:tcW w:w="10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12,891</w:t>
            </w:r>
          </w:p>
        </w:tc>
        <w:tc>
          <w:tcPr>
            <w:tcW w:w="10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31,406</w:t>
            </w:r>
          </w:p>
        </w:tc>
        <w:tc>
          <w:tcPr>
            <w:tcW w:w="0" w:type="dxa"/>
            <w:vAlign w:val="bottom"/>
          </w:tcPr>
          <w:p>
            <w:pPr>
              <w:spacing w:after="0"/>
              <w:rPr>
                <w:sz w:val="1"/>
                <w:szCs w:val="1"/>
                <w:color w:val="auto"/>
              </w:rPr>
            </w:pPr>
          </w:p>
        </w:tc>
      </w:tr>
      <w:tr>
        <w:trPr>
          <w:trHeight w:val="232"/>
        </w:trPr>
        <w:tc>
          <w:tcPr>
            <w:tcW w:w="2820" w:type="dxa"/>
            <w:vAlign w:val="bottom"/>
            <w:gridSpan w:val="2"/>
          </w:tcPr>
          <w:p>
            <w:pPr>
              <w:ind w:left="180"/>
              <w:spacing w:after="0"/>
              <w:rPr>
                <w:sz w:val="20"/>
                <w:szCs w:val="20"/>
                <w:color w:val="auto"/>
              </w:rPr>
            </w:pPr>
            <w:r>
              <w:rPr>
                <w:rFonts w:ascii="Arial" w:cs="Arial" w:eastAsia="Arial" w:hAnsi="Arial"/>
                <w:sz w:val="15"/>
                <w:szCs w:val="15"/>
                <w:color w:val="auto"/>
              </w:rPr>
              <w:t>15-year or less, amortizing fixed-rate</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93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349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560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379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939</w:t>
            </w:r>
          </w:p>
        </w:tc>
        <w:tc>
          <w:tcPr>
            <w:tcW w:w="0" w:type="dxa"/>
            <w:vAlign w:val="bottom"/>
          </w:tcPr>
          <w:p>
            <w:pPr>
              <w:spacing w:after="0"/>
              <w:rPr>
                <w:sz w:val="1"/>
                <w:szCs w:val="1"/>
                <w:color w:val="auto"/>
              </w:rPr>
            </w:pPr>
          </w:p>
        </w:tc>
      </w:tr>
      <w:tr>
        <w:trPr>
          <w:trHeight w:val="232"/>
        </w:trPr>
        <w:tc>
          <w:tcPr>
            <w:tcW w:w="282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50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70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116</w:t>
            </w:r>
          </w:p>
        </w:tc>
        <w:tc>
          <w:tcPr>
            <w:tcW w:w="0" w:type="dxa"/>
            <w:vAlign w:val="bottom"/>
          </w:tcPr>
          <w:p>
            <w:pPr>
              <w:spacing w:after="0"/>
              <w:rPr>
                <w:sz w:val="1"/>
                <w:szCs w:val="1"/>
                <w:color w:val="auto"/>
              </w:rPr>
            </w:pPr>
          </w:p>
        </w:tc>
      </w:tr>
      <w:tr>
        <w:trPr>
          <w:trHeight w:val="239"/>
        </w:trPr>
        <w:tc>
          <w:tcPr>
            <w:tcW w:w="272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60</w:t>
            </w:r>
          </w:p>
        </w:tc>
        <w:tc>
          <w:tcPr>
            <w:tcW w:w="10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116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32</w:t>
            </w:r>
          </w:p>
        </w:tc>
        <w:tc>
          <w:tcPr>
            <w:tcW w:w="8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114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127</w:t>
            </w:r>
          </w:p>
        </w:tc>
        <w:tc>
          <w:tcPr>
            <w:tcW w:w="8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219</w:t>
            </w:r>
          </w:p>
        </w:tc>
        <w:tc>
          <w:tcPr>
            <w:tcW w:w="100" w:type="dxa"/>
            <w:vAlign w:val="bottom"/>
          </w:tcPr>
          <w:p>
            <w:pPr>
              <w:spacing w:after="0"/>
              <w:rPr>
                <w:sz w:val="20"/>
                <w:szCs w:val="20"/>
                <w:color w:val="auto"/>
              </w:rPr>
            </w:pPr>
          </w:p>
        </w:tc>
        <w:tc>
          <w:tcPr>
            <w:tcW w:w="260" w:type="dxa"/>
            <w:vAlign w:val="bottom"/>
            <w:tcBorders>
              <w:bottom w:val="single" w:sz="8" w:color="2C6937"/>
            </w:tcBorders>
          </w:tcPr>
          <w:p>
            <w:pPr>
              <w:spacing w:after="0"/>
              <w:rPr>
                <w:sz w:val="20"/>
                <w:szCs w:val="20"/>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166</w:t>
            </w:r>
          </w:p>
        </w:tc>
        <w:tc>
          <w:tcPr>
            <w:tcW w:w="100" w:type="dxa"/>
            <w:vAlign w:val="bottom"/>
          </w:tcPr>
          <w:p>
            <w:pPr>
              <w:spacing w:after="0"/>
              <w:rPr>
                <w:sz w:val="20"/>
                <w:szCs w:val="20"/>
                <w:color w:val="auto"/>
              </w:rPr>
            </w:pPr>
          </w:p>
        </w:tc>
        <w:tc>
          <w:tcPr>
            <w:tcW w:w="300" w:type="dxa"/>
            <w:vAlign w:val="bottom"/>
            <w:tcBorders>
              <w:bottom w:val="single" w:sz="8" w:color="2C6937"/>
            </w:tcBorders>
          </w:tcPr>
          <w:p>
            <w:pPr>
              <w:spacing w:after="0"/>
              <w:rPr>
                <w:sz w:val="20"/>
                <w:szCs w:val="20"/>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385</w:t>
            </w:r>
          </w:p>
        </w:tc>
        <w:tc>
          <w:tcPr>
            <w:tcW w:w="0" w:type="dxa"/>
            <w:vAlign w:val="bottom"/>
          </w:tcPr>
          <w:p>
            <w:pPr>
              <w:spacing w:after="0"/>
              <w:rPr>
                <w:sz w:val="1"/>
                <w:szCs w:val="1"/>
                <w:color w:val="auto"/>
              </w:rPr>
            </w:pPr>
          </w:p>
        </w:tc>
      </w:tr>
      <w:tr>
        <w:trPr>
          <w:trHeight w:val="218"/>
        </w:trPr>
        <w:tc>
          <w:tcPr>
            <w:tcW w:w="2820" w:type="dxa"/>
            <w:vAlign w:val="bottom"/>
            <w:gridSpan w:val="2"/>
          </w:tcPr>
          <w:p>
            <w:pPr>
              <w:ind w:left="20"/>
              <w:spacing w:after="0"/>
              <w:rPr>
                <w:sz w:val="20"/>
                <w:szCs w:val="20"/>
                <w:color w:val="auto"/>
              </w:rPr>
            </w:pPr>
            <w:r>
              <w:rPr>
                <w:rFonts w:ascii="Arial" w:cs="Arial" w:eastAsia="Arial" w:hAnsi="Arial"/>
                <w:sz w:val="15"/>
                <w:szCs w:val="15"/>
                <w:color w:val="auto"/>
              </w:rPr>
              <w:t>Total single-family loans modified</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4,431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3,006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11,927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19,364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13,482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32,846</w:t>
            </w:r>
          </w:p>
        </w:tc>
        <w:tc>
          <w:tcPr>
            <w:tcW w:w="0" w:type="dxa"/>
            <w:vAlign w:val="bottom"/>
          </w:tcPr>
          <w:p>
            <w:pPr>
              <w:spacing w:after="0"/>
              <w:rPr>
                <w:sz w:val="1"/>
                <w:szCs w:val="1"/>
                <w:color w:val="auto"/>
              </w:rPr>
            </w:pPr>
          </w:p>
        </w:tc>
      </w:tr>
      <w:tr>
        <w:trPr>
          <w:trHeight w:val="239"/>
        </w:trPr>
        <w:tc>
          <w:tcPr>
            <w:tcW w:w="27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N/A</w:t>
            </w:r>
          </w:p>
        </w:tc>
        <w:tc>
          <w:tcPr>
            <w:tcW w:w="8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114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323</w:t>
            </w:r>
          </w:p>
        </w:tc>
        <w:tc>
          <w:tcPr>
            <w:tcW w:w="8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323</w:t>
            </w:r>
          </w:p>
        </w:tc>
        <w:tc>
          <w:tcPr>
            <w:tcW w:w="100" w:type="dxa"/>
            <w:vAlign w:val="bottom"/>
          </w:tcPr>
          <w:p>
            <w:pPr>
              <w:spacing w:after="0"/>
              <w:rPr>
                <w:sz w:val="20"/>
                <w:szCs w:val="20"/>
                <w:color w:val="auto"/>
              </w:rPr>
            </w:pPr>
          </w:p>
        </w:tc>
        <w:tc>
          <w:tcPr>
            <w:tcW w:w="260" w:type="dxa"/>
            <w:vAlign w:val="bottom"/>
            <w:tcBorders>
              <w:bottom w:val="single" w:sz="8" w:color="2C6937"/>
            </w:tcBorders>
          </w:tcPr>
          <w:p>
            <w:pPr>
              <w:spacing w:after="0"/>
              <w:rPr>
                <w:sz w:val="20"/>
                <w:szCs w:val="20"/>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823</w:t>
            </w:r>
          </w:p>
        </w:tc>
        <w:tc>
          <w:tcPr>
            <w:tcW w:w="100" w:type="dxa"/>
            <w:vAlign w:val="bottom"/>
          </w:tcPr>
          <w:p>
            <w:pPr>
              <w:spacing w:after="0"/>
              <w:rPr>
                <w:sz w:val="20"/>
                <w:szCs w:val="20"/>
                <w:color w:val="auto"/>
              </w:rPr>
            </w:pPr>
          </w:p>
        </w:tc>
        <w:tc>
          <w:tcPr>
            <w:tcW w:w="300" w:type="dxa"/>
            <w:vAlign w:val="bottom"/>
            <w:tcBorders>
              <w:bottom w:val="single" w:sz="8" w:color="2C6937"/>
            </w:tcBorders>
          </w:tcPr>
          <w:p>
            <w:pPr>
              <w:spacing w:after="0"/>
              <w:rPr>
                <w:sz w:val="20"/>
                <w:szCs w:val="20"/>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1,146</w:t>
            </w:r>
          </w:p>
        </w:tc>
        <w:tc>
          <w:tcPr>
            <w:tcW w:w="0" w:type="dxa"/>
            <w:vAlign w:val="bottom"/>
          </w:tcPr>
          <w:p>
            <w:pPr>
              <w:spacing w:after="0"/>
              <w:rPr>
                <w:sz w:val="1"/>
                <w:szCs w:val="1"/>
                <w:color w:val="auto"/>
              </w:rPr>
            </w:pPr>
          </w:p>
        </w:tc>
      </w:tr>
      <w:tr>
        <w:trPr>
          <w:trHeight w:val="232"/>
        </w:trPr>
        <w:tc>
          <w:tcPr>
            <w:tcW w:w="2820" w:type="dxa"/>
            <w:vAlign w:val="bottom"/>
            <w:gridSpan w:val="2"/>
          </w:tcPr>
          <w:p>
            <w:pPr>
              <w:ind w:left="180"/>
              <w:spacing w:after="0"/>
              <w:rPr>
                <w:sz w:val="20"/>
                <w:szCs w:val="20"/>
                <w:color w:val="auto"/>
              </w:rPr>
            </w:pPr>
            <w:r>
              <w:rPr>
                <w:rFonts w:ascii="Arial" w:cs="Arial" w:eastAsia="Arial" w:hAnsi="Arial"/>
                <w:sz w:val="15"/>
                <w:szCs w:val="15"/>
                <w:color w:val="auto"/>
              </w:rPr>
              <w:t>Total loans restructured</w:t>
            </w:r>
            <w:r>
              <w:rPr>
                <w:rFonts w:ascii="Arial" w:cs="Arial" w:eastAsia="Arial" w:hAnsi="Arial"/>
                <w:sz w:val="20"/>
                <w:szCs w:val="20"/>
                <w:color w:val="auto"/>
                <w:vertAlign w:val="superscript"/>
              </w:rPr>
              <w:t>(3)</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4,431</w:t>
            </w:r>
          </w:p>
        </w:tc>
        <w:tc>
          <w:tcPr>
            <w:tcW w:w="100" w:type="dxa"/>
            <w:vAlign w:val="bottom"/>
          </w:tcPr>
          <w:p>
            <w:pPr>
              <w:spacing w:after="0"/>
              <w:rPr>
                <w:sz w:val="20"/>
                <w:szCs w:val="20"/>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3,006</w:t>
            </w:r>
          </w:p>
        </w:tc>
        <w:tc>
          <w:tcPr>
            <w:tcW w:w="80" w:type="dxa"/>
            <w:vAlign w:val="bottom"/>
          </w:tcPr>
          <w:p>
            <w:pPr>
              <w:spacing w:after="0"/>
              <w:rPr>
                <w:sz w:val="20"/>
                <w:szCs w:val="20"/>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12,250</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19,687</w:t>
            </w:r>
          </w:p>
        </w:tc>
        <w:tc>
          <w:tcPr>
            <w:tcW w:w="100" w:type="dxa"/>
            <w:vAlign w:val="bottom"/>
          </w:tcPr>
          <w:p>
            <w:pPr>
              <w:spacing w:after="0"/>
              <w:rPr>
                <w:sz w:val="20"/>
                <w:szCs w:val="20"/>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14,305</w:t>
            </w:r>
          </w:p>
        </w:tc>
        <w:tc>
          <w:tcPr>
            <w:tcW w:w="100" w:type="dxa"/>
            <w:vAlign w:val="bottom"/>
          </w:tcPr>
          <w:p>
            <w:pPr>
              <w:spacing w:after="0"/>
              <w:rPr>
                <w:sz w:val="20"/>
                <w:szCs w:val="20"/>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33,992</w:t>
            </w:r>
          </w:p>
        </w:tc>
        <w:tc>
          <w:tcPr>
            <w:tcW w:w="0" w:type="dxa"/>
            <w:vAlign w:val="bottom"/>
          </w:tcPr>
          <w:p>
            <w:pPr>
              <w:spacing w:after="0"/>
              <w:rPr>
                <w:sz w:val="1"/>
                <w:szCs w:val="1"/>
                <w:color w:val="auto"/>
              </w:rPr>
            </w:pPr>
          </w:p>
        </w:tc>
      </w:tr>
      <w:tr>
        <w:trPr>
          <w:trHeight w:val="20"/>
        </w:trPr>
        <w:tc>
          <w:tcPr>
            <w:tcW w:w="27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116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1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2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10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2C6937"/>
              <w:bottom w:val="single" w:sz="8" w:color="2C6937"/>
            </w:tcBorders>
          </w:tcPr>
          <w:p>
            <w:pPr>
              <w:spacing w:after="0" w:line="20" w:lineRule="exact"/>
              <w:rPr>
                <w:sz w:val="1"/>
                <w:szCs w:val="1"/>
                <w:color w:val="auto"/>
              </w:rPr>
            </w:pPr>
          </w:p>
        </w:tc>
        <w:tc>
          <w:tcPr>
            <w:tcW w:w="102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425450</wp:posOffset>
            </wp:positionV>
            <wp:extent cx="680593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88" w:name="page89"/>
    <w:bookmarkEnd w:id="88"/>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2640" w:type="dxa"/>
            <w:vAlign w:val="bottom"/>
            <w:tcBorders>
              <w:bottom w:val="single" w:sz="8" w:color="2C6937"/>
            </w:tcBorders>
            <w:gridSpan w:val="5"/>
          </w:tcPr>
          <w:p>
            <w:pPr>
              <w:jc w:val="center"/>
              <w:ind w:right="300"/>
              <w:spacing w:after="0"/>
              <w:rPr>
                <w:sz w:val="20"/>
                <w:szCs w:val="20"/>
                <w:color w:val="auto"/>
              </w:rPr>
            </w:pPr>
            <w:r>
              <w:rPr>
                <w:rFonts w:ascii="Arial" w:cs="Arial" w:eastAsia="Arial" w:hAnsi="Arial"/>
                <w:sz w:val="14"/>
                <w:szCs w:val="14"/>
                <w:b w:val="1"/>
                <w:bCs w:val="1"/>
                <w:color w:val="auto"/>
                <w:w w:val="96"/>
              </w:rPr>
              <w:t>As of September 30, 2023</w:t>
            </w:r>
            <w:r>
              <w:rPr>
                <w:rFonts w:ascii="Arial" w:cs="Arial" w:eastAsia="Arial" w:hAnsi="Arial"/>
                <w:sz w:val="17"/>
                <w:szCs w:val="17"/>
                <w:b w:val="1"/>
                <w:bCs w:val="1"/>
                <w:color w:val="auto"/>
                <w:w w:val="96"/>
                <w:vertAlign w:val="superscript"/>
              </w:rPr>
              <w:t>(1)</w:t>
            </w:r>
          </w:p>
        </w:tc>
        <w:tc>
          <w:tcPr>
            <w:tcW w:w="26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30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rPr>
              <w:t>30-59 Days</w:t>
            </w:r>
          </w:p>
        </w:tc>
        <w:tc>
          <w:tcPr>
            <w:tcW w:w="180" w:type="dxa"/>
            <w:vAlign w:val="bottom"/>
          </w:tcPr>
          <w:p>
            <w:pPr>
              <w:spacing w:after="0"/>
              <w:rPr>
                <w:sz w:val="12"/>
                <w:szCs w:val="12"/>
                <w:color w:val="auto"/>
              </w:rPr>
            </w:pPr>
          </w:p>
        </w:tc>
        <w:tc>
          <w:tcPr>
            <w:tcW w:w="124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98"/>
              </w:rPr>
              <w:t>60-89 Days</w:t>
            </w:r>
          </w:p>
        </w:tc>
        <w:tc>
          <w:tcPr>
            <w:tcW w:w="200" w:type="dxa"/>
            <w:vAlign w:val="bottom"/>
          </w:tcPr>
          <w:p>
            <w:pPr>
              <w:spacing w:after="0"/>
              <w:rPr>
                <w:sz w:val="12"/>
                <w:szCs w:val="12"/>
                <w:color w:val="auto"/>
              </w:rPr>
            </w:pPr>
          </w:p>
        </w:tc>
        <w:tc>
          <w:tcPr>
            <w:tcW w:w="122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98"/>
              </w:rPr>
              <w:t>Seriously</w:t>
            </w:r>
          </w:p>
        </w:tc>
        <w:tc>
          <w:tcPr>
            <w:tcW w:w="120" w:type="dxa"/>
            <w:vAlign w:val="bottom"/>
          </w:tcPr>
          <w:p>
            <w:pPr>
              <w:spacing w:after="0"/>
              <w:rPr>
                <w:sz w:val="12"/>
                <w:szCs w:val="12"/>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 Delinquent</w:t>
            </w:r>
          </w:p>
        </w:tc>
        <w:tc>
          <w:tcPr>
            <w:tcW w:w="260" w:type="dxa"/>
            <w:vAlign w:val="bottom"/>
          </w:tcPr>
          <w:p>
            <w:pPr>
              <w:spacing w:after="0"/>
              <w:rPr>
                <w:sz w:val="12"/>
                <w:szCs w:val="12"/>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Current</w:t>
            </w:r>
          </w:p>
        </w:tc>
        <w:tc>
          <w:tcPr>
            <w:tcW w:w="300" w:type="dxa"/>
            <w:vAlign w:val="bottom"/>
          </w:tcPr>
          <w:p>
            <w:pPr>
              <w:spacing w:after="0"/>
              <w:rPr>
                <w:sz w:val="12"/>
                <w:szCs w:val="12"/>
                <w:color w:val="auto"/>
              </w:rPr>
            </w:pPr>
          </w:p>
        </w:tc>
        <w:tc>
          <w:tcPr>
            <w:tcW w:w="1020" w:type="dxa"/>
            <w:vAlign w:val="bottom"/>
            <w:vMerge w:val="restart"/>
          </w:tcPr>
          <w:p>
            <w:pPr>
              <w:jc w:val="right"/>
              <w:ind w:right="42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2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gridSpan w:val="2"/>
          </w:tcPr>
          <w:p>
            <w:pPr>
              <w:ind w:left="100"/>
              <w:spacing w:after="0"/>
              <w:rPr>
                <w:sz w:val="20"/>
                <w:szCs w:val="20"/>
                <w:color w:val="auto"/>
              </w:rPr>
            </w:pPr>
            <w:r>
              <w:rPr>
                <w:rFonts w:ascii="Arial" w:cs="Arial" w:eastAsia="Arial" w:hAnsi="Arial"/>
                <w:sz w:val="14"/>
                <w:szCs w:val="14"/>
                <w:b w:val="1"/>
                <w:bCs w:val="1"/>
                <w:color w:val="auto"/>
              </w:rPr>
              <w:t>Delinquent</w:t>
            </w:r>
          </w:p>
        </w:tc>
        <w:tc>
          <w:tcPr>
            <w:tcW w:w="180" w:type="dxa"/>
            <w:vAlign w:val="bottom"/>
            <w:tcBorders>
              <w:bottom w:val="single" w:sz="8" w:color="2C6937"/>
            </w:tcBorders>
          </w:tcPr>
          <w:p>
            <w:pPr>
              <w:spacing w:after="0"/>
              <w:rPr>
                <w:sz w:val="15"/>
                <w:szCs w:val="15"/>
                <w:color w:val="auto"/>
              </w:rPr>
            </w:pPr>
          </w:p>
        </w:tc>
        <w:tc>
          <w:tcPr>
            <w:tcW w:w="1240" w:type="dxa"/>
            <w:vAlign w:val="bottom"/>
            <w:tcBorders>
              <w:bottom w:val="single" w:sz="8" w:color="2C6937"/>
            </w:tcBorders>
            <w:gridSpan w:val="2"/>
          </w:tcPr>
          <w:p>
            <w:pPr>
              <w:jc w:val="center"/>
              <w:ind w:right="260"/>
              <w:spacing w:after="0" w:line="180" w:lineRule="exact"/>
              <w:rPr>
                <w:sz w:val="20"/>
                <w:szCs w:val="20"/>
                <w:color w:val="auto"/>
              </w:rPr>
            </w:pPr>
            <w:r>
              <w:rPr>
                <w:rFonts w:ascii="Arial" w:cs="Arial" w:eastAsia="Arial" w:hAnsi="Arial"/>
                <w:sz w:val="14"/>
                <w:szCs w:val="14"/>
                <w:b w:val="1"/>
                <w:bCs w:val="1"/>
                <w:color w:val="auto"/>
                <w:w w:val="95"/>
              </w:rPr>
              <w:t>Delinquent</w:t>
            </w:r>
            <w:r>
              <w:rPr>
                <w:rFonts w:ascii="Arial" w:cs="Arial" w:eastAsia="Arial" w:hAnsi="Arial"/>
                <w:sz w:val="17"/>
                <w:szCs w:val="17"/>
                <w:b w:val="1"/>
                <w:bCs w:val="1"/>
                <w:color w:val="auto"/>
                <w:w w:val="95"/>
                <w:vertAlign w:val="superscript"/>
              </w:rPr>
              <w:t>(2)</w:t>
            </w:r>
          </w:p>
        </w:tc>
        <w:tc>
          <w:tcPr>
            <w:tcW w:w="20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Delinquent</w:t>
            </w:r>
          </w:p>
        </w:tc>
        <w:tc>
          <w:tcPr>
            <w:tcW w:w="120" w:type="dxa"/>
            <w:vAlign w:val="bottom"/>
            <w:tcBorders>
              <w:bottom w:val="single" w:sz="8" w:color="2C6937"/>
            </w:tcBorders>
          </w:tcPr>
          <w:p>
            <w:pPr>
              <w:spacing w:after="0"/>
              <w:rPr>
                <w:sz w:val="15"/>
                <w:szCs w:val="15"/>
                <w:color w:val="auto"/>
              </w:rPr>
            </w:pPr>
          </w:p>
        </w:tc>
        <w:tc>
          <w:tcPr>
            <w:tcW w:w="1300" w:type="dxa"/>
            <w:vAlign w:val="bottom"/>
            <w:tcBorders>
              <w:bottom w:val="single" w:sz="8" w:color="2C6937"/>
            </w:tcBorders>
            <w:gridSpan w:val="2"/>
            <w:vMerge w:val="continue"/>
          </w:tcPr>
          <w:p>
            <w:pPr>
              <w:spacing w:after="0"/>
              <w:rPr>
                <w:sz w:val="15"/>
                <w:szCs w:val="15"/>
                <w:color w:val="auto"/>
              </w:rPr>
            </w:pPr>
          </w:p>
        </w:tc>
        <w:tc>
          <w:tcPr>
            <w:tcW w:w="260" w:type="dxa"/>
            <w:vAlign w:val="bottom"/>
            <w:tcBorders>
              <w:bottom w:val="single" w:sz="8" w:color="2C6937"/>
            </w:tcBorders>
          </w:tcPr>
          <w:p>
            <w:pPr>
              <w:spacing w:after="0"/>
              <w:rPr>
                <w:sz w:val="15"/>
                <w:szCs w:val="15"/>
                <w:color w:val="auto"/>
              </w:rPr>
            </w:pPr>
          </w:p>
        </w:tc>
        <w:tc>
          <w:tcPr>
            <w:tcW w:w="1160" w:type="dxa"/>
            <w:vAlign w:val="bottom"/>
            <w:tcBorders>
              <w:bottom w:val="single" w:sz="8" w:color="2C6937"/>
            </w:tcBorders>
            <w:gridSpan w:val="2"/>
            <w:vMerge w:val="continue"/>
          </w:tcPr>
          <w:p>
            <w:pPr>
              <w:spacing w:after="0"/>
              <w:rPr>
                <w:sz w:val="15"/>
                <w:szCs w:val="15"/>
                <w:color w:val="auto"/>
              </w:rPr>
            </w:pPr>
          </w:p>
        </w:tc>
        <w:tc>
          <w:tcPr>
            <w:tcW w:w="300" w:type="dxa"/>
            <w:vAlign w:val="bottom"/>
            <w:tcBorders>
              <w:bottom w:val="single" w:sz="8" w:color="2C6937"/>
            </w:tcBorders>
          </w:tcPr>
          <w:p>
            <w:pPr>
              <w:spacing w:after="0"/>
              <w:rPr>
                <w:sz w:val="15"/>
                <w:szCs w:val="15"/>
                <w:color w:val="auto"/>
              </w:rPr>
            </w:pPr>
          </w:p>
        </w:tc>
        <w:tc>
          <w:tcPr>
            <w:tcW w:w="102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6"/>
              </w:rPr>
              <w:t>(Dollars in millions)</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82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820" w:type="dxa"/>
            <w:vAlign w:val="bottom"/>
            <w:gridSpan w:val="2"/>
          </w:tcPr>
          <w:p>
            <w:pPr>
              <w:ind w:left="180"/>
              <w:spacing w:after="0"/>
              <w:rPr>
                <w:sz w:val="20"/>
                <w:szCs w:val="20"/>
                <w:color w:val="auto"/>
              </w:rPr>
            </w:pPr>
            <w:r>
              <w:rPr>
                <w:rFonts w:ascii="Arial" w:cs="Arial" w:eastAsia="Arial" w:hAnsi="Arial"/>
                <w:sz w:val="15"/>
                <w:szCs w:val="15"/>
                <w:color w:val="auto"/>
              </w:rPr>
              <w:t>20- and 30-year or more, amortizing</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820" w:type="dxa"/>
            <w:vAlign w:val="bottom"/>
            <w:gridSpan w:val="2"/>
          </w:tcPr>
          <w:p>
            <w:pPr>
              <w:ind w:left="320"/>
              <w:spacing w:after="0"/>
              <w:rPr>
                <w:sz w:val="20"/>
                <w:szCs w:val="20"/>
                <w:color w:val="auto"/>
              </w:rPr>
            </w:pPr>
            <w:r>
              <w:rPr>
                <w:rFonts w:ascii="Arial" w:cs="Arial" w:eastAsia="Arial" w:hAnsi="Arial"/>
                <w:sz w:val="15"/>
                <w:szCs w:val="15"/>
                <w:color w:val="auto"/>
              </w:rPr>
              <w:t>fixed-rate</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3,722</w:t>
            </w:r>
          </w:p>
        </w:tc>
        <w:tc>
          <w:tcPr>
            <w:tcW w:w="100" w:type="dxa"/>
            <w:vAlign w:val="bottom"/>
          </w:tcPr>
          <w:p>
            <w:pPr>
              <w:spacing w:after="0"/>
              <w:rPr>
                <w:sz w:val="18"/>
                <w:szCs w:val="18"/>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2,332</w:t>
            </w:r>
          </w:p>
        </w:tc>
        <w:tc>
          <w:tcPr>
            <w:tcW w:w="80" w:type="dxa"/>
            <w:vAlign w:val="bottom"/>
          </w:tcPr>
          <w:p>
            <w:pPr>
              <w:spacing w:after="0"/>
              <w:rPr>
                <w:sz w:val="18"/>
                <w:szCs w:val="18"/>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11,455</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17,509</w:t>
            </w:r>
          </w:p>
        </w:tc>
        <w:tc>
          <w:tcPr>
            <w:tcW w:w="100" w:type="dxa"/>
            <w:vAlign w:val="bottom"/>
          </w:tcPr>
          <w:p>
            <w:pPr>
              <w:spacing w:after="0"/>
              <w:rPr>
                <w:sz w:val="18"/>
                <w:szCs w:val="18"/>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15,368</w:t>
            </w:r>
          </w:p>
        </w:tc>
        <w:tc>
          <w:tcPr>
            <w:tcW w:w="100" w:type="dxa"/>
            <w:vAlign w:val="bottom"/>
          </w:tcPr>
          <w:p>
            <w:pPr>
              <w:spacing w:after="0"/>
              <w:rPr>
                <w:sz w:val="18"/>
                <w:szCs w:val="18"/>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32,877</w:t>
            </w:r>
          </w:p>
        </w:tc>
        <w:tc>
          <w:tcPr>
            <w:tcW w:w="0" w:type="dxa"/>
            <w:vAlign w:val="bottom"/>
          </w:tcPr>
          <w:p>
            <w:pPr>
              <w:spacing w:after="0"/>
              <w:rPr>
                <w:sz w:val="1"/>
                <w:szCs w:val="1"/>
                <w:color w:val="auto"/>
              </w:rPr>
            </w:pPr>
          </w:p>
        </w:tc>
      </w:tr>
      <w:tr>
        <w:trPr>
          <w:trHeight w:val="232"/>
        </w:trPr>
        <w:tc>
          <w:tcPr>
            <w:tcW w:w="2820" w:type="dxa"/>
            <w:vAlign w:val="bottom"/>
            <w:gridSpan w:val="2"/>
          </w:tcPr>
          <w:p>
            <w:pPr>
              <w:ind w:left="180"/>
              <w:spacing w:after="0"/>
              <w:rPr>
                <w:sz w:val="20"/>
                <w:szCs w:val="20"/>
                <w:color w:val="auto"/>
              </w:rPr>
            </w:pPr>
            <w:r>
              <w:rPr>
                <w:rFonts w:ascii="Arial" w:cs="Arial" w:eastAsia="Arial" w:hAnsi="Arial"/>
                <w:sz w:val="15"/>
                <w:szCs w:val="15"/>
                <w:color w:val="auto"/>
              </w:rPr>
              <w:t>15-year or less, amortizing fixed-rate</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78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405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598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562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1,160</w:t>
            </w:r>
          </w:p>
        </w:tc>
        <w:tc>
          <w:tcPr>
            <w:tcW w:w="0" w:type="dxa"/>
            <w:vAlign w:val="bottom"/>
          </w:tcPr>
          <w:p>
            <w:pPr>
              <w:spacing w:after="0"/>
              <w:rPr>
                <w:sz w:val="1"/>
                <w:szCs w:val="1"/>
                <w:color w:val="auto"/>
              </w:rPr>
            </w:pPr>
          </w:p>
        </w:tc>
      </w:tr>
      <w:tr>
        <w:trPr>
          <w:trHeight w:val="232"/>
        </w:trPr>
        <w:tc>
          <w:tcPr>
            <w:tcW w:w="282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55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77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133</w:t>
            </w:r>
          </w:p>
        </w:tc>
        <w:tc>
          <w:tcPr>
            <w:tcW w:w="0" w:type="dxa"/>
            <w:vAlign w:val="bottom"/>
          </w:tcPr>
          <w:p>
            <w:pPr>
              <w:spacing w:after="0"/>
              <w:rPr>
                <w:sz w:val="1"/>
                <w:szCs w:val="1"/>
                <w:color w:val="auto"/>
              </w:rPr>
            </w:pPr>
          </w:p>
        </w:tc>
      </w:tr>
      <w:tr>
        <w:trPr>
          <w:trHeight w:val="239"/>
        </w:trPr>
        <w:tc>
          <w:tcPr>
            <w:tcW w:w="272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75</w:t>
            </w:r>
          </w:p>
        </w:tc>
        <w:tc>
          <w:tcPr>
            <w:tcW w:w="10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116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37</w:t>
            </w:r>
          </w:p>
        </w:tc>
        <w:tc>
          <w:tcPr>
            <w:tcW w:w="8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114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192</w:t>
            </w:r>
          </w:p>
        </w:tc>
        <w:tc>
          <w:tcPr>
            <w:tcW w:w="8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304</w:t>
            </w:r>
          </w:p>
        </w:tc>
        <w:tc>
          <w:tcPr>
            <w:tcW w:w="100" w:type="dxa"/>
            <w:vAlign w:val="bottom"/>
          </w:tcPr>
          <w:p>
            <w:pPr>
              <w:spacing w:after="0"/>
              <w:rPr>
                <w:sz w:val="20"/>
                <w:szCs w:val="20"/>
                <w:color w:val="auto"/>
              </w:rPr>
            </w:pPr>
          </w:p>
        </w:tc>
        <w:tc>
          <w:tcPr>
            <w:tcW w:w="260" w:type="dxa"/>
            <w:vAlign w:val="bottom"/>
            <w:tcBorders>
              <w:bottom w:val="single" w:sz="8" w:color="2C6937"/>
            </w:tcBorders>
          </w:tcPr>
          <w:p>
            <w:pPr>
              <w:spacing w:after="0"/>
              <w:rPr>
                <w:sz w:val="20"/>
                <w:szCs w:val="20"/>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297</w:t>
            </w:r>
          </w:p>
        </w:tc>
        <w:tc>
          <w:tcPr>
            <w:tcW w:w="100" w:type="dxa"/>
            <w:vAlign w:val="bottom"/>
          </w:tcPr>
          <w:p>
            <w:pPr>
              <w:spacing w:after="0"/>
              <w:rPr>
                <w:sz w:val="20"/>
                <w:szCs w:val="20"/>
                <w:color w:val="auto"/>
              </w:rPr>
            </w:pPr>
          </w:p>
        </w:tc>
        <w:tc>
          <w:tcPr>
            <w:tcW w:w="300" w:type="dxa"/>
            <w:vAlign w:val="bottom"/>
            <w:tcBorders>
              <w:bottom w:val="single" w:sz="8" w:color="2C6937"/>
            </w:tcBorders>
          </w:tcPr>
          <w:p>
            <w:pPr>
              <w:spacing w:after="0"/>
              <w:rPr>
                <w:sz w:val="20"/>
                <w:szCs w:val="20"/>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601</w:t>
            </w:r>
          </w:p>
        </w:tc>
        <w:tc>
          <w:tcPr>
            <w:tcW w:w="0" w:type="dxa"/>
            <w:vAlign w:val="bottom"/>
          </w:tcPr>
          <w:p>
            <w:pPr>
              <w:spacing w:after="0"/>
              <w:rPr>
                <w:sz w:val="1"/>
                <w:szCs w:val="1"/>
                <w:color w:val="auto"/>
              </w:rPr>
            </w:pPr>
          </w:p>
        </w:tc>
      </w:tr>
      <w:tr>
        <w:trPr>
          <w:trHeight w:val="218"/>
        </w:trPr>
        <w:tc>
          <w:tcPr>
            <w:tcW w:w="2820" w:type="dxa"/>
            <w:vAlign w:val="bottom"/>
            <w:gridSpan w:val="2"/>
          </w:tcPr>
          <w:p>
            <w:pPr>
              <w:ind w:left="20"/>
              <w:spacing w:after="0"/>
              <w:rPr>
                <w:sz w:val="20"/>
                <w:szCs w:val="20"/>
                <w:color w:val="auto"/>
              </w:rPr>
            </w:pPr>
            <w:r>
              <w:rPr>
                <w:rFonts w:ascii="Arial" w:cs="Arial" w:eastAsia="Arial" w:hAnsi="Arial"/>
                <w:sz w:val="15"/>
                <w:szCs w:val="15"/>
                <w:color w:val="auto"/>
              </w:rPr>
              <w:t>Total single-family loans modified</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3,926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2,455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12,107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18,488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16,283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34,771</w:t>
            </w:r>
          </w:p>
        </w:tc>
        <w:tc>
          <w:tcPr>
            <w:tcW w:w="0" w:type="dxa"/>
            <w:vAlign w:val="bottom"/>
          </w:tcPr>
          <w:p>
            <w:pPr>
              <w:spacing w:after="0"/>
              <w:rPr>
                <w:sz w:val="1"/>
                <w:szCs w:val="1"/>
                <w:color w:val="auto"/>
              </w:rPr>
            </w:pPr>
          </w:p>
        </w:tc>
      </w:tr>
      <w:tr>
        <w:trPr>
          <w:trHeight w:val="239"/>
        </w:trPr>
        <w:tc>
          <w:tcPr>
            <w:tcW w:w="2720" w:type="dxa"/>
            <w:vAlign w:val="bottom"/>
            <w:tcBorders>
              <w:bottom w:val="single" w:sz="8" w:color="2C6937"/>
            </w:tcBorders>
          </w:tcPr>
          <w:p>
            <w:pPr>
              <w:ind w:left="6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19</w:t>
            </w:r>
          </w:p>
        </w:tc>
        <w:tc>
          <w:tcPr>
            <w:tcW w:w="10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N/A</w:t>
            </w:r>
          </w:p>
        </w:tc>
        <w:tc>
          <w:tcPr>
            <w:tcW w:w="8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114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1,045</w:t>
            </w:r>
          </w:p>
        </w:tc>
        <w:tc>
          <w:tcPr>
            <w:tcW w:w="8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1,064</w:t>
            </w:r>
          </w:p>
        </w:tc>
        <w:tc>
          <w:tcPr>
            <w:tcW w:w="100" w:type="dxa"/>
            <w:vAlign w:val="bottom"/>
          </w:tcPr>
          <w:p>
            <w:pPr>
              <w:spacing w:after="0"/>
              <w:rPr>
                <w:sz w:val="20"/>
                <w:szCs w:val="20"/>
                <w:color w:val="auto"/>
              </w:rPr>
            </w:pPr>
          </w:p>
        </w:tc>
        <w:tc>
          <w:tcPr>
            <w:tcW w:w="260" w:type="dxa"/>
            <w:vAlign w:val="bottom"/>
            <w:tcBorders>
              <w:bottom w:val="single" w:sz="8" w:color="2C6937"/>
            </w:tcBorders>
          </w:tcPr>
          <w:p>
            <w:pPr>
              <w:spacing w:after="0"/>
              <w:rPr>
                <w:sz w:val="20"/>
                <w:szCs w:val="20"/>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587</w:t>
            </w:r>
          </w:p>
        </w:tc>
        <w:tc>
          <w:tcPr>
            <w:tcW w:w="100" w:type="dxa"/>
            <w:vAlign w:val="bottom"/>
          </w:tcPr>
          <w:p>
            <w:pPr>
              <w:spacing w:after="0"/>
              <w:rPr>
                <w:sz w:val="20"/>
                <w:szCs w:val="20"/>
                <w:color w:val="auto"/>
              </w:rPr>
            </w:pPr>
          </w:p>
        </w:tc>
        <w:tc>
          <w:tcPr>
            <w:tcW w:w="300" w:type="dxa"/>
            <w:vAlign w:val="bottom"/>
            <w:tcBorders>
              <w:bottom w:val="single" w:sz="8" w:color="2C6937"/>
            </w:tcBorders>
          </w:tcPr>
          <w:p>
            <w:pPr>
              <w:spacing w:after="0"/>
              <w:rPr>
                <w:sz w:val="20"/>
                <w:szCs w:val="20"/>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1,651</w:t>
            </w:r>
          </w:p>
        </w:tc>
        <w:tc>
          <w:tcPr>
            <w:tcW w:w="0" w:type="dxa"/>
            <w:vAlign w:val="bottom"/>
          </w:tcPr>
          <w:p>
            <w:pPr>
              <w:spacing w:after="0"/>
              <w:rPr>
                <w:sz w:val="1"/>
                <w:szCs w:val="1"/>
                <w:color w:val="auto"/>
              </w:rPr>
            </w:pPr>
          </w:p>
        </w:tc>
      </w:tr>
      <w:tr>
        <w:trPr>
          <w:trHeight w:val="232"/>
        </w:trPr>
        <w:tc>
          <w:tcPr>
            <w:tcW w:w="2820" w:type="dxa"/>
            <w:vAlign w:val="bottom"/>
            <w:gridSpan w:val="2"/>
          </w:tcPr>
          <w:p>
            <w:pPr>
              <w:ind w:left="180"/>
              <w:spacing w:after="0"/>
              <w:rPr>
                <w:sz w:val="20"/>
                <w:szCs w:val="20"/>
                <w:color w:val="auto"/>
              </w:rPr>
            </w:pPr>
            <w:r>
              <w:rPr>
                <w:rFonts w:ascii="Arial" w:cs="Arial" w:eastAsia="Arial" w:hAnsi="Arial"/>
                <w:sz w:val="15"/>
                <w:szCs w:val="15"/>
                <w:color w:val="auto"/>
              </w:rPr>
              <w:t>Total loans restructured</w:t>
            </w:r>
            <w:r>
              <w:rPr>
                <w:rFonts w:ascii="Arial" w:cs="Arial" w:eastAsia="Arial" w:hAnsi="Arial"/>
                <w:sz w:val="20"/>
                <w:szCs w:val="20"/>
                <w:color w:val="auto"/>
                <w:vertAlign w:val="superscript"/>
              </w:rPr>
              <w:t>(3)</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3,945</w:t>
            </w:r>
          </w:p>
        </w:tc>
        <w:tc>
          <w:tcPr>
            <w:tcW w:w="100" w:type="dxa"/>
            <w:vAlign w:val="bottom"/>
          </w:tcPr>
          <w:p>
            <w:pPr>
              <w:spacing w:after="0"/>
              <w:rPr>
                <w:sz w:val="20"/>
                <w:szCs w:val="20"/>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2,455</w:t>
            </w:r>
          </w:p>
        </w:tc>
        <w:tc>
          <w:tcPr>
            <w:tcW w:w="80" w:type="dxa"/>
            <w:vAlign w:val="bottom"/>
          </w:tcPr>
          <w:p>
            <w:pPr>
              <w:spacing w:after="0"/>
              <w:rPr>
                <w:sz w:val="20"/>
                <w:szCs w:val="20"/>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13,152</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19,552</w:t>
            </w:r>
          </w:p>
        </w:tc>
        <w:tc>
          <w:tcPr>
            <w:tcW w:w="100" w:type="dxa"/>
            <w:vAlign w:val="bottom"/>
          </w:tcPr>
          <w:p>
            <w:pPr>
              <w:spacing w:after="0"/>
              <w:rPr>
                <w:sz w:val="20"/>
                <w:szCs w:val="20"/>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16,870</w:t>
            </w:r>
          </w:p>
        </w:tc>
        <w:tc>
          <w:tcPr>
            <w:tcW w:w="100" w:type="dxa"/>
            <w:vAlign w:val="bottom"/>
          </w:tcPr>
          <w:p>
            <w:pPr>
              <w:spacing w:after="0"/>
              <w:rPr>
                <w:sz w:val="20"/>
                <w:szCs w:val="20"/>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36,422</w:t>
            </w:r>
          </w:p>
        </w:tc>
        <w:tc>
          <w:tcPr>
            <w:tcW w:w="0" w:type="dxa"/>
            <w:vAlign w:val="bottom"/>
          </w:tcPr>
          <w:p>
            <w:pPr>
              <w:spacing w:after="0"/>
              <w:rPr>
                <w:sz w:val="1"/>
                <w:szCs w:val="1"/>
                <w:color w:val="auto"/>
              </w:rPr>
            </w:pPr>
          </w:p>
        </w:tc>
      </w:tr>
      <w:tr>
        <w:trPr>
          <w:trHeight w:val="20"/>
        </w:trPr>
        <w:tc>
          <w:tcPr>
            <w:tcW w:w="27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116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1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2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10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2C6937"/>
              <w:bottom w:val="single" w:sz="8" w:color="2C6937"/>
            </w:tcBorders>
          </w:tcPr>
          <w:p>
            <w:pPr>
              <w:spacing w:after="0" w:line="20" w:lineRule="exact"/>
              <w:rPr>
                <w:sz w:val="1"/>
                <w:szCs w:val="1"/>
                <w:color w:val="auto"/>
              </w:rPr>
            </w:pPr>
          </w:p>
        </w:tc>
        <w:tc>
          <w:tcPr>
            <w:tcW w:w="102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240" w:right="460" w:hanging="237"/>
        <w:spacing w:after="0" w:line="228" w:lineRule="auto"/>
        <w:tabs>
          <w:tab w:leader="none" w:pos="216" w:val="left"/>
        </w:tabs>
        <w:numPr>
          <w:ilvl w:val="0"/>
          <w:numId w:val="79"/>
        </w:numPr>
        <w:rPr>
          <w:rFonts w:ascii="Arial" w:cs="Arial" w:eastAsia="Arial" w:hAnsi="Arial"/>
          <w:sz w:val="18"/>
          <w:szCs w:val="18"/>
          <w:color w:val="auto"/>
          <w:vertAlign w:val="superscript"/>
        </w:rPr>
      </w:pPr>
      <w:r>
        <w:rPr>
          <w:rFonts w:ascii="Arial" w:cs="Arial" w:eastAsia="Arial" w:hAnsi="Arial"/>
          <w:sz w:val="14"/>
          <w:szCs w:val="14"/>
          <w:color w:val="auto"/>
        </w:rPr>
        <w:t>The substantial majority of loans that received a completed modification or a payment deferral during the three months ended September 30, 2024 were not delinquent as of September 30, 2024. The substantial majority of loans that received a completed modification or a payment deferral during three months ended September 30, 2023 were not delinquent as of September 30, 2023.</w:t>
      </w:r>
    </w:p>
    <w:p>
      <w:pPr>
        <w:ind w:left="240" w:hanging="237"/>
        <w:spacing w:after="0"/>
        <w:tabs>
          <w:tab w:leader="none" w:pos="240" w:val="left"/>
        </w:tabs>
        <w:numPr>
          <w:ilvl w:val="0"/>
          <w:numId w:val="79"/>
        </w:numPr>
        <w:rPr>
          <w:rFonts w:ascii="Arial" w:cs="Arial" w:eastAsia="Arial" w:hAnsi="Arial"/>
          <w:sz w:val="18"/>
          <w:szCs w:val="18"/>
          <w:color w:val="auto"/>
          <w:vertAlign w:val="superscript"/>
        </w:rPr>
      </w:pPr>
      <w:r>
        <w:rPr>
          <w:rFonts w:ascii="Arial" w:cs="Arial" w:eastAsia="Arial" w:hAnsi="Arial"/>
          <w:sz w:val="14"/>
          <w:szCs w:val="14"/>
          <w:color w:val="auto"/>
        </w:rPr>
        <w:t>Multifamily loans 60-89 days delinquent are included in the seriously delinquent column.</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79"/>
        </w:numPr>
        <w:rPr>
          <w:rFonts w:ascii="Arial" w:cs="Arial" w:eastAsia="Arial" w:hAnsi="Arial"/>
          <w:sz w:val="18"/>
          <w:szCs w:val="18"/>
          <w:color w:val="auto"/>
          <w:vertAlign w:val="superscript"/>
        </w:rPr>
      </w:pPr>
      <w:r>
        <w:rPr>
          <w:rFonts w:ascii="Arial" w:cs="Arial" w:eastAsia="Arial" w:hAnsi="Arial"/>
          <w:sz w:val="14"/>
          <w:szCs w:val="14"/>
          <w:color w:val="auto"/>
        </w:rPr>
        <w:t>Represents the amortized cost basis as of period end.</w:t>
      </w:r>
    </w:p>
    <w:p>
      <w:pPr>
        <w:spacing w:after="0" w:line="96"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Nonaccrual Loans</w:t>
      </w:r>
    </w:p>
    <w:p>
      <w:pPr>
        <w:spacing w:after="0" w:line="68"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We recognize interest income on an accrual basis except when we believe the collection of principal and interest is not reasonably assured. This generally occurs when a single-family loan is three or more months past due and a multifamily loan is two or more months past due according to its contractual terms. A loan is reported as past due if a full payment of principal and interest is not received within one month of its due date. When a loan is placed on nonaccrual status based on delinquency status, interest previously accrued but not collected on the loan is reversed through interest income.</w:t>
      </w:r>
    </w:p>
    <w:p>
      <w:pPr>
        <w:spacing w:after="0" w:line="33" w:lineRule="exact"/>
        <w:rPr>
          <w:sz w:val="20"/>
          <w:szCs w:val="20"/>
          <w:color w:val="auto"/>
        </w:rPr>
      </w:pPr>
    </w:p>
    <w:p>
      <w:pPr>
        <w:jc w:val="both"/>
        <w:ind w:right="60"/>
        <w:spacing w:after="0" w:line="272" w:lineRule="auto"/>
        <w:rPr>
          <w:sz w:val="20"/>
          <w:szCs w:val="20"/>
          <w:color w:val="auto"/>
        </w:rPr>
      </w:pPr>
      <w:r>
        <w:rPr>
          <w:rFonts w:ascii="Arial" w:cs="Arial" w:eastAsia="Arial" w:hAnsi="Arial"/>
          <w:sz w:val="16"/>
          <w:szCs w:val="16"/>
          <w:color w:val="auto"/>
        </w:rPr>
        <w:t>Cost basis adjustments on HFI loans are amortized into interest income over the contractual life of the loan using the effective interest method. Cost basis adjustments on the loan are not amortized into income while a loan is on nonaccrual status. We have elected not to measure an allowance for credit losses on accrued interest receivable balances as we have a nonaccrual policy to ensure the timely reversal of unpaid accrued interest.</w:t>
      </w:r>
    </w:p>
    <w:p>
      <w:pPr>
        <w:spacing w:after="0" w:line="32"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For single-family loans, we recognize any contractual interest payments received on the loan while on nonaccrual status as interest income on a cash basis. For multifamily loans, we account for interest income on a cost recovery basis and we apply any payment received while on nonaccrual status to reduce the amortized cost of the loan. Thus, we do not recognize any interest income on a multifamily loan placed on nonaccrual status until the amortized cost of the loan has been reduced to zero.</w:t>
      </w:r>
    </w:p>
    <w:p>
      <w:pPr>
        <w:spacing w:after="0" w:line="33"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A nonaccrual loan is returned to accrual status when the full collection of principal and interest is reasonably assured. We generally determine that the full collection of principal and interest is reasonably assured when the loan returns to current payment status. If a loan is restructured for a borrower experiencing financial difficulty, we require a performance period of up to 6 months before we return the loan to accrual status. Upon a loan’s return to accrual status, we resume the recognition of interest income on an accrual basis and the amortization of cost basis adjustments, if any, into interest income. If interest is capitalized pursuant to a restructuring, any capitalized interest that had not been previously recognized as interest income or that had been reversed through interest income when the loan was placed on nonaccrual status is recorded as a discount to the loan and amortized into interest income over the remaining contractual life of the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368935</wp:posOffset>
            </wp:positionV>
            <wp:extent cx="680593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89" w:name="page90"/>
    <w:bookmarkEnd w:id="89"/>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displays the accrued interest receivable written off through the reversal of interest income for nonaccrual loans.</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4260" w:type="dxa"/>
            <w:vAlign w:val="bottom"/>
          </w:tcPr>
          <w:p>
            <w:pPr>
              <w:spacing w:after="0"/>
              <w:rPr>
                <w:sz w:val="18"/>
                <w:szCs w:val="18"/>
                <w:color w:val="auto"/>
              </w:rPr>
            </w:pPr>
          </w:p>
        </w:tc>
        <w:tc>
          <w:tcPr>
            <w:tcW w:w="3500" w:type="dxa"/>
            <w:vAlign w:val="bottom"/>
            <w:gridSpan w:val="6"/>
          </w:tcPr>
          <w:p>
            <w:pPr>
              <w:ind w:left="100"/>
              <w:spacing w:after="0"/>
              <w:rPr>
                <w:sz w:val="20"/>
                <w:szCs w:val="20"/>
                <w:color w:val="auto"/>
              </w:rPr>
            </w:pPr>
            <w:r>
              <w:rPr>
                <w:rFonts w:ascii="Arial" w:cs="Arial" w:eastAsia="Arial" w:hAnsi="Arial"/>
                <w:sz w:val="15"/>
                <w:szCs w:val="15"/>
                <w:b w:val="1"/>
                <w:bCs w:val="1"/>
                <w:color w:val="auto"/>
              </w:rPr>
              <w:t>For the Three Months Ended September 30,</w:t>
            </w:r>
          </w:p>
        </w:tc>
        <w:tc>
          <w:tcPr>
            <w:tcW w:w="140" w:type="dxa"/>
            <w:vAlign w:val="bottom"/>
          </w:tcPr>
          <w:p>
            <w:pPr>
              <w:spacing w:after="0"/>
              <w:rPr>
                <w:sz w:val="18"/>
                <w:szCs w:val="18"/>
                <w:color w:val="auto"/>
              </w:rPr>
            </w:pPr>
          </w:p>
        </w:tc>
        <w:tc>
          <w:tcPr>
            <w:tcW w:w="3320" w:type="dxa"/>
            <w:vAlign w:val="bottom"/>
            <w:gridSpan w:val="4"/>
          </w:tcPr>
          <w:p>
            <w:pPr>
              <w:jc w:val="right"/>
              <w:ind w:right="83"/>
              <w:spacing w:after="0"/>
              <w:rPr>
                <w:sz w:val="20"/>
                <w:szCs w:val="20"/>
                <w:color w:val="auto"/>
              </w:rPr>
            </w:pPr>
            <w:r>
              <w:rPr>
                <w:rFonts w:ascii="Arial" w:cs="Arial" w:eastAsia="Arial" w:hAnsi="Arial"/>
                <w:sz w:val="15"/>
                <w:szCs w:val="15"/>
                <w:b w:val="1"/>
                <w:bCs w:val="1"/>
                <w:color w:val="auto"/>
              </w:rPr>
              <w:t>For the Nine Months Ended September 30,</w:t>
            </w:r>
          </w:p>
        </w:tc>
      </w:tr>
      <w:tr>
        <w:trPr>
          <w:trHeight w:val="199"/>
        </w:trPr>
        <w:tc>
          <w:tcPr>
            <w:tcW w:w="4260" w:type="dxa"/>
            <w:vAlign w:val="bottom"/>
          </w:tcPr>
          <w:p>
            <w:pPr>
              <w:spacing w:after="0"/>
              <w:rPr>
                <w:sz w:val="17"/>
                <w:szCs w:val="17"/>
                <w:color w:val="auto"/>
              </w:rPr>
            </w:pPr>
          </w:p>
        </w:tc>
        <w:tc>
          <w:tcPr>
            <w:tcW w:w="1200" w:type="dxa"/>
            <w:vAlign w:val="bottom"/>
            <w:tcBorders>
              <w:top w:val="single" w:sz="8" w:color="2C6937"/>
              <w:bottom w:val="single" w:sz="8" w:color="2C6937"/>
            </w:tcBorders>
          </w:tcPr>
          <w:p>
            <w:pPr>
              <w:jc w:val="right"/>
              <w:ind w:right="123"/>
              <w:spacing w:after="0"/>
              <w:rPr>
                <w:sz w:val="20"/>
                <w:szCs w:val="20"/>
                <w:color w:val="auto"/>
              </w:rPr>
            </w:pPr>
            <w:r>
              <w:rPr>
                <w:rFonts w:ascii="Arial" w:cs="Arial" w:eastAsia="Arial" w:hAnsi="Arial"/>
                <w:sz w:val="15"/>
                <w:szCs w:val="15"/>
                <w:b w:val="1"/>
                <w:bCs w:val="1"/>
                <w:color w:val="auto"/>
              </w:rPr>
              <w:t>2024</w:t>
            </w:r>
          </w:p>
        </w:tc>
        <w:tc>
          <w:tcPr>
            <w:tcW w:w="460" w:type="dxa"/>
            <w:vAlign w:val="bottom"/>
            <w:tcBorders>
              <w:top w:val="single" w:sz="8" w:color="2C6937"/>
              <w:bottom w:val="single" w:sz="8" w:color="2C6937"/>
            </w:tcBorders>
          </w:tcPr>
          <w:p>
            <w:pPr>
              <w:spacing w:after="0"/>
              <w:rPr>
                <w:sz w:val="17"/>
                <w:szCs w:val="17"/>
                <w:color w:val="auto"/>
              </w:rPr>
            </w:pPr>
          </w:p>
        </w:tc>
        <w:tc>
          <w:tcPr>
            <w:tcW w:w="80" w:type="dxa"/>
            <w:vAlign w:val="bottom"/>
            <w:tcBorders>
              <w:top w:val="single" w:sz="8" w:color="2C6937"/>
            </w:tcBorders>
          </w:tcPr>
          <w:p>
            <w:pPr>
              <w:spacing w:after="0"/>
              <w:rPr>
                <w:sz w:val="17"/>
                <w:szCs w:val="17"/>
                <w:color w:val="auto"/>
              </w:rPr>
            </w:pPr>
          </w:p>
        </w:tc>
        <w:tc>
          <w:tcPr>
            <w:tcW w:w="380" w:type="dxa"/>
            <w:vAlign w:val="bottom"/>
            <w:tcBorders>
              <w:top w:val="single" w:sz="8" w:color="2C6937"/>
              <w:bottom w:val="single" w:sz="8" w:color="2C6937"/>
            </w:tcBorders>
          </w:tcPr>
          <w:p>
            <w:pPr>
              <w:spacing w:after="0"/>
              <w:rPr>
                <w:sz w:val="17"/>
                <w:szCs w:val="17"/>
                <w:color w:val="auto"/>
              </w:rPr>
            </w:pPr>
          </w:p>
        </w:tc>
        <w:tc>
          <w:tcPr>
            <w:tcW w:w="1300" w:type="dxa"/>
            <w:vAlign w:val="bottom"/>
            <w:tcBorders>
              <w:top w:val="single" w:sz="8" w:color="2C6937"/>
              <w:bottom w:val="single" w:sz="8" w:color="2C6937"/>
            </w:tcBorders>
          </w:tcPr>
          <w:p>
            <w:pPr>
              <w:jc w:val="right"/>
              <w:ind w:right="585"/>
              <w:spacing w:after="0"/>
              <w:rPr>
                <w:sz w:val="20"/>
                <w:szCs w:val="20"/>
                <w:color w:val="auto"/>
              </w:rPr>
            </w:pPr>
            <w:r>
              <w:rPr>
                <w:rFonts w:ascii="Arial" w:cs="Arial" w:eastAsia="Arial" w:hAnsi="Arial"/>
                <w:sz w:val="15"/>
                <w:szCs w:val="15"/>
                <w:b w:val="1"/>
                <w:bCs w:val="1"/>
                <w:color w:val="auto"/>
              </w:rPr>
              <w:t>2023</w:t>
            </w:r>
          </w:p>
        </w:tc>
        <w:tc>
          <w:tcPr>
            <w:tcW w:w="80" w:type="dxa"/>
            <w:vAlign w:val="bottom"/>
          </w:tcPr>
          <w:p>
            <w:pPr>
              <w:spacing w:after="0"/>
              <w:rPr>
                <w:sz w:val="17"/>
                <w:szCs w:val="17"/>
                <w:color w:val="auto"/>
              </w:rPr>
            </w:pPr>
          </w:p>
        </w:tc>
        <w:tc>
          <w:tcPr>
            <w:tcW w:w="140" w:type="dxa"/>
            <w:vAlign w:val="bottom"/>
            <w:tcBorders>
              <w:top w:val="single" w:sz="8" w:color="2C6937"/>
              <w:bottom w:val="single" w:sz="8" w:color="2C6937"/>
            </w:tcBorders>
          </w:tcPr>
          <w:p>
            <w:pPr>
              <w:spacing w:after="0"/>
              <w:rPr>
                <w:sz w:val="17"/>
                <w:szCs w:val="17"/>
                <w:color w:val="auto"/>
              </w:rPr>
            </w:pPr>
          </w:p>
        </w:tc>
        <w:tc>
          <w:tcPr>
            <w:tcW w:w="1540" w:type="dxa"/>
            <w:vAlign w:val="bottom"/>
            <w:tcBorders>
              <w:top w:val="single" w:sz="8" w:color="2C6937"/>
              <w:bottom w:val="single" w:sz="8" w:color="2C6937"/>
            </w:tcBorders>
          </w:tcPr>
          <w:p>
            <w:pPr>
              <w:jc w:val="right"/>
              <w:ind w:right="583"/>
              <w:spacing w:after="0"/>
              <w:rPr>
                <w:sz w:val="20"/>
                <w:szCs w:val="20"/>
                <w:color w:val="auto"/>
              </w:rPr>
            </w:pPr>
            <w:r>
              <w:rPr>
                <w:rFonts w:ascii="Arial" w:cs="Arial" w:eastAsia="Arial" w:hAnsi="Arial"/>
                <w:sz w:val="15"/>
                <w:szCs w:val="15"/>
                <w:b w:val="1"/>
                <w:bCs w:val="1"/>
                <w:color w:val="auto"/>
              </w:rPr>
              <w:t>2024</w:t>
            </w:r>
          </w:p>
        </w:tc>
        <w:tc>
          <w:tcPr>
            <w:tcW w:w="100" w:type="dxa"/>
            <w:vAlign w:val="bottom"/>
            <w:tcBorders>
              <w:top w:val="single" w:sz="8" w:color="2C6937"/>
            </w:tcBorders>
          </w:tcPr>
          <w:p>
            <w:pPr>
              <w:spacing w:after="0"/>
              <w:rPr>
                <w:sz w:val="17"/>
                <w:szCs w:val="17"/>
                <w:color w:val="auto"/>
              </w:rPr>
            </w:pPr>
          </w:p>
        </w:tc>
        <w:tc>
          <w:tcPr>
            <w:tcW w:w="400" w:type="dxa"/>
            <w:vAlign w:val="bottom"/>
            <w:tcBorders>
              <w:top w:val="single" w:sz="8" w:color="2C6937"/>
              <w:bottom w:val="single" w:sz="8" w:color="2C6937"/>
            </w:tcBorders>
          </w:tcPr>
          <w:p>
            <w:pPr>
              <w:spacing w:after="0"/>
              <w:rPr>
                <w:sz w:val="17"/>
                <w:szCs w:val="17"/>
                <w:color w:val="auto"/>
              </w:rPr>
            </w:pPr>
          </w:p>
        </w:tc>
        <w:tc>
          <w:tcPr>
            <w:tcW w:w="1280" w:type="dxa"/>
            <w:vAlign w:val="bottom"/>
            <w:tcBorders>
              <w:top w:val="single" w:sz="8" w:color="2C6937"/>
              <w:bottom w:val="single" w:sz="8" w:color="2C6937"/>
            </w:tcBorders>
          </w:tcPr>
          <w:p>
            <w:pPr>
              <w:jc w:val="right"/>
              <w:ind w:right="583"/>
              <w:spacing w:after="0"/>
              <w:rPr>
                <w:sz w:val="20"/>
                <w:szCs w:val="20"/>
                <w:color w:val="auto"/>
              </w:rPr>
            </w:pPr>
            <w:r>
              <w:rPr>
                <w:rFonts w:ascii="Arial" w:cs="Arial" w:eastAsia="Arial" w:hAnsi="Arial"/>
                <w:sz w:val="15"/>
                <w:szCs w:val="15"/>
                <w:b w:val="1"/>
                <w:bCs w:val="1"/>
                <w:color w:val="auto"/>
              </w:rPr>
              <w:t>2023</w:t>
            </w:r>
          </w:p>
        </w:tc>
      </w:tr>
      <w:tr>
        <w:trPr>
          <w:trHeight w:val="185"/>
        </w:trPr>
        <w:tc>
          <w:tcPr>
            <w:tcW w:w="4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60" w:type="dxa"/>
            <w:vAlign w:val="bottom"/>
            <w:gridSpan w:val="5"/>
          </w:tcPr>
          <w:p>
            <w:pPr>
              <w:ind w:left="660"/>
              <w:spacing w:after="0"/>
              <w:rPr>
                <w:sz w:val="20"/>
                <w:szCs w:val="20"/>
                <w:color w:val="auto"/>
              </w:rPr>
            </w:pPr>
            <w:r>
              <w:rPr>
                <w:rFonts w:ascii="Arial" w:cs="Arial" w:eastAsia="Arial" w:hAnsi="Arial"/>
                <w:sz w:val="14"/>
                <w:szCs w:val="14"/>
                <w:b w:val="1"/>
                <w:bCs w:val="1"/>
                <w:color w:val="auto"/>
              </w:rPr>
              <w:t>(Dollars in millions)</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21"/>
        </w:trPr>
        <w:tc>
          <w:tcPr>
            <w:tcW w:w="4260" w:type="dxa"/>
            <w:vAlign w:val="bottom"/>
          </w:tcPr>
          <w:p>
            <w:pPr>
              <w:spacing w:after="0"/>
              <w:rPr>
                <w:sz w:val="20"/>
                <w:szCs w:val="20"/>
                <w:color w:val="auto"/>
              </w:rPr>
            </w:pPr>
            <w:r>
              <w:rPr>
                <w:rFonts w:ascii="Arial" w:cs="Arial" w:eastAsia="Arial" w:hAnsi="Arial"/>
                <w:sz w:val="15"/>
                <w:szCs w:val="15"/>
                <w:color w:val="auto"/>
              </w:rPr>
              <w:t>Accrued interest receivable written off through the reversal</w:t>
            </w:r>
          </w:p>
        </w:tc>
        <w:tc>
          <w:tcPr>
            <w:tcW w:w="1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04"/>
        </w:trPr>
        <w:tc>
          <w:tcPr>
            <w:tcW w:w="4260" w:type="dxa"/>
            <w:vAlign w:val="bottom"/>
          </w:tcPr>
          <w:p>
            <w:pPr>
              <w:ind w:left="160"/>
              <w:spacing w:after="0"/>
              <w:rPr>
                <w:sz w:val="20"/>
                <w:szCs w:val="20"/>
                <w:color w:val="auto"/>
              </w:rPr>
            </w:pPr>
            <w:r>
              <w:rPr>
                <w:rFonts w:ascii="Arial" w:cs="Arial" w:eastAsia="Arial" w:hAnsi="Arial"/>
                <w:sz w:val="15"/>
                <w:szCs w:val="15"/>
                <w:color w:val="auto"/>
              </w:rPr>
              <w:t>of interest income:</w:t>
            </w:r>
          </w:p>
        </w:tc>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53"/>
        </w:trPr>
        <w:tc>
          <w:tcPr>
            <w:tcW w:w="4260" w:type="dxa"/>
            <w:vAlign w:val="bottom"/>
          </w:tcPr>
          <w:p>
            <w:pPr>
              <w:ind w:left="160"/>
              <w:spacing w:after="0"/>
              <w:rPr>
                <w:sz w:val="20"/>
                <w:szCs w:val="20"/>
                <w:color w:val="auto"/>
              </w:rPr>
            </w:pPr>
            <w:r>
              <w:rPr>
                <w:rFonts w:ascii="Arial" w:cs="Arial" w:eastAsia="Arial" w:hAnsi="Arial"/>
                <w:sz w:val="15"/>
                <w:szCs w:val="15"/>
                <w:color w:val="auto"/>
              </w:rPr>
              <w:t>Single-family</w:t>
            </w:r>
          </w:p>
        </w:tc>
        <w:tc>
          <w:tcPr>
            <w:tcW w:w="1200" w:type="dxa"/>
            <w:vAlign w:val="bottom"/>
          </w:tcPr>
          <w:p>
            <w:pPr>
              <w:jc w:val="right"/>
              <w:ind w:right="1023"/>
              <w:spacing w:after="0"/>
              <w:rPr>
                <w:sz w:val="20"/>
                <w:szCs w:val="20"/>
                <w:color w:val="auto"/>
              </w:rPr>
            </w:pPr>
            <w:r>
              <w:rPr>
                <w:rFonts w:ascii="Arial" w:cs="Arial" w:eastAsia="Arial" w:hAnsi="Arial"/>
                <w:sz w:val="15"/>
                <w:szCs w:val="15"/>
                <w:b w:val="1"/>
                <w:bCs w:val="1"/>
                <w:color w:val="auto"/>
                <w:w w:val="95"/>
              </w:rPr>
              <w:t>$</w:t>
            </w:r>
          </w:p>
        </w:tc>
        <w:tc>
          <w:tcPr>
            <w:tcW w:w="460" w:type="dxa"/>
            <w:vAlign w:val="bottom"/>
          </w:tcPr>
          <w:p>
            <w:pPr>
              <w:jc w:val="right"/>
              <w:ind w:right="3"/>
              <w:spacing w:after="0"/>
              <w:rPr>
                <w:sz w:val="20"/>
                <w:szCs w:val="20"/>
                <w:color w:val="auto"/>
              </w:rPr>
            </w:pPr>
            <w:r>
              <w:rPr>
                <w:rFonts w:ascii="Arial" w:cs="Arial" w:eastAsia="Arial" w:hAnsi="Arial"/>
                <w:sz w:val="15"/>
                <w:szCs w:val="15"/>
                <w:b w:val="1"/>
                <w:bCs w:val="1"/>
                <w:color w:val="auto"/>
              </w:rPr>
              <w:t>95</w:t>
            </w:r>
          </w:p>
        </w:tc>
        <w:tc>
          <w:tcPr>
            <w:tcW w:w="80" w:type="dxa"/>
            <w:vAlign w:val="bottom"/>
          </w:tcPr>
          <w:p>
            <w:pPr>
              <w:spacing w:after="0"/>
              <w:rPr>
                <w:sz w:val="21"/>
                <w:szCs w:val="21"/>
                <w:color w:val="auto"/>
              </w:rPr>
            </w:pP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80</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540" w:type="dxa"/>
            <w:vAlign w:val="bottom"/>
          </w:tcPr>
          <w:p>
            <w:pPr>
              <w:jc w:val="right"/>
              <w:spacing w:after="0"/>
              <w:rPr>
                <w:sz w:val="20"/>
                <w:szCs w:val="20"/>
                <w:color w:val="auto"/>
              </w:rPr>
            </w:pPr>
            <w:r>
              <w:rPr>
                <w:rFonts w:ascii="Arial" w:cs="Arial" w:eastAsia="Arial" w:hAnsi="Arial"/>
                <w:sz w:val="15"/>
                <w:szCs w:val="15"/>
                <w:b w:val="1"/>
                <w:bCs w:val="1"/>
                <w:color w:val="auto"/>
              </w:rPr>
              <w:t>274</w:t>
            </w:r>
          </w:p>
        </w:tc>
        <w:tc>
          <w:tcPr>
            <w:tcW w:w="100" w:type="dxa"/>
            <w:vAlign w:val="bottom"/>
          </w:tcPr>
          <w:p>
            <w:pPr>
              <w:spacing w:after="0"/>
              <w:rPr>
                <w:sz w:val="21"/>
                <w:szCs w:val="21"/>
                <w:color w:val="auto"/>
              </w:rPr>
            </w:pPr>
          </w:p>
        </w:tc>
        <w:tc>
          <w:tcPr>
            <w:tcW w:w="40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233</w:t>
            </w:r>
          </w:p>
        </w:tc>
      </w:tr>
      <w:tr>
        <w:trPr>
          <w:trHeight w:val="232"/>
        </w:trPr>
        <w:tc>
          <w:tcPr>
            <w:tcW w:w="4260" w:type="dxa"/>
            <w:vAlign w:val="bottom"/>
          </w:tcPr>
          <w:p>
            <w:pPr>
              <w:ind w:left="160"/>
              <w:spacing w:after="0"/>
              <w:rPr>
                <w:sz w:val="20"/>
                <w:szCs w:val="20"/>
                <w:color w:val="auto"/>
              </w:rPr>
            </w:pPr>
            <w:r>
              <w:rPr>
                <w:rFonts w:ascii="Arial" w:cs="Arial" w:eastAsia="Arial" w:hAnsi="Arial"/>
                <w:sz w:val="15"/>
                <w:szCs w:val="15"/>
                <w:color w:val="auto"/>
              </w:rPr>
              <w:t>Multifamily</w:t>
            </w:r>
          </w:p>
        </w:tc>
        <w:tc>
          <w:tcPr>
            <w:tcW w:w="1200" w:type="dxa"/>
            <w:vAlign w:val="bottom"/>
          </w:tcPr>
          <w:p>
            <w:pPr>
              <w:spacing w:after="0"/>
              <w:rPr>
                <w:sz w:val="20"/>
                <w:szCs w:val="20"/>
                <w:color w:val="auto"/>
              </w:rPr>
            </w:pPr>
          </w:p>
        </w:tc>
        <w:tc>
          <w:tcPr>
            <w:tcW w:w="460" w:type="dxa"/>
            <w:vAlign w:val="bottom"/>
          </w:tcPr>
          <w:p>
            <w:pPr>
              <w:jc w:val="right"/>
              <w:ind w:right="3"/>
              <w:spacing w:after="0"/>
              <w:rPr>
                <w:sz w:val="20"/>
                <w:szCs w:val="20"/>
                <w:color w:val="auto"/>
              </w:rPr>
            </w:pPr>
            <w:r>
              <w:rPr>
                <w:rFonts w:ascii="Arial" w:cs="Arial" w:eastAsia="Arial" w:hAnsi="Arial"/>
                <w:sz w:val="15"/>
                <w:szCs w:val="15"/>
                <w:b w:val="1"/>
                <w:bCs w:val="1"/>
                <w:color w:val="auto"/>
              </w:rPr>
              <w:t>20</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5"/>
                <w:szCs w:val="15"/>
                <w:b w:val="1"/>
                <w:bCs w:val="1"/>
                <w:color w:val="auto"/>
              </w:rPr>
              <w:t>24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36</w:t>
            </w:r>
          </w:p>
        </w:tc>
      </w:tr>
    </w:tbl>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tables below include the amortized cost of and interest income recognized on our HFI single-family and multifamily loans on nonaccrual status by class, excluding loans for which we have elected the fair value option.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bottom w:val="single" w:sz="8" w:color="2C6937"/>
            </w:tcBorders>
          </w:tcPr>
          <w:p>
            <w:pPr>
              <w:spacing w:after="0"/>
              <w:rPr>
                <w:sz w:val="17"/>
                <w:szCs w:val="17"/>
                <w:color w:val="auto"/>
              </w:rPr>
            </w:pPr>
          </w:p>
        </w:tc>
        <w:tc>
          <w:tcPr>
            <w:tcW w:w="90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180" w:type="dxa"/>
            <w:vAlign w:val="bottom"/>
            <w:tcBorders>
              <w:bottom w:val="single" w:sz="8" w:color="2C6937"/>
            </w:tcBorders>
            <w:gridSpan w:val="2"/>
          </w:tcPr>
          <w:p>
            <w:pPr>
              <w:jc w:val="center"/>
              <w:ind w:right="280"/>
              <w:spacing w:after="0"/>
              <w:rPr>
                <w:sz w:val="20"/>
                <w:szCs w:val="20"/>
                <w:color w:val="auto"/>
              </w:rPr>
            </w:pPr>
            <w:r>
              <w:rPr>
                <w:rFonts w:ascii="Arial" w:cs="Arial" w:eastAsia="Arial" w:hAnsi="Arial"/>
                <w:sz w:val="14"/>
                <w:szCs w:val="14"/>
                <w:b w:val="1"/>
                <w:bCs w:val="1"/>
                <w:color w:val="auto"/>
                <w:w w:val="97"/>
              </w:rPr>
              <w:t>As of</w:t>
            </w:r>
          </w:p>
        </w:tc>
        <w:tc>
          <w:tcPr>
            <w:tcW w:w="180" w:type="dxa"/>
            <w:vAlign w:val="bottom"/>
            <w:tcBorders>
              <w:bottom w:val="single" w:sz="8" w:color="2C6937"/>
            </w:tcBorders>
          </w:tcPr>
          <w:p>
            <w:pPr>
              <w:spacing w:after="0"/>
              <w:rPr>
                <w:sz w:val="17"/>
                <w:szCs w:val="17"/>
                <w:color w:val="auto"/>
              </w:rPr>
            </w:pPr>
          </w:p>
        </w:tc>
        <w:tc>
          <w:tcPr>
            <w:tcW w:w="114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7"/>
              </w:rPr>
              <w:t>For the Three Months</w:t>
            </w:r>
          </w:p>
        </w:tc>
        <w:tc>
          <w:tcPr>
            <w:tcW w:w="14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7"/>
              </w:rPr>
              <w:t>For the Nine Months</w:t>
            </w:r>
          </w:p>
        </w:tc>
        <w:tc>
          <w:tcPr>
            <w:tcW w:w="0" w:type="dxa"/>
            <w:vAlign w:val="bottom"/>
          </w:tcPr>
          <w:p>
            <w:pPr>
              <w:spacing w:after="0"/>
              <w:rPr>
                <w:sz w:val="1"/>
                <w:szCs w:val="1"/>
                <w:color w:val="auto"/>
              </w:rPr>
            </w:pPr>
          </w:p>
        </w:tc>
      </w:tr>
      <w:tr>
        <w:trPr>
          <w:trHeight w:val="29"/>
        </w:trPr>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14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3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September 30, 2024</w:t>
            </w:r>
          </w:p>
        </w:tc>
        <w:tc>
          <w:tcPr>
            <w:tcW w:w="140" w:type="dxa"/>
            <w:vAlign w:val="bottom"/>
          </w:tcPr>
          <w:p>
            <w:pPr>
              <w:spacing w:after="0"/>
              <w:rPr>
                <w:sz w:val="12"/>
                <w:szCs w:val="12"/>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June 30, 2024</w:t>
            </w:r>
          </w:p>
        </w:tc>
        <w:tc>
          <w:tcPr>
            <w:tcW w:w="14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31, 2023</w:t>
            </w:r>
          </w:p>
        </w:tc>
        <w:tc>
          <w:tcPr>
            <w:tcW w:w="162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w w:val="98"/>
              </w:rPr>
              <w:t>Ended September 30,</w:t>
            </w:r>
          </w:p>
        </w:tc>
        <w:tc>
          <w:tcPr>
            <w:tcW w:w="14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8"/>
              </w:rPr>
              <w:t>Ended September 30,</w:t>
            </w:r>
          </w:p>
        </w:tc>
        <w:tc>
          <w:tcPr>
            <w:tcW w:w="0" w:type="dxa"/>
            <w:vAlign w:val="bottom"/>
          </w:tcPr>
          <w:p>
            <w:pPr>
              <w:spacing w:after="0"/>
              <w:rPr>
                <w:sz w:val="1"/>
                <w:szCs w:val="1"/>
                <w:color w:val="auto"/>
              </w:rPr>
            </w:pPr>
          </w:p>
        </w:tc>
      </w:tr>
      <w:tr>
        <w:trPr>
          <w:trHeight w:val="177"/>
        </w:trPr>
        <w:tc>
          <w:tcPr>
            <w:tcW w:w="3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center"/>
              <w:ind w:right="165"/>
              <w:spacing w:after="0"/>
              <w:rPr>
                <w:sz w:val="20"/>
                <w:szCs w:val="20"/>
                <w:color w:val="auto"/>
              </w:rPr>
            </w:pPr>
            <w:r>
              <w:rPr>
                <w:rFonts w:ascii="Arial" w:cs="Arial" w:eastAsia="Arial" w:hAnsi="Arial"/>
                <w:sz w:val="14"/>
                <w:szCs w:val="14"/>
                <w:b w:val="1"/>
                <w:bCs w:val="1"/>
                <w:color w:val="auto"/>
                <w:w w:val="96"/>
              </w:rPr>
              <w:t>2024</w:t>
            </w:r>
          </w:p>
        </w:tc>
        <w:tc>
          <w:tcPr>
            <w:tcW w:w="100" w:type="dxa"/>
            <w:vAlign w:val="bottom"/>
          </w:tcPr>
          <w:p>
            <w:pPr>
              <w:spacing w:after="0"/>
              <w:rPr>
                <w:sz w:val="15"/>
                <w:szCs w:val="15"/>
                <w:color w:val="auto"/>
              </w:rPr>
            </w:pPr>
          </w:p>
        </w:tc>
        <w:tc>
          <w:tcPr>
            <w:tcW w:w="1100" w:type="dxa"/>
            <w:vAlign w:val="bottom"/>
          </w:tcPr>
          <w:p>
            <w:pPr>
              <w:jc w:val="center"/>
              <w:ind w:left="288"/>
              <w:spacing w:after="0"/>
              <w:rPr>
                <w:sz w:val="20"/>
                <w:szCs w:val="20"/>
                <w:color w:val="auto"/>
              </w:rPr>
            </w:pPr>
            <w:r>
              <w:rPr>
                <w:rFonts w:ascii="Arial" w:cs="Arial" w:eastAsia="Arial" w:hAnsi="Arial"/>
                <w:sz w:val="14"/>
                <w:szCs w:val="14"/>
                <w:b w:val="1"/>
                <w:bCs w:val="1"/>
                <w:color w:val="auto"/>
                <w:w w:val="96"/>
              </w:rPr>
              <w:t>2024</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3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top w:val="single" w:sz="8" w:color="2C6937"/>
              <w:bottom w:val="single" w:sz="8" w:color="2C6937"/>
            </w:tcBorders>
          </w:tcPr>
          <w:p>
            <w:pPr>
              <w:spacing w:after="0"/>
              <w:rPr>
                <w:sz w:val="24"/>
                <w:szCs w:val="24"/>
                <w:color w:val="auto"/>
              </w:rPr>
            </w:pPr>
          </w:p>
        </w:tc>
        <w:tc>
          <w:tcPr>
            <w:tcW w:w="900" w:type="dxa"/>
            <w:vAlign w:val="bottom"/>
            <w:tcBorders>
              <w:top w:val="single" w:sz="8" w:color="2C6937"/>
              <w:bottom w:val="single" w:sz="8" w:color="2C6937"/>
            </w:tcBorders>
          </w:tcPr>
          <w:p>
            <w:pPr>
              <w:spacing w:after="0"/>
              <w:rPr>
                <w:sz w:val="24"/>
                <w:szCs w:val="24"/>
                <w:color w:val="auto"/>
              </w:rPr>
            </w:pPr>
          </w:p>
        </w:tc>
        <w:tc>
          <w:tcPr>
            <w:tcW w:w="100" w:type="dxa"/>
            <w:vAlign w:val="bottom"/>
            <w:tcBorders>
              <w:top w:val="single" w:sz="8" w:color="2C6937"/>
              <w:bottom w:val="single" w:sz="8" w:color="2C6937"/>
            </w:tcBorders>
          </w:tcPr>
          <w:p>
            <w:pPr>
              <w:spacing w:after="0"/>
              <w:rPr>
                <w:sz w:val="24"/>
                <w:szCs w:val="24"/>
                <w:color w:val="auto"/>
              </w:rPr>
            </w:pPr>
          </w:p>
        </w:tc>
        <w:tc>
          <w:tcPr>
            <w:tcW w:w="1320" w:type="dxa"/>
            <w:vAlign w:val="bottom"/>
            <w:tcBorders>
              <w:top w:val="single" w:sz="8" w:color="2C6937"/>
              <w:bottom w:val="single" w:sz="8" w:color="2C6937"/>
            </w:tcBorders>
            <w:gridSpan w:val="3"/>
          </w:tcPr>
          <w:p>
            <w:pPr>
              <w:ind w:left="40"/>
              <w:spacing w:after="0"/>
              <w:rPr>
                <w:sz w:val="20"/>
                <w:szCs w:val="20"/>
                <w:color w:val="auto"/>
              </w:rPr>
            </w:pPr>
            <w:r>
              <w:rPr>
                <w:rFonts w:ascii="Arial" w:cs="Arial" w:eastAsia="Arial" w:hAnsi="Arial"/>
                <w:sz w:val="14"/>
                <w:szCs w:val="14"/>
                <w:b w:val="1"/>
                <w:bCs w:val="1"/>
                <w:color w:val="auto"/>
              </w:rPr>
              <w:t>Amortized Cost</w:t>
            </w:r>
            <w:r>
              <w:rPr>
                <w:rFonts w:ascii="Arial" w:cs="Arial" w:eastAsia="Arial" w:hAnsi="Arial"/>
                <w:sz w:val="8"/>
                <w:szCs w:val="8"/>
                <w:b w:val="1"/>
                <w:bCs w:val="1"/>
                <w:color w:val="auto"/>
              </w:rPr>
              <w:t>(1)</w:t>
            </w:r>
          </w:p>
        </w:tc>
        <w:tc>
          <w:tcPr>
            <w:tcW w:w="180" w:type="dxa"/>
            <w:vAlign w:val="bottom"/>
            <w:tcBorders>
              <w:top w:val="single" w:sz="8" w:color="2C6937"/>
              <w:bottom w:val="single" w:sz="8" w:color="2C6937"/>
            </w:tcBorders>
          </w:tcPr>
          <w:p>
            <w:pPr>
              <w:spacing w:after="0"/>
              <w:rPr>
                <w:sz w:val="24"/>
                <w:szCs w:val="24"/>
                <w:color w:val="auto"/>
              </w:rPr>
            </w:pPr>
          </w:p>
        </w:tc>
        <w:tc>
          <w:tcPr>
            <w:tcW w:w="1140" w:type="dxa"/>
            <w:vAlign w:val="bottom"/>
            <w:tcBorders>
              <w:top w:val="single" w:sz="8" w:color="2C6937"/>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260" w:type="dxa"/>
            <w:vAlign w:val="bottom"/>
            <w:tcBorders>
              <w:top w:val="single" w:sz="8" w:color="2C6937"/>
              <w:bottom w:val="single" w:sz="8" w:color="2C6937"/>
            </w:tcBorders>
          </w:tcPr>
          <w:p>
            <w:pPr>
              <w:spacing w:after="0"/>
              <w:rPr>
                <w:sz w:val="24"/>
                <w:szCs w:val="24"/>
                <w:color w:val="auto"/>
              </w:rPr>
            </w:pPr>
          </w:p>
        </w:tc>
        <w:tc>
          <w:tcPr>
            <w:tcW w:w="2460" w:type="dxa"/>
            <w:vAlign w:val="bottom"/>
            <w:tcBorders>
              <w:top w:val="single" w:sz="8" w:color="2C6937"/>
              <w:bottom w:val="single" w:sz="8" w:color="2C6937"/>
            </w:tcBorders>
            <w:gridSpan w:val="3"/>
          </w:tcPr>
          <w:p>
            <w:pPr>
              <w:jc w:val="right"/>
              <w:spacing w:after="0"/>
              <w:rPr>
                <w:sz w:val="20"/>
                <w:szCs w:val="20"/>
                <w:color w:val="auto"/>
              </w:rPr>
            </w:pPr>
            <w:r>
              <w:rPr>
                <w:rFonts w:ascii="Arial" w:cs="Arial" w:eastAsia="Arial" w:hAnsi="Arial"/>
                <w:sz w:val="14"/>
                <w:szCs w:val="14"/>
                <w:b w:val="1"/>
                <w:bCs w:val="1"/>
                <w:color w:val="auto"/>
              </w:rPr>
              <w:t>Total Interest Income Recognized</w:t>
            </w:r>
            <w:r>
              <w:rPr>
                <w:rFonts w:ascii="Arial" w:cs="Arial" w:eastAsia="Arial" w:hAnsi="Arial"/>
                <w:sz w:val="8"/>
                <w:szCs w:val="8"/>
                <w:b w:val="1"/>
                <w:bCs w:val="1"/>
                <w:color w:val="auto"/>
              </w:rPr>
              <w:t>(2)</w:t>
            </w:r>
          </w:p>
        </w:tc>
        <w:tc>
          <w:tcPr>
            <w:tcW w:w="360" w:type="dxa"/>
            <w:vAlign w:val="bottom"/>
            <w:tcBorders>
              <w:top w:val="single" w:sz="8" w:color="2C6937"/>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3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3"/>
          </w:tcPr>
          <w:p>
            <w:pPr>
              <w:jc w:val="right"/>
              <w:ind w:right="107"/>
              <w:spacing w:after="0"/>
              <w:rPr>
                <w:sz w:val="20"/>
                <w:szCs w:val="20"/>
                <w:color w:val="auto"/>
              </w:rPr>
            </w:pPr>
            <w:r>
              <w:rPr>
                <w:rFonts w:ascii="Arial" w:cs="Arial" w:eastAsia="Arial" w:hAnsi="Arial"/>
                <w:sz w:val="14"/>
                <w:szCs w:val="14"/>
                <w:b w:val="1"/>
                <w:bCs w:val="1"/>
                <w:color w:val="auto"/>
              </w:rPr>
              <w:t>(Dollars in millions)</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398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3980" w:type="dxa"/>
            <w:vAlign w:val="bottom"/>
            <w:gridSpan w:val="2"/>
          </w:tcPr>
          <w:p>
            <w:pPr>
              <w:ind w:left="180"/>
              <w:spacing w:after="0"/>
              <w:rPr>
                <w:sz w:val="20"/>
                <w:szCs w:val="20"/>
                <w:color w:val="auto"/>
              </w:rPr>
            </w:pPr>
            <w:r>
              <w:rPr>
                <w:rFonts w:ascii="Arial" w:cs="Arial" w:eastAsia="Arial" w:hAnsi="Arial"/>
                <w:sz w:val="15"/>
                <w:szCs w:val="15"/>
                <w:color w:val="auto"/>
              </w:rPr>
              <w:t>20- and 30-year or more, amortizing fixed-rate</w:t>
            </w:r>
          </w:p>
        </w:tc>
        <w:tc>
          <w:tcPr>
            <w:tcW w:w="44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jc w:val="right"/>
              <w:ind w:right="3"/>
              <w:spacing w:after="0"/>
              <w:rPr>
                <w:sz w:val="20"/>
                <w:szCs w:val="20"/>
                <w:color w:val="auto"/>
              </w:rPr>
            </w:pPr>
            <w:r>
              <w:rPr>
                <w:rFonts w:ascii="Arial" w:cs="Arial" w:eastAsia="Arial" w:hAnsi="Arial"/>
                <w:sz w:val="15"/>
                <w:szCs w:val="15"/>
                <w:b w:val="1"/>
                <w:bCs w:val="1"/>
                <w:color w:val="auto"/>
              </w:rPr>
              <w:t>22,662</w:t>
            </w:r>
          </w:p>
        </w:tc>
        <w:tc>
          <w:tcPr>
            <w:tcW w:w="100" w:type="dxa"/>
            <w:vAlign w:val="bottom"/>
          </w:tcPr>
          <w:p>
            <w:pPr>
              <w:spacing w:after="0"/>
              <w:rPr>
                <w:sz w:val="24"/>
                <w:szCs w:val="24"/>
                <w:color w:val="auto"/>
              </w:rPr>
            </w:pPr>
          </w:p>
        </w:tc>
        <w:tc>
          <w:tcPr>
            <w:tcW w:w="140" w:type="dxa"/>
            <w:vAlign w:val="bottom"/>
          </w:tcPr>
          <w:p>
            <w:pPr>
              <w:ind w:left="20"/>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22,183</w:t>
            </w:r>
          </w:p>
        </w:tc>
        <w:tc>
          <w:tcPr>
            <w:tcW w:w="100" w:type="dxa"/>
            <w:vAlign w:val="bottom"/>
          </w:tcPr>
          <w:p>
            <w:pPr>
              <w:spacing w:after="0"/>
              <w:rPr>
                <w:sz w:val="24"/>
                <w:szCs w:val="24"/>
                <w:color w:val="auto"/>
              </w:rPr>
            </w:pPr>
          </w:p>
        </w:tc>
        <w:tc>
          <w:tcPr>
            <w:tcW w:w="180" w:type="dxa"/>
            <w:vAlign w:val="bottom"/>
          </w:tcPr>
          <w:p>
            <w:pPr>
              <w:jc w:val="right"/>
              <w:ind w:right="6"/>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21,971</w:t>
            </w:r>
          </w:p>
        </w:tc>
        <w:tc>
          <w:tcPr>
            <w:tcW w:w="100" w:type="dxa"/>
            <w:vAlign w:val="bottom"/>
          </w:tcPr>
          <w:p>
            <w:pPr>
              <w:spacing w:after="0"/>
              <w:rPr>
                <w:sz w:val="24"/>
                <w:szCs w:val="24"/>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b w:val="1"/>
                <w:bCs w:val="1"/>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b w:val="1"/>
                <w:bCs w:val="1"/>
                <w:color w:val="auto"/>
              </w:rPr>
              <w:t>35</w:t>
            </w:r>
          </w:p>
        </w:tc>
        <w:tc>
          <w:tcPr>
            <w:tcW w:w="100" w:type="dxa"/>
            <w:vAlign w:val="bottom"/>
          </w:tcPr>
          <w:p>
            <w:pPr>
              <w:spacing w:after="0"/>
              <w:rPr>
                <w:sz w:val="24"/>
                <w:szCs w:val="24"/>
                <w:color w:val="auto"/>
              </w:rPr>
            </w:pPr>
          </w:p>
        </w:tc>
        <w:tc>
          <w:tcPr>
            <w:tcW w:w="1100" w:type="dxa"/>
            <w:vAlign w:val="bottom"/>
          </w:tcPr>
          <w:p>
            <w:pPr>
              <w:jc w:val="right"/>
              <w:ind w:right="908"/>
              <w:spacing w:after="0"/>
              <w:rPr>
                <w:sz w:val="20"/>
                <w:szCs w:val="20"/>
                <w:color w:val="auto"/>
              </w:rPr>
            </w:pPr>
            <w:r>
              <w:rPr>
                <w:rFonts w:ascii="Arial" w:cs="Arial" w:eastAsia="Arial" w:hAnsi="Arial"/>
                <w:sz w:val="15"/>
                <w:szCs w:val="15"/>
                <w:b w:val="1"/>
                <w:bCs w:val="1"/>
                <w:color w:val="auto"/>
              </w:rPr>
              <w:t>$</w:t>
            </w:r>
          </w:p>
        </w:tc>
        <w:tc>
          <w:tcPr>
            <w:tcW w:w="360" w:type="dxa"/>
            <w:vAlign w:val="bottom"/>
          </w:tcPr>
          <w:p>
            <w:pPr>
              <w:jc w:val="right"/>
              <w:spacing w:after="0"/>
              <w:rPr>
                <w:sz w:val="20"/>
                <w:szCs w:val="20"/>
                <w:color w:val="auto"/>
              </w:rPr>
            </w:pPr>
            <w:r>
              <w:rPr>
                <w:rFonts w:ascii="Arial" w:cs="Arial" w:eastAsia="Arial" w:hAnsi="Arial"/>
                <w:sz w:val="15"/>
                <w:szCs w:val="15"/>
                <w:b w:val="1"/>
                <w:bCs w:val="1"/>
                <w:color w:val="auto"/>
              </w:rPr>
              <w:t>262</w:t>
            </w:r>
          </w:p>
        </w:tc>
        <w:tc>
          <w:tcPr>
            <w:tcW w:w="0" w:type="dxa"/>
            <w:vAlign w:val="bottom"/>
          </w:tcPr>
          <w:p>
            <w:pPr>
              <w:spacing w:after="0"/>
              <w:rPr>
                <w:sz w:val="1"/>
                <w:szCs w:val="1"/>
                <w:color w:val="auto"/>
              </w:rPr>
            </w:pPr>
          </w:p>
        </w:tc>
      </w:tr>
      <w:tr>
        <w:trPr>
          <w:trHeight w:val="309"/>
        </w:trPr>
        <w:tc>
          <w:tcPr>
            <w:tcW w:w="3980" w:type="dxa"/>
            <w:vAlign w:val="bottom"/>
            <w:gridSpan w:val="2"/>
          </w:tcPr>
          <w:p>
            <w:pPr>
              <w:ind w:left="180"/>
              <w:spacing w:after="0"/>
              <w:rPr>
                <w:sz w:val="20"/>
                <w:szCs w:val="20"/>
                <w:color w:val="auto"/>
              </w:rPr>
            </w:pPr>
            <w:r>
              <w:rPr>
                <w:rFonts w:ascii="Arial" w:cs="Arial" w:eastAsia="Arial" w:hAnsi="Arial"/>
                <w:sz w:val="15"/>
                <w:szCs w:val="15"/>
                <w:color w:val="auto"/>
              </w:rPr>
              <w:t>15-year or less, amortizing fixed-rate</w:t>
            </w:r>
          </w:p>
        </w:tc>
        <w:tc>
          <w:tcPr>
            <w:tcW w:w="440" w:type="dxa"/>
            <w:vAlign w:val="bottom"/>
          </w:tcPr>
          <w:p>
            <w:pPr>
              <w:spacing w:after="0"/>
              <w:rPr>
                <w:sz w:val="24"/>
                <w:szCs w:val="24"/>
                <w:color w:val="auto"/>
              </w:rPr>
            </w:pPr>
          </w:p>
        </w:tc>
        <w:tc>
          <w:tcPr>
            <w:tcW w:w="900" w:type="dxa"/>
            <w:vAlign w:val="bottom"/>
          </w:tcPr>
          <w:p>
            <w:pPr>
              <w:jc w:val="right"/>
              <w:ind w:right="3"/>
              <w:spacing w:after="0"/>
              <w:rPr>
                <w:sz w:val="20"/>
                <w:szCs w:val="20"/>
                <w:color w:val="auto"/>
              </w:rPr>
            </w:pPr>
            <w:r>
              <w:rPr>
                <w:rFonts w:ascii="Arial" w:cs="Arial" w:eastAsia="Arial" w:hAnsi="Arial"/>
                <w:sz w:val="15"/>
                <w:szCs w:val="15"/>
                <w:b w:val="1"/>
                <w:bCs w:val="1"/>
                <w:color w:val="auto"/>
              </w:rPr>
              <w:t>704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704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727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5"/>
                <w:szCs w:val="15"/>
                <w:b w:val="1"/>
                <w:bCs w:val="1"/>
                <w:color w:val="auto"/>
              </w:rPr>
              <w:t>1</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5"/>
                <w:szCs w:val="15"/>
                <w:b w:val="1"/>
                <w:bCs w:val="1"/>
                <w:color w:val="auto"/>
              </w:rPr>
              <w:t>6</w:t>
            </w:r>
          </w:p>
        </w:tc>
        <w:tc>
          <w:tcPr>
            <w:tcW w:w="0" w:type="dxa"/>
            <w:vAlign w:val="bottom"/>
          </w:tcPr>
          <w:p>
            <w:pPr>
              <w:spacing w:after="0"/>
              <w:rPr>
                <w:sz w:val="1"/>
                <w:szCs w:val="1"/>
                <w:color w:val="auto"/>
              </w:rPr>
            </w:pPr>
          </w:p>
        </w:tc>
      </w:tr>
      <w:tr>
        <w:trPr>
          <w:trHeight w:val="309"/>
        </w:trPr>
        <w:tc>
          <w:tcPr>
            <w:tcW w:w="398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440" w:type="dxa"/>
            <w:vAlign w:val="bottom"/>
          </w:tcPr>
          <w:p>
            <w:pPr>
              <w:spacing w:after="0"/>
              <w:rPr>
                <w:sz w:val="24"/>
                <w:szCs w:val="24"/>
                <w:color w:val="auto"/>
              </w:rPr>
            </w:pPr>
          </w:p>
        </w:tc>
        <w:tc>
          <w:tcPr>
            <w:tcW w:w="900" w:type="dxa"/>
            <w:vAlign w:val="bottom"/>
          </w:tcPr>
          <w:p>
            <w:pPr>
              <w:jc w:val="right"/>
              <w:ind w:right="3"/>
              <w:spacing w:after="0"/>
              <w:rPr>
                <w:sz w:val="20"/>
                <w:szCs w:val="20"/>
                <w:color w:val="auto"/>
              </w:rPr>
            </w:pPr>
            <w:r>
              <w:rPr>
                <w:rFonts w:ascii="Arial" w:cs="Arial" w:eastAsia="Arial" w:hAnsi="Arial"/>
                <w:sz w:val="15"/>
                <w:szCs w:val="15"/>
                <w:b w:val="1"/>
                <w:bCs w:val="1"/>
                <w:color w:val="auto"/>
              </w:rPr>
              <w:t>110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117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109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1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5"/>
                <w:szCs w:val="15"/>
                <w:b w:val="1"/>
                <w:bCs w:val="1"/>
                <w:color w:val="auto"/>
              </w:rPr>
              <w:t>1</w:t>
            </w:r>
          </w:p>
        </w:tc>
        <w:tc>
          <w:tcPr>
            <w:tcW w:w="0" w:type="dxa"/>
            <w:vAlign w:val="bottom"/>
          </w:tcPr>
          <w:p>
            <w:pPr>
              <w:spacing w:after="0"/>
              <w:rPr>
                <w:sz w:val="1"/>
                <w:szCs w:val="1"/>
                <w:color w:val="auto"/>
              </w:rPr>
            </w:pPr>
          </w:p>
        </w:tc>
      </w:tr>
      <w:tr>
        <w:trPr>
          <w:trHeight w:val="303"/>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24"/>
                <w:szCs w:val="24"/>
                <w:color w:val="auto"/>
              </w:rPr>
            </w:pPr>
          </w:p>
        </w:tc>
        <w:tc>
          <w:tcPr>
            <w:tcW w:w="440" w:type="dxa"/>
            <w:vAlign w:val="bottom"/>
            <w:tcBorders>
              <w:bottom w:val="single" w:sz="8" w:color="2C6937"/>
            </w:tcBorders>
          </w:tcPr>
          <w:p>
            <w:pPr>
              <w:spacing w:after="0"/>
              <w:rPr>
                <w:sz w:val="24"/>
                <w:szCs w:val="24"/>
                <w:color w:val="auto"/>
              </w:rPr>
            </w:pPr>
          </w:p>
        </w:tc>
        <w:tc>
          <w:tcPr>
            <w:tcW w:w="9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480</w:t>
            </w:r>
          </w:p>
        </w:tc>
        <w:tc>
          <w:tcPr>
            <w:tcW w:w="100" w:type="dxa"/>
            <w:vAlign w:val="bottom"/>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496</w:t>
            </w:r>
          </w:p>
        </w:tc>
        <w:tc>
          <w:tcPr>
            <w:tcW w:w="10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1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508</w:t>
            </w:r>
          </w:p>
        </w:tc>
        <w:tc>
          <w:tcPr>
            <w:tcW w:w="100" w:type="dxa"/>
            <w:vAlign w:val="bottom"/>
          </w:tcPr>
          <w:p>
            <w:pPr>
              <w:spacing w:after="0"/>
              <w:rPr>
                <w:sz w:val="24"/>
                <w:szCs w:val="24"/>
                <w:color w:val="auto"/>
              </w:rPr>
            </w:pPr>
          </w:p>
        </w:tc>
        <w:tc>
          <w:tcPr>
            <w:tcW w:w="260" w:type="dxa"/>
            <w:vAlign w:val="bottom"/>
            <w:tcBorders>
              <w:bottom w:val="single" w:sz="8" w:color="2C6937"/>
            </w:tcBorders>
          </w:tcPr>
          <w:p>
            <w:pPr>
              <w:spacing w:after="0"/>
              <w:rPr>
                <w:sz w:val="24"/>
                <w:szCs w:val="24"/>
                <w:color w:val="auto"/>
              </w:rPr>
            </w:pPr>
          </w:p>
        </w:tc>
        <w:tc>
          <w:tcPr>
            <w:tcW w:w="12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w:t>
            </w:r>
          </w:p>
        </w:tc>
        <w:tc>
          <w:tcPr>
            <w:tcW w:w="100" w:type="dxa"/>
            <w:vAlign w:val="bottom"/>
          </w:tcPr>
          <w:p>
            <w:pPr>
              <w:spacing w:after="0"/>
              <w:rPr>
                <w:sz w:val="24"/>
                <w:szCs w:val="24"/>
                <w:color w:val="auto"/>
              </w:rPr>
            </w:pPr>
          </w:p>
        </w:tc>
        <w:tc>
          <w:tcPr>
            <w:tcW w:w="1100" w:type="dxa"/>
            <w:vAlign w:val="bottom"/>
            <w:tcBorders>
              <w:bottom w:val="single" w:sz="8" w:color="2C6937"/>
            </w:tcBorders>
          </w:tcPr>
          <w:p>
            <w:pPr>
              <w:spacing w:after="0"/>
              <w:rPr>
                <w:sz w:val="24"/>
                <w:szCs w:val="24"/>
                <w:color w:val="auto"/>
              </w:rPr>
            </w:pPr>
          </w:p>
        </w:tc>
        <w:tc>
          <w:tcPr>
            <w:tcW w:w="3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7</w:t>
            </w:r>
          </w:p>
        </w:tc>
        <w:tc>
          <w:tcPr>
            <w:tcW w:w="0" w:type="dxa"/>
            <w:vAlign w:val="bottom"/>
          </w:tcPr>
          <w:p>
            <w:pPr>
              <w:spacing w:after="0"/>
              <w:rPr>
                <w:sz w:val="1"/>
                <w:szCs w:val="1"/>
                <w:color w:val="auto"/>
              </w:rPr>
            </w:pPr>
          </w:p>
        </w:tc>
      </w:tr>
      <w:tr>
        <w:trPr>
          <w:trHeight w:val="309"/>
        </w:trPr>
        <w:tc>
          <w:tcPr>
            <w:tcW w:w="3980" w:type="dxa"/>
            <w:vAlign w:val="bottom"/>
            <w:gridSpan w:val="2"/>
          </w:tcPr>
          <w:p>
            <w:pPr>
              <w:ind w:left="20"/>
              <w:spacing w:after="0"/>
              <w:rPr>
                <w:sz w:val="20"/>
                <w:szCs w:val="20"/>
                <w:color w:val="auto"/>
              </w:rPr>
            </w:pPr>
            <w:r>
              <w:rPr>
                <w:rFonts w:ascii="Arial" w:cs="Arial" w:eastAsia="Arial" w:hAnsi="Arial"/>
                <w:sz w:val="15"/>
                <w:szCs w:val="15"/>
                <w:color w:val="auto"/>
              </w:rPr>
              <w:t>Total single-family</w:t>
            </w:r>
          </w:p>
        </w:tc>
        <w:tc>
          <w:tcPr>
            <w:tcW w:w="440" w:type="dxa"/>
            <w:vAlign w:val="bottom"/>
          </w:tcPr>
          <w:p>
            <w:pPr>
              <w:spacing w:after="0"/>
              <w:rPr>
                <w:sz w:val="24"/>
                <w:szCs w:val="24"/>
                <w:color w:val="auto"/>
              </w:rPr>
            </w:pPr>
          </w:p>
        </w:tc>
        <w:tc>
          <w:tcPr>
            <w:tcW w:w="900" w:type="dxa"/>
            <w:vAlign w:val="bottom"/>
          </w:tcPr>
          <w:p>
            <w:pPr>
              <w:jc w:val="right"/>
              <w:ind w:right="3"/>
              <w:spacing w:after="0"/>
              <w:rPr>
                <w:sz w:val="20"/>
                <w:szCs w:val="20"/>
                <w:color w:val="auto"/>
              </w:rPr>
            </w:pPr>
            <w:r>
              <w:rPr>
                <w:rFonts w:ascii="Arial" w:cs="Arial" w:eastAsia="Arial" w:hAnsi="Arial"/>
                <w:sz w:val="15"/>
                <w:szCs w:val="15"/>
                <w:b w:val="1"/>
                <w:bCs w:val="1"/>
                <w:color w:val="auto"/>
              </w:rPr>
              <w:t>23,956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23,500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23,315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5"/>
                <w:szCs w:val="15"/>
                <w:b w:val="1"/>
                <w:bCs w:val="1"/>
                <w:color w:val="auto"/>
              </w:rPr>
              <w:t>37</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5"/>
                <w:szCs w:val="15"/>
                <w:b w:val="1"/>
                <w:bCs w:val="1"/>
                <w:color w:val="auto"/>
              </w:rPr>
              <w:t>276</w:t>
            </w:r>
          </w:p>
        </w:tc>
        <w:tc>
          <w:tcPr>
            <w:tcW w:w="0" w:type="dxa"/>
            <w:vAlign w:val="bottom"/>
          </w:tcPr>
          <w:p>
            <w:pPr>
              <w:spacing w:after="0"/>
              <w:rPr>
                <w:sz w:val="1"/>
                <w:szCs w:val="1"/>
                <w:color w:val="auto"/>
              </w:rPr>
            </w:pPr>
          </w:p>
        </w:tc>
      </w:tr>
      <w:tr>
        <w:trPr>
          <w:trHeight w:val="303"/>
        </w:trPr>
        <w:tc>
          <w:tcPr>
            <w:tcW w:w="38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4"/>
                <w:szCs w:val="24"/>
                <w:color w:val="auto"/>
              </w:rPr>
            </w:pPr>
          </w:p>
        </w:tc>
        <w:tc>
          <w:tcPr>
            <w:tcW w:w="440" w:type="dxa"/>
            <w:vAlign w:val="bottom"/>
            <w:tcBorders>
              <w:bottom w:val="single" w:sz="8" w:color="2C6937"/>
            </w:tcBorders>
          </w:tcPr>
          <w:p>
            <w:pPr>
              <w:spacing w:after="0"/>
              <w:rPr>
                <w:sz w:val="24"/>
                <w:szCs w:val="24"/>
                <w:color w:val="auto"/>
              </w:rPr>
            </w:pPr>
          </w:p>
        </w:tc>
        <w:tc>
          <w:tcPr>
            <w:tcW w:w="9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2,259</w:t>
            </w:r>
          </w:p>
        </w:tc>
        <w:tc>
          <w:tcPr>
            <w:tcW w:w="100" w:type="dxa"/>
            <w:vAlign w:val="bottom"/>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1,836</w:t>
            </w:r>
          </w:p>
        </w:tc>
        <w:tc>
          <w:tcPr>
            <w:tcW w:w="10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1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1,890</w:t>
            </w:r>
          </w:p>
        </w:tc>
        <w:tc>
          <w:tcPr>
            <w:tcW w:w="100" w:type="dxa"/>
            <w:vAlign w:val="bottom"/>
          </w:tcPr>
          <w:p>
            <w:pPr>
              <w:spacing w:after="0"/>
              <w:rPr>
                <w:sz w:val="24"/>
                <w:szCs w:val="24"/>
                <w:color w:val="auto"/>
              </w:rPr>
            </w:pPr>
          </w:p>
        </w:tc>
        <w:tc>
          <w:tcPr>
            <w:tcW w:w="260" w:type="dxa"/>
            <w:vAlign w:val="bottom"/>
            <w:tcBorders>
              <w:bottom w:val="single" w:sz="8" w:color="2C6937"/>
            </w:tcBorders>
          </w:tcPr>
          <w:p>
            <w:pPr>
              <w:spacing w:after="0"/>
              <w:rPr>
                <w:sz w:val="24"/>
                <w:szCs w:val="24"/>
                <w:color w:val="auto"/>
              </w:rPr>
            </w:pPr>
          </w:p>
        </w:tc>
        <w:tc>
          <w:tcPr>
            <w:tcW w:w="12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w:t>
            </w:r>
          </w:p>
        </w:tc>
        <w:tc>
          <w:tcPr>
            <w:tcW w:w="100" w:type="dxa"/>
            <w:vAlign w:val="bottom"/>
          </w:tcPr>
          <w:p>
            <w:pPr>
              <w:spacing w:after="0"/>
              <w:rPr>
                <w:sz w:val="24"/>
                <w:szCs w:val="24"/>
                <w:color w:val="auto"/>
              </w:rPr>
            </w:pPr>
          </w:p>
        </w:tc>
        <w:tc>
          <w:tcPr>
            <w:tcW w:w="1100" w:type="dxa"/>
            <w:vAlign w:val="bottom"/>
            <w:tcBorders>
              <w:bottom w:val="single" w:sz="8" w:color="2C6937"/>
            </w:tcBorders>
          </w:tcPr>
          <w:p>
            <w:pPr>
              <w:spacing w:after="0"/>
              <w:rPr>
                <w:sz w:val="24"/>
                <w:szCs w:val="24"/>
                <w:color w:val="auto"/>
              </w:rPr>
            </w:pPr>
          </w:p>
        </w:tc>
        <w:tc>
          <w:tcPr>
            <w:tcW w:w="3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35</w:t>
            </w:r>
          </w:p>
        </w:tc>
        <w:tc>
          <w:tcPr>
            <w:tcW w:w="0" w:type="dxa"/>
            <w:vAlign w:val="bottom"/>
          </w:tcPr>
          <w:p>
            <w:pPr>
              <w:spacing w:after="0"/>
              <w:rPr>
                <w:sz w:val="1"/>
                <w:szCs w:val="1"/>
                <w:color w:val="auto"/>
              </w:rPr>
            </w:pPr>
          </w:p>
        </w:tc>
      </w:tr>
      <w:tr>
        <w:trPr>
          <w:trHeight w:val="302"/>
        </w:trPr>
        <w:tc>
          <w:tcPr>
            <w:tcW w:w="3980" w:type="dxa"/>
            <w:vAlign w:val="bottom"/>
            <w:gridSpan w:val="2"/>
          </w:tcPr>
          <w:p>
            <w:pPr>
              <w:ind w:left="260"/>
              <w:spacing w:after="0"/>
              <w:rPr>
                <w:sz w:val="20"/>
                <w:szCs w:val="20"/>
                <w:color w:val="auto"/>
              </w:rPr>
            </w:pPr>
            <w:r>
              <w:rPr>
                <w:rFonts w:ascii="Arial" w:cs="Arial" w:eastAsia="Arial" w:hAnsi="Arial"/>
                <w:sz w:val="15"/>
                <w:szCs w:val="15"/>
                <w:color w:val="auto"/>
              </w:rPr>
              <w:t>Total nonaccrual loans</w:t>
            </w:r>
          </w:p>
        </w:tc>
        <w:tc>
          <w:tcPr>
            <w:tcW w:w="44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jc w:val="right"/>
              <w:ind w:right="3"/>
              <w:spacing w:after="0"/>
              <w:rPr>
                <w:sz w:val="20"/>
                <w:szCs w:val="20"/>
                <w:color w:val="auto"/>
              </w:rPr>
            </w:pPr>
            <w:r>
              <w:rPr>
                <w:rFonts w:ascii="Arial" w:cs="Arial" w:eastAsia="Arial" w:hAnsi="Arial"/>
                <w:sz w:val="15"/>
                <w:szCs w:val="15"/>
                <w:b w:val="1"/>
                <w:bCs w:val="1"/>
                <w:color w:val="auto"/>
              </w:rPr>
              <w:t>26,215</w:t>
            </w:r>
          </w:p>
        </w:tc>
        <w:tc>
          <w:tcPr>
            <w:tcW w:w="100" w:type="dxa"/>
            <w:vAlign w:val="bottom"/>
          </w:tcPr>
          <w:p>
            <w:pPr>
              <w:spacing w:after="0"/>
              <w:rPr>
                <w:sz w:val="24"/>
                <w:szCs w:val="24"/>
                <w:color w:val="auto"/>
              </w:rPr>
            </w:pPr>
          </w:p>
        </w:tc>
        <w:tc>
          <w:tcPr>
            <w:tcW w:w="140" w:type="dxa"/>
            <w:vAlign w:val="bottom"/>
          </w:tcPr>
          <w:p>
            <w:pPr>
              <w:ind w:left="20"/>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25,336</w:t>
            </w:r>
          </w:p>
        </w:tc>
        <w:tc>
          <w:tcPr>
            <w:tcW w:w="100" w:type="dxa"/>
            <w:vAlign w:val="bottom"/>
          </w:tcPr>
          <w:p>
            <w:pPr>
              <w:spacing w:after="0"/>
              <w:rPr>
                <w:sz w:val="24"/>
                <w:szCs w:val="24"/>
                <w:color w:val="auto"/>
              </w:rPr>
            </w:pPr>
          </w:p>
        </w:tc>
        <w:tc>
          <w:tcPr>
            <w:tcW w:w="180" w:type="dxa"/>
            <w:vAlign w:val="bottom"/>
          </w:tcPr>
          <w:p>
            <w:pPr>
              <w:jc w:val="right"/>
              <w:ind w:right="6"/>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25,205</w:t>
            </w:r>
          </w:p>
        </w:tc>
        <w:tc>
          <w:tcPr>
            <w:tcW w:w="100" w:type="dxa"/>
            <w:vAlign w:val="bottom"/>
          </w:tcPr>
          <w:p>
            <w:pPr>
              <w:spacing w:after="0"/>
              <w:rPr>
                <w:sz w:val="24"/>
                <w:szCs w:val="24"/>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b w:val="1"/>
                <w:bCs w:val="1"/>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b w:val="1"/>
                <w:bCs w:val="1"/>
                <w:color w:val="auto"/>
              </w:rPr>
              <w:t>39</w:t>
            </w:r>
          </w:p>
        </w:tc>
        <w:tc>
          <w:tcPr>
            <w:tcW w:w="100" w:type="dxa"/>
            <w:vAlign w:val="bottom"/>
          </w:tcPr>
          <w:p>
            <w:pPr>
              <w:spacing w:after="0"/>
              <w:rPr>
                <w:sz w:val="24"/>
                <w:szCs w:val="24"/>
                <w:color w:val="auto"/>
              </w:rPr>
            </w:pPr>
          </w:p>
        </w:tc>
        <w:tc>
          <w:tcPr>
            <w:tcW w:w="1100" w:type="dxa"/>
            <w:vAlign w:val="bottom"/>
          </w:tcPr>
          <w:p>
            <w:pPr>
              <w:jc w:val="right"/>
              <w:ind w:right="908"/>
              <w:spacing w:after="0"/>
              <w:rPr>
                <w:sz w:val="20"/>
                <w:szCs w:val="20"/>
                <w:color w:val="auto"/>
              </w:rPr>
            </w:pPr>
            <w:r>
              <w:rPr>
                <w:rFonts w:ascii="Arial" w:cs="Arial" w:eastAsia="Arial" w:hAnsi="Arial"/>
                <w:sz w:val="15"/>
                <w:szCs w:val="15"/>
                <w:b w:val="1"/>
                <w:bCs w:val="1"/>
                <w:color w:val="auto"/>
              </w:rPr>
              <w:t>$</w:t>
            </w:r>
          </w:p>
        </w:tc>
        <w:tc>
          <w:tcPr>
            <w:tcW w:w="360" w:type="dxa"/>
            <w:vAlign w:val="bottom"/>
          </w:tcPr>
          <w:p>
            <w:pPr>
              <w:jc w:val="right"/>
              <w:spacing w:after="0"/>
              <w:rPr>
                <w:sz w:val="20"/>
                <w:szCs w:val="20"/>
                <w:color w:val="auto"/>
              </w:rPr>
            </w:pPr>
            <w:r>
              <w:rPr>
                <w:rFonts w:ascii="Arial" w:cs="Arial" w:eastAsia="Arial" w:hAnsi="Arial"/>
                <w:sz w:val="15"/>
                <w:szCs w:val="15"/>
                <w:b w:val="1"/>
                <w:bCs w:val="1"/>
                <w:color w:val="auto"/>
              </w:rPr>
              <w:t>311</w:t>
            </w:r>
          </w:p>
        </w:tc>
        <w:tc>
          <w:tcPr>
            <w:tcW w:w="0" w:type="dxa"/>
            <w:vAlign w:val="bottom"/>
          </w:tcPr>
          <w:p>
            <w:pPr>
              <w:spacing w:after="0"/>
              <w:rPr>
                <w:sz w:val="1"/>
                <w:szCs w:val="1"/>
                <w:color w:val="auto"/>
              </w:rPr>
            </w:pPr>
          </w:p>
        </w:tc>
      </w:tr>
      <w:tr>
        <w:trPr>
          <w:trHeight w:val="20"/>
        </w:trPr>
        <w:tc>
          <w:tcPr>
            <w:tcW w:w="3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2C6937"/>
              <w:bottom w:val="single" w:sz="8" w:color="2C6937"/>
            </w:tcBorders>
          </w:tcPr>
          <w:p>
            <w:pPr>
              <w:spacing w:after="0" w:line="20" w:lineRule="exact"/>
              <w:rPr>
                <w:sz w:val="1"/>
                <w:szCs w:val="1"/>
                <w:color w:val="auto"/>
              </w:rPr>
            </w:pPr>
          </w:p>
        </w:tc>
        <w:tc>
          <w:tcPr>
            <w:tcW w:w="9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0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11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12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2C6937"/>
              <w:bottom w:val="single" w:sz="8" w:color="2C6937"/>
            </w:tcBorders>
          </w:tcPr>
          <w:p>
            <w:pPr>
              <w:spacing w:after="0" w:line="20" w:lineRule="exact"/>
              <w:rPr>
                <w:sz w:val="1"/>
                <w:szCs w:val="1"/>
                <w:color w:val="auto"/>
              </w:rPr>
            </w:pPr>
          </w:p>
        </w:tc>
        <w:tc>
          <w:tcPr>
            <w:tcW w:w="36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3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bottom w:val="single" w:sz="8" w:color="2C6937"/>
            </w:tcBorders>
          </w:tcPr>
          <w:p>
            <w:pPr>
              <w:spacing w:after="0"/>
              <w:rPr>
                <w:sz w:val="24"/>
                <w:szCs w:val="24"/>
                <w:color w:val="auto"/>
              </w:rPr>
            </w:pPr>
          </w:p>
        </w:tc>
        <w:tc>
          <w:tcPr>
            <w:tcW w:w="90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1180" w:type="dxa"/>
            <w:vAlign w:val="bottom"/>
            <w:tcBorders>
              <w:bottom w:val="single" w:sz="8" w:color="2C6937"/>
            </w:tcBorders>
            <w:gridSpan w:val="2"/>
          </w:tcPr>
          <w:p>
            <w:pPr>
              <w:jc w:val="center"/>
              <w:ind w:right="280"/>
              <w:spacing w:after="0"/>
              <w:rPr>
                <w:sz w:val="20"/>
                <w:szCs w:val="20"/>
                <w:color w:val="auto"/>
              </w:rPr>
            </w:pPr>
            <w:r>
              <w:rPr>
                <w:rFonts w:ascii="Arial" w:cs="Arial" w:eastAsia="Arial" w:hAnsi="Arial"/>
                <w:sz w:val="14"/>
                <w:szCs w:val="14"/>
                <w:b w:val="1"/>
                <w:bCs w:val="1"/>
                <w:color w:val="auto"/>
                <w:w w:val="97"/>
              </w:rPr>
              <w:t>As of</w:t>
            </w:r>
          </w:p>
        </w:tc>
        <w:tc>
          <w:tcPr>
            <w:tcW w:w="180" w:type="dxa"/>
            <w:vAlign w:val="bottom"/>
            <w:tcBorders>
              <w:bottom w:val="single" w:sz="8" w:color="2C6937"/>
            </w:tcBorders>
          </w:tcPr>
          <w:p>
            <w:pPr>
              <w:spacing w:after="0"/>
              <w:rPr>
                <w:sz w:val="24"/>
                <w:szCs w:val="24"/>
                <w:color w:val="auto"/>
              </w:rPr>
            </w:pPr>
          </w:p>
        </w:tc>
        <w:tc>
          <w:tcPr>
            <w:tcW w:w="114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7"/>
              </w:rPr>
              <w:t>For the Three Months</w:t>
            </w:r>
          </w:p>
        </w:tc>
        <w:tc>
          <w:tcPr>
            <w:tcW w:w="14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8"/>
              </w:rPr>
              <w:t>For the Nine Months</w:t>
            </w:r>
          </w:p>
        </w:tc>
        <w:tc>
          <w:tcPr>
            <w:tcW w:w="0" w:type="dxa"/>
            <w:vAlign w:val="bottom"/>
          </w:tcPr>
          <w:p>
            <w:pPr>
              <w:spacing w:after="0"/>
              <w:rPr>
                <w:sz w:val="1"/>
                <w:szCs w:val="1"/>
                <w:color w:val="auto"/>
              </w:rPr>
            </w:pPr>
          </w:p>
        </w:tc>
      </w:tr>
      <w:tr>
        <w:trPr>
          <w:trHeight w:val="29"/>
        </w:trPr>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14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3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September 30, 2023</w:t>
            </w:r>
          </w:p>
        </w:tc>
        <w:tc>
          <w:tcPr>
            <w:tcW w:w="140" w:type="dxa"/>
            <w:vAlign w:val="bottom"/>
          </w:tcPr>
          <w:p>
            <w:pPr>
              <w:spacing w:after="0"/>
              <w:rPr>
                <w:sz w:val="12"/>
                <w:szCs w:val="12"/>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June 30, 2023</w:t>
            </w:r>
          </w:p>
        </w:tc>
        <w:tc>
          <w:tcPr>
            <w:tcW w:w="14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31, 2022</w:t>
            </w:r>
          </w:p>
        </w:tc>
        <w:tc>
          <w:tcPr>
            <w:tcW w:w="1620" w:type="dxa"/>
            <w:vAlign w:val="bottom"/>
            <w:gridSpan w:val="3"/>
          </w:tcPr>
          <w:p>
            <w:pPr>
              <w:jc w:val="center"/>
              <w:ind w:right="100"/>
              <w:spacing w:after="0" w:line="139" w:lineRule="exact"/>
              <w:rPr>
                <w:sz w:val="20"/>
                <w:szCs w:val="20"/>
                <w:color w:val="auto"/>
              </w:rPr>
            </w:pPr>
            <w:r>
              <w:rPr>
                <w:rFonts w:ascii="Arial" w:cs="Arial" w:eastAsia="Arial" w:hAnsi="Arial"/>
                <w:sz w:val="14"/>
                <w:szCs w:val="14"/>
                <w:b w:val="1"/>
                <w:bCs w:val="1"/>
                <w:color w:val="auto"/>
                <w:w w:val="98"/>
              </w:rPr>
              <w:t>Ended September 30,</w:t>
            </w:r>
          </w:p>
        </w:tc>
        <w:tc>
          <w:tcPr>
            <w:tcW w:w="146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w w:val="96"/>
              </w:rPr>
              <w:t>Ended September 30,</w:t>
            </w:r>
          </w:p>
        </w:tc>
        <w:tc>
          <w:tcPr>
            <w:tcW w:w="0" w:type="dxa"/>
            <w:vAlign w:val="bottom"/>
          </w:tcPr>
          <w:p>
            <w:pPr>
              <w:spacing w:after="0"/>
              <w:rPr>
                <w:sz w:val="1"/>
                <w:szCs w:val="1"/>
                <w:color w:val="auto"/>
              </w:rPr>
            </w:pPr>
          </w:p>
        </w:tc>
      </w:tr>
      <w:tr>
        <w:trPr>
          <w:trHeight w:val="180"/>
        </w:trPr>
        <w:tc>
          <w:tcPr>
            <w:tcW w:w="3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center"/>
              <w:ind w:right="165"/>
              <w:spacing w:after="0"/>
              <w:rPr>
                <w:sz w:val="20"/>
                <w:szCs w:val="20"/>
                <w:color w:val="auto"/>
              </w:rPr>
            </w:pPr>
            <w:r>
              <w:rPr>
                <w:rFonts w:ascii="Arial" w:cs="Arial" w:eastAsia="Arial" w:hAnsi="Arial"/>
                <w:sz w:val="14"/>
                <w:szCs w:val="14"/>
                <w:b w:val="1"/>
                <w:bCs w:val="1"/>
                <w:color w:val="auto"/>
                <w:w w:val="96"/>
              </w:rPr>
              <w:t>2023</w:t>
            </w:r>
          </w:p>
        </w:tc>
        <w:tc>
          <w:tcPr>
            <w:tcW w:w="100" w:type="dxa"/>
            <w:vAlign w:val="bottom"/>
          </w:tcPr>
          <w:p>
            <w:pPr>
              <w:spacing w:after="0"/>
              <w:rPr>
                <w:sz w:val="15"/>
                <w:szCs w:val="15"/>
                <w:color w:val="auto"/>
              </w:rPr>
            </w:pPr>
          </w:p>
        </w:tc>
        <w:tc>
          <w:tcPr>
            <w:tcW w:w="1100" w:type="dxa"/>
            <w:vAlign w:val="bottom"/>
          </w:tcPr>
          <w:p>
            <w:pPr>
              <w:jc w:val="center"/>
              <w:ind w:left="288"/>
              <w:spacing w:after="0"/>
              <w:rPr>
                <w:sz w:val="20"/>
                <w:szCs w:val="20"/>
                <w:color w:val="auto"/>
              </w:rPr>
            </w:pPr>
            <w:r>
              <w:rPr>
                <w:rFonts w:ascii="Arial" w:cs="Arial" w:eastAsia="Arial" w:hAnsi="Arial"/>
                <w:sz w:val="14"/>
                <w:szCs w:val="14"/>
                <w:b w:val="1"/>
                <w:bCs w:val="1"/>
                <w:color w:val="auto"/>
                <w:w w:val="96"/>
              </w:rPr>
              <w:t>2023</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3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top w:val="single" w:sz="8" w:color="2C6937"/>
              <w:bottom w:val="single" w:sz="8" w:color="2C6937"/>
            </w:tcBorders>
          </w:tcPr>
          <w:p>
            <w:pPr>
              <w:spacing w:after="0"/>
              <w:rPr>
                <w:sz w:val="24"/>
                <w:szCs w:val="24"/>
                <w:color w:val="auto"/>
              </w:rPr>
            </w:pPr>
          </w:p>
        </w:tc>
        <w:tc>
          <w:tcPr>
            <w:tcW w:w="900" w:type="dxa"/>
            <w:vAlign w:val="bottom"/>
            <w:tcBorders>
              <w:top w:val="single" w:sz="8" w:color="2C6937"/>
              <w:bottom w:val="single" w:sz="8" w:color="2C6937"/>
            </w:tcBorders>
          </w:tcPr>
          <w:p>
            <w:pPr>
              <w:spacing w:after="0"/>
              <w:rPr>
                <w:sz w:val="24"/>
                <w:szCs w:val="24"/>
                <w:color w:val="auto"/>
              </w:rPr>
            </w:pPr>
          </w:p>
        </w:tc>
        <w:tc>
          <w:tcPr>
            <w:tcW w:w="100" w:type="dxa"/>
            <w:vAlign w:val="bottom"/>
            <w:tcBorders>
              <w:top w:val="single" w:sz="8" w:color="2C6937"/>
              <w:bottom w:val="single" w:sz="8" w:color="2C6937"/>
            </w:tcBorders>
          </w:tcPr>
          <w:p>
            <w:pPr>
              <w:spacing w:after="0"/>
              <w:rPr>
                <w:sz w:val="24"/>
                <w:szCs w:val="24"/>
                <w:color w:val="auto"/>
              </w:rPr>
            </w:pPr>
          </w:p>
        </w:tc>
        <w:tc>
          <w:tcPr>
            <w:tcW w:w="1320" w:type="dxa"/>
            <w:vAlign w:val="bottom"/>
            <w:tcBorders>
              <w:top w:val="single" w:sz="8" w:color="2C6937"/>
              <w:bottom w:val="single" w:sz="8" w:color="2C6937"/>
            </w:tcBorders>
            <w:gridSpan w:val="3"/>
          </w:tcPr>
          <w:p>
            <w:pPr>
              <w:ind w:left="40"/>
              <w:spacing w:after="0"/>
              <w:rPr>
                <w:sz w:val="20"/>
                <w:szCs w:val="20"/>
                <w:color w:val="auto"/>
              </w:rPr>
            </w:pPr>
            <w:r>
              <w:rPr>
                <w:rFonts w:ascii="Arial" w:cs="Arial" w:eastAsia="Arial" w:hAnsi="Arial"/>
                <w:sz w:val="14"/>
                <w:szCs w:val="14"/>
                <w:b w:val="1"/>
                <w:bCs w:val="1"/>
                <w:color w:val="auto"/>
              </w:rPr>
              <w:t>Amortized Cost</w:t>
            </w:r>
            <w:r>
              <w:rPr>
                <w:rFonts w:ascii="Arial" w:cs="Arial" w:eastAsia="Arial" w:hAnsi="Arial"/>
                <w:sz w:val="17"/>
                <w:szCs w:val="17"/>
                <w:b w:val="1"/>
                <w:bCs w:val="1"/>
                <w:color w:val="auto"/>
                <w:vertAlign w:val="superscript"/>
              </w:rPr>
              <w:t>(1)</w:t>
            </w:r>
          </w:p>
        </w:tc>
        <w:tc>
          <w:tcPr>
            <w:tcW w:w="180" w:type="dxa"/>
            <w:vAlign w:val="bottom"/>
            <w:tcBorders>
              <w:top w:val="single" w:sz="8" w:color="2C6937"/>
              <w:bottom w:val="single" w:sz="8" w:color="2C6937"/>
            </w:tcBorders>
          </w:tcPr>
          <w:p>
            <w:pPr>
              <w:spacing w:after="0"/>
              <w:rPr>
                <w:sz w:val="24"/>
                <w:szCs w:val="24"/>
                <w:color w:val="auto"/>
              </w:rPr>
            </w:pPr>
          </w:p>
        </w:tc>
        <w:tc>
          <w:tcPr>
            <w:tcW w:w="1140" w:type="dxa"/>
            <w:vAlign w:val="bottom"/>
            <w:tcBorders>
              <w:top w:val="single" w:sz="8" w:color="2C6937"/>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260" w:type="dxa"/>
            <w:vAlign w:val="bottom"/>
            <w:tcBorders>
              <w:top w:val="single" w:sz="8" w:color="2C6937"/>
              <w:bottom w:val="single" w:sz="8" w:color="2C6937"/>
            </w:tcBorders>
          </w:tcPr>
          <w:p>
            <w:pPr>
              <w:spacing w:after="0"/>
              <w:rPr>
                <w:sz w:val="24"/>
                <w:szCs w:val="24"/>
                <w:color w:val="auto"/>
              </w:rPr>
            </w:pPr>
          </w:p>
        </w:tc>
        <w:tc>
          <w:tcPr>
            <w:tcW w:w="2460" w:type="dxa"/>
            <w:vAlign w:val="bottom"/>
            <w:tcBorders>
              <w:top w:val="single" w:sz="8" w:color="2C6937"/>
              <w:bottom w:val="single" w:sz="8" w:color="2C6937"/>
            </w:tcBorders>
            <w:gridSpan w:val="3"/>
          </w:tcPr>
          <w:p>
            <w:pPr>
              <w:jc w:val="right"/>
              <w:spacing w:after="0"/>
              <w:rPr>
                <w:sz w:val="20"/>
                <w:szCs w:val="20"/>
                <w:color w:val="auto"/>
              </w:rPr>
            </w:pPr>
            <w:r>
              <w:rPr>
                <w:rFonts w:ascii="Arial" w:cs="Arial" w:eastAsia="Arial" w:hAnsi="Arial"/>
                <w:sz w:val="14"/>
                <w:szCs w:val="14"/>
                <w:b w:val="1"/>
                <w:bCs w:val="1"/>
                <w:color w:val="auto"/>
              </w:rPr>
              <w:t>Total Interest Income Recognized</w:t>
            </w:r>
            <w:r>
              <w:rPr>
                <w:rFonts w:ascii="Arial" w:cs="Arial" w:eastAsia="Arial" w:hAnsi="Arial"/>
                <w:sz w:val="17"/>
                <w:szCs w:val="17"/>
                <w:b w:val="1"/>
                <w:bCs w:val="1"/>
                <w:color w:val="auto"/>
                <w:vertAlign w:val="superscript"/>
              </w:rPr>
              <w:t>(2)</w:t>
            </w:r>
          </w:p>
        </w:tc>
        <w:tc>
          <w:tcPr>
            <w:tcW w:w="360" w:type="dxa"/>
            <w:vAlign w:val="bottom"/>
            <w:tcBorders>
              <w:top w:val="single" w:sz="8" w:color="2C6937"/>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gridSpan w:val="3"/>
          </w:tcPr>
          <w:p>
            <w:pPr>
              <w:jc w:val="right"/>
              <w:ind w:right="107"/>
              <w:spacing w:after="0"/>
              <w:rPr>
                <w:sz w:val="20"/>
                <w:szCs w:val="20"/>
                <w:color w:val="auto"/>
              </w:rPr>
            </w:pPr>
            <w:r>
              <w:rPr>
                <w:rFonts w:ascii="Arial" w:cs="Arial" w:eastAsia="Arial" w:hAnsi="Arial"/>
                <w:sz w:val="14"/>
                <w:szCs w:val="14"/>
                <w:b w:val="1"/>
                <w:bCs w:val="1"/>
                <w:color w:val="auto"/>
              </w:rPr>
              <w:t>(Dollars in millions)</w:t>
            </w: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9"/>
        </w:trPr>
        <w:tc>
          <w:tcPr>
            <w:tcW w:w="398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3980" w:type="dxa"/>
            <w:vAlign w:val="bottom"/>
            <w:gridSpan w:val="2"/>
          </w:tcPr>
          <w:p>
            <w:pPr>
              <w:ind w:left="180"/>
              <w:spacing w:after="0"/>
              <w:rPr>
                <w:sz w:val="20"/>
                <w:szCs w:val="20"/>
                <w:color w:val="auto"/>
              </w:rPr>
            </w:pPr>
            <w:r>
              <w:rPr>
                <w:rFonts w:ascii="Arial" w:cs="Arial" w:eastAsia="Arial" w:hAnsi="Arial"/>
                <w:sz w:val="15"/>
                <w:szCs w:val="15"/>
                <w:color w:val="auto"/>
              </w:rPr>
              <w:t>20- and 30-year or more, amortizing fixed-rate</w:t>
            </w:r>
          </w:p>
        </w:tc>
        <w:tc>
          <w:tcPr>
            <w:tcW w:w="440" w:type="dxa"/>
            <w:vAlign w:val="bottom"/>
          </w:tcPr>
          <w:p>
            <w:pPr>
              <w:ind w:left="2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3"/>
              <w:spacing w:after="0"/>
              <w:rPr>
                <w:sz w:val="20"/>
                <w:szCs w:val="20"/>
                <w:color w:val="auto"/>
              </w:rPr>
            </w:pPr>
            <w:r>
              <w:rPr>
                <w:rFonts w:ascii="Arial" w:cs="Arial" w:eastAsia="Arial" w:hAnsi="Arial"/>
                <w:sz w:val="15"/>
                <w:szCs w:val="15"/>
                <w:color w:val="auto"/>
              </w:rPr>
              <w:t>19,108</w:t>
            </w:r>
          </w:p>
        </w:tc>
        <w:tc>
          <w:tcPr>
            <w:tcW w:w="100" w:type="dxa"/>
            <w:vAlign w:val="bottom"/>
          </w:tcPr>
          <w:p>
            <w:pPr>
              <w:spacing w:after="0"/>
              <w:rPr>
                <w:sz w:val="24"/>
                <w:szCs w:val="24"/>
                <w:color w:val="auto"/>
              </w:rPr>
            </w:pPr>
          </w:p>
        </w:tc>
        <w:tc>
          <w:tcPr>
            <w:tcW w:w="140" w:type="dxa"/>
            <w:vAlign w:val="bottom"/>
          </w:tcPr>
          <w:p>
            <w:pPr>
              <w:ind w:left="20"/>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17,051</w:t>
            </w:r>
          </w:p>
        </w:tc>
        <w:tc>
          <w:tcPr>
            <w:tcW w:w="100" w:type="dxa"/>
            <w:vAlign w:val="bottom"/>
          </w:tcPr>
          <w:p>
            <w:pPr>
              <w:spacing w:after="0"/>
              <w:rPr>
                <w:sz w:val="24"/>
                <w:szCs w:val="24"/>
                <w:color w:val="auto"/>
              </w:rPr>
            </w:pPr>
          </w:p>
        </w:tc>
        <w:tc>
          <w:tcPr>
            <w:tcW w:w="180" w:type="dxa"/>
            <w:vAlign w:val="bottom"/>
          </w:tcPr>
          <w:p>
            <w:pPr>
              <w:jc w:val="right"/>
              <w:ind w:right="6"/>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9,447</w:t>
            </w:r>
          </w:p>
        </w:tc>
        <w:tc>
          <w:tcPr>
            <w:tcW w:w="100" w:type="dxa"/>
            <w:vAlign w:val="bottom"/>
          </w:tcPr>
          <w:p>
            <w:pPr>
              <w:spacing w:after="0"/>
              <w:rPr>
                <w:sz w:val="24"/>
                <w:szCs w:val="24"/>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19</w:t>
            </w:r>
          </w:p>
        </w:tc>
        <w:tc>
          <w:tcPr>
            <w:tcW w:w="100" w:type="dxa"/>
            <w:vAlign w:val="bottom"/>
          </w:tcPr>
          <w:p>
            <w:pPr>
              <w:spacing w:after="0"/>
              <w:rPr>
                <w:sz w:val="24"/>
                <w:szCs w:val="24"/>
                <w:color w:val="auto"/>
              </w:rPr>
            </w:pPr>
          </w:p>
        </w:tc>
        <w:tc>
          <w:tcPr>
            <w:tcW w:w="1100" w:type="dxa"/>
            <w:vAlign w:val="bottom"/>
          </w:tcPr>
          <w:p>
            <w:pPr>
              <w:jc w:val="right"/>
              <w:ind w:right="928"/>
              <w:spacing w:after="0"/>
              <w:rPr>
                <w:sz w:val="20"/>
                <w:szCs w:val="20"/>
                <w:color w:val="auto"/>
              </w:rPr>
            </w:pPr>
            <w:r>
              <w:rPr>
                <w:rFonts w:ascii="Arial" w:cs="Arial" w:eastAsia="Arial" w:hAnsi="Arial"/>
                <w:sz w:val="15"/>
                <w:szCs w:val="15"/>
                <w:color w:val="auto"/>
                <w:w w:val="95"/>
              </w:rPr>
              <w:t>$</w:t>
            </w:r>
          </w:p>
        </w:tc>
        <w:tc>
          <w:tcPr>
            <w:tcW w:w="360" w:type="dxa"/>
            <w:vAlign w:val="bottom"/>
          </w:tcPr>
          <w:p>
            <w:pPr>
              <w:jc w:val="right"/>
              <w:spacing w:after="0"/>
              <w:rPr>
                <w:sz w:val="20"/>
                <w:szCs w:val="20"/>
                <w:color w:val="auto"/>
              </w:rPr>
            </w:pPr>
            <w:r>
              <w:rPr>
                <w:rFonts w:ascii="Arial" w:cs="Arial" w:eastAsia="Arial" w:hAnsi="Arial"/>
                <w:sz w:val="15"/>
                <w:szCs w:val="15"/>
                <w:color w:val="auto"/>
              </w:rPr>
              <w:t>197</w:t>
            </w:r>
          </w:p>
        </w:tc>
        <w:tc>
          <w:tcPr>
            <w:tcW w:w="0" w:type="dxa"/>
            <w:vAlign w:val="bottom"/>
          </w:tcPr>
          <w:p>
            <w:pPr>
              <w:spacing w:after="0"/>
              <w:rPr>
                <w:sz w:val="1"/>
                <w:szCs w:val="1"/>
                <w:color w:val="auto"/>
              </w:rPr>
            </w:pPr>
          </w:p>
        </w:tc>
      </w:tr>
      <w:tr>
        <w:trPr>
          <w:trHeight w:val="309"/>
        </w:trPr>
        <w:tc>
          <w:tcPr>
            <w:tcW w:w="3980" w:type="dxa"/>
            <w:vAlign w:val="bottom"/>
            <w:gridSpan w:val="2"/>
          </w:tcPr>
          <w:p>
            <w:pPr>
              <w:ind w:left="180"/>
              <w:spacing w:after="0"/>
              <w:rPr>
                <w:sz w:val="20"/>
                <w:szCs w:val="20"/>
                <w:color w:val="auto"/>
              </w:rPr>
            </w:pPr>
            <w:r>
              <w:rPr>
                <w:rFonts w:ascii="Arial" w:cs="Arial" w:eastAsia="Arial" w:hAnsi="Arial"/>
                <w:sz w:val="15"/>
                <w:szCs w:val="15"/>
                <w:color w:val="auto"/>
              </w:rPr>
              <w:t>15-year or less, amortizing fixed-rate</w:t>
            </w:r>
          </w:p>
        </w:tc>
        <w:tc>
          <w:tcPr>
            <w:tcW w:w="440" w:type="dxa"/>
            <w:vAlign w:val="bottom"/>
          </w:tcPr>
          <w:p>
            <w:pPr>
              <w:spacing w:after="0"/>
              <w:rPr>
                <w:sz w:val="24"/>
                <w:szCs w:val="24"/>
                <w:color w:val="auto"/>
              </w:rPr>
            </w:pPr>
          </w:p>
        </w:tc>
        <w:tc>
          <w:tcPr>
            <w:tcW w:w="900" w:type="dxa"/>
            <w:vAlign w:val="bottom"/>
          </w:tcPr>
          <w:p>
            <w:pPr>
              <w:jc w:val="right"/>
              <w:ind w:right="3"/>
              <w:spacing w:after="0"/>
              <w:rPr>
                <w:sz w:val="20"/>
                <w:szCs w:val="20"/>
                <w:color w:val="auto"/>
              </w:rPr>
            </w:pPr>
            <w:r>
              <w:rPr>
                <w:rFonts w:ascii="Arial" w:cs="Arial" w:eastAsia="Arial" w:hAnsi="Arial"/>
                <w:sz w:val="15"/>
                <w:szCs w:val="15"/>
                <w:color w:val="auto"/>
              </w:rPr>
              <w:t>638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565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200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309"/>
        </w:trPr>
        <w:tc>
          <w:tcPr>
            <w:tcW w:w="398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440" w:type="dxa"/>
            <w:vAlign w:val="bottom"/>
          </w:tcPr>
          <w:p>
            <w:pPr>
              <w:spacing w:after="0"/>
              <w:rPr>
                <w:sz w:val="24"/>
                <w:szCs w:val="24"/>
                <w:color w:val="auto"/>
              </w:rPr>
            </w:pPr>
          </w:p>
        </w:tc>
        <w:tc>
          <w:tcPr>
            <w:tcW w:w="900" w:type="dxa"/>
            <w:vAlign w:val="bottom"/>
          </w:tcPr>
          <w:p>
            <w:pPr>
              <w:jc w:val="right"/>
              <w:ind w:right="3"/>
              <w:spacing w:after="0"/>
              <w:rPr>
                <w:sz w:val="20"/>
                <w:szCs w:val="20"/>
                <w:color w:val="auto"/>
              </w:rPr>
            </w:pPr>
            <w:r>
              <w:rPr>
                <w:rFonts w:ascii="Arial" w:cs="Arial" w:eastAsia="Arial" w:hAnsi="Arial"/>
                <w:sz w:val="15"/>
                <w:szCs w:val="15"/>
                <w:color w:val="auto"/>
              </w:rPr>
              <w:t>99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85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310"/>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24"/>
                <w:szCs w:val="24"/>
                <w:color w:val="auto"/>
              </w:rPr>
            </w:pPr>
          </w:p>
        </w:tc>
        <w:tc>
          <w:tcPr>
            <w:tcW w:w="440" w:type="dxa"/>
            <w:vAlign w:val="bottom"/>
            <w:tcBorders>
              <w:bottom w:val="single" w:sz="8" w:color="2C6937"/>
            </w:tcBorders>
          </w:tcPr>
          <w:p>
            <w:pPr>
              <w:spacing w:after="0"/>
              <w:rPr>
                <w:sz w:val="24"/>
                <w:szCs w:val="24"/>
                <w:color w:val="auto"/>
              </w:rPr>
            </w:pPr>
          </w:p>
        </w:tc>
        <w:tc>
          <w:tcPr>
            <w:tcW w:w="9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526</w:t>
            </w:r>
          </w:p>
        </w:tc>
        <w:tc>
          <w:tcPr>
            <w:tcW w:w="100" w:type="dxa"/>
            <w:vAlign w:val="bottom"/>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573</w:t>
            </w:r>
          </w:p>
        </w:tc>
        <w:tc>
          <w:tcPr>
            <w:tcW w:w="10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1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617</w:t>
            </w:r>
          </w:p>
        </w:tc>
        <w:tc>
          <w:tcPr>
            <w:tcW w:w="100" w:type="dxa"/>
            <w:vAlign w:val="bottom"/>
          </w:tcPr>
          <w:p>
            <w:pPr>
              <w:spacing w:after="0"/>
              <w:rPr>
                <w:sz w:val="24"/>
                <w:szCs w:val="24"/>
                <w:color w:val="auto"/>
              </w:rPr>
            </w:pPr>
          </w:p>
        </w:tc>
        <w:tc>
          <w:tcPr>
            <w:tcW w:w="260" w:type="dxa"/>
            <w:vAlign w:val="bottom"/>
            <w:tcBorders>
              <w:bottom w:val="single" w:sz="8" w:color="2C6937"/>
            </w:tcBorders>
          </w:tcPr>
          <w:p>
            <w:pPr>
              <w:spacing w:after="0"/>
              <w:rPr>
                <w:sz w:val="24"/>
                <w:szCs w:val="24"/>
                <w:color w:val="auto"/>
              </w:rPr>
            </w:pPr>
          </w:p>
        </w:tc>
        <w:tc>
          <w:tcPr>
            <w:tcW w:w="12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24"/>
                <w:szCs w:val="24"/>
                <w:color w:val="auto"/>
              </w:rPr>
            </w:pPr>
          </w:p>
        </w:tc>
        <w:tc>
          <w:tcPr>
            <w:tcW w:w="1100" w:type="dxa"/>
            <w:vAlign w:val="bottom"/>
            <w:tcBorders>
              <w:bottom w:val="single" w:sz="8" w:color="2C6937"/>
            </w:tcBorders>
          </w:tcPr>
          <w:p>
            <w:pPr>
              <w:spacing w:after="0"/>
              <w:rPr>
                <w:sz w:val="24"/>
                <w:szCs w:val="24"/>
                <w:color w:val="auto"/>
              </w:rPr>
            </w:pPr>
          </w:p>
        </w:tc>
        <w:tc>
          <w:tcPr>
            <w:tcW w:w="3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302"/>
        </w:trPr>
        <w:tc>
          <w:tcPr>
            <w:tcW w:w="3980" w:type="dxa"/>
            <w:vAlign w:val="bottom"/>
            <w:gridSpan w:val="2"/>
          </w:tcPr>
          <w:p>
            <w:pPr>
              <w:ind w:left="20"/>
              <w:spacing w:after="0"/>
              <w:rPr>
                <w:sz w:val="20"/>
                <w:szCs w:val="20"/>
                <w:color w:val="auto"/>
              </w:rPr>
            </w:pPr>
            <w:r>
              <w:rPr>
                <w:rFonts w:ascii="Arial" w:cs="Arial" w:eastAsia="Arial" w:hAnsi="Arial"/>
                <w:sz w:val="15"/>
                <w:szCs w:val="15"/>
                <w:color w:val="auto"/>
              </w:rPr>
              <w:t>Total single-family</w:t>
            </w:r>
          </w:p>
        </w:tc>
        <w:tc>
          <w:tcPr>
            <w:tcW w:w="440" w:type="dxa"/>
            <w:vAlign w:val="bottom"/>
          </w:tcPr>
          <w:p>
            <w:pPr>
              <w:spacing w:after="0"/>
              <w:rPr>
                <w:sz w:val="24"/>
                <w:szCs w:val="24"/>
                <w:color w:val="auto"/>
              </w:rPr>
            </w:pPr>
          </w:p>
        </w:tc>
        <w:tc>
          <w:tcPr>
            <w:tcW w:w="900" w:type="dxa"/>
            <w:vAlign w:val="bottom"/>
          </w:tcPr>
          <w:p>
            <w:pPr>
              <w:jc w:val="right"/>
              <w:ind w:right="3"/>
              <w:spacing w:after="0"/>
              <w:rPr>
                <w:sz w:val="20"/>
                <w:szCs w:val="20"/>
                <w:color w:val="auto"/>
              </w:rPr>
            </w:pPr>
            <w:r>
              <w:rPr>
                <w:rFonts w:ascii="Arial" w:cs="Arial" w:eastAsia="Arial" w:hAnsi="Arial"/>
                <w:sz w:val="15"/>
                <w:szCs w:val="15"/>
                <w:color w:val="auto"/>
              </w:rPr>
              <w:t>20,371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18,274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10,317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20</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208</w:t>
            </w:r>
          </w:p>
        </w:tc>
        <w:tc>
          <w:tcPr>
            <w:tcW w:w="0" w:type="dxa"/>
            <w:vAlign w:val="bottom"/>
          </w:tcPr>
          <w:p>
            <w:pPr>
              <w:spacing w:after="0"/>
              <w:rPr>
                <w:sz w:val="1"/>
                <w:szCs w:val="1"/>
                <w:color w:val="auto"/>
              </w:rPr>
            </w:pPr>
          </w:p>
        </w:tc>
      </w:tr>
      <w:tr>
        <w:trPr>
          <w:trHeight w:val="310"/>
        </w:trPr>
        <w:tc>
          <w:tcPr>
            <w:tcW w:w="38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4"/>
                <w:szCs w:val="24"/>
                <w:color w:val="auto"/>
              </w:rPr>
            </w:pPr>
          </w:p>
        </w:tc>
        <w:tc>
          <w:tcPr>
            <w:tcW w:w="440" w:type="dxa"/>
            <w:vAlign w:val="bottom"/>
            <w:tcBorders>
              <w:bottom w:val="single" w:sz="8" w:color="2C6937"/>
            </w:tcBorders>
          </w:tcPr>
          <w:p>
            <w:pPr>
              <w:spacing w:after="0"/>
              <w:rPr>
                <w:sz w:val="24"/>
                <w:szCs w:val="24"/>
                <w:color w:val="auto"/>
              </w:rPr>
            </w:pPr>
          </w:p>
        </w:tc>
        <w:tc>
          <w:tcPr>
            <w:tcW w:w="9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1,526</w:t>
            </w:r>
          </w:p>
        </w:tc>
        <w:tc>
          <w:tcPr>
            <w:tcW w:w="100" w:type="dxa"/>
            <w:vAlign w:val="bottom"/>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1,448</w:t>
            </w:r>
          </w:p>
        </w:tc>
        <w:tc>
          <w:tcPr>
            <w:tcW w:w="10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1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2,200</w:t>
            </w:r>
          </w:p>
        </w:tc>
        <w:tc>
          <w:tcPr>
            <w:tcW w:w="100" w:type="dxa"/>
            <w:vAlign w:val="bottom"/>
          </w:tcPr>
          <w:p>
            <w:pPr>
              <w:spacing w:after="0"/>
              <w:rPr>
                <w:sz w:val="24"/>
                <w:szCs w:val="24"/>
                <w:color w:val="auto"/>
              </w:rPr>
            </w:pPr>
          </w:p>
        </w:tc>
        <w:tc>
          <w:tcPr>
            <w:tcW w:w="260" w:type="dxa"/>
            <w:vAlign w:val="bottom"/>
            <w:tcBorders>
              <w:bottom w:val="single" w:sz="8" w:color="2C6937"/>
            </w:tcBorders>
          </w:tcPr>
          <w:p>
            <w:pPr>
              <w:spacing w:after="0"/>
              <w:rPr>
                <w:sz w:val="24"/>
                <w:szCs w:val="24"/>
                <w:color w:val="auto"/>
              </w:rPr>
            </w:pPr>
          </w:p>
        </w:tc>
        <w:tc>
          <w:tcPr>
            <w:tcW w:w="12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24"/>
                <w:szCs w:val="24"/>
                <w:color w:val="auto"/>
              </w:rPr>
            </w:pPr>
          </w:p>
        </w:tc>
        <w:tc>
          <w:tcPr>
            <w:tcW w:w="1100" w:type="dxa"/>
            <w:vAlign w:val="bottom"/>
            <w:tcBorders>
              <w:bottom w:val="single" w:sz="8" w:color="2C6937"/>
            </w:tcBorders>
          </w:tcPr>
          <w:p>
            <w:pPr>
              <w:spacing w:after="0"/>
              <w:rPr>
                <w:sz w:val="24"/>
                <w:szCs w:val="24"/>
                <w:color w:val="auto"/>
              </w:rPr>
            </w:pPr>
          </w:p>
        </w:tc>
        <w:tc>
          <w:tcPr>
            <w:tcW w:w="3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302"/>
        </w:trPr>
        <w:tc>
          <w:tcPr>
            <w:tcW w:w="3980" w:type="dxa"/>
            <w:vAlign w:val="bottom"/>
            <w:gridSpan w:val="2"/>
          </w:tcPr>
          <w:p>
            <w:pPr>
              <w:ind w:left="260"/>
              <w:spacing w:after="0"/>
              <w:rPr>
                <w:sz w:val="20"/>
                <w:szCs w:val="20"/>
                <w:color w:val="auto"/>
              </w:rPr>
            </w:pPr>
            <w:r>
              <w:rPr>
                <w:rFonts w:ascii="Arial" w:cs="Arial" w:eastAsia="Arial" w:hAnsi="Arial"/>
                <w:sz w:val="15"/>
                <w:szCs w:val="15"/>
                <w:color w:val="auto"/>
              </w:rPr>
              <w:t>Total nonaccrual loans</w:t>
            </w:r>
          </w:p>
        </w:tc>
        <w:tc>
          <w:tcPr>
            <w:tcW w:w="440" w:type="dxa"/>
            <w:vAlign w:val="bottom"/>
          </w:tcPr>
          <w:p>
            <w:pPr>
              <w:ind w:left="2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3"/>
              <w:spacing w:after="0"/>
              <w:rPr>
                <w:sz w:val="20"/>
                <w:szCs w:val="20"/>
                <w:color w:val="auto"/>
              </w:rPr>
            </w:pPr>
            <w:r>
              <w:rPr>
                <w:rFonts w:ascii="Arial" w:cs="Arial" w:eastAsia="Arial" w:hAnsi="Arial"/>
                <w:sz w:val="15"/>
                <w:szCs w:val="15"/>
                <w:color w:val="auto"/>
              </w:rPr>
              <w:t>21,897</w:t>
            </w:r>
          </w:p>
        </w:tc>
        <w:tc>
          <w:tcPr>
            <w:tcW w:w="100" w:type="dxa"/>
            <w:vAlign w:val="bottom"/>
          </w:tcPr>
          <w:p>
            <w:pPr>
              <w:spacing w:after="0"/>
              <w:rPr>
                <w:sz w:val="24"/>
                <w:szCs w:val="24"/>
                <w:color w:val="auto"/>
              </w:rPr>
            </w:pPr>
          </w:p>
        </w:tc>
        <w:tc>
          <w:tcPr>
            <w:tcW w:w="140" w:type="dxa"/>
            <w:vAlign w:val="bottom"/>
          </w:tcPr>
          <w:p>
            <w:pPr>
              <w:ind w:left="20"/>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19,722</w:t>
            </w:r>
          </w:p>
        </w:tc>
        <w:tc>
          <w:tcPr>
            <w:tcW w:w="100" w:type="dxa"/>
            <w:vAlign w:val="bottom"/>
          </w:tcPr>
          <w:p>
            <w:pPr>
              <w:spacing w:after="0"/>
              <w:rPr>
                <w:sz w:val="24"/>
                <w:szCs w:val="24"/>
                <w:color w:val="auto"/>
              </w:rPr>
            </w:pPr>
          </w:p>
        </w:tc>
        <w:tc>
          <w:tcPr>
            <w:tcW w:w="180" w:type="dxa"/>
            <w:vAlign w:val="bottom"/>
          </w:tcPr>
          <w:p>
            <w:pPr>
              <w:jc w:val="right"/>
              <w:ind w:right="6"/>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12,517</w:t>
            </w:r>
          </w:p>
        </w:tc>
        <w:tc>
          <w:tcPr>
            <w:tcW w:w="100" w:type="dxa"/>
            <w:vAlign w:val="bottom"/>
          </w:tcPr>
          <w:p>
            <w:pPr>
              <w:spacing w:after="0"/>
              <w:rPr>
                <w:sz w:val="24"/>
                <w:szCs w:val="24"/>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23</w:t>
            </w:r>
          </w:p>
        </w:tc>
        <w:tc>
          <w:tcPr>
            <w:tcW w:w="100" w:type="dxa"/>
            <w:vAlign w:val="bottom"/>
          </w:tcPr>
          <w:p>
            <w:pPr>
              <w:spacing w:after="0"/>
              <w:rPr>
                <w:sz w:val="24"/>
                <w:szCs w:val="24"/>
                <w:color w:val="auto"/>
              </w:rPr>
            </w:pPr>
          </w:p>
        </w:tc>
        <w:tc>
          <w:tcPr>
            <w:tcW w:w="1100" w:type="dxa"/>
            <w:vAlign w:val="bottom"/>
          </w:tcPr>
          <w:p>
            <w:pPr>
              <w:jc w:val="right"/>
              <w:ind w:right="928"/>
              <w:spacing w:after="0"/>
              <w:rPr>
                <w:sz w:val="20"/>
                <w:szCs w:val="20"/>
                <w:color w:val="auto"/>
              </w:rPr>
            </w:pPr>
            <w:r>
              <w:rPr>
                <w:rFonts w:ascii="Arial" w:cs="Arial" w:eastAsia="Arial" w:hAnsi="Arial"/>
                <w:sz w:val="15"/>
                <w:szCs w:val="15"/>
                <w:color w:val="auto"/>
                <w:w w:val="95"/>
              </w:rPr>
              <w:t>$</w:t>
            </w:r>
          </w:p>
        </w:tc>
        <w:tc>
          <w:tcPr>
            <w:tcW w:w="360" w:type="dxa"/>
            <w:vAlign w:val="bottom"/>
          </w:tcPr>
          <w:p>
            <w:pPr>
              <w:jc w:val="right"/>
              <w:spacing w:after="0"/>
              <w:rPr>
                <w:sz w:val="20"/>
                <w:szCs w:val="20"/>
                <w:color w:val="auto"/>
              </w:rPr>
            </w:pPr>
            <w:r>
              <w:rPr>
                <w:rFonts w:ascii="Arial" w:cs="Arial" w:eastAsia="Arial" w:hAnsi="Arial"/>
                <w:sz w:val="15"/>
                <w:szCs w:val="15"/>
                <w:color w:val="auto"/>
              </w:rPr>
              <w:t>224</w:t>
            </w:r>
          </w:p>
        </w:tc>
        <w:tc>
          <w:tcPr>
            <w:tcW w:w="0" w:type="dxa"/>
            <w:vAlign w:val="bottom"/>
          </w:tcPr>
          <w:p>
            <w:pPr>
              <w:spacing w:after="0"/>
              <w:rPr>
                <w:sz w:val="1"/>
                <w:szCs w:val="1"/>
                <w:color w:val="auto"/>
              </w:rPr>
            </w:pPr>
          </w:p>
        </w:tc>
      </w:tr>
      <w:tr>
        <w:trPr>
          <w:trHeight w:val="20"/>
        </w:trPr>
        <w:tc>
          <w:tcPr>
            <w:tcW w:w="3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2C6937"/>
              <w:bottom w:val="single" w:sz="8" w:color="2C6937"/>
            </w:tcBorders>
          </w:tcPr>
          <w:p>
            <w:pPr>
              <w:spacing w:after="0" w:line="20" w:lineRule="exact"/>
              <w:rPr>
                <w:sz w:val="1"/>
                <w:szCs w:val="1"/>
                <w:color w:val="auto"/>
              </w:rPr>
            </w:pPr>
          </w:p>
        </w:tc>
        <w:tc>
          <w:tcPr>
            <w:tcW w:w="9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0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11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12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2C6937"/>
              <w:bottom w:val="single" w:sz="8" w:color="2C6937"/>
            </w:tcBorders>
          </w:tcPr>
          <w:p>
            <w:pPr>
              <w:spacing w:after="0" w:line="20" w:lineRule="exact"/>
              <w:rPr>
                <w:sz w:val="1"/>
                <w:szCs w:val="1"/>
                <w:color w:val="auto"/>
              </w:rPr>
            </w:pPr>
          </w:p>
        </w:tc>
        <w:tc>
          <w:tcPr>
            <w:tcW w:w="36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ind w:left="220" w:hanging="217"/>
        <w:spacing w:after="0"/>
        <w:tabs>
          <w:tab w:leader="none" w:pos="220" w:val="left"/>
        </w:tabs>
        <w:numPr>
          <w:ilvl w:val="0"/>
          <w:numId w:val="80"/>
        </w:numPr>
        <w:rPr>
          <w:rFonts w:ascii="Arial" w:cs="Arial" w:eastAsia="Arial" w:hAnsi="Arial"/>
          <w:sz w:val="18"/>
          <w:szCs w:val="18"/>
          <w:color w:val="auto"/>
          <w:vertAlign w:val="superscript"/>
        </w:rPr>
      </w:pPr>
      <w:r>
        <w:rPr>
          <w:rFonts w:ascii="Arial" w:cs="Arial" w:eastAsia="Arial" w:hAnsi="Arial"/>
          <w:sz w:val="14"/>
          <w:szCs w:val="14"/>
          <w:color w:val="auto"/>
        </w:rPr>
        <w:t>Amortized cost is presented net of any write-offs, which are recognized when a loan balance is deemed uncollectible.</w:t>
      </w:r>
    </w:p>
    <w:p>
      <w:pPr>
        <w:spacing w:after="0" w:line="25" w:lineRule="exact"/>
        <w:rPr>
          <w:rFonts w:ascii="Arial" w:cs="Arial" w:eastAsia="Arial" w:hAnsi="Arial"/>
          <w:sz w:val="18"/>
          <w:szCs w:val="18"/>
          <w:color w:val="auto"/>
          <w:vertAlign w:val="superscript"/>
        </w:rPr>
      </w:pPr>
    </w:p>
    <w:p>
      <w:pPr>
        <w:ind w:left="240" w:right="80" w:hanging="237"/>
        <w:spacing w:after="0" w:line="260" w:lineRule="auto"/>
        <w:tabs>
          <w:tab w:leader="none" w:pos="233" w:val="left"/>
        </w:tabs>
        <w:numPr>
          <w:ilvl w:val="0"/>
          <w:numId w:val="80"/>
        </w:numPr>
        <w:rPr>
          <w:rFonts w:ascii="Arial" w:cs="Arial" w:eastAsia="Arial" w:hAnsi="Arial"/>
          <w:sz w:val="9"/>
          <w:szCs w:val="9"/>
          <w:color w:val="auto"/>
        </w:rPr>
      </w:pPr>
      <w:r>
        <w:rPr>
          <w:rFonts w:ascii="Arial" w:cs="Arial" w:eastAsia="Arial" w:hAnsi="Arial"/>
          <w:sz w:val="14"/>
          <w:szCs w:val="14"/>
          <w:color w:val="auto"/>
        </w:rPr>
        <w:t>Interest income recognized includes amortization of any deferred cost basis adjustments while the loan is performing and that is not reversed when the loan is placed on nonaccrual status. For single-family, interest income recognized includes payments received on nonaccrual loans held as of period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356870</wp:posOffset>
            </wp:positionV>
            <wp:extent cx="680593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90" w:name="page91"/>
    <w:bookmarkEnd w:id="90"/>
    <w:p>
      <w:pPr>
        <w:ind w:left="5860"/>
        <w:spacing w:after="0"/>
        <w:rPr>
          <w:sz w:val="20"/>
          <w:szCs w:val="20"/>
          <w:color w:val="auto"/>
        </w:rPr>
      </w:pPr>
      <w:r>
        <w:rPr>
          <w:rFonts w:ascii="Arial" w:cs="Arial" w:eastAsia="Arial" w:hAnsi="Arial"/>
          <w:sz w:val="14"/>
          <w:szCs w:val="14"/>
          <w:color w:val="05314D"/>
        </w:rPr>
        <w:t>Notes to Condensed Consolidated Financial Statements | Allowance for Loan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0154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5. Allowance for Loan Losses</w:t>
      </w:r>
    </w:p>
    <w:p>
      <w:pPr>
        <w:spacing w:after="0" w:line="80"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We maintain an allowance for loan losses for HFI loans held by Fannie Mae and by consolidated Fannie Mae MBS trusts, excluding loans for which we have elected the fair value option. When calculating our allowance for loan losses, we consider the unpaid principal balance, net of unamortized premiums and discounts, and other cost basis adjustments of HFI loans at the balance sheet date. We record write-offs as a reduction to our allowance for loan losses at the point of foreclosure, completion of a short sale, upon the redesignation of nonperforming and reperforming loans from HFI to HFS or when a loan is determined to be uncollectible.</w:t>
      </w:r>
    </w:p>
    <w:p>
      <w:pPr>
        <w:spacing w:after="0" w:line="63"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The following table displays changes in our allowance for single-family loans, multifamily loans and total allowance for loan losses. The benefit or provision for loan losses excludes provision for accrued interest receivable losses, guaranty loss reserves and credit losses on available-for-sale (“AFS”) debt securities. Cumulatively, these amounts are recognized as “Benefit (provision) for credit losses” in our condensed consolidated statements of operations and comprehensive income.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20" w:type="dxa"/>
            <w:vAlign w:val="bottom"/>
            <w:gridSpan w:val="6"/>
          </w:tcPr>
          <w:p>
            <w:pPr>
              <w:ind w:left="280"/>
              <w:spacing w:after="0"/>
              <w:rPr>
                <w:sz w:val="20"/>
                <w:szCs w:val="20"/>
                <w:color w:val="auto"/>
              </w:rPr>
            </w:pPr>
            <w:r>
              <w:rPr>
                <w:rFonts w:ascii="Arial" w:cs="Arial" w:eastAsia="Arial" w:hAnsi="Arial"/>
                <w:sz w:val="15"/>
                <w:szCs w:val="15"/>
                <w:b w:val="1"/>
                <w:bCs w:val="1"/>
                <w:color w:val="auto"/>
              </w:rPr>
              <w:t>For the Three Months Ended September 30,</w:t>
            </w:r>
          </w:p>
        </w:tc>
        <w:tc>
          <w:tcPr>
            <w:tcW w:w="180" w:type="dxa"/>
            <w:vAlign w:val="bottom"/>
          </w:tcPr>
          <w:p>
            <w:pPr>
              <w:spacing w:after="0"/>
              <w:rPr>
                <w:sz w:val="18"/>
                <w:szCs w:val="18"/>
                <w:color w:val="auto"/>
              </w:rPr>
            </w:pPr>
          </w:p>
        </w:tc>
        <w:tc>
          <w:tcPr>
            <w:tcW w:w="3440" w:type="dxa"/>
            <w:vAlign w:val="bottom"/>
            <w:gridSpan w:val="4"/>
          </w:tcPr>
          <w:p>
            <w:pPr>
              <w:jc w:val="right"/>
              <w:ind w:right="183"/>
              <w:spacing w:after="0"/>
              <w:rPr>
                <w:sz w:val="20"/>
                <w:szCs w:val="20"/>
                <w:color w:val="auto"/>
              </w:rPr>
            </w:pPr>
            <w:r>
              <w:rPr>
                <w:rFonts w:ascii="Arial" w:cs="Arial" w:eastAsia="Arial" w:hAnsi="Arial"/>
                <w:sz w:val="15"/>
                <w:szCs w:val="15"/>
                <w:b w:val="1"/>
                <w:bCs w:val="1"/>
                <w:color w:val="auto"/>
              </w:rPr>
              <w:t>For the Nine Months Ended September 30,</w:t>
            </w:r>
          </w:p>
        </w:tc>
      </w:tr>
      <w:tr>
        <w:trPr>
          <w:trHeight w:val="222"/>
        </w:trPr>
        <w:tc>
          <w:tcPr>
            <w:tcW w:w="3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Borders>
              <w:top w:val="single" w:sz="8" w:color="2C6937"/>
              <w:bottom w:val="single" w:sz="8" w:color="2C6937"/>
            </w:tcBorders>
          </w:tcPr>
          <w:p>
            <w:pPr>
              <w:jc w:val="right"/>
              <w:ind w:right="43"/>
              <w:spacing w:after="0"/>
              <w:rPr>
                <w:sz w:val="20"/>
                <w:szCs w:val="20"/>
                <w:color w:val="auto"/>
              </w:rPr>
            </w:pPr>
            <w:r>
              <w:rPr>
                <w:rFonts w:ascii="Arial" w:cs="Arial" w:eastAsia="Arial" w:hAnsi="Arial"/>
                <w:sz w:val="15"/>
                <w:szCs w:val="15"/>
                <w:b w:val="1"/>
                <w:bCs w:val="1"/>
                <w:color w:val="auto"/>
              </w:rPr>
              <w:t>2024</w:t>
            </w:r>
          </w:p>
        </w:tc>
        <w:tc>
          <w:tcPr>
            <w:tcW w:w="640" w:type="dxa"/>
            <w:vAlign w:val="bottom"/>
            <w:tcBorders>
              <w:top w:val="single" w:sz="8" w:color="2C6937"/>
              <w:bottom w:val="single" w:sz="8" w:color="2C6937"/>
            </w:tcBorders>
          </w:tcPr>
          <w:p>
            <w:pPr>
              <w:spacing w:after="0"/>
              <w:rPr>
                <w:sz w:val="19"/>
                <w:szCs w:val="19"/>
                <w:color w:val="auto"/>
              </w:rPr>
            </w:pPr>
          </w:p>
        </w:tc>
        <w:tc>
          <w:tcPr>
            <w:tcW w:w="100" w:type="dxa"/>
            <w:vAlign w:val="bottom"/>
            <w:tcBorders>
              <w:top w:val="single" w:sz="8" w:color="2C6937"/>
              <w:bottom w:val="single" w:sz="8" w:color="2C6937"/>
            </w:tcBorders>
          </w:tcPr>
          <w:p>
            <w:pPr>
              <w:spacing w:after="0"/>
              <w:rPr>
                <w:sz w:val="19"/>
                <w:szCs w:val="19"/>
                <w:color w:val="auto"/>
              </w:rPr>
            </w:pPr>
          </w:p>
        </w:tc>
        <w:tc>
          <w:tcPr>
            <w:tcW w:w="400" w:type="dxa"/>
            <w:vAlign w:val="bottom"/>
            <w:tcBorders>
              <w:top w:val="single" w:sz="8" w:color="2C6937"/>
              <w:bottom w:val="single" w:sz="8" w:color="2C6937"/>
            </w:tcBorders>
          </w:tcPr>
          <w:p>
            <w:pPr>
              <w:spacing w:after="0"/>
              <w:rPr>
                <w:sz w:val="19"/>
                <w:szCs w:val="19"/>
                <w:color w:val="auto"/>
              </w:rPr>
            </w:pPr>
          </w:p>
        </w:tc>
        <w:tc>
          <w:tcPr>
            <w:tcW w:w="1360" w:type="dxa"/>
            <w:vAlign w:val="bottom"/>
            <w:tcBorders>
              <w:top w:val="single" w:sz="8" w:color="2C6937"/>
              <w:bottom w:val="single" w:sz="8" w:color="2C6937"/>
            </w:tcBorders>
          </w:tcPr>
          <w:p>
            <w:pPr>
              <w:jc w:val="right"/>
              <w:ind w:right="643"/>
              <w:spacing w:after="0"/>
              <w:rPr>
                <w:sz w:val="20"/>
                <w:szCs w:val="20"/>
                <w:color w:val="auto"/>
              </w:rPr>
            </w:pPr>
            <w:r>
              <w:rPr>
                <w:rFonts w:ascii="Arial" w:cs="Arial" w:eastAsia="Arial" w:hAnsi="Arial"/>
                <w:sz w:val="15"/>
                <w:szCs w:val="15"/>
                <w:b w:val="1"/>
                <w:bCs w:val="1"/>
                <w:color w:val="auto"/>
              </w:rPr>
              <w:t>2023</w:t>
            </w:r>
          </w:p>
        </w:tc>
        <w:tc>
          <w:tcPr>
            <w:tcW w:w="80" w:type="dxa"/>
            <w:vAlign w:val="bottom"/>
            <w:tcBorders>
              <w:bottom w:val="single" w:sz="8" w:color="2C6937"/>
            </w:tcBorders>
          </w:tcPr>
          <w:p>
            <w:pPr>
              <w:spacing w:after="0"/>
              <w:rPr>
                <w:sz w:val="19"/>
                <w:szCs w:val="19"/>
                <w:color w:val="auto"/>
              </w:rPr>
            </w:pPr>
          </w:p>
        </w:tc>
        <w:tc>
          <w:tcPr>
            <w:tcW w:w="180" w:type="dxa"/>
            <w:vAlign w:val="bottom"/>
            <w:tcBorders>
              <w:top w:val="single" w:sz="8" w:color="2C6937"/>
              <w:bottom w:val="single" w:sz="8" w:color="2C6937"/>
            </w:tcBorders>
          </w:tcPr>
          <w:p>
            <w:pPr>
              <w:spacing w:after="0"/>
              <w:rPr>
                <w:sz w:val="19"/>
                <w:szCs w:val="19"/>
                <w:color w:val="auto"/>
              </w:rPr>
            </w:pPr>
          </w:p>
        </w:tc>
        <w:tc>
          <w:tcPr>
            <w:tcW w:w="1560" w:type="dxa"/>
            <w:vAlign w:val="bottom"/>
            <w:tcBorders>
              <w:top w:val="single" w:sz="8" w:color="2C6937"/>
              <w:bottom w:val="single" w:sz="8" w:color="2C6937"/>
            </w:tcBorders>
          </w:tcPr>
          <w:p>
            <w:pPr>
              <w:jc w:val="right"/>
              <w:ind w:right="623"/>
              <w:spacing w:after="0"/>
              <w:rPr>
                <w:sz w:val="20"/>
                <w:szCs w:val="20"/>
                <w:color w:val="auto"/>
              </w:rPr>
            </w:pPr>
            <w:r>
              <w:rPr>
                <w:rFonts w:ascii="Arial" w:cs="Arial" w:eastAsia="Arial" w:hAnsi="Arial"/>
                <w:sz w:val="15"/>
                <w:szCs w:val="15"/>
                <w:b w:val="1"/>
                <w:bCs w:val="1"/>
                <w:color w:val="auto"/>
              </w:rPr>
              <w:t>2024</w:t>
            </w:r>
          </w:p>
        </w:tc>
        <w:tc>
          <w:tcPr>
            <w:tcW w:w="100" w:type="dxa"/>
            <w:vAlign w:val="bottom"/>
            <w:tcBorders>
              <w:top w:val="single" w:sz="8" w:color="2C6937"/>
              <w:bottom w:val="single" w:sz="8" w:color="2C6937"/>
            </w:tcBorders>
          </w:tcPr>
          <w:p>
            <w:pPr>
              <w:spacing w:after="0"/>
              <w:rPr>
                <w:sz w:val="19"/>
                <w:szCs w:val="19"/>
                <w:color w:val="auto"/>
              </w:rPr>
            </w:pPr>
          </w:p>
        </w:tc>
        <w:tc>
          <w:tcPr>
            <w:tcW w:w="400" w:type="dxa"/>
            <w:vAlign w:val="bottom"/>
            <w:tcBorders>
              <w:top w:val="single" w:sz="8" w:color="2C6937"/>
              <w:bottom w:val="single" w:sz="8" w:color="2C6937"/>
            </w:tcBorders>
          </w:tcPr>
          <w:p>
            <w:pPr>
              <w:spacing w:after="0"/>
              <w:rPr>
                <w:sz w:val="19"/>
                <w:szCs w:val="19"/>
                <w:color w:val="auto"/>
              </w:rPr>
            </w:pPr>
          </w:p>
        </w:tc>
        <w:tc>
          <w:tcPr>
            <w:tcW w:w="1380" w:type="dxa"/>
            <w:vAlign w:val="bottom"/>
            <w:tcBorders>
              <w:top w:val="single" w:sz="8" w:color="2C6937"/>
              <w:bottom w:val="single" w:sz="8" w:color="2C6937"/>
            </w:tcBorders>
          </w:tcPr>
          <w:p>
            <w:pPr>
              <w:jc w:val="right"/>
              <w:ind w:right="643"/>
              <w:spacing w:after="0"/>
              <w:rPr>
                <w:sz w:val="20"/>
                <w:szCs w:val="20"/>
                <w:color w:val="auto"/>
              </w:rPr>
            </w:pPr>
            <w:r>
              <w:rPr>
                <w:rFonts w:ascii="Arial" w:cs="Arial" w:eastAsia="Arial" w:hAnsi="Arial"/>
                <w:sz w:val="15"/>
                <w:szCs w:val="15"/>
                <w:b w:val="1"/>
                <w:bCs w:val="1"/>
                <w:color w:val="auto"/>
              </w:rPr>
              <w:t>2023</w:t>
            </w:r>
          </w:p>
        </w:tc>
      </w:tr>
      <w:tr>
        <w:trPr>
          <w:trHeight w:val="299"/>
        </w:trPr>
        <w:tc>
          <w:tcPr>
            <w:tcW w:w="3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80" w:type="dxa"/>
            <w:vAlign w:val="bottom"/>
            <w:gridSpan w:val="5"/>
          </w:tcPr>
          <w:p>
            <w:pPr>
              <w:ind w:left="620"/>
              <w:spacing w:after="0"/>
              <w:rPr>
                <w:sz w:val="20"/>
                <w:szCs w:val="20"/>
                <w:color w:val="auto"/>
              </w:rPr>
            </w:pPr>
            <w:r>
              <w:rPr>
                <w:rFonts w:ascii="Arial" w:cs="Arial" w:eastAsia="Arial" w:hAnsi="Arial"/>
                <w:sz w:val="15"/>
                <w:szCs w:val="15"/>
                <w:b w:val="1"/>
                <w:bCs w:val="1"/>
                <w:color w:val="auto"/>
              </w:rPr>
              <w:t>(Dollars in millions)</w:t>
            </w: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01"/>
        </w:trPr>
        <w:tc>
          <w:tcPr>
            <w:tcW w:w="3800" w:type="dxa"/>
            <w:vAlign w:val="bottom"/>
            <w:gridSpan w:val="2"/>
          </w:tcPr>
          <w:p>
            <w:pPr>
              <w:ind w:left="20"/>
              <w:spacing w:after="0"/>
              <w:rPr>
                <w:sz w:val="20"/>
                <w:szCs w:val="20"/>
                <w:color w:val="auto"/>
              </w:rPr>
            </w:pPr>
            <w:r>
              <w:rPr>
                <w:rFonts w:ascii="Arial" w:cs="Arial" w:eastAsia="Arial" w:hAnsi="Arial"/>
                <w:sz w:val="15"/>
                <w:szCs w:val="15"/>
                <w:color w:val="auto"/>
              </w:rPr>
              <w:t>Single-family allowance for loan losses:</w:t>
            </w: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30"/>
        </w:trPr>
        <w:tc>
          <w:tcPr>
            <w:tcW w:w="3800" w:type="dxa"/>
            <w:vAlign w:val="bottom"/>
            <w:gridSpan w:val="2"/>
          </w:tcPr>
          <w:p>
            <w:pPr>
              <w:ind w:left="180"/>
              <w:spacing w:after="0"/>
              <w:rPr>
                <w:sz w:val="20"/>
                <w:szCs w:val="20"/>
                <w:color w:val="auto"/>
              </w:rPr>
            </w:pPr>
            <w:r>
              <w:rPr>
                <w:rFonts w:ascii="Arial" w:cs="Arial" w:eastAsia="Arial" w:hAnsi="Arial"/>
                <w:sz w:val="15"/>
                <w:szCs w:val="15"/>
                <w:color w:val="auto"/>
              </w:rPr>
              <w:t>Beginning balance</w:t>
            </w:r>
          </w:p>
        </w:tc>
        <w:tc>
          <w:tcPr>
            <w:tcW w:w="1240" w:type="dxa"/>
            <w:vAlign w:val="bottom"/>
          </w:tcPr>
          <w:p>
            <w:pPr>
              <w:jc w:val="right"/>
              <w:ind w:right="1063"/>
              <w:spacing w:after="0"/>
              <w:rPr>
                <w:sz w:val="20"/>
                <w:szCs w:val="20"/>
                <w:color w:val="auto"/>
              </w:rPr>
            </w:pPr>
            <w:r>
              <w:rPr>
                <w:rFonts w:ascii="Arial" w:cs="Arial" w:eastAsia="Arial" w:hAnsi="Arial"/>
                <w:sz w:val="15"/>
                <w:szCs w:val="15"/>
                <w:b w:val="1"/>
                <w:bCs w:val="1"/>
                <w:color w:val="auto"/>
                <w:w w:val="95"/>
              </w:rPr>
              <w:t>$</w:t>
            </w:r>
          </w:p>
        </w:tc>
        <w:tc>
          <w:tcPr>
            <w:tcW w:w="640" w:type="dxa"/>
            <w:vAlign w:val="bottom"/>
          </w:tcPr>
          <w:p>
            <w:pPr>
              <w:jc w:val="right"/>
              <w:spacing w:after="0"/>
              <w:rPr>
                <w:sz w:val="20"/>
                <w:szCs w:val="20"/>
                <w:color w:val="auto"/>
              </w:rPr>
            </w:pPr>
            <w:r>
              <w:rPr>
                <w:rFonts w:ascii="Arial" w:cs="Arial" w:eastAsia="Arial" w:hAnsi="Arial"/>
                <w:sz w:val="15"/>
                <w:szCs w:val="15"/>
                <w:b w:val="1"/>
                <w:bCs w:val="1"/>
                <w:color w:val="auto"/>
              </w:rPr>
              <w:t>(5,703)</w:t>
            </w:r>
          </w:p>
        </w:tc>
        <w:tc>
          <w:tcPr>
            <w:tcW w:w="100" w:type="dxa"/>
            <w:vAlign w:val="bottom"/>
          </w:tcPr>
          <w:p>
            <w:pPr>
              <w:spacing w:after="0"/>
              <w:rPr>
                <w:sz w:val="24"/>
                <w:szCs w:val="24"/>
                <w:color w:val="auto"/>
              </w:rPr>
            </w:pP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(7,990)</w:t>
            </w:r>
          </w:p>
        </w:tc>
        <w:tc>
          <w:tcPr>
            <w:tcW w:w="80" w:type="dxa"/>
            <w:vAlign w:val="bottom"/>
          </w:tcPr>
          <w:p>
            <w:pPr>
              <w:spacing w:after="0"/>
              <w:rPr>
                <w:sz w:val="24"/>
                <w:szCs w:val="24"/>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1560" w:type="dxa"/>
            <w:vAlign w:val="bottom"/>
          </w:tcPr>
          <w:p>
            <w:pPr>
              <w:jc w:val="right"/>
              <w:spacing w:after="0"/>
              <w:rPr>
                <w:sz w:val="20"/>
                <w:szCs w:val="20"/>
                <w:color w:val="auto"/>
              </w:rPr>
            </w:pPr>
            <w:r>
              <w:rPr>
                <w:rFonts w:ascii="Arial" w:cs="Arial" w:eastAsia="Arial" w:hAnsi="Arial"/>
                <w:sz w:val="15"/>
                <w:szCs w:val="15"/>
                <w:b w:val="1"/>
                <w:bCs w:val="1"/>
                <w:color w:val="auto"/>
              </w:rPr>
              <w:t>(6,671)</w:t>
            </w:r>
          </w:p>
        </w:tc>
        <w:tc>
          <w:tcPr>
            <w:tcW w:w="100" w:type="dxa"/>
            <w:vAlign w:val="bottom"/>
          </w:tcPr>
          <w:p>
            <w:pPr>
              <w:spacing w:after="0"/>
              <w:rPr>
                <w:sz w:val="24"/>
                <w:szCs w:val="24"/>
                <w:color w:val="auto"/>
              </w:rPr>
            </w:pP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(9,443)</w:t>
            </w:r>
          </w:p>
        </w:tc>
      </w:tr>
      <w:tr>
        <w:trPr>
          <w:trHeight w:val="309"/>
        </w:trPr>
        <w:tc>
          <w:tcPr>
            <w:tcW w:w="3800" w:type="dxa"/>
            <w:vAlign w:val="bottom"/>
            <w:gridSpan w:val="2"/>
          </w:tcPr>
          <w:p>
            <w:pPr>
              <w:ind w:left="320"/>
              <w:spacing w:after="0"/>
              <w:rPr>
                <w:sz w:val="20"/>
                <w:szCs w:val="20"/>
                <w:color w:val="auto"/>
              </w:rPr>
            </w:pPr>
            <w:r>
              <w:rPr>
                <w:rFonts w:ascii="Arial" w:cs="Arial" w:eastAsia="Arial" w:hAnsi="Arial"/>
                <w:sz w:val="15"/>
                <w:szCs w:val="15"/>
                <w:color w:val="auto"/>
              </w:rPr>
              <w:t>Benefit (provision) for loan losses</w:t>
            </w:r>
          </w:p>
        </w:tc>
        <w:tc>
          <w:tcPr>
            <w:tcW w:w="1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5"/>
                <w:szCs w:val="15"/>
                <w:b w:val="1"/>
                <w:bCs w:val="1"/>
                <w:color w:val="auto"/>
              </w:rPr>
              <w:t>409</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jc w:val="right"/>
              <w:ind w:right="3"/>
              <w:spacing w:after="0"/>
              <w:rPr>
                <w:sz w:val="20"/>
                <w:szCs w:val="20"/>
                <w:color w:val="auto"/>
              </w:rPr>
            </w:pPr>
            <w:r>
              <w:rPr>
                <w:rFonts w:ascii="Arial" w:cs="Arial" w:eastAsia="Arial" w:hAnsi="Arial"/>
                <w:sz w:val="15"/>
                <w:szCs w:val="15"/>
                <w:color w:val="auto"/>
              </w:rPr>
              <w:t>718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5"/>
                <w:szCs w:val="15"/>
                <w:b w:val="1"/>
                <w:bCs w:val="1"/>
                <w:color w:val="auto"/>
              </w:rPr>
              <w:t>1,278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2,121</w:t>
            </w:r>
          </w:p>
        </w:tc>
      </w:tr>
      <w:tr>
        <w:trPr>
          <w:trHeight w:val="309"/>
        </w:trPr>
        <w:tc>
          <w:tcPr>
            <w:tcW w:w="3800" w:type="dxa"/>
            <w:vAlign w:val="bottom"/>
            <w:gridSpan w:val="2"/>
          </w:tcPr>
          <w:p>
            <w:pPr>
              <w:ind w:left="320"/>
              <w:spacing w:after="0"/>
              <w:rPr>
                <w:sz w:val="20"/>
                <w:szCs w:val="20"/>
                <w:color w:val="auto"/>
              </w:rPr>
            </w:pPr>
            <w:r>
              <w:rPr>
                <w:rFonts w:ascii="Arial" w:cs="Arial" w:eastAsia="Arial" w:hAnsi="Arial"/>
                <w:sz w:val="15"/>
                <w:szCs w:val="15"/>
                <w:color w:val="auto"/>
              </w:rPr>
              <w:t>Write-offs</w:t>
            </w:r>
          </w:p>
        </w:tc>
        <w:tc>
          <w:tcPr>
            <w:tcW w:w="1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5"/>
                <w:szCs w:val="15"/>
                <w:b w:val="1"/>
                <w:bCs w:val="1"/>
                <w:color w:val="auto"/>
              </w:rPr>
              <w:t>231</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jc w:val="right"/>
              <w:ind w:right="3"/>
              <w:spacing w:after="0"/>
              <w:rPr>
                <w:sz w:val="20"/>
                <w:szCs w:val="20"/>
                <w:color w:val="auto"/>
              </w:rPr>
            </w:pPr>
            <w:r>
              <w:rPr>
                <w:rFonts w:ascii="Arial" w:cs="Arial" w:eastAsia="Arial" w:hAnsi="Arial"/>
                <w:sz w:val="15"/>
                <w:szCs w:val="15"/>
                <w:color w:val="auto"/>
              </w:rPr>
              <w:t>699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5"/>
                <w:szCs w:val="15"/>
                <w:b w:val="1"/>
                <w:bCs w:val="1"/>
                <w:color w:val="auto"/>
              </w:rPr>
              <w:t>487</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794</w:t>
            </w:r>
          </w:p>
        </w:tc>
      </w:tr>
      <w:tr>
        <w:trPr>
          <w:trHeight w:val="309"/>
        </w:trPr>
        <w:tc>
          <w:tcPr>
            <w:tcW w:w="3800" w:type="dxa"/>
            <w:vAlign w:val="bottom"/>
            <w:gridSpan w:val="2"/>
          </w:tcPr>
          <w:p>
            <w:pPr>
              <w:ind w:left="320"/>
              <w:spacing w:after="0"/>
              <w:rPr>
                <w:sz w:val="20"/>
                <w:szCs w:val="20"/>
                <w:color w:val="auto"/>
              </w:rPr>
            </w:pPr>
            <w:r>
              <w:rPr>
                <w:rFonts w:ascii="Arial" w:cs="Arial" w:eastAsia="Arial" w:hAnsi="Arial"/>
                <w:sz w:val="15"/>
                <w:szCs w:val="15"/>
                <w:color w:val="auto"/>
              </w:rPr>
              <w:t>Recoveries</w:t>
            </w:r>
          </w:p>
        </w:tc>
        <w:tc>
          <w:tcPr>
            <w:tcW w:w="1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5"/>
                <w:szCs w:val="15"/>
                <w:b w:val="1"/>
                <w:bCs w:val="1"/>
                <w:color w:val="auto"/>
              </w:rPr>
              <w:t>(23)</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(48)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5"/>
                <w:szCs w:val="15"/>
                <w:b w:val="1"/>
                <w:bCs w:val="1"/>
                <w:color w:val="auto"/>
              </w:rPr>
              <w:t>(180)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(151)</w:t>
            </w:r>
          </w:p>
        </w:tc>
      </w:tr>
      <w:tr>
        <w:trPr>
          <w:trHeight w:val="303"/>
        </w:trPr>
        <w:tc>
          <w:tcPr>
            <w:tcW w:w="372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Other</w:t>
            </w:r>
          </w:p>
        </w:tc>
        <w:tc>
          <w:tcPr>
            <w:tcW w:w="80" w:type="dxa"/>
            <w:vAlign w:val="bottom"/>
          </w:tcPr>
          <w:p>
            <w:pPr>
              <w:spacing w:after="0"/>
              <w:rPr>
                <w:sz w:val="24"/>
                <w:szCs w:val="24"/>
                <w:color w:val="auto"/>
              </w:rPr>
            </w:pPr>
          </w:p>
        </w:tc>
        <w:tc>
          <w:tcPr>
            <w:tcW w:w="1240" w:type="dxa"/>
            <w:vAlign w:val="bottom"/>
            <w:tcBorders>
              <w:bottom w:val="single" w:sz="8" w:color="2C6937"/>
            </w:tcBorders>
          </w:tcPr>
          <w:p>
            <w:pPr>
              <w:spacing w:after="0"/>
              <w:rPr>
                <w:sz w:val="24"/>
                <w:szCs w:val="24"/>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4"/>
                <w:szCs w:val="24"/>
                <w:color w:val="auto"/>
              </w:rPr>
            </w:pPr>
          </w:p>
        </w:tc>
        <w:tc>
          <w:tcPr>
            <w:tcW w:w="400" w:type="dxa"/>
            <w:vAlign w:val="bottom"/>
            <w:tcBorders>
              <w:bottom w:val="single" w:sz="8" w:color="2C6937"/>
            </w:tcBorders>
          </w:tcPr>
          <w:p>
            <w:pPr>
              <w:spacing w:after="0"/>
              <w:rPr>
                <w:sz w:val="24"/>
                <w:szCs w:val="24"/>
                <w:color w:val="auto"/>
              </w:rPr>
            </w:pPr>
          </w:p>
        </w:tc>
        <w:tc>
          <w:tcPr>
            <w:tcW w:w="13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(19)</w:t>
            </w:r>
          </w:p>
        </w:tc>
        <w:tc>
          <w:tcPr>
            <w:tcW w:w="8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15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4"/>
                <w:szCs w:val="24"/>
                <w:color w:val="auto"/>
              </w:rPr>
            </w:pPr>
          </w:p>
        </w:tc>
        <w:tc>
          <w:tcPr>
            <w:tcW w:w="400" w:type="dxa"/>
            <w:vAlign w:val="bottom"/>
            <w:tcBorders>
              <w:bottom w:val="single" w:sz="8" w:color="2C6937"/>
            </w:tcBorders>
          </w:tcPr>
          <w:p>
            <w:pPr>
              <w:spacing w:after="0"/>
              <w:rPr>
                <w:sz w:val="24"/>
                <w:szCs w:val="24"/>
                <w:color w:val="auto"/>
              </w:rPr>
            </w:pPr>
          </w:p>
        </w:tc>
        <w:tc>
          <w:tcPr>
            <w:tcW w:w="13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39</w:t>
            </w:r>
          </w:p>
        </w:tc>
      </w:tr>
      <w:tr>
        <w:trPr>
          <w:trHeight w:val="295"/>
        </w:trPr>
        <w:tc>
          <w:tcPr>
            <w:tcW w:w="372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Ending balance</w:t>
            </w:r>
          </w:p>
        </w:tc>
        <w:tc>
          <w:tcPr>
            <w:tcW w:w="80" w:type="dxa"/>
            <w:vAlign w:val="bottom"/>
          </w:tcPr>
          <w:p>
            <w:pPr>
              <w:spacing w:after="0"/>
              <w:rPr>
                <w:sz w:val="24"/>
                <w:szCs w:val="24"/>
                <w:color w:val="auto"/>
              </w:rPr>
            </w:pPr>
          </w:p>
        </w:tc>
        <w:tc>
          <w:tcPr>
            <w:tcW w:w="1240" w:type="dxa"/>
            <w:vAlign w:val="bottom"/>
            <w:tcBorders>
              <w:bottom w:val="single" w:sz="8" w:color="2C6937"/>
            </w:tcBorders>
          </w:tcPr>
          <w:p>
            <w:pPr>
              <w:jc w:val="right"/>
              <w:ind w:right="1063"/>
              <w:spacing w:after="0"/>
              <w:rPr>
                <w:sz w:val="20"/>
                <w:szCs w:val="20"/>
                <w:color w:val="auto"/>
              </w:rPr>
            </w:pPr>
            <w:r>
              <w:rPr>
                <w:rFonts w:ascii="Arial" w:cs="Arial" w:eastAsia="Arial" w:hAnsi="Arial"/>
                <w:sz w:val="15"/>
                <w:szCs w:val="15"/>
                <w:b w:val="1"/>
                <w:bCs w:val="1"/>
                <w:color w:val="auto"/>
                <w:w w:val="95"/>
              </w:rPr>
              <w:t>$</w:t>
            </w: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(5,086)</w:t>
            </w:r>
          </w:p>
        </w:tc>
        <w:tc>
          <w:tcPr>
            <w:tcW w:w="100" w:type="dxa"/>
            <w:vAlign w:val="bottom"/>
          </w:tcPr>
          <w:p>
            <w:pPr>
              <w:spacing w:after="0"/>
              <w:rPr>
                <w:sz w:val="24"/>
                <w:szCs w:val="24"/>
                <w:color w:val="auto"/>
              </w:rPr>
            </w:pPr>
          </w:p>
        </w:tc>
        <w:tc>
          <w:tcPr>
            <w:tcW w:w="400" w:type="dxa"/>
            <w:vAlign w:val="bottom"/>
            <w:tcBorders>
              <w:bottom w:val="single" w:sz="8" w:color="2C6937"/>
            </w:tcBorders>
          </w:tcPr>
          <w:p>
            <w:pPr>
              <w:jc w:val="right"/>
              <w:ind w:right="223"/>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(6,640)</w:t>
            </w:r>
          </w:p>
        </w:tc>
        <w:tc>
          <w:tcPr>
            <w:tcW w:w="80" w:type="dxa"/>
            <w:vAlign w:val="bottom"/>
          </w:tcPr>
          <w:p>
            <w:pPr>
              <w:spacing w:after="0"/>
              <w:rPr>
                <w:sz w:val="24"/>
                <w:szCs w:val="24"/>
                <w:color w:val="auto"/>
              </w:rPr>
            </w:pPr>
          </w:p>
        </w:tc>
        <w:tc>
          <w:tcPr>
            <w:tcW w:w="1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15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(5,086)</w:t>
            </w:r>
          </w:p>
        </w:tc>
        <w:tc>
          <w:tcPr>
            <w:tcW w:w="100" w:type="dxa"/>
            <w:vAlign w:val="bottom"/>
          </w:tcPr>
          <w:p>
            <w:pPr>
              <w:spacing w:after="0"/>
              <w:rPr>
                <w:sz w:val="24"/>
                <w:szCs w:val="24"/>
                <w:color w:val="auto"/>
              </w:rPr>
            </w:pPr>
          </w:p>
        </w:tc>
        <w:tc>
          <w:tcPr>
            <w:tcW w:w="400" w:type="dxa"/>
            <w:vAlign w:val="bottom"/>
            <w:tcBorders>
              <w:bottom w:val="single" w:sz="8" w:color="2C6937"/>
            </w:tcBorders>
          </w:tcPr>
          <w:p>
            <w:pPr>
              <w:jc w:val="right"/>
              <w:ind w:right="22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(6,640)</w:t>
            </w:r>
          </w:p>
        </w:tc>
      </w:tr>
      <w:tr>
        <w:trPr>
          <w:trHeight w:val="26"/>
        </w:trPr>
        <w:tc>
          <w:tcPr>
            <w:tcW w:w="372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2C6937"/>
            </w:tcBorders>
          </w:tcPr>
          <w:p>
            <w:pPr>
              <w:spacing w:after="0"/>
              <w:rPr>
                <w:sz w:val="2"/>
                <w:szCs w:val="2"/>
                <w:color w:val="auto"/>
              </w:rPr>
            </w:pPr>
          </w:p>
        </w:tc>
        <w:tc>
          <w:tcPr>
            <w:tcW w:w="6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2C6937"/>
            </w:tcBorders>
          </w:tcPr>
          <w:p>
            <w:pPr>
              <w:spacing w:after="0"/>
              <w:rPr>
                <w:sz w:val="2"/>
                <w:szCs w:val="2"/>
                <w:color w:val="auto"/>
              </w:rPr>
            </w:pPr>
          </w:p>
        </w:tc>
        <w:tc>
          <w:tcPr>
            <w:tcW w:w="136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2C6937"/>
            </w:tcBorders>
          </w:tcPr>
          <w:p>
            <w:pPr>
              <w:spacing w:after="0"/>
              <w:rPr>
                <w:sz w:val="2"/>
                <w:szCs w:val="2"/>
                <w:color w:val="auto"/>
              </w:rPr>
            </w:pPr>
          </w:p>
        </w:tc>
        <w:tc>
          <w:tcPr>
            <w:tcW w:w="15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2C6937"/>
            </w:tcBorders>
          </w:tcPr>
          <w:p>
            <w:pPr>
              <w:spacing w:after="0"/>
              <w:rPr>
                <w:sz w:val="2"/>
                <w:szCs w:val="2"/>
                <w:color w:val="auto"/>
              </w:rPr>
            </w:pPr>
          </w:p>
        </w:tc>
        <w:tc>
          <w:tcPr>
            <w:tcW w:w="1380" w:type="dxa"/>
            <w:vAlign w:val="bottom"/>
            <w:tcBorders>
              <w:bottom w:val="single" w:sz="8" w:color="2C6937"/>
            </w:tcBorders>
          </w:tcPr>
          <w:p>
            <w:pPr>
              <w:spacing w:after="0"/>
              <w:rPr>
                <w:sz w:val="2"/>
                <w:szCs w:val="2"/>
                <w:color w:val="auto"/>
              </w:rPr>
            </w:pPr>
          </w:p>
        </w:tc>
      </w:tr>
      <w:tr>
        <w:trPr>
          <w:trHeight w:val="288"/>
        </w:trPr>
        <w:tc>
          <w:tcPr>
            <w:tcW w:w="3800" w:type="dxa"/>
            <w:vAlign w:val="bottom"/>
            <w:gridSpan w:val="2"/>
          </w:tcPr>
          <w:p>
            <w:pPr>
              <w:ind w:left="20"/>
              <w:spacing w:after="0"/>
              <w:rPr>
                <w:sz w:val="20"/>
                <w:szCs w:val="20"/>
                <w:color w:val="auto"/>
              </w:rPr>
            </w:pPr>
            <w:r>
              <w:rPr>
                <w:rFonts w:ascii="Arial" w:cs="Arial" w:eastAsia="Arial" w:hAnsi="Arial"/>
                <w:sz w:val="15"/>
                <w:szCs w:val="15"/>
                <w:color w:val="auto"/>
              </w:rPr>
              <w:t>Multifamily allowance for loan losses:</w:t>
            </w: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30"/>
        </w:trPr>
        <w:tc>
          <w:tcPr>
            <w:tcW w:w="3800" w:type="dxa"/>
            <w:vAlign w:val="bottom"/>
            <w:gridSpan w:val="2"/>
          </w:tcPr>
          <w:p>
            <w:pPr>
              <w:ind w:left="180"/>
              <w:spacing w:after="0"/>
              <w:rPr>
                <w:sz w:val="20"/>
                <w:szCs w:val="20"/>
                <w:color w:val="auto"/>
              </w:rPr>
            </w:pPr>
            <w:r>
              <w:rPr>
                <w:rFonts w:ascii="Arial" w:cs="Arial" w:eastAsia="Arial" w:hAnsi="Arial"/>
                <w:sz w:val="15"/>
                <w:szCs w:val="15"/>
                <w:color w:val="auto"/>
              </w:rPr>
              <w:t>Beginning balance</w:t>
            </w:r>
          </w:p>
        </w:tc>
        <w:tc>
          <w:tcPr>
            <w:tcW w:w="1240" w:type="dxa"/>
            <w:vAlign w:val="bottom"/>
          </w:tcPr>
          <w:p>
            <w:pPr>
              <w:jc w:val="right"/>
              <w:ind w:right="1063"/>
              <w:spacing w:after="0"/>
              <w:rPr>
                <w:sz w:val="20"/>
                <w:szCs w:val="20"/>
                <w:color w:val="auto"/>
              </w:rPr>
            </w:pPr>
            <w:r>
              <w:rPr>
                <w:rFonts w:ascii="Arial" w:cs="Arial" w:eastAsia="Arial" w:hAnsi="Arial"/>
                <w:sz w:val="15"/>
                <w:szCs w:val="15"/>
                <w:b w:val="1"/>
                <w:bCs w:val="1"/>
                <w:color w:val="auto"/>
                <w:w w:val="95"/>
              </w:rPr>
              <w:t>$</w:t>
            </w:r>
          </w:p>
        </w:tc>
        <w:tc>
          <w:tcPr>
            <w:tcW w:w="640" w:type="dxa"/>
            <w:vAlign w:val="bottom"/>
          </w:tcPr>
          <w:p>
            <w:pPr>
              <w:jc w:val="right"/>
              <w:spacing w:after="0"/>
              <w:rPr>
                <w:sz w:val="20"/>
                <w:szCs w:val="20"/>
                <w:color w:val="auto"/>
              </w:rPr>
            </w:pPr>
            <w:r>
              <w:rPr>
                <w:rFonts w:ascii="Arial" w:cs="Arial" w:eastAsia="Arial" w:hAnsi="Arial"/>
                <w:sz w:val="15"/>
                <w:szCs w:val="15"/>
                <w:b w:val="1"/>
                <w:bCs w:val="1"/>
                <w:color w:val="auto"/>
              </w:rPr>
              <w:t>(2,323)</w:t>
            </w:r>
          </w:p>
        </w:tc>
        <w:tc>
          <w:tcPr>
            <w:tcW w:w="100" w:type="dxa"/>
            <w:vAlign w:val="bottom"/>
          </w:tcPr>
          <w:p>
            <w:pPr>
              <w:spacing w:after="0"/>
              <w:rPr>
                <w:sz w:val="24"/>
                <w:szCs w:val="24"/>
                <w:color w:val="auto"/>
              </w:rPr>
            </w:pP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(1,992)</w:t>
            </w:r>
          </w:p>
        </w:tc>
        <w:tc>
          <w:tcPr>
            <w:tcW w:w="80" w:type="dxa"/>
            <w:vAlign w:val="bottom"/>
          </w:tcPr>
          <w:p>
            <w:pPr>
              <w:spacing w:after="0"/>
              <w:rPr>
                <w:sz w:val="24"/>
                <w:szCs w:val="24"/>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1560" w:type="dxa"/>
            <w:vAlign w:val="bottom"/>
          </w:tcPr>
          <w:p>
            <w:pPr>
              <w:jc w:val="right"/>
              <w:spacing w:after="0"/>
              <w:rPr>
                <w:sz w:val="20"/>
                <w:szCs w:val="20"/>
                <w:color w:val="auto"/>
              </w:rPr>
            </w:pPr>
            <w:r>
              <w:rPr>
                <w:rFonts w:ascii="Arial" w:cs="Arial" w:eastAsia="Arial" w:hAnsi="Arial"/>
                <w:sz w:val="15"/>
                <w:szCs w:val="15"/>
                <w:b w:val="1"/>
                <w:bCs w:val="1"/>
                <w:color w:val="auto"/>
              </w:rPr>
              <w:t>(2,059)</w:t>
            </w:r>
          </w:p>
        </w:tc>
        <w:tc>
          <w:tcPr>
            <w:tcW w:w="100" w:type="dxa"/>
            <w:vAlign w:val="bottom"/>
          </w:tcPr>
          <w:p>
            <w:pPr>
              <w:spacing w:after="0"/>
              <w:rPr>
                <w:sz w:val="24"/>
                <w:szCs w:val="24"/>
                <w:color w:val="auto"/>
              </w:rPr>
            </w:pP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(1,904)</w:t>
            </w:r>
          </w:p>
        </w:tc>
      </w:tr>
      <w:tr>
        <w:trPr>
          <w:trHeight w:val="309"/>
        </w:trPr>
        <w:tc>
          <w:tcPr>
            <w:tcW w:w="3800" w:type="dxa"/>
            <w:vAlign w:val="bottom"/>
            <w:gridSpan w:val="2"/>
          </w:tcPr>
          <w:p>
            <w:pPr>
              <w:ind w:left="320"/>
              <w:spacing w:after="0"/>
              <w:rPr>
                <w:sz w:val="20"/>
                <w:szCs w:val="20"/>
                <w:color w:val="auto"/>
              </w:rPr>
            </w:pPr>
            <w:r>
              <w:rPr>
                <w:rFonts w:ascii="Arial" w:cs="Arial" w:eastAsia="Arial" w:hAnsi="Arial"/>
                <w:sz w:val="15"/>
                <w:szCs w:val="15"/>
                <w:color w:val="auto"/>
              </w:rPr>
              <w:t>Benefit (provision) for loan losses</w:t>
            </w:r>
          </w:p>
        </w:tc>
        <w:tc>
          <w:tcPr>
            <w:tcW w:w="1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5"/>
                <w:szCs w:val="15"/>
                <w:b w:val="1"/>
                <w:bCs w:val="1"/>
                <w:color w:val="auto"/>
              </w:rPr>
              <w:t>(423)</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(83)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5"/>
                <w:szCs w:val="15"/>
                <w:b w:val="1"/>
                <w:bCs w:val="1"/>
                <w:color w:val="auto"/>
              </w:rPr>
              <w:t>(825)</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(415)</w:t>
            </w:r>
          </w:p>
        </w:tc>
      </w:tr>
      <w:tr>
        <w:trPr>
          <w:trHeight w:val="309"/>
        </w:trPr>
        <w:tc>
          <w:tcPr>
            <w:tcW w:w="3800" w:type="dxa"/>
            <w:vAlign w:val="bottom"/>
            <w:gridSpan w:val="2"/>
          </w:tcPr>
          <w:p>
            <w:pPr>
              <w:ind w:left="320"/>
              <w:spacing w:after="0"/>
              <w:rPr>
                <w:sz w:val="20"/>
                <w:szCs w:val="20"/>
                <w:color w:val="auto"/>
              </w:rPr>
            </w:pPr>
            <w:r>
              <w:rPr>
                <w:rFonts w:ascii="Arial" w:cs="Arial" w:eastAsia="Arial" w:hAnsi="Arial"/>
                <w:sz w:val="15"/>
                <w:szCs w:val="15"/>
                <w:color w:val="auto"/>
              </w:rPr>
              <w:t>Write-offs</w:t>
            </w:r>
          </w:p>
        </w:tc>
        <w:tc>
          <w:tcPr>
            <w:tcW w:w="1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5"/>
                <w:szCs w:val="15"/>
                <w:b w:val="1"/>
                <w:bCs w:val="1"/>
                <w:color w:val="auto"/>
              </w:rPr>
              <w:t>224</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jc w:val="right"/>
              <w:ind w:right="3"/>
              <w:spacing w:after="0"/>
              <w:rPr>
                <w:sz w:val="20"/>
                <w:szCs w:val="20"/>
                <w:color w:val="auto"/>
              </w:rPr>
            </w:pPr>
            <w:r>
              <w:rPr>
                <w:rFonts w:ascii="Arial" w:cs="Arial" w:eastAsia="Arial" w:hAnsi="Arial"/>
                <w:sz w:val="15"/>
                <w:szCs w:val="15"/>
                <w:color w:val="auto"/>
              </w:rPr>
              <w:t>52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5"/>
                <w:szCs w:val="15"/>
                <w:b w:val="1"/>
                <w:bCs w:val="1"/>
                <w:color w:val="auto"/>
              </w:rPr>
              <w:t>395</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306</w:t>
            </w:r>
          </w:p>
        </w:tc>
      </w:tr>
      <w:tr>
        <w:trPr>
          <w:trHeight w:val="303"/>
        </w:trPr>
        <w:tc>
          <w:tcPr>
            <w:tcW w:w="372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Recoveries</w:t>
            </w:r>
          </w:p>
        </w:tc>
        <w:tc>
          <w:tcPr>
            <w:tcW w:w="80" w:type="dxa"/>
            <w:vAlign w:val="bottom"/>
          </w:tcPr>
          <w:p>
            <w:pPr>
              <w:spacing w:after="0"/>
              <w:rPr>
                <w:sz w:val="24"/>
                <w:szCs w:val="24"/>
                <w:color w:val="auto"/>
              </w:rPr>
            </w:pPr>
          </w:p>
        </w:tc>
        <w:tc>
          <w:tcPr>
            <w:tcW w:w="1240" w:type="dxa"/>
            <w:vAlign w:val="bottom"/>
            <w:tcBorders>
              <w:bottom w:val="single" w:sz="8" w:color="2C6937"/>
            </w:tcBorders>
          </w:tcPr>
          <w:p>
            <w:pPr>
              <w:spacing w:after="0"/>
              <w:rPr>
                <w:sz w:val="24"/>
                <w:szCs w:val="24"/>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(48)</w:t>
            </w:r>
          </w:p>
        </w:tc>
        <w:tc>
          <w:tcPr>
            <w:tcW w:w="100" w:type="dxa"/>
            <w:vAlign w:val="bottom"/>
          </w:tcPr>
          <w:p>
            <w:pPr>
              <w:spacing w:after="0"/>
              <w:rPr>
                <w:sz w:val="24"/>
                <w:szCs w:val="24"/>
                <w:color w:val="auto"/>
              </w:rPr>
            </w:pPr>
          </w:p>
        </w:tc>
        <w:tc>
          <w:tcPr>
            <w:tcW w:w="400" w:type="dxa"/>
            <w:vAlign w:val="bottom"/>
            <w:tcBorders>
              <w:bottom w:val="single" w:sz="8" w:color="2C6937"/>
            </w:tcBorders>
          </w:tcPr>
          <w:p>
            <w:pPr>
              <w:spacing w:after="0"/>
              <w:rPr>
                <w:sz w:val="24"/>
                <w:szCs w:val="24"/>
                <w:color w:val="auto"/>
              </w:rPr>
            </w:pPr>
          </w:p>
        </w:tc>
        <w:tc>
          <w:tcPr>
            <w:tcW w:w="13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w:t>
            </w:r>
          </w:p>
        </w:tc>
        <w:tc>
          <w:tcPr>
            <w:tcW w:w="8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15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(81)</w:t>
            </w:r>
          </w:p>
        </w:tc>
        <w:tc>
          <w:tcPr>
            <w:tcW w:w="100" w:type="dxa"/>
            <w:vAlign w:val="bottom"/>
          </w:tcPr>
          <w:p>
            <w:pPr>
              <w:spacing w:after="0"/>
              <w:rPr>
                <w:sz w:val="24"/>
                <w:szCs w:val="24"/>
                <w:color w:val="auto"/>
              </w:rPr>
            </w:pPr>
          </w:p>
        </w:tc>
        <w:tc>
          <w:tcPr>
            <w:tcW w:w="400" w:type="dxa"/>
            <w:vAlign w:val="bottom"/>
            <w:tcBorders>
              <w:bottom w:val="single" w:sz="8" w:color="2C6937"/>
            </w:tcBorders>
          </w:tcPr>
          <w:p>
            <w:pPr>
              <w:spacing w:after="0"/>
              <w:rPr>
                <w:sz w:val="24"/>
                <w:szCs w:val="24"/>
                <w:color w:val="auto"/>
              </w:rPr>
            </w:pPr>
          </w:p>
        </w:tc>
        <w:tc>
          <w:tcPr>
            <w:tcW w:w="13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(18)</w:t>
            </w:r>
          </w:p>
        </w:tc>
      </w:tr>
      <w:tr>
        <w:trPr>
          <w:trHeight w:val="302"/>
        </w:trPr>
        <w:tc>
          <w:tcPr>
            <w:tcW w:w="372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Ending balance</w:t>
            </w:r>
          </w:p>
        </w:tc>
        <w:tc>
          <w:tcPr>
            <w:tcW w:w="80" w:type="dxa"/>
            <w:vAlign w:val="bottom"/>
          </w:tcPr>
          <w:p>
            <w:pPr>
              <w:spacing w:after="0"/>
              <w:rPr>
                <w:sz w:val="24"/>
                <w:szCs w:val="24"/>
                <w:color w:val="auto"/>
              </w:rPr>
            </w:pPr>
          </w:p>
        </w:tc>
        <w:tc>
          <w:tcPr>
            <w:tcW w:w="1240" w:type="dxa"/>
            <w:vAlign w:val="bottom"/>
            <w:tcBorders>
              <w:bottom w:val="single" w:sz="8" w:color="2C6937"/>
            </w:tcBorders>
          </w:tcPr>
          <w:p>
            <w:pPr>
              <w:jc w:val="right"/>
              <w:ind w:right="1063"/>
              <w:spacing w:after="0"/>
              <w:rPr>
                <w:sz w:val="20"/>
                <w:szCs w:val="20"/>
                <w:color w:val="auto"/>
              </w:rPr>
            </w:pPr>
            <w:r>
              <w:rPr>
                <w:rFonts w:ascii="Arial" w:cs="Arial" w:eastAsia="Arial" w:hAnsi="Arial"/>
                <w:sz w:val="15"/>
                <w:szCs w:val="15"/>
                <w:b w:val="1"/>
                <w:bCs w:val="1"/>
                <w:color w:val="auto"/>
                <w:w w:val="95"/>
              </w:rPr>
              <w:t>$</w:t>
            </w: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(2,570)</w:t>
            </w:r>
          </w:p>
        </w:tc>
        <w:tc>
          <w:tcPr>
            <w:tcW w:w="100" w:type="dxa"/>
            <w:vAlign w:val="bottom"/>
          </w:tcPr>
          <w:p>
            <w:pPr>
              <w:spacing w:after="0"/>
              <w:rPr>
                <w:sz w:val="24"/>
                <w:szCs w:val="24"/>
                <w:color w:val="auto"/>
              </w:rPr>
            </w:pPr>
          </w:p>
        </w:tc>
        <w:tc>
          <w:tcPr>
            <w:tcW w:w="400" w:type="dxa"/>
            <w:vAlign w:val="bottom"/>
            <w:tcBorders>
              <w:bottom w:val="single" w:sz="8" w:color="2C6937"/>
            </w:tcBorders>
          </w:tcPr>
          <w:p>
            <w:pPr>
              <w:jc w:val="right"/>
              <w:ind w:right="223"/>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(2,031)</w:t>
            </w:r>
          </w:p>
        </w:tc>
        <w:tc>
          <w:tcPr>
            <w:tcW w:w="80" w:type="dxa"/>
            <w:vAlign w:val="bottom"/>
          </w:tcPr>
          <w:p>
            <w:pPr>
              <w:spacing w:after="0"/>
              <w:rPr>
                <w:sz w:val="24"/>
                <w:szCs w:val="24"/>
                <w:color w:val="auto"/>
              </w:rPr>
            </w:pPr>
          </w:p>
        </w:tc>
        <w:tc>
          <w:tcPr>
            <w:tcW w:w="1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15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(2,570)</w:t>
            </w:r>
          </w:p>
        </w:tc>
        <w:tc>
          <w:tcPr>
            <w:tcW w:w="100" w:type="dxa"/>
            <w:vAlign w:val="bottom"/>
          </w:tcPr>
          <w:p>
            <w:pPr>
              <w:spacing w:after="0"/>
              <w:rPr>
                <w:sz w:val="24"/>
                <w:szCs w:val="24"/>
                <w:color w:val="auto"/>
              </w:rPr>
            </w:pPr>
          </w:p>
        </w:tc>
        <w:tc>
          <w:tcPr>
            <w:tcW w:w="400" w:type="dxa"/>
            <w:vAlign w:val="bottom"/>
            <w:tcBorders>
              <w:bottom w:val="single" w:sz="8" w:color="2C6937"/>
            </w:tcBorders>
          </w:tcPr>
          <w:p>
            <w:pPr>
              <w:jc w:val="right"/>
              <w:ind w:right="22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(2,031)</w:t>
            </w:r>
          </w:p>
        </w:tc>
      </w:tr>
      <w:tr>
        <w:trPr>
          <w:trHeight w:val="20"/>
        </w:trPr>
        <w:tc>
          <w:tcPr>
            <w:tcW w:w="372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2C6937"/>
            </w:tcBorders>
          </w:tcPr>
          <w:p>
            <w:pPr>
              <w:spacing w:after="0" w:line="20" w:lineRule="exact"/>
              <w:rPr>
                <w:sz w:val="1"/>
                <w:szCs w:val="1"/>
                <w:color w:val="auto"/>
              </w:rPr>
            </w:pPr>
          </w:p>
        </w:tc>
        <w:tc>
          <w:tcPr>
            <w:tcW w:w="6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2C6937"/>
            </w:tcBorders>
          </w:tcPr>
          <w:p>
            <w:pPr>
              <w:spacing w:after="0" w:line="20" w:lineRule="exact"/>
              <w:rPr>
                <w:sz w:val="1"/>
                <w:szCs w:val="1"/>
                <w:color w:val="auto"/>
              </w:rPr>
            </w:pPr>
          </w:p>
        </w:tc>
        <w:tc>
          <w:tcPr>
            <w:tcW w:w="136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15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2C6937"/>
            </w:tcBorders>
          </w:tcPr>
          <w:p>
            <w:pPr>
              <w:spacing w:after="0" w:line="20" w:lineRule="exact"/>
              <w:rPr>
                <w:sz w:val="1"/>
                <w:szCs w:val="1"/>
                <w:color w:val="auto"/>
              </w:rPr>
            </w:pPr>
          </w:p>
        </w:tc>
        <w:tc>
          <w:tcPr>
            <w:tcW w:w="1380" w:type="dxa"/>
            <w:vAlign w:val="bottom"/>
            <w:tcBorders>
              <w:bottom w:val="single" w:sz="8" w:color="2C6937"/>
            </w:tcBorders>
          </w:tcPr>
          <w:p>
            <w:pPr>
              <w:spacing w:after="0" w:line="20" w:lineRule="exact"/>
              <w:rPr>
                <w:sz w:val="1"/>
                <w:szCs w:val="1"/>
                <w:color w:val="auto"/>
              </w:rPr>
            </w:pPr>
          </w:p>
        </w:tc>
      </w:tr>
      <w:tr>
        <w:trPr>
          <w:trHeight w:val="287"/>
        </w:trPr>
        <w:tc>
          <w:tcPr>
            <w:tcW w:w="3800" w:type="dxa"/>
            <w:vAlign w:val="bottom"/>
            <w:gridSpan w:val="2"/>
          </w:tcPr>
          <w:p>
            <w:pPr>
              <w:ind w:left="20"/>
              <w:spacing w:after="0"/>
              <w:rPr>
                <w:sz w:val="20"/>
                <w:szCs w:val="20"/>
                <w:color w:val="auto"/>
              </w:rPr>
            </w:pPr>
            <w:r>
              <w:rPr>
                <w:rFonts w:ascii="Arial" w:cs="Arial" w:eastAsia="Arial" w:hAnsi="Arial"/>
                <w:sz w:val="15"/>
                <w:szCs w:val="15"/>
                <w:color w:val="auto"/>
              </w:rPr>
              <w:t>Total allowance for loan losses:</w:t>
            </w: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30"/>
        </w:trPr>
        <w:tc>
          <w:tcPr>
            <w:tcW w:w="3800" w:type="dxa"/>
            <w:vAlign w:val="bottom"/>
            <w:gridSpan w:val="2"/>
          </w:tcPr>
          <w:p>
            <w:pPr>
              <w:ind w:left="180"/>
              <w:spacing w:after="0"/>
              <w:rPr>
                <w:sz w:val="20"/>
                <w:szCs w:val="20"/>
                <w:color w:val="auto"/>
              </w:rPr>
            </w:pPr>
            <w:r>
              <w:rPr>
                <w:rFonts w:ascii="Arial" w:cs="Arial" w:eastAsia="Arial" w:hAnsi="Arial"/>
                <w:sz w:val="15"/>
                <w:szCs w:val="15"/>
                <w:color w:val="auto"/>
              </w:rPr>
              <w:t>Beginning balance</w:t>
            </w:r>
          </w:p>
        </w:tc>
        <w:tc>
          <w:tcPr>
            <w:tcW w:w="1240" w:type="dxa"/>
            <w:vAlign w:val="bottom"/>
          </w:tcPr>
          <w:p>
            <w:pPr>
              <w:jc w:val="right"/>
              <w:ind w:right="1063"/>
              <w:spacing w:after="0"/>
              <w:rPr>
                <w:sz w:val="20"/>
                <w:szCs w:val="20"/>
                <w:color w:val="auto"/>
              </w:rPr>
            </w:pPr>
            <w:r>
              <w:rPr>
                <w:rFonts w:ascii="Arial" w:cs="Arial" w:eastAsia="Arial" w:hAnsi="Arial"/>
                <w:sz w:val="15"/>
                <w:szCs w:val="15"/>
                <w:b w:val="1"/>
                <w:bCs w:val="1"/>
                <w:color w:val="auto"/>
                <w:w w:val="95"/>
              </w:rPr>
              <w:t>$</w:t>
            </w:r>
          </w:p>
        </w:tc>
        <w:tc>
          <w:tcPr>
            <w:tcW w:w="640" w:type="dxa"/>
            <w:vAlign w:val="bottom"/>
          </w:tcPr>
          <w:p>
            <w:pPr>
              <w:jc w:val="right"/>
              <w:spacing w:after="0"/>
              <w:rPr>
                <w:sz w:val="20"/>
                <w:szCs w:val="20"/>
                <w:color w:val="auto"/>
              </w:rPr>
            </w:pPr>
            <w:r>
              <w:rPr>
                <w:rFonts w:ascii="Arial" w:cs="Arial" w:eastAsia="Arial" w:hAnsi="Arial"/>
                <w:sz w:val="15"/>
                <w:szCs w:val="15"/>
                <w:b w:val="1"/>
                <w:bCs w:val="1"/>
                <w:color w:val="auto"/>
              </w:rPr>
              <w:t>(8,026)</w:t>
            </w:r>
          </w:p>
        </w:tc>
        <w:tc>
          <w:tcPr>
            <w:tcW w:w="100" w:type="dxa"/>
            <w:vAlign w:val="bottom"/>
          </w:tcPr>
          <w:p>
            <w:pPr>
              <w:spacing w:after="0"/>
              <w:rPr>
                <w:sz w:val="24"/>
                <w:szCs w:val="24"/>
                <w:color w:val="auto"/>
              </w:rPr>
            </w:pP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(9,982)</w:t>
            </w:r>
          </w:p>
        </w:tc>
        <w:tc>
          <w:tcPr>
            <w:tcW w:w="80" w:type="dxa"/>
            <w:vAlign w:val="bottom"/>
          </w:tcPr>
          <w:p>
            <w:pPr>
              <w:spacing w:after="0"/>
              <w:rPr>
                <w:sz w:val="24"/>
                <w:szCs w:val="24"/>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1560" w:type="dxa"/>
            <w:vAlign w:val="bottom"/>
          </w:tcPr>
          <w:p>
            <w:pPr>
              <w:jc w:val="right"/>
              <w:spacing w:after="0"/>
              <w:rPr>
                <w:sz w:val="20"/>
                <w:szCs w:val="20"/>
                <w:color w:val="auto"/>
              </w:rPr>
            </w:pPr>
            <w:r>
              <w:rPr>
                <w:rFonts w:ascii="Arial" w:cs="Arial" w:eastAsia="Arial" w:hAnsi="Arial"/>
                <w:sz w:val="15"/>
                <w:szCs w:val="15"/>
                <w:b w:val="1"/>
                <w:bCs w:val="1"/>
                <w:color w:val="auto"/>
              </w:rPr>
              <w:t>(8,730)</w:t>
            </w:r>
          </w:p>
        </w:tc>
        <w:tc>
          <w:tcPr>
            <w:tcW w:w="100" w:type="dxa"/>
            <w:vAlign w:val="bottom"/>
          </w:tcPr>
          <w:p>
            <w:pPr>
              <w:spacing w:after="0"/>
              <w:rPr>
                <w:sz w:val="24"/>
                <w:szCs w:val="24"/>
                <w:color w:val="auto"/>
              </w:rPr>
            </w:pP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(11,347)</w:t>
            </w:r>
          </w:p>
        </w:tc>
      </w:tr>
      <w:tr>
        <w:trPr>
          <w:trHeight w:val="309"/>
        </w:trPr>
        <w:tc>
          <w:tcPr>
            <w:tcW w:w="3800" w:type="dxa"/>
            <w:vAlign w:val="bottom"/>
            <w:gridSpan w:val="2"/>
          </w:tcPr>
          <w:p>
            <w:pPr>
              <w:ind w:left="320"/>
              <w:spacing w:after="0"/>
              <w:rPr>
                <w:sz w:val="20"/>
                <w:szCs w:val="20"/>
                <w:color w:val="auto"/>
              </w:rPr>
            </w:pPr>
            <w:r>
              <w:rPr>
                <w:rFonts w:ascii="Arial" w:cs="Arial" w:eastAsia="Arial" w:hAnsi="Arial"/>
                <w:sz w:val="15"/>
                <w:szCs w:val="15"/>
                <w:color w:val="auto"/>
              </w:rPr>
              <w:t>Benefit (provision) for loan losses</w:t>
            </w:r>
          </w:p>
        </w:tc>
        <w:tc>
          <w:tcPr>
            <w:tcW w:w="1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5"/>
                <w:szCs w:val="15"/>
                <w:b w:val="1"/>
                <w:bCs w:val="1"/>
                <w:color w:val="auto"/>
              </w:rPr>
              <w:t>(14)</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jc w:val="right"/>
              <w:ind w:right="3"/>
              <w:spacing w:after="0"/>
              <w:rPr>
                <w:sz w:val="20"/>
                <w:szCs w:val="20"/>
                <w:color w:val="auto"/>
              </w:rPr>
            </w:pPr>
            <w:r>
              <w:rPr>
                <w:rFonts w:ascii="Arial" w:cs="Arial" w:eastAsia="Arial" w:hAnsi="Arial"/>
                <w:sz w:val="15"/>
                <w:szCs w:val="15"/>
                <w:color w:val="auto"/>
              </w:rPr>
              <w:t>635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5"/>
                <w:szCs w:val="15"/>
                <w:b w:val="1"/>
                <w:bCs w:val="1"/>
                <w:color w:val="auto"/>
              </w:rPr>
              <w:t>453</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1,706</w:t>
            </w:r>
          </w:p>
        </w:tc>
      </w:tr>
      <w:tr>
        <w:trPr>
          <w:trHeight w:val="309"/>
        </w:trPr>
        <w:tc>
          <w:tcPr>
            <w:tcW w:w="3800" w:type="dxa"/>
            <w:vAlign w:val="bottom"/>
            <w:gridSpan w:val="2"/>
          </w:tcPr>
          <w:p>
            <w:pPr>
              <w:ind w:left="320"/>
              <w:spacing w:after="0"/>
              <w:rPr>
                <w:sz w:val="20"/>
                <w:szCs w:val="20"/>
                <w:color w:val="auto"/>
              </w:rPr>
            </w:pPr>
            <w:r>
              <w:rPr>
                <w:rFonts w:ascii="Arial" w:cs="Arial" w:eastAsia="Arial" w:hAnsi="Arial"/>
                <w:sz w:val="15"/>
                <w:szCs w:val="15"/>
                <w:color w:val="auto"/>
              </w:rPr>
              <w:t>Write-offs</w:t>
            </w:r>
          </w:p>
        </w:tc>
        <w:tc>
          <w:tcPr>
            <w:tcW w:w="1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5"/>
                <w:szCs w:val="15"/>
                <w:b w:val="1"/>
                <w:bCs w:val="1"/>
                <w:color w:val="auto"/>
              </w:rPr>
              <w:t>455</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jc w:val="right"/>
              <w:ind w:right="3"/>
              <w:spacing w:after="0"/>
              <w:rPr>
                <w:sz w:val="20"/>
                <w:szCs w:val="20"/>
                <w:color w:val="auto"/>
              </w:rPr>
            </w:pPr>
            <w:r>
              <w:rPr>
                <w:rFonts w:ascii="Arial" w:cs="Arial" w:eastAsia="Arial" w:hAnsi="Arial"/>
                <w:sz w:val="15"/>
                <w:szCs w:val="15"/>
                <w:color w:val="auto"/>
              </w:rPr>
              <w:t>751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5"/>
                <w:szCs w:val="15"/>
                <w:b w:val="1"/>
                <w:bCs w:val="1"/>
                <w:color w:val="auto"/>
              </w:rPr>
              <w:t>882</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1,100</w:t>
            </w:r>
          </w:p>
        </w:tc>
      </w:tr>
      <w:tr>
        <w:trPr>
          <w:trHeight w:val="309"/>
        </w:trPr>
        <w:tc>
          <w:tcPr>
            <w:tcW w:w="3800" w:type="dxa"/>
            <w:vAlign w:val="bottom"/>
            <w:gridSpan w:val="2"/>
          </w:tcPr>
          <w:p>
            <w:pPr>
              <w:ind w:left="320"/>
              <w:spacing w:after="0"/>
              <w:rPr>
                <w:sz w:val="20"/>
                <w:szCs w:val="20"/>
                <w:color w:val="auto"/>
              </w:rPr>
            </w:pPr>
            <w:r>
              <w:rPr>
                <w:rFonts w:ascii="Arial" w:cs="Arial" w:eastAsia="Arial" w:hAnsi="Arial"/>
                <w:sz w:val="15"/>
                <w:szCs w:val="15"/>
                <w:color w:val="auto"/>
              </w:rPr>
              <w:t>Recoveries</w:t>
            </w:r>
          </w:p>
        </w:tc>
        <w:tc>
          <w:tcPr>
            <w:tcW w:w="1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5"/>
                <w:szCs w:val="15"/>
                <w:b w:val="1"/>
                <w:bCs w:val="1"/>
                <w:color w:val="auto"/>
              </w:rPr>
              <w:t>(71)</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(56)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5"/>
                <w:szCs w:val="15"/>
                <w:b w:val="1"/>
                <w:bCs w:val="1"/>
                <w:color w:val="auto"/>
              </w:rPr>
              <w:t>(261)</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(169)</w:t>
            </w:r>
          </w:p>
        </w:tc>
      </w:tr>
      <w:tr>
        <w:trPr>
          <w:trHeight w:val="303"/>
        </w:trPr>
        <w:tc>
          <w:tcPr>
            <w:tcW w:w="372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Other</w:t>
            </w:r>
          </w:p>
        </w:tc>
        <w:tc>
          <w:tcPr>
            <w:tcW w:w="80" w:type="dxa"/>
            <w:vAlign w:val="bottom"/>
          </w:tcPr>
          <w:p>
            <w:pPr>
              <w:spacing w:after="0"/>
              <w:rPr>
                <w:sz w:val="24"/>
                <w:szCs w:val="24"/>
                <w:color w:val="auto"/>
              </w:rPr>
            </w:pPr>
          </w:p>
        </w:tc>
        <w:tc>
          <w:tcPr>
            <w:tcW w:w="1240" w:type="dxa"/>
            <w:vAlign w:val="bottom"/>
            <w:tcBorders>
              <w:bottom w:val="single" w:sz="8" w:color="2C6937"/>
            </w:tcBorders>
          </w:tcPr>
          <w:p>
            <w:pPr>
              <w:spacing w:after="0"/>
              <w:rPr>
                <w:sz w:val="24"/>
                <w:szCs w:val="24"/>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4"/>
                <w:szCs w:val="24"/>
                <w:color w:val="auto"/>
              </w:rPr>
            </w:pPr>
          </w:p>
        </w:tc>
        <w:tc>
          <w:tcPr>
            <w:tcW w:w="400" w:type="dxa"/>
            <w:vAlign w:val="bottom"/>
            <w:tcBorders>
              <w:bottom w:val="single" w:sz="8" w:color="2C6937"/>
            </w:tcBorders>
          </w:tcPr>
          <w:p>
            <w:pPr>
              <w:spacing w:after="0"/>
              <w:rPr>
                <w:sz w:val="24"/>
                <w:szCs w:val="24"/>
                <w:color w:val="auto"/>
              </w:rPr>
            </w:pPr>
          </w:p>
        </w:tc>
        <w:tc>
          <w:tcPr>
            <w:tcW w:w="13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(19)</w:t>
            </w:r>
          </w:p>
        </w:tc>
        <w:tc>
          <w:tcPr>
            <w:tcW w:w="8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15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4"/>
                <w:szCs w:val="24"/>
                <w:color w:val="auto"/>
              </w:rPr>
            </w:pPr>
          </w:p>
        </w:tc>
        <w:tc>
          <w:tcPr>
            <w:tcW w:w="400" w:type="dxa"/>
            <w:vAlign w:val="bottom"/>
            <w:tcBorders>
              <w:bottom w:val="single" w:sz="8" w:color="2C6937"/>
            </w:tcBorders>
          </w:tcPr>
          <w:p>
            <w:pPr>
              <w:spacing w:after="0"/>
              <w:rPr>
                <w:sz w:val="24"/>
                <w:szCs w:val="24"/>
                <w:color w:val="auto"/>
              </w:rPr>
            </w:pPr>
          </w:p>
        </w:tc>
        <w:tc>
          <w:tcPr>
            <w:tcW w:w="13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39</w:t>
            </w:r>
          </w:p>
        </w:tc>
      </w:tr>
      <w:tr>
        <w:trPr>
          <w:trHeight w:val="302"/>
        </w:trPr>
        <w:tc>
          <w:tcPr>
            <w:tcW w:w="3800" w:type="dxa"/>
            <w:vAlign w:val="bottom"/>
            <w:gridSpan w:val="2"/>
          </w:tcPr>
          <w:p>
            <w:pPr>
              <w:ind w:left="180"/>
              <w:spacing w:after="0"/>
              <w:rPr>
                <w:sz w:val="20"/>
                <w:szCs w:val="20"/>
                <w:color w:val="auto"/>
              </w:rPr>
            </w:pPr>
            <w:r>
              <w:rPr>
                <w:rFonts w:ascii="Arial" w:cs="Arial" w:eastAsia="Arial" w:hAnsi="Arial"/>
                <w:sz w:val="15"/>
                <w:szCs w:val="15"/>
                <w:color w:val="auto"/>
              </w:rPr>
              <w:t>Ending balance</w:t>
            </w:r>
          </w:p>
        </w:tc>
        <w:tc>
          <w:tcPr>
            <w:tcW w:w="1240" w:type="dxa"/>
            <w:vAlign w:val="bottom"/>
          </w:tcPr>
          <w:p>
            <w:pPr>
              <w:jc w:val="right"/>
              <w:ind w:right="1063"/>
              <w:spacing w:after="0"/>
              <w:rPr>
                <w:sz w:val="20"/>
                <w:szCs w:val="20"/>
                <w:color w:val="auto"/>
              </w:rPr>
            </w:pPr>
            <w:r>
              <w:rPr>
                <w:rFonts w:ascii="Arial" w:cs="Arial" w:eastAsia="Arial" w:hAnsi="Arial"/>
                <w:sz w:val="15"/>
                <w:szCs w:val="15"/>
                <w:b w:val="1"/>
                <w:bCs w:val="1"/>
                <w:color w:val="auto"/>
                <w:w w:val="95"/>
              </w:rPr>
              <w:t>$</w:t>
            </w:r>
          </w:p>
        </w:tc>
        <w:tc>
          <w:tcPr>
            <w:tcW w:w="640" w:type="dxa"/>
            <w:vAlign w:val="bottom"/>
          </w:tcPr>
          <w:p>
            <w:pPr>
              <w:jc w:val="right"/>
              <w:spacing w:after="0"/>
              <w:rPr>
                <w:sz w:val="20"/>
                <w:szCs w:val="20"/>
                <w:color w:val="auto"/>
              </w:rPr>
            </w:pPr>
            <w:r>
              <w:rPr>
                <w:rFonts w:ascii="Arial" w:cs="Arial" w:eastAsia="Arial" w:hAnsi="Arial"/>
                <w:sz w:val="15"/>
                <w:szCs w:val="15"/>
                <w:b w:val="1"/>
                <w:bCs w:val="1"/>
                <w:color w:val="auto"/>
              </w:rPr>
              <w:t>(7,656)</w:t>
            </w:r>
          </w:p>
        </w:tc>
        <w:tc>
          <w:tcPr>
            <w:tcW w:w="100" w:type="dxa"/>
            <w:vAlign w:val="bottom"/>
          </w:tcPr>
          <w:p>
            <w:pPr>
              <w:spacing w:after="0"/>
              <w:rPr>
                <w:sz w:val="24"/>
                <w:szCs w:val="24"/>
                <w:color w:val="auto"/>
              </w:rPr>
            </w:pP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(8,671)</w:t>
            </w:r>
          </w:p>
        </w:tc>
        <w:tc>
          <w:tcPr>
            <w:tcW w:w="80" w:type="dxa"/>
            <w:vAlign w:val="bottom"/>
          </w:tcPr>
          <w:p>
            <w:pPr>
              <w:spacing w:after="0"/>
              <w:rPr>
                <w:sz w:val="24"/>
                <w:szCs w:val="24"/>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1560" w:type="dxa"/>
            <w:vAlign w:val="bottom"/>
          </w:tcPr>
          <w:p>
            <w:pPr>
              <w:jc w:val="right"/>
              <w:spacing w:after="0"/>
              <w:rPr>
                <w:sz w:val="20"/>
                <w:szCs w:val="20"/>
                <w:color w:val="auto"/>
              </w:rPr>
            </w:pPr>
            <w:r>
              <w:rPr>
                <w:rFonts w:ascii="Arial" w:cs="Arial" w:eastAsia="Arial" w:hAnsi="Arial"/>
                <w:sz w:val="15"/>
                <w:szCs w:val="15"/>
                <w:b w:val="1"/>
                <w:bCs w:val="1"/>
                <w:color w:val="auto"/>
              </w:rPr>
              <w:t>(7,656)</w:t>
            </w:r>
          </w:p>
        </w:tc>
        <w:tc>
          <w:tcPr>
            <w:tcW w:w="100" w:type="dxa"/>
            <w:vAlign w:val="bottom"/>
          </w:tcPr>
          <w:p>
            <w:pPr>
              <w:spacing w:after="0"/>
              <w:rPr>
                <w:sz w:val="24"/>
                <w:szCs w:val="24"/>
                <w:color w:val="auto"/>
              </w:rPr>
            </w:pP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(8,671)</w:t>
            </w:r>
          </w:p>
        </w:tc>
      </w:tr>
      <w:tr>
        <w:trPr>
          <w:trHeight w:val="20"/>
        </w:trPr>
        <w:tc>
          <w:tcPr>
            <w:tcW w:w="37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top w:val="single" w:sz="8" w:color="2C6937"/>
              <w:bottom w:val="single" w:sz="8" w:color="2C6937"/>
            </w:tcBorders>
          </w:tcPr>
          <w:p>
            <w:pPr>
              <w:spacing w:after="0" w:line="20" w:lineRule="exact"/>
              <w:rPr>
                <w:sz w:val="1"/>
                <w:szCs w:val="1"/>
                <w:color w:val="auto"/>
              </w:rPr>
            </w:pPr>
          </w:p>
        </w:tc>
        <w:tc>
          <w:tcPr>
            <w:tcW w:w="6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2C6937"/>
              <w:bottom w:val="single" w:sz="8" w:color="2C6937"/>
            </w:tcBorders>
          </w:tcPr>
          <w:p>
            <w:pPr>
              <w:spacing w:after="0" w:line="20" w:lineRule="exact"/>
              <w:rPr>
                <w:sz w:val="1"/>
                <w:szCs w:val="1"/>
                <w:color w:val="auto"/>
              </w:rPr>
            </w:pPr>
          </w:p>
        </w:tc>
        <w:tc>
          <w:tcPr>
            <w:tcW w:w="136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15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2C6937"/>
              <w:bottom w:val="single" w:sz="8" w:color="2C6937"/>
            </w:tcBorders>
          </w:tcPr>
          <w:p>
            <w:pPr>
              <w:spacing w:after="0" w:line="20" w:lineRule="exact"/>
              <w:rPr>
                <w:sz w:val="1"/>
                <w:szCs w:val="1"/>
                <w:color w:val="auto"/>
              </w:rPr>
            </w:pPr>
          </w:p>
        </w:tc>
        <w:tc>
          <w:tcPr>
            <w:tcW w:w="1380" w:type="dxa"/>
            <w:vAlign w:val="bottom"/>
            <w:tcBorders>
              <w:top w:val="single" w:sz="8" w:color="2C6937"/>
              <w:bottom w:val="single" w:sz="8" w:color="2C6937"/>
            </w:tcBorders>
          </w:tcPr>
          <w:p>
            <w:pPr>
              <w:spacing w:after="0" w:line="20" w:lineRule="exact"/>
              <w:rPr>
                <w:sz w:val="1"/>
                <w:szCs w:val="1"/>
                <w:color w:val="auto"/>
              </w:rPr>
            </w:pPr>
          </w:p>
        </w:tc>
      </w:tr>
    </w:tbl>
    <w:p>
      <w:pPr>
        <w:spacing w:after="0" w:line="146"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Our benefit (provision) for loan losses can vary substantially from period to period based on a number of factors, such as changes in actual and forecasted home prices or property valuations, fluctuations in actual and forecasted interest rates, borrower payment behavior, events such as natural disasters or pandemics, the type, volume and effectiveness of our loss mitigation activities, including forbearances and loan modifications, the volume of foreclosures completed, and the volume and pricing of loans redesignated from HFI to HFS. Our benefit or provision can also be impacted by updates to the models, assumptions, and data used in determining our allowance for loan losses.</w:t>
      </w:r>
    </w:p>
    <w:p>
      <w:pPr>
        <w:spacing w:after="0" w:line="38" w:lineRule="exact"/>
        <w:rPr>
          <w:sz w:val="20"/>
          <w:szCs w:val="20"/>
          <w:color w:val="auto"/>
        </w:rPr>
      </w:pPr>
    </w:p>
    <w:p>
      <w:pPr>
        <w:ind w:right="440"/>
        <w:spacing w:after="0" w:line="293" w:lineRule="auto"/>
        <w:rPr>
          <w:sz w:val="20"/>
          <w:szCs w:val="20"/>
          <w:color w:val="auto"/>
        </w:rPr>
      </w:pPr>
      <w:r>
        <w:rPr>
          <w:rFonts w:ascii="Arial" w:cs="Arial" w:eastAsia="Arial" w:hAnsi="Arial"/>
          <w:sz w:val="16"/>
          <w:szCs w:val="16"/>
          <w:color w:val="auto"/>
        </w:rPr>
        <w:t>Our single-family benefit for loan losses for the three months ended September 30, 2024 was primarily driven by a benefit from forecasted home price growth and a benefit from actual and projected interest rates, partially offset by a provision from changes in loan activity, as described below.</w:t>
      </w:r>
    </w:p>
    <w:p>
      <w:pPr>
        <w:spacing w:after="0" w:line="15" w:lineRule="exact"/>
        <w:rPr>
          <w:sz w:val="20"/>
          <w:szCs w:val="20"/>
          <w:color w:val="auto"/>
        </w:rPr>
      </w:pPr>
    </w:p>
    <w:p>
      <w:pPr>
        <w:jc w:val="both"/>
        <w:ind w:left="620" w:right="380" w:hanging="307"/>
        <w:spacing w:after="0" w:line="281" w:lineRule="auto"/>
        <w:tabs>
          <w:tab w:leader="none" w:pos="609" w:val="left"/>
        </w:tabs>
        <w:numPr>
          <w:ilvl w:val="0"/>
          <w:numId w:val="81"/>
        </w:numPr>
        <w:rPr>
          <w:rFonts w:ascii="Arial" w:cs="Arial" w:eastAsia="Arial" w:hAnsi="Arial"/>
          <w:sz w:val="15"/>
          <w:szCs w:val="15"/>
          <w:color w:val="auto"/>
        </w:rPr>
      </w:pPr>
      <w:r>
        <w:rPr>
          <w:rFonts w:ascii="Arial" w:cs="Arial" w:eastAsia="Arial" w:hAnsi="Arial"/>
          <w:sz w:val="16"/>
          <w:szCs w:val="16"/>
          <w:color w:val="auto"/>
        </w:rPr>
        <w:t>Benefit from forecasted home price growth. During the three months ended September 30, 2024, our forecast of future home prices improved. Higher home prices decrease the likelihood that loans will default and reduce the amount of losses on loans that do default, which impacts our estimate of losses and ultimately reduces our loss reserves and provision for loan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348615</wp:posOffset>
            </wp:positionV>
            <wp:extent cx="680593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640"/>
        <w:spacing w:after="0"/>
        <w:rPr>
          <w:sz w:val="20"/>
          <w:szCs w:val="20"/>
          <w:color w:val="auto"/>
        </w:rPr>
      </w:pPr>
      <w:r>
        <w:rPr>
          <w:rFonts w:ascii="Arial" w:cs="Arial" w:eastAsia="Arial" w:hAnsi="Arial"/>
          <w:sz w:val="13"/>
          <w:szCs w:val="13"/>
          <w:color w:val="05314D"/>
        </w:rPr>
        <w:t>Fannie Mae (In conservatorship)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167005</wp:posOffset>
            </wp:positionV>
            <wp:extent cx="7164070" cy="4191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91" w:name="page92"/>
    <w:bookmarkEnd w:id="91"/>
    <w:p>
      <w:pPr>
        <w:ind w:left="5860"/>
        <w:spacing w:after="0"/>
        <w:rPr>
          <w:sz w:val="20"/>
          <w:szCs w:val="20"/>
          <w:color w:val="auto"/>
        </w:rPr>
      </w:pPr>
      <w:r>
        <w:rPr>
          <w:rFonts w:ascii="Arial" w:cs="Arial" w:eastAsia="Arial" w:hAnsi="Arial"/>
          <w:sz w:val="14"/>
          <w:szCs w:val="14"/>
          <w:color w:val="05314D"/>
        </w:rPr>
        <w:t>Notes to Condensed Consolidated Financial Statements | Allowance for Loan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0154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20" w:right="480" w:hanging="307"/>
        <w:spacing w:after="0" w:line="293" w:lineRule="auto"/>
        <w:tabs>
          <w:tab w:leader="none" w:pos="612" w:val="left"/>
        </w:tabs>
        <w:numPr>
          <w:ilvl w:val="0"/>
          <w:numId w:val="82"/>
        </w:numPr>
        <w:rPr>
          <w:rFonts w:ascii="Arial" w:cs="Arial" w:eastAsia="Arial" w:hAnsi="Arial"/>
          <w:sz w:val="16"/>
          <w:szCs w:val="16"/>
          <w:color w:val="auto"/>
        </w:rPr>
      </w:pPr>
      <w:r>
        <w:rPr>
          <w:rFonts w:ascii="Arial" w:cs="Arial" w:eastAsia="Arial" w:hAnsi="Arial"/>
          <w:sz w:val="16"/>
          <w:szCs w:val="16"/>
          <w:color w:val="auto"/>
        </w:rPr>
        <w:t>Benefit from actual and projected interest rates</w:t>
      </w:r>
      <w:r>
        <w:rPr>
          <w:rFonts w:ascii="Arial" w:cs="Arial" w:eastAsia="Arial" w:hAnsi="Arial"/>
          <w:sz w:val="16"/>
          <w:szCs w:val="16"/>
          <w:i w:val="1"/>
          <w:iCs w:val="1"/>
          <w:color w:val="auto"/>
        </w:rPr>
        <w:t>.</w:t>
      </w:r>
      <w:r>
        <w:rPr>
          <w:rFonts w:ascii="Arial" w:cs="Arial" w:eastAsia="Arial" w:hAnsi="Arial"/>
          <w:sz w:val="16"/>
          <w:szCs w:val="16"/>
          <w:color w:val="auto"/>
        </w:rPr>
        <w:t xml:space="preserve"> Actual and projected interest rates decreased in the third quarter of 2024, which reduced the probability of default, resulting in a benefit for loan losses.</w:t>
      </w:r>
    </w:p>
    <w:p>
      <w:pPr>
        <w:spacing w:after="0" w:line="14" w:lineRule="exact"/>
        <w:rPr>
          <w:rFonts w:ascii="Arial" w:cs="Arial" w:eastAsia="Arial" w:hAnsi="Arial"/>
          <w:sz w:val="16"/>
          <w:szCs w:val="16"/>
          <w:color w:val="auto"/>
        </w:rPr>
      </w:pPr>
    </w:p>
    <w:p>
      <w:pPr>
        <w:ind w:left="620" w:right="100" w:hanging="307"/>
        <w:spacing w:after="0" w:line="271" w:lineRule="auto"/>
        <w:tabs>
          <w:tab w:leader="none" w:pos="609" w:val="left"/>
        </w:tabs>
        <w:numPr>
          <w:ilvl w:val="0"/>
          <w:numId w:val="82"/>
        </w:numPr>
        <w:rPr>
          <w:rFonts w:ascii="Arial" w:cs="Arial" w:eastAsia="Arial" w:hAnsi="Arial"/>
          <w:sz w:val="15"/>
          <w:szCs w:val="15"/>
          <w:color w:val="auto"/>
        </w:rPr>
      </w:pPr>
      <w:r>
        <w:rPr>
          <w:rFonts w:ascii="Arial" w:cs="Arial" w:eastAsia="Arial" w:hAnsi="Arial"/>
          <w:sz w:val="16"/>
          <w:szCs w:val="16"/>
          <w:color w:val="auto"/>
        </w:rPr>
        <w:t>Provision from changes in loan activity. This includes provision on newly acquired loans and was primarily driven by the credit risk profile of our single-family acquisitions for the three months ended September 30, 2024, which primarily consisted of purchase loans. Purchase loans generally have higher origination LTV ratios than refinance loans; therefore, purchase loans have a higher estimated risk of default and loss severity in the allowance than refinance loans and a correspondingly higher loan loss provision at the time of acquisition.</w:t>
      </w:r>
    </w:p>
    <w:p>
      <w:pPr>
        <w:spacing w:after="0" w:line="3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Our single-family benefit for loan losses for the nine months ended September 30, 2024 was primarily driven by a benefit from actual and forecasted home price growth, partially offset by a provision from changes in loan activity.</w:t>
      </w:r>
    </w:p>
    <w:p>
      <w:pPr>
        <w:spacing w:after="0" w:line="28" w:lineRule="exact"/>
        <w:rPr>
          <w:sz w:val="20"/>
          <w:szCs w:val="20"/>
          <w:color w:val="auto"/>
        </w:rPr>
      </w:pPr>
    </w:p>
    <w:p>
      <w:pPr>
        <w:ind w:left="620" w:right="200" w:hanging="307"/>
        <w:spacing w:after="0" w:line="293" w:lineRule="auto"/>
        <w:tabs>
          <w:tab w:leader="none" w:pos="612" w:val="left"/>
        </w:tabs>
        <w:numPr>
          <w:ilvl w:val="0"/>
          <w:numId w:val="83"/>
        </w:numPr>
        <w:rPr>
          <w:rFonts w:ascii="Arial" w:cs="Arial" w:eastAsia="Arial" w:hAnsi="Arial"/>
          <w:sz w:val="16"/>
          <w:szCs w:val="16"/>
          <w:color w:val="auto"/>
        </w:rPr>
      </w:pPr>
      <w:r>
        <w:rPr>
          <w:rFonts w:ascii="Arial" w:cs="Arial" w:eastAsia="Arial" w:hAnsi="Arial"/>
          <w:sz w:val="16"/>
          <w:szCs w:val="16"/>
          <w:color w:val="auto"/>
        </w:rPr>
        <w:t>Benefit from actual and forecasted home price growth</w:t>
      </w:r>
      <w:r>
        <w:rPr>
          <w:rFonts w:ascii="Arial" w:cs="Arial" w:eastAsia="Arial" w:hAnsi="Arial"/>
          <w:sz w:val="16"/>
          <w:szCs w:val="16"/>
          <w:i w:val="1"/>
          <w:iCs w:val="1"/>
          <w:color w:val="auto"/>
        </w:rPr>
        <w:t>.</w:t>
      </w:r>
      <w:r>
        <w:rPr>
          <w:rFonts w:ascii="Arial" w:cs="Arial" w:eastAsia="Arial" w:hAnsi="Arial"/>
          <w:sz w:val="16"/>
          <w:szCs w:val="16"/>
          <w:color w:val="auto"/>
        </w:rPr>
        <w:t xml:space="preserve"> During the nine months ended September 30, 2024 actual home prices appreciated more than originally projected and our forecast of future home prices also improved.</w:t>
      </w:r>
    </w:p>
    <w:p>
      <w:pPr>
        <w:spacing w:after="0" w:line="14" w:lineRule="exact"/>
        <w:rPr>
          <w:rFonts w:ascii="Arial" w:cs="Arial" w:eastAsia="Arial" w:hAnsi="Arial"/>
          <w:sz w:val="16"/>
          <w:szCs w:val="16"/>
          <w:color w:val="auto"/>
        </w:rPr>
      </w:pPr>
    </w:p>
    <w:p>
      <w:pPr>
        <w:ind w:left="620" w:right="320" w:hanging="307"/>
        <w:spacing w:after="0" w:line="293" w:lineRule="auto"/>
        <w:tabs>
          <w:tab w:leader="none" w:pos="609" w:val="left"/>
        </w:tabs>
        <w:numPr>
          <w:ilvl w:val="0"/>
          <w:numId w:val="83"/>
        </w:numPr>
        <w:rPr>
          <w:rFonts w:ascii="Arial" w:cs="Arial" w:eastAsia="Arial" w:hAnsi="Arial"/>
          <w:sz w:val="15"/>
          <w:szCs w:val="15"/>
          <w:color w:val="auto"/>
        </w:rPr>
      </w:pPr>
      <w:r>
        <w:rPr>
          <w:rFonts w:ascii="Arial" w:cs="Arial" w:eastAsia="Arial" w:hAnsi="Arial"/>
          <w:sz w:val="16"/>
          <w:szCs w:val="16"/>
          <w:color w:val="auto"/>
        </w:rPr>
        <w:t>Provision from changes in loan activity. This includes provision on newly acquired loans and was primarily driven by the credit risk profile of our single-family acquisitions for the nine months ended September 30, 2024, which primarily consisted of purchase loans.</w:t>
      </w:r>
    </w:p>
    <w:p>
      <w:pPr>
        <w:spacing w:after="0" w:line="15" w:lineRule="exact"/>
        <w:rPr>
          <w:sz w:val="20"/>
          <w:szCs w:val="20"/>
          <w:color w:val="auto"/>
        </w:rPr>
      </w:pPr>
    </w:p>
    <w:p>
      <w:pPr>
        <w:ind w:right="300"/>
        <w:spacing w:after="0" w:line="281" w:lineRule="auto"/>
        <w:rPr>
          <w:sz w:val="20"/>
          <w:szCs w:val="20"/>
          <w:color w:val="auto"/>
        </w:rPr>
      </w:pPr>
      <w:r>
        <w:rPr>
          <w:rFonts w:ascii="Arial" w:cs="Arial" w:eastAsia="Arial" w:hAnsi="Arial"/>
          <w:sz w:val="16"/>
          <w:szCs w:val="16"/>
          <w:color w:val="auto"/>
        </w:rPr>
        <w:t>Our single-family benefit for loan losses for the three and nine months ended September 30, 2023 was primarily driven by a benefit from actual and forecasted home price growth, partially offset by a provision relating to the redesignation of loans from HFI to HFS and a provision from changes in loan activity, as described below:</w:t>
      </w:r>
    </w:p>
    <w:p>
      <w:pPr>
        <w:spacing w:after="0" w:line="24" w:lineRule="exact"/>
        <w:rPr>
          <w:sz w:val="20"/>
          <w:szCs w:val="20"/>
          <w:color w:val="auto"/>
        </w:rPr>
      </w:pPr>
    </w:p>
    <w:p>
      <w:pPr>
        <w:ind w:left="620" w:right="180" w:hanging="307"/>
        <w:spacing w:after="0" w:line="293" w:lineRule="auto"/>
        <w:tabs>
          <w:tab w:leader="none" w:pos="609" w:val="left"/>
        </w:tabs>
        <w:numPr>
          <w:ilvl w:val="0"/>
          <w:numId w:val="84"/>
        </w:numPr>
        <w:rPr>
          <w:rFonts w:ascii="Arial" w:cs="Arial" w:eastAsia="Arial" w:hAnsi="Arial"/>
          <w:sz w:val="15"/>
          <w:szCs w:val="15"/>
          <w:color w:val="auto"/>
        </w:rPr>
      </w:pPr>
      <w:r>
        <w:rPr>
          <w:rFonts w:ascii="Arial" w:cs="Arial" w:eastAsia="Arial" w:hAnsi="Arial"/>
          <w:sz w:val="16"/>
          <w:szCs w:val="16"/>
          <w:color w:val="auto"/>
        </w:rPr>
        <w:t>Benefit from actual and forecasted home price growth. During the three and nine months ended September 30, 2023, we observed stronger than expected actual and forecasted home price appreciation.</w:t>
      </w:r>
    </w:p>
    <w:p>
      <w:pPr>
        <w:spacing w:after="0" w:line="14" w:lineRule="exact"/>
        <w:rPr>
          <w:rFonts w:ascii="Arial" w:cs="Arial" w:eastAsia="Arial" w:hAnsi="Arial"/>
          <w:sz w:val="15"/>
          <w:szCs w:val="15"/>
          <w:color w:val="auto"/>
        </w:rPr>
      </w:pPr>
    </w:p>
    <w:p>
      <w:pPr>
        <w:ind w:left="620" w:right="80" w:hanging="307"/>
        <w:spacing w:after="0" w:line="263" w:lineRule="auto"/>
        <w:tabs>
          <w:tab w:leader="none" w:pos="609" w:val="left"/>
        </w:tabs>
        <w:numPr>
          <w:ilvl w:val="0"/>
          <w:numId w:val="84"/>
        </w:numPr>
        <w:rPr>
          <w:rFonts w:ascii="Arial" w:cs="Arial" w:eastAsia="Arial" w:hAnsi="Arial"/>
          <w:sz w:val="15"/>
          <w:szCs w:val="15"/>
          <w:i w:val="1"/>
          <w:iCs w:val="1"/>
          <w:color w:val="auto"/>
        </w:rPr>
      </w:pPr>
      <w:r>
        <w:rPr>
          <w:rFonts w:ascii="Arial" w:cs="Arial" w:eastAsia="Arial" w:hAnsi="Arial"/>
          <w:sz w:val="16"/>
          <w:szCs w:val="16"/>
          <w:color w:val="auto"/>
        </w:rPr>
        <w:t>Provision from redesignation of loans from HFI to HFS. We redesignated certain nonperforming and reperforming single-family loans from HFI to HFS, as we no longer intended to hold them for the foreseeable future or to maturity. Upon redesignation of these loans, we recorded the loans at the lower of cost or fair value with a write-off against the allowance for loan losses. During the three months ended September 30, 2023, we redesignated loans with an amortized cost of $3.1 billion with an associated write-off against the allowance for loan losses of $638 million. Interest rates on the redesignated loans were below current market interest rates, and as a result, we recorded additional provision for loan losses to the extent that the carrying value of the loans exceeded their fair value at the time of redesignation.</w:t>
      </w:r>
    </w:p>
    <w:p>
      <w:pPr>
        <w:spacing w:after="0" w:line="40" w:lineRule="exact"/>
        <w:rPr>
          <w:rFonts w:ascii="Arial" w:cs="Arial" w:eastAsia="Arial" w:hAnsi="Arial"/>
          <w:sz w:val="15"/>
          <w:szCs w:val="15"/>
          <w:i w:val="1"/>
          <w:iCs w:val="1"/>
          <w:color w:val="auto"/>
        </w:rPr>
      </w:pPr>
    </w:p>
    <w:p>
      <w:pPr>
        <w:ind w:left="620" w:right="120" w:hanging="307"/>
        <w:spacing w:after="0" w:line="281" w:lineRule="auto"/>
        <w:tabs>
          <w:tab w:leader="none" w:pos="612" w:val="left"/>
        </w:tabs>
        <w:numPr>
          <w:ilvl w:val="0"/>
          <w:numId w:val="84"/>
        </w:numPr>
        <w:rPr>
          <w:rFonts w:ascii="Arial" w:cs="Arial" w:eastAsia="Arial" w:hAnsi="Arial"/>
          <w:sz w:val="16"/>
          <w:szCs w:val="16"/>
          <w:color w:val="auto"/>
        </w:rPr>
      </w:pPr>
      <w:r>
        <w:rPr>
          <w:rFonts w:ascii="Arial" w:cs="Arial" w:eastAsia="Arial" w:hAnsi="Arial"/>
          <w:sz w:val="16"/>
          <w:szCs w:val="16"/>
          <w:color w:val="auto"/>
        </w:rPr>
        <w:t>Provision from changes in loan activity. This includes provision on newly acquired loans and was primarily driven by an increase of the portion of our single-family acquisitions consisting of purchase loans in the three and nine months ended September 30, 2023, as described in our quarterly report on Form 10-Q for the quarter ended September 30, 2023.</w:t>
      </w:r>
    </w:p>
    <w:p>
      <w:pPr>
        <w:spacing w:after="0" w:line="24"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Our multifamily provision for loan losses for the three months ended September 30, 2024 was largely driven by certain adjustable-rate conventional loans that were written down to the net recoverable amount during the period. We also recognized provision for loan losses because, compared to our previous forecast, our current period forecast expects further slight decreases in projected multifamily property values and a longer period of time for projected multifamily property values to improve.</w:t>
      </w:r>
    </w:p>
    <w:p>
      <w:pPr>
        <w:spacing w:after="0" w:line="48" w:lineRule="exact"/>
        <w:rPr>
          <w:sz w:val="20"/>
          <w:szCs w:val="20"/>
          <w:color w:val="auto"/>
        </w:rPr>
      </w:pPr>
    </w:p>
    <w:p>
      <w:pPr>
        <w:ind w:right="380"/>
        <w:spacing w:after="0" w:line="272" w:lineRule="auto"/>
        <w:rPr>
          <w:sz w:val="20"/>
          <w:szCs w:val="20"/>
          <w:color w:val="auto"/>
        </w:rPr>
      </w:pPr>
      <w:r>
        <w:rPr>
          <w:rFonts w:ascii="Arial" w:cs="Arial" w:eastAsia="Arial" w:hAnsi="Arial"/>
          <w:sz w:val="16"/>
          <w:szCs w:val="16"/>
          <w:color w:val="auto"/>
        </w:rPr>
        <w:t>Our multifamily allowance and estimate for loan losses as of September 30, 2024 also considers uncertainty. This includes uncertainty relating to multifamily property values, as well as uncertainty due to the ongoing investigation of multifamily lending transactions with suspected fraud, which may increase the risk of default.</w:t>
      </w:r>
    </w:p>
    <w:p>
      <w:pPr>
        <w:spacing w:after="0" w:line="32"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Our multifamily provision for loan losses for the nine months ended September 30, 2024 was primarily driven by loan delinquencies in our multifamily guaranty book of business, including provision attributable to adjustable-rate conventional loans that became seriously delinquent and were written down to the net recoverable amount, declines in estimated actual and projected multifamily property values, and provision for uncertainty described above.</w:t>
      </w:r>
    </w:p>
    <w:p>
      <w:pPr>
        <w:spacing w:after="0" w:line="24"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The largest driver of our multifamily provision for loan losses for the three months ended September 30, 2023 was a provision for actual and projected interest rates. Rising interest rates increase the likelihood that loans with balloon balances due at maturity will be unable to refinance, due to higher refinancing rates. In addition, rising interest rates increase costs for loans with adjustable-rates, which increases the expected impairment and the provision for loan losses on these loans.</w:t>
      </w:r>
    </w:p>
    <w:p>
      <w:pPr>
        <w:spacing w:after="0" w:line="48"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The impact of this factor was offset by a benefit from actual and projected economic data for the three months ended September 30, 2023. The benefit from actual and projected economic data was primarily driven by the impact of a change in our long-term economic forecast assumptions, which was partially offset by continued declines in multifamily property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353695</wp:posOffset>
            </wp:positionV>
            <wp:extent cx="680593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48" w:right="359" w:bottom="1440" w:gutter="0" w:footer="0" w:header="0"/>
        </w:sectPr>
      </w:pPr>
    </w:p>
    <w:bookmarkStart w:id="92" w:name="page93"/>
    <w:bookmarkEnd w:id="92"/>
    <w:p>
      <w:pPr>
        <w:ind w:left="5860"/>
        <w:spacing w:after="0"/>
        <w:rPr>
          <w:sz w:val="20"/>
          <w:szCs w:val="20"/>
          <w:color w:val="auto"/>
        </w:rPr>
      </w:pPr>
      <w:r>
        <w:rPr>
          <w:rFonts w:ascii="Arial" w:cs="Arial" w:eastAsia="Arial" w:hAnsi="Arial"/>
          <w:sz w:val="14"/>
          <w:szCs w:val="14"/>
          <w:color w:val="05314D"/>
        </w:rPr>
        <w:t>Notes to Condensed Consolidated Financial Statements | Allowance for Loan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0154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460"/>
        <w:spacing w:after="0" w:line="293" w:lineRule="auto"/>
        <w:rPr>
          <w:sz w:val="20"/>
          <w:szCs w:val="20"/>
          <w:color w:val="auto"/>
        </w:rPr>
      </w:pPr>
      <w:r>
        <w:rPr>
          <w:rFonts w:ascii="Arial" w:cs="Arial" w:eastAsia="Arial" w:hAnsi="Arial"/>
          <w:sz w:val="16"/>
          <w:szCs w:val="16"/>
          <w:color w:val="auto"/>
        </w:rPr>
        <w:t>Our multifamily provision for loan losses for the nine months ended September 30, 2023 was primarily driven by actual and projected interest rates as described above.</w:t>
      </w:r>
    </w:p>
    <w:p>
      <w:pPr>
        <w:spacing w:after="0" w:line="112"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6. Investments in Securities</w:t>
      </w:r>
    </w:p>
    <w:p>
      <w:pPr>
        <w:spacing w:after="0" w:line="126"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Trading Securities</w:t>
      </w:r>
    </w:p>
    <w:p>
      <w:pPr>
        <w:spacing w:after="0" w:line="81" w:lineRule="exact"/>
        <w:rPr>
          <w:sz w:val="20"/>
          <w:szCs w:val="20"/>
          <w:color w:val="auto"/>
        </w:rPr>
      </w:pPr>
    </w:p>
    <w:p>
      <w:pPr>
        <w:ind w:right="880"/>
        <w:spacing w:after="0" w:line="285" w:lineRule="auto"/>
        <w:rPr>
          <w:sz w:val="20"/>
          <w:szCs w:val="20"/>
          <w:color w:val="auto"/>
        </w:rPr>
      </w:pPr>
      <w:r>
        <w:rPr>
          <w:rFonts w:ascii="Arial" w:cs="Arial" w:eastAsia="Arial" w:hAnsi="Arial"/>
          <w:sz w:val="16"/>
          <w:szCs w:val="16"/>
          <w:color w:val="auto"/>
        </w:rPr>
        <w:t>Trading securities are recorded at fair value with subsequent changes in fair value recorded as “Fair value gains (losses), net” in our condensed consolidated statements of operations and comprehensive income. The following table displays our investments in trading securities.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1920" w:type="dxa"/>
            <w:vAlign w:val="bottom"/>
            <w:tcBorders>
              <w:bottom w:val="single" w:sz="8" w:color="2C6937"/>
            </w:tcBorders>
            <w:gridSpan w:val="3"/>
          </w:tcPr>
          <w:p>
            <w:pPr>
              <w:jc w:val="right"/>
              <w:ind w:right="3"/>
              <w:spacing w:after="0"/>
              <w:rPr>
                <w:sz w:val="20"/>
                <w:szCs w:val="20"/>
                <w:color w:val="auto"/>
              </w:rPr>
            </w:pPr>
            <w:r>
              <w:rPr>
                <w:rFonts w:ascii="Arial" w:cs="Arial" w:eastAsia="Arial" w:hAnsi="Arial"/>
                <w:sz w:val="14"/>
                <w:szCs w:val="14"/>
                <w:b w:val="1"/>
                <w:bCs w:val="1"/>
                <w:color w:val="auto"/>
              </w:rPr>
              <w:t>As of</w:t>
            </w:r>
          </w:p>
        </w:tc>
        <w:tc>
          <w:tcPr>
            <w:tcW w:w="1560" w:type="dxa"/>
            <w:vAlign w:val="bottom"/>
            <w:tcBorders>
              <w:bottom w:val="single" w:sz="8" w:color="2C6937"/>
            </w:tcBorders>
          </w:tcPr>
          <w:p>
            <w:pPr>
              <w:spacing w:after="0"/>
              <w:rPr>
                <w:sz w:val="16"/>
                <w:szCs w:val="16"/>
                <w:color w:val="auto"/>
              </w:rPr>
            </w:pPr>
          </w:p>
        </w:tc>
      </w:tr>
      <w:tr>
        <w:trPr>
          <w:trHeight w:val="186"/>
        </w:trPr>
        <w:tc>
          <w:tcPr>
            <w:tcW w:w="7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1740" w:type="dxa"/>
            <w:vAlign w:val="bottom"/>
            <w:tcBorders>
              <w:bottom w:val="single" w:sz="8" w:color="2C6937"/>
            </w:tcBorders>
            <w:gridSpan w:val="2"/>
          </w:tcPr>
          <w:p>
            <w:pPr>
              <w:ind w:left="80"/>
              <w:spacing w:after="0"/>
              <w:rPr>
                <w:sz w:val="20"/>
                <w:szCs w:val="20"/>
                <w:color w:val="auto"/>
              </w:rPr>
            </w:pPr>
            <w:r>
              <w:rPr>
                <w:rFonts w:ascii="Arial" w:cs="Arial" w:eastAsia="Arial" w:hAnsi="Arial"/>
                <w:sz w:val="14"/>
                <w:szCs w:val="14"/>
                <w:b w:val="1"/>
                <w:bCs w:val="1"/>
                <w:color w:val="auto"/>
              </w:rPr>
              <w:t>September 30, 2024</w:t>
            </w:r>
          </w:p>
        </w:tc>
        <w:tc>
          <w:tcPr>
            <w:tcW w:w="180" w:type="dxa"/>
            <w:vAlign w:val="bottom"/>
            <w:tcBorders>
              <w:bottom w:val="single" w:sz="8" w:color="2C6937"/>
            </w:tcBorders>
          </w:tcPr>
          <w:p>
            <w:pPr>
              <w:spacing w:after="0"/>
              <w:rPr>
                <w:sz w:val="16"/>
                <w:szCs w:val="16"/>
                <w:color w:val="auto"/>
              </w:rPr>
            </w:pPr>
          </w:p>
        </w:tc>
        <w:tc>
          <w:tcPr>
            <w:tcW w:w="1560" w:type="dxa"/>
            <w:vAlign w:val="bottom"/>
            <w:tcBorders>
              <w:bottom w:val="single" w:sz="8" w:color="2C6937"/>
            </w:tcBorders>
          </w:tcPr>
          <w:p>
            <w:pPr>
              <w:jc w:val="right"/>
              <w:ind w:right="185"/>
              <w:spacing w:after="0"/>
              <w:rPr>
                <w:sz w:val="20"/>
                <w:szCs w:val="20"/>
                <w:color w:val="auto"/>
              </w:rPr>
            </w:pPr>
            <w:r>
              <w:rPr>
                <w:rFonts w:ascii="Arial" w:cs="Arial" w:eastAsia="Arial" w:hAnsi="Arial"/>
                <w:sz w:val="14"/>
                <w:szCs w:val="14"/>
                <w:b w:val="1"/>
                <w:bCs w:val="1"/>
                <w:color w:val="auto"/>
              </w:rPr>
              <w:t>December 31, 2023</w:t>
            </w:r>
          </w:p>
        </w:tc>
      </w:tr>
      <w:tr>
        <w:trPr>
          <w:trHeight w:val="185"/>
        </w:trPr>
        <w:tc>
          <w:tcPr>
            <w:tcW w:w="7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80" w:type="dxa"/>
            <w:vAlign w:val="bottom"/>
            <w:gridSpan w:val="4"/>
          </w:tcPr>
          <w:p>
            <w:pPr>
              <w:jc w:val="right"/>
              <w:ind w:right="1105"/>
              <w:spacing w:after="0"/>
              <w:rPr>
                <w:sz w:val="20"/>
                <w:szCs w:val="20"/>
                <w:color w:val="auto"/>
              </w:rPr>
            </w:pPr>
            <w:r>
              <w:rPr>
                <w:rFonts w:ascii="Arial" w:cs="Arial" w:eastAsia="Arial" w:hAnsi="Arial"/>
                <w:sz w:val="14"/>
                <w:szCs w:val="14"/>
                <w:b w:val="1"/>
                <w:bCs w:val="1"/>
                <w:color w:val="auto"/>
              </w:rPr>
              <w:t>(Dollars in millions)</w:t>
            </w:r>
          </w:p>
        </w:tc>
      </w:tr>
      <w:tr>
        <w:trPr>
          <w:trHeight w:val="196"/>
        </w:trPr>
        <w:tc>
          <w:tcPr>
            <w:tcW w:w="7600" w:type="dxa"/>
            <w:vAlign w:val="bottom"/>
            <w:gridSpan w:val="2"/>
          </w:tcPr>
          <w:p>
            <w:pPr>
              <w:ind w:left="20"/>
              <w:spacing w:after="0"/>
              <w:rPr>
                <w:sz w:val="20"/>
                <w:szCs w:val="20"/>
                <w:color w:val="auto"/>
              </w:rPr>
            </w:pPr>
            <w:r>
              <w:rPr>
                <w:rFonts w:ascii="Arial" w:cs="Arial" w:eastAsia="Arial" w:hAnsi="Arial"/>
                <w:sz w:val="15"/>
                <w:szCs w:val="15"/>
                <w:color w:val="auto"/>
              </w:rPr>
              <w:t>Mortgage-related securities (includes $320 million and $364 million, respectively, related to consolidated</w:t>
            </w: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30"/>
        </w:trPr>
        <w:tc>
          <w:tcPr>
            <w:tcW w:w="7600" w:type="dxa"/>
            <w:vAlign w:val="bottom"/>
            <w:gridSpan w:val="2"/>
          </w:tcPr>
          <w:p>
            <w:pPr>
              <w:ind w:left="180"/>
              <w:spacing w:after="0"/>
              <w:rPr>
                <w:sz w:val="20"/>
                <w:szCs w:val="20"/>
                <w:color w:val="auto"/>
              </w:rPr>
            </w:pPr>
            <w:r>
              <w:rPr>
                <w:rFonts w:ascii="Arial" w:cs="Arial" w:eastAsia="Arial" w:hAnsi="Arial"/>
                <w:sz w:val="15"/>
                <w:szCs w:val="15"/>
                <w:color w:val="auto"/>
              </w:rPr>
              <w:t>trusts)</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580" w:type="dxa"/>
            <w:vAlign w:val="bottom"/>
          </w:tcPr>
          <w:p>
            <w:pPr>
              <w:jc w:val="right"/>
              <w:spacing w:after="0"/>
              <w:rPr>
                <w:sz w:val="20"/>
                <w:szCs w:val="20"/>
                <w:color w:val="auto"/>
              </w:rPr>
            </w:pPr>
            <w:r>
              <w:rPr>
                <w:rFonts w:ascii="Arial" w:cs="Arial" w:eastAsia="Arial" w:hAnsi="Arial"/>
                <w:sz w:val="15"/>
                <w:szCs w:val="15"/>
                <w:b w:val="1"/>
                <w:bCs w:val="1"/>
                <w:color w:val="auto"/>
              </w:rPr>
              <w:t>1,198</w:t>
            </w:r>
          </w:p>
        </w:tc>
        <w:tc>
          <w:tcPr>
            <w:tcW w:w="160" w:type="dxa"/>
            <w:vAlign w:val="bottom"/>
          </w:tcPr>
          <w:p>
            <w:pPr>
              <w:spacing w:after="0"/>
              <w:rPr>
                <w:sz w:val="20"/>
                <w:szCs w:val="20"/>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4,770</w:t>
            </w:r>
          </w:p>
        </w:tc>
      </w:tr>
      <w:tr>
        <w:trPr>
          <w:trHeight w:val="208"/>
        </w:trPr>
        <w:tc>
          <w:tcPr>
            <w:tcW w:w="7500" w:type="dxa"/>
            <w:vAlign w:val="bottom"/>
            <w:tcBorders>
              <w:bottom w:val="single" w:sz="8" w:color="2C6937"/>
            </w:tcBorders>
          </w:tcPr>
          <w:p>
            <w:pPr>
              <w:ind w:left="20"/>
              <w:spacing w:after="0" w:line="207" w:lineRule="exact"/>
              <w:rPr>
                <w:sz w:val="20"/>
                <w:szCs w:val="20"/>
                <w:color w:val="auto"/>
              </w:rPr>
            </w:pPr>
            <w:r>
              <w:rPr>
                <w:rFonts w:ascii="Arial" w:cs="Arial" w:eastAsia="Arial" w:hAnsi="Arial"/>
                <w:sz w:val="15"/>
                <w:szCs w:val="15"/>
                <w:color w:val="auto"/>
              </w:rPr>
              <w:t>Non-mortgage-related securities (includes $9.0 billion and $5.7 billion, respectively, pledged as collateral)</w:t>
            </w:r>
            <w:r>
              <w:rPr>
                <w:rFonts w:ascii="Arial" w:cs="Arial" w:eastAsia="Arial" w:hAnsi="Arial"/>
                <w:sz w:val="20"/>
                <w:szCs w:val="20"/>
                <w:color w:val="auto"/>
                <w:vertAlign w:val="superscript"/>
              </w:rPr>
              <w:t>(1)</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15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60,100</w:t>
            </w:r>
          </w:p>
        </w:tc>
        <w:tc>
          <w:tcPr>
            <w:tcW w:w="16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15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47,782</w:t>
            </w:r>
          </w:p>
        </w:tc>
      </w:tr>
      <w:tr>
        <w:trPr>
          <w:trHeight w:val="199"/>
        </w:trPr>
        <w:tc>
          <w:tcPr>
            <w:tcW w:w="7600" w:type="dxa"/>
            <w:vAlign w:val="bottom"/>
            <w:gridSpan w:val="2"/>
          </w:tcPr>
          <w:p>
            <w:pPr>
              <w:ind w:left="120"/>
              <w:spacing w:after="0"/>
              <w:rPr>
                <w:sz w:val="20"/>
                <w:szCs w:val="20"/>
                <w:color w:val="auto"/>
              </w:rPr>
            </w:pPr>
            <w:r>
              <w:rPr>
                <w:rFonts w:ascii="Arial" w:cs="Arial" w:eastAsia="Arial" w:hAnsi="Arial"/>
                <w:sz w:val="15"/>
                <w:szCs w:val="15"/>
                <w:color w:val="auto"/>
              </w:rPr>
              <w:t>Total trading securities</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580" w:type="dxa"/>
            <w:vAlign w:val="bottom"/>
          </w:tcPr>
          <w:p>
            <w:pPr>
              <w:jc w:val="right"/>
              <w:spacing w:after="0"/>
              <w:rPr>
                <w:sz w:val="20"/>
                <w:szCs w:val="20"/>
                <w:color w:val="auto"/>
              </w:rPr>
            </w:pPr>
            <w:r>
              <w:rPr>
                <w:rFonts w:ascii="Arial" w:cs="Arial" w:eastAsia="Arial" w:hAnsi="Arial"/>
                <w:sz w:val="15"/>
                <w:szCs w:val="15"/>
                <w:b w:val="1"/>
                <w:bCs w:val="1"/>
                <w:color w:val="auto"/>
              </w:rPr>
              <w:t>61,298</w:t>
            </w:r>
          </w:p>
        </w:tc>
        <w:tc>
          <w:tcPr>
            <w:tcW w:w="16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52,552</w:t>
            </w:r>
          </w:p>
        </w:tc>
      </w:tr>
      <w:tr>
        <w:trPr>
          <w:trHeight w:val="20"/>
        </w:trPr>
        <w:tc>
          <w:tcPr>
            <w:tcW w:w="75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1580" w:type="dxa"/>
            <w:vAlign w:val="bottom"/>
            <w:tcBorders>
              <w:top w:val="single" w:sz="8" w:color="2C6937"/>
              <w:bottom w:val="single" w:sz="8" w:color="2C6937"/>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1560" w:type="dxa"/>
            <w:vAlign w:val="bottom"/>
            <w:tcBorders>
              <w:top w:val="single" w:sz="8" w:color="2C6937"/>
              <w:bottom w:val="single" w:sz="8" w:color="2C6937"/>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vertAlign w:val="superscript"/>
        </w:rPr>
        <w:t>(1)</w:t>
      </w:r>
      <w:r>
        <w:rPr>
          <w:rFonts w:ascii="Arial" w:cs="Arial" w:eastAsia="Arial" w:hAnsi="Arial"/>
          <w:sz w:val="14"/>
          <w:szCs w:val="14"/>
          <w:color w:val="auto"/>
        </w:rPr>
        <w:t xml:space="preserve">  Primarily includes U.S. Treasury securities.</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displays information about our net trading gains (losses).</w:t>
      </w:r>
    </w:p>
    <w:p>
      <w:pPr>
        <w:spacing w:after="0" w:line="5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7"/>
              </w:rPr>
              <w:t>For the Three Months Ended</w:t>
            </w:r>
          </w:p>
        </w:tc>
        <w:tc>
          <w:tcPr>
            <w:tcW w:w="160" w:type="dxa"/>
            <w:vAlign w:val="bottom"/>
          </w:tcPr>
          <w:p>
            <w:pPr>
              <w:spacing w:after="0"/>
              <w:rPr>
                <w:sz w:val="14"/>
                <w:szCs w:val="14"/>
                <w:color w:val="auto"/>
              </w:rPr>
            </w:pPr>
          </w:p>
        </w:tc>
        <w:tc>
          <w:tcPr>
            <w:tcW w:w="2040" w:type="dxa"/>
            <w:vAlign w:val="bottom"/>
            <w:gridSpan w:val="3"/>
          </w:tcPr>
          <w:p>
            <w:pPr>
              <w:jc w:val="right"/>
              <w:ind w:right="126"/>
              <w:spacing w:after="0"/>
              <w:rPr>
                <w:sz w:val="20"/>
                <w:szCs w:val="20"/>
                <w:color w:val="auto"/>
              </w:rPr>
            </w:pPr>
            <w:r>
              <w:rPr>
                <w:rFonts w:ascii="Arial" w:cs="Arial" w:eastAsia="Arial" w:hAnsi="Arial"/>
                <w:sz w:val="14"/>
                <w:szCs w:val="14"/>
                <w:b w:val="1"/>
                <w:bCs w:val="1"/>
                <w:color w:val="auto"/>
                <w:w w:val="99"/>
              </w:rPr>
              <w:t>For the Nine Months Ended</w:t>
            </w:r>
          </w:p>
        </w:tc>
      </w:tr>
      <w:tr>
        <w:trPr>
          <w:trHeight w:val="180"/>
        </w:trPr>
        <w:tc>
          <w:tcPr>
            <w:tcW w:w="6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8"/>
              </w:rPr>
              <w:t>September 30,</w:t>
            </w:r>
          </w:p>
        </w:tc>
        <w:tc>
          <w:tcPr>
            <w:tcW w:w="160" w:type="dxa"/>
            <w:vAlign w:val="bottom"/>
          </w:tcPr>
          <w:p>
            <w:pPr>
              <w:spacing w:after="0"/>
              <w:rPr>
                <w:sz w:val="15"/>
                <w:szCs w:val="15"/>
                <w:color w:val="auto"/>
              </w:rPr>
            </w:pPr>
          </w:p>
        </w:tc>
        <w:tc>
          <w:tcPr>
            <w:tcW w:w="2040" w:type="dxa"/>
            <w:vAlign w:val="bottom"/>
            <w:gridSpan w:val="3"/>
          </w:tcPr>
          <w:p>
            <w:pPr>
              <w:jc w:val="right"/>
              <w:ind w:right="546"/>
              <w:spacing w:after="0"/>
              <w:rPr>
                <w:sz w:val="20"/>
                <w:szCs w:val="20"/>
                <w:color w:val="auto"/>
              </w:rPr>
            </w:pPr>
            <w:r>
              <w:rPr>
                <w:rFonts w:ascii="Arial" w:cs="Arial" w:eastAsia="Arial" w:hAnsi="Arial"/>
                <w:sz w:val="14"/>
                <w:szCs w:val="14"/>
                <w:b w:val="1"/>
                <w:bCs w:val="1"/>
                <w:color w:val="auto"/>
              </w:rPr>
              <w:t>September 30,</w:t>
            </w:r>
          </w:p>
        </w:tc>
      </w:tr>
      <w:tr>
        <w:trPr>
          <w:trHeight w:val="185"/>
        </w:trPr>
        <w:tc>
          <w:tcPr>
            <w:tcW w:w="6680" w:type="dxa"/>
            <w:vAlign w:val="bottom"/>
          </w:tcPr>
          <w:p>
            <w:pPr>
              <w:spacing w:after="0"/>
              <w:rPr>
                <w:sz w:val="16"/>
                <w:szCs w:val="16"/>
                <w:color w:val="auto"/>
              </w:rPr>
            </w:pPr>
          </w:p>
        </w:tc>
        <w:tc>
          <w:tcPr>
            <w:tcW w:w="140" w:type="dxa"/>
            <w:vAlign w:val="bottom"/>
            <w:tcBorders>
              <w:top w:val="single" w:sz="8" w:color="2C6937"/>
              <w:bottom w:val="single" w:sz="8" w:color="2C6937"/>
            </w:tcBorders>
          </w:tcPr>
          <w:p>
            <w:pPr>
              <w:spacing w:after="0"/>
              <w:rPr>
                <w:sz w:val="16"/>
                <w:szCs w:val="16"/>
                <w:color w:val="auto"/>
              </w:rPr>
            </w:pPr>
          </w:p>
        </w:tc>
        <w:tc>
          <w:tcPr>
            <w:tcW w:w="940" w:type="dxa"/>
            <w:vAlign w:val="bottom"/>
            <w:tcBorders>
              <w:top w:val="single" w:sz="8" w:color="2C6937"/>
              <w:bottom w:val="single" w:sz="8" w:color="2C6937"/>
            </w:tcBorders>
          </w:tcPr>
          <w:p>
            <w:pPr>
              <w:jc w:val="right"/>
              <w:ind w:right="348"/>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top w:val="single" w:sz="8" w:color="2C6937"/>
              <w:bottom w:val="single" w:sz="8" w:color="2C6937"/>
            </w:tcBorders>
          </w:tcPr>
          <w:p>
            <w:pPr>
              <w:spacing w:after="0"/>
              <w:rPr>
                <w:sz w:val="16"/>
                <w:szCs w:val="16"/>
                <w:color w:val="auto"/>
              </w:rPr>
            </w:pPr>
          </w:p>
        </w:tc>
        <w:tc>
          <w:tcPr>
            <w:tcW w:w="800" w:type="dxa"/>
            <w:vAlign w:val="bottom"/>
            <w:tcBorders>
              <w:top w:val="single" w:sz="8" w:color="2C6937"/>
              <w:bottom w:val="single" w:sz="8" w:color="2C6937"/>
            </w:tcBorders>
          </w:tcPr>
          <w:p>
            <w:pPr>
              <w:jc w:val="right"/>
              <w:ind w:right="287"/>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2C6937"/>
            </w:tcBorders>
          </w:tcPr>
          <w:p>
            <w:pPr>
              <w:spacing w:after="0"/>
              <w:rPr>
                <w:sz w:val="16"/>
                <w:szCs w:val="16"/>
                <w:color w:val="auto"/>
              </w:rPr>
            </w:pPr>
          </w:p>
        </w:tc>
        <w:tc>
          <w:tcPr>
            <w:tcW w:w="160" w:type="dxa"/>
            <w:vAlign w:val="bottom"/>
            <w:tcBorders>
              <w:top w:val="single" w:sz="8" w:color="2C6937"/>
              <w:bottom w:val="single" w:sz="8" w:color="2C6937"/>
            </w:tcBorders>
          </w:tcPr>
          <w:p>
            <w:pPr>
              <w:spacing w:after="0"/>
              <w:rPr>
                <w:sz w:val="16"/>
                <w:szCs w:val="16"/>
                <w:color w:val="auto"/>
              </w:rPr>
            </w:pPr>
          </w:p>
        </w:tc>
        <w:tc>
          <w:tcPr>
            <w:tcW w:w="920" w:type="dxa"/>
            <w:vAlign w:val="bottom"/>
            <w:tcBorders>
              <w:top w:val="single" w:sz="8" w:color="2C6937"/>
              <w:bottom w:val="single" w:sz="8" w:color="2C6937"/>
            </w:tcBorders>
          </w:tcPr>
          <w:p>
            <w:pPr>
              <w:jc w:val="right"/>
              <w:ind w:right="348"/>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top w:val="single" w:sz="8" w:color="2C6937"/>
              <w:bottom w:val="single" w:sz="8" w:color="2C6937"/>
            </w:tcBorders>
          </w:tcPr>
          <w:p>
            <w:pPr>
              <w:spacing w:after="0"/>
              <w:rPr>
                <w:sz w:val="16"/>
                <w:szCs w:val="16"/>
                <w:color w:val="auto"/>
              </w:rPr>
            </w:pPr>
          </w:p>
        </w:tc>
        <w:tc>
          <w:tcPr>
            <w:tcW w:w="800" w:type="dxa"/>
            <w:vAlign w:val="bottom"/>
            <w:tcBorders>
              <w:top w:val="single" w:sz="8" w:color="2C6937"/>
              <w:bottom w:val="single" w:sz="8" w:color="2C6937"/>
            </w:tcBorders>
          </w:tcPr>
          <w:p>
            <w:pPr>
              <w:jc w:val="right"/>
              <w:ind w:right="286"/>
              <w:spacing w:after="0"/>
              <w:rPr>
                <w:sz w:val="20"/>
                <w:szCs w:val="20"/>
                <w:color w:val="auto"/>
              </w:rPr>
            </w:pPr>
            <w:r>
              <w:rPr>
                <w:rFonts w:ascii="Arial" w:cs="Arial" w:eastAsia="Arial" w:hAnsi="Arial"/>
                <w:sz w:val="14"/>
                <w:szCs w:val="14"/>
                <w:b w:val="1"/>
                <w:bCs w:val="1"/>
                <w:color w:val="auto"/>
              </w:rPr>
              <w:t>2023</w:t>
            </w:r>
          </w:p>
        </w:tc>
      </w:tr>
      <w:tr>
        <w:trPr>
          <w:trHeight w:val="185"/>
        </w:trPr>
        <w:tc>
          <w:tcPr>
            <w:tcW w:w="6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20" w:type="dxa"/>
            <w:vAlign w:val="bottom"/>
            <w:gridSpan w:val="4"/>
          </w:tcPr>
          <w:p>
            <w:pPr>
              <w:jc w:val="right"/>
              <w:ind w:right="448"/>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14"/>
        </w:trPr>
        <w:tc>
          <w:tcPr>
            <w:tcW w:w="6680" w:type="dxa"/>
            <w:vAlign w:val="bottom"/>
          </w:tcPr>
          <w:p>
            <w:pPr>
              <w:spacing w:after="0"/>
              <w:rPr>
                <w:sz w:val="20"/>
                <w:szCs w:val="20"/>
                <w:color w:val="auto"/>
              </w:rPr>
            </w:pPr>
            <w:r>
              <w:rPr>
                <w:rFonts w:ascii="Arial" w:cs="Arial" w:eastAsia="Arial" w:hAnsi="Arial"/>
                <w:sz w:val="15"/>
                <w:szCs w:val="15"/>
                <w:color w:val="auto"/>
              </w:rPr>
              <w:t>Net trading gains (losses)</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ind w:right="48"/>
              <w:spacing w:after="0"/>
              <w:rPr>
                <w:sz w:val="20"/>
                <w:szCs w:val="20"/>
                <w:color w:val="auto"/>
              </w:rPr>
            </w:pPr>
            <w:r>
              <w:rPr>
                <w:rFonts w:ascii="Arial" w:cs="Arial" w:eastAsia="Arial" w:hAnsi="Arial"/>
                <w:sz w:val="15"/>
                <w:szCs w:val="15"/>
                <w:b w:val="1"/>
                <w:bCs w:val="1"/>
                <w:color w:val="auto"/>
              </w:rPr>
              <w:t>1,267</w:t>
            </w:r>
          </w:p>
        </w:tc>
        <w:tc>
          <w:tcPr>
            <w:tcW w:w="32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(318)</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20" w:type="dxa"/>
            <w:vAlign w:val="bottom"/>
          </w:tcPr>
          <w:p>
            <w:pPr>
              <w:jc w:val="right"/>
              <w:ind w:right="48"/>
              <w:spacing w:after="0"/>
              <w:rPr>
                <w:sz w:val="20"/>
                <w:szCs w:val="20"/>
                <w:color w:val="auto"/>
              </w:rPr>
            </w:pPr>
            <w:r>
              <w:rPr>
                <w:rFonts w:ascii="Arial" w:cs="Arial" w:eastAsia="Arial" w:hAnsi="Arial"/>
                <w:sz w:val="15"/>
                <w:szCs w:val="15"/>
                <w:b w:val="1"/>
                <w:bCs w:val="1"/>
                <w:color w:val="auto"/>
              </w:rPr>
              <w:t>1,127</w:t>
            </w:r>
          </w:p>
        </w:tc>
        <w:tc>
          <w:tcPr>
            <w:tcW w:w="32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(295)</w:t>
            </w:r>
          </w:p>
        </w:tc>
      </w:tr>
      <w:tr>
        <w:trPr>
          <w:trHeight w:val="232"/>
        </w:trPr>
        <w:tc>
          <w:tcPr>
            <w:tcW w:w="6680" w:type="dxa"/>
            <w:vAlign w:val="bottom"/>
          </w:tcPr>
          <w:p>
            <w:pPr>
              <w:spacing w:after="0"/>
              <w:rPr>
                <w:sz w:val="20"/>
                <w:szCs w:val="20"/>
                <w:color w:val="auto"/>
              </w:rPr>
            </w:pPr>
            <w:r>
              <w:rPr>
                <w:rFonts w:ascii="Arial" w:cs="Arial" w:eastAsia="Arial" w:hAnsi="Arial"/>
                <w:sz w:val="15"/>
                <w:szCs w:val="15"/>
                <w:color w:val="auto"/>
              </w:rPr>
              <w:t>Net trading gains (losses) recognized in the period related to securities still held at period end</w:t>
            </w:r>
          </w:p>
        </w:tc>
        <w:tc>
          <w:tcPr>
            <w:tcW w:w="140" w:type="dxa"/>
            <w:vAlign w:val="bottom"/>
          </w:tcPr>
          <w:p>
            <w:pPr>
              <w:spacing w:after="0"/>
              <w:rPr>
                <w:sz w:val="20"/>
                <w:szCs w:val="20"/>
                <w:color w:val="auto"/>
              </w:rPr>
            </w:pPr>
          </w:p>
        </w:tc>
        <w:tc>
          <w:tcPr>
            <w:tcW w:w="940" w:type="dxa"/>
            <w:vAlign w:val="bottom"/>
          </w:tcPr>
          <w:p>
            <w:pPr>
              <w:jc w:val="right"/>
              <w:ind w:right="48"/>
              <w:spacing w:after="0"/>
              <w:rPr>
                <w:sz w:val="20"/>
                <w:szCs w:val="20"/>
                <w:color w:val="auto"/>
              </w:rPr>
            </w:pPr>
            <w:r>
              <w:rPr>
                <w:rFonts w:ascii="Arial" w:cs="Arial" w:eastAsia="Arial" w:hAnsi="Arial"/>
                <w:sz w:val="15"/>
                <w:szCs w:val="15"/>
                <w:b w:val="1"/>
                <w:bCs w:val="1"/>
                <w:color w:val="auto"/>
              </w:rPr>
              <w:t>1,074</w:t>
            </w: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(297)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48"/>
              <w:spacing w:after="0"/>
              <w:rPr>
                <w:sz w:val="20"/>
                <w:szCs w:val="20"/>
                <w:color w:val="auto"/>
              </w:rPr>
            </w:pPr>
            <w:r>
              <w:rPr>
                <w:rFonts w:ascii="Arial" w:cs="Arial" w:eastAsia="Arial" w:hAnsi="Arial"/>
                <w:sz w:val="15"/>
                <w:szCs w:val="15"/>
                <w:b w:val="1"/>
                <w:bCs w:val="1"/>
                <w:color w:val="auto"/>
              </w:rPr>
              <w:t>938</w:t>
            </w: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(259)</w:t>
            </w:r>
          </w:p>
        </w:tc>
      </w:tr>
    </w:tbl>
    <w:p>
      <w:pPr>
        <w:spacing w:after="0" w:line="224"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Available-for-Sale Securities</w:t>
      </w:r>
    </w:p>
    <w:p>
      <w:pPr>
        <w:spacing w:after="0" w:line="81"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We record AFS securities at fair value with unrealized gains and losses, recorded net of tax, as a component of “Other comprehensive income (loss)” and we recognize realized gains and losses from the sale of AFS securities in “Investment gains (losses), net” in our condensed consolidated statements of operations and comprehensive income. We define the amortized cost basis of our AFS securities as unpaid principal balance, net of unamortized premiums and discounts, and other cost basis adjustments. We record an allowance for credit losses for AFS securities that reflects the impairment for credit losses, which is limited to the amount that fair value is less than the amortized cost. Impairment due to non-credit losses is recorded as unrealized losses within “Other comprehensive income (loss).”</w:t>
      </w:r>
    </w:p>
    <w:p>
      <w:pPr>
        <w:spacing w:after="0" w:line="4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following tables display the amortized cost, allowance for credit losses, gross unrealized gains and losses in accumulated other comprehensive income (loss) (“AOCI”), and fair value by major security type for AFS securities.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90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2600" w:type="dxa"/>
            <w:vAlign w:val="bottom"/>
            <w:tcBorders>
              <w:bottom w:val="single" w:sz="8" w:color="2C6937"/>
            </w:tcBorders>
            <w:gridSpan w:val="6"/>
          </w:tcPr>
          <w:p>
            <w:pPr>
              <w:jc w:val="center"/>
              <w:ind w:left="787"/>
              <w:spacing w:after="0"/>
              <w:rPr>
                <w:sz w:val="20"/>
                <w:szCs w:val="20"/>
                <w:color w:val="auto"/>
              </w:rPr>
            </w:pPr>
            <w:r>
              <w:rPr>
                <w:rFonts w:ascii="Arial" w:cs="Arial" w:eastAsia="Arial" w:hAnsi="Arial"/>
                <w:sz w:val="14"/>
                <w:szCs w:val="14"/>
                <w:b w:val="1"/>
                <w:bCs w:val="1"/>
                <w:color w:val="auto"/>
                <w:w w:val="97"/>
              </w:rPr>
              <w:t>As of September 30, 2024</w:t>
            </w:r>
          </w:p>
        </w:tc>
        <w:tc>
          <w:tcPr>
            <w:tcW w:w="98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46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Total Amortized</w:t>
            </w:r>
          </w:p>
        </w:tc>
        <w:tc>
          <w:tcPr>
            <w:tcW w:w="120" w:type="dxa"/>
            <w:vAlign w:val="bottom"/>
          </w:tcPr>
          <w:p>
            <w:pPr>
              <w:spacing w:after="0"/>
              <w:rPr>
                <w:sz w:val="15"/>
                <w:szCs w:val="15"/>
                <w:color w:val="auto"/>
              </w:rPr>
            </w:pPr>
          </w:p>
        </w:tc>
        <w:tc>
          <w:tcPr>
            <w:tcW w:w="1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Allowance for</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Gross</w:t>
            </w:r>
          </w:p>
        </w:tc>
        <w:tc>
          <w:tcPr>
            <w:tcW w:w="18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Gross</w:t>
            </w: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tcPr>
          <w:p>
            <w:pPr>
              <w:jc w:val="center"/>
              <w:ind w:right="120"/>
              <w:spacing w:after="0" w:line="155" w:lineRule="exact"/>
              <w:rPr>
                <w:sz w:val="20"/>
                <w:szCs w:val="20"/>
                <w:color w:val="auto"/>
              </w:rPr>
            </w:pPr>
            <w:r>
              <w:rPr>
                <w:rFonts w:ascii="Arial" w:cs="Arial" w:eastAsia="Arial" w:hAnsi="Arial"/>
                <w:sz w:val="14"/>
                <w:szCs w:val="14"/>
                <w:b w:val="1"/>
                <w:bCs w:val="1"/>
                <w:color w:val="auto"/>
                <w:w w:val="96"/>
              </w:rPr>
              <w:t>Unrealized Gains</w:t>
            </w:r>
          </w:p>
        </w:tc>
        <w:tc>
          <w:tcPr>
            <w:tcW w:w="180" w:type="dxa"/>
            <w:vAlign w:val="bottom"/>
          </w:tcPr>
          <w:p>
            <w:pPr>
              <w:spacing w:after="0"/>
              <w:rPr>
                <w:sz w:val="13"/>
                <w:szCs w:val="13"/>
                <w:color w:val="auto"/>
              </w:rPr>
            </w:pPr>
          </w:p>
        </w:tc>
        <w:tc>
          <w:tcPr>
            <w:tcW w:w="108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8"/>
              </w:rPr>
              <w:t>Unrealized</w:t>
            </w: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4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1000" w:type="dxa"/>
            <w:vAlign w:val="bottom"/>
            <w:tcBorders>
              <w:bottom w:val="single" w:sz="8" w:color="2C6937"/>
            </w:tcBorders>
            <w:gridSpan w:val="2"/>
          </w:tcPr>
          <w:p>
            <w:pPr>
              <w:ind w:left="180"/>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2C6937"/>
            </w:tcBorders>
          </w:tcPr>
          <w:p>
            <w:pPr>
              <w:spacing w:after="0"/>
              <w:rPr>
                <w:sz w:val="17"/>
                <w:szCs w:val="17"/>
                <w:color w:val="auto"/>
              </w:rPr>
            </w:pPr>
          </w:p>
        </w:tc>
        <w:tc>
          <w:tcPr>
            <w:tcW w:w="1040" w:type="dxa"/>
            <w:vAlign w:val="bottom"/>
            <w:tcBorders>
              <w:bottom w:val="single" w:sz="8" w:color="2C6937"/>
            </w:tcBorders>
          </w:tcPr>
          <w:p>
            <w:pPr>
              <w:ind w:left="20"/>
              <w:spacing w:after="0"/>
              <w:rPr>
                <w:sz w:val="20"/>
                <w:szCs w:val="20"/>
                <w:color w:val="auto"/>
              </w:rPr>
            </w:pPr>
            <w:r>
              <w:rPr>
                <w:rFonts w:ascii="Arial" w:cs="Arial" w:eastAsia="Arial" w:hAnsi="Arial"/>
                <w:sz w:val="14"/>
                <w:szCs w:val="14"/>
                <w:b w:val="1"/>
                <w:bCs w:val="1"/>
                <w:color w:val="auto"/>
              </w:rPr>
              <w:t>Credit Losses</w:t>
            </w:r>
          </w:p>
        </w:tc>
        <w:tc>
          <w:tcPr>
            <w:tcW w:w="12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gridSpan w:val="2"/>
          </w:tcPr>
          <w:p>
            <w:pPr>
              <w:jc w:val="center"/>
              <w:ind w:right="320"/>
              <w:spacing w:after="0"/>
              <w:rPr>
                <w:sz w:val="20"/>
                <w:szCs w:val="20"/>
                <w:color w:val="auto"/>
              </w:rPr>
            </w:pPr>
            <w:r>
              <w:rPr>
                <w:rFonts w:ascii="Arial" w:cs="Arial" w:eastAsia="Arial" w:hAnsi="Arial"/>
                <w:sz w:val="14"/>
                <w:szCs w:val="14"/>
                <w:b w:val="1"/>
                <w:bCs w:val="1"/>
                <w:color w:val="auto"/>
                <w:w w:val="97"/>
              </w:rPr>
              <w:t>in AOCI</w:t>
            </w:r>
          </w:p>
        </w:tc>
        <w:tc>
          <w:tcPr>
            <w:tcW w:w="1260" w:type="dxa"/>
            <w:vAlign w:val="bottom"/>
            <w:tcBorders>
              <w:bottom w:val="single" w:sz="8" w:color="2C6937"/>
            </w:tcBorders>
            <w:gridSpan w:val="3"/>
          </w:tcPr>
          <w:p>
            <w:pPr>
              <w:jc w:val="center"/>
              <w:ind w:right="120"/>
              <w:spacing w:after="0"/>
              <w:rPr>
                <w:sz w:val="20"/>
                <w:szCs w:val="20"/>
                <w:color w:val="auto"/>
              </w:rPr>
            </w:pPr>
            <w:r>
              <w:rPr>
                <w:rFonts w:ascii="Arial" w:cs="Arial" w:eastAsia="Arial" w:hAnsi="Arial"/>
                <w:sz w:val="14"/>
                <w:szCs w:val="14"/>
                <w:b w:val="1"/>
                <w:bCs w:val="1"/>
                <w:color w:val="auto"/>
                <w:w w:val="98"/>
              </w:rPr>
              <w:t>Losses in AOCI</w:t>
            </w:r>
          </w:p>
        </w:tc>
        <w:tc>
          <w:tcPr>
            <w:tcW w:w="1140" w:type="dxa"/>
            <w:vAlign w:val="bottom"/>
            <w:tcBorders>
              <w:bottom w:val="single" w:sz="8" w:color="2C6937"/>
            </w:tcBorders>
            <w:gridSpan w:val="2"/>
          </w:tcPr>
          <w:p>
            <w:pPr>
              <w:jc w:val="right"/>
              <w:spacing w:after="0"/>
              <w:rPr>
                <w:sz w:val="20"/>
                <w:szCs w:val="20"/>
                <w:color w:val="auto"/>
              </w:rPr>
            </w:pPr>
            <w:r>
              <w:rPr>
                <w:rFonts w:ascii="Arial" w:cs="Arial" w:eastAsia="Arial" w:hAnsi="Arial"/>
                <w:sz w:val="14"/>
                <w:szCs w:val="14"/>
                <w:b w:val="1"/>
                <w:bCs w:val="1"/>
                <w:color w:val="auto"/>
              </w:rPr>
              <w:t>Total Fair Value</w:t>
            </w:r>
          </w:p>
        </w:tc>
        <w:tc>
          <w:tcPr>
            <w:tcW w:w="0" w:type="dxa"/>
            <w:vAlign w:val="bottom"/>
          </w:tcPr>
          <w:p>
            <w:pPr>
              <w:spacing w:after="0"/>
              <w:rPr>
                <w:sz w:val="1"/>
                <w:szCs w:val="1"/>
                <w:color w:val="auto"/>
              </w:rPr>
            </w:pPr>
          </w:p>
        </w:tc>
      </w:tr>
      <w:tr>
        <w:trPr>
          <w:trHeight w:val="185"/>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8"/>
              </w:rPr>
              <w:t>(Dollars in millions)</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040" w:type="dxa"/>
            <w:vAlign w:val="bottom"/>
            <w:gridSpan w:val="2"/>
          </w:tcPr>
          <w:p>
            <w:pPr>
              <w:ind w:left="20"/>
              <w:spacing w:after="0"/>
              <w:rPr>
                <w:sz w:val="20"/>
                <w:szCs w:val="20"/>
                <w:color w:val="auto"/>
              </w:rPr>
            </w:pPr>
            <w:r>
              <w:rPr>
                <w:rFonts w:ascii="Arial" w:cs="Arial" w:eastAsia="Arial" w:hAnsi="Arial"/>
                <w:sz w:val="15"/>
                <w:szCs w:val="15"/>
                <w:color w:val="auto"/>
              </w:rPr>
              <w:t>Agency securities</w:t>
            </w:r>
          </w:p>
        </w:tc>
        <w:tc>
          <w:tcPr>
            <w:tcW w:w="260" w:type="dxa"/>
            <w:vAlign w:val="bottom"/>
          </w:tcPr>
          <w:p>
            <w:pPr>
              <w:jc w:val="right"/>
              <w:ind w:right="86"/>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375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tcPr>
          <w:p>
            <w:pPr>
              <w:ind w:left="820"/>
              <w:spacing w:after="0"/>
              <w:rPr>
                <w:sz w:val="20"/>
                <w:szCs w:val="20"/>
                <w:color w:val="auto"/>
              </w:rPr>
            </w:pPr>
            <w:r>
              <w:rPr>
                <w:rFonts w:ascii="Arial" w:cs="Arial" w:eastAsia="Arial" w:hAnsi="Arial"/>
                <w:sz w:val="15"/>
                <w:szCs w:val="15"/>
                <w:color w:val="auto"/>
              </w:rPr>
              <w:t>—</w:t>
            </w:r>
          </w:p>
        </w:tc>
        <w:tc>
          <w:tcPr>
            <w:tcW w:w="320" w:type="dxa"/>
            <w:vAlign w:val="bottom"/>
            <w:gridSpan w:val="2"/>
          </w:tcPr>
          <w:p>
            <w:pPr>
              <w:jc w:val="right"/>
              <w:ind w:right="31"/>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7"/>
                <w:szCs w:val="17"/>
                <w:color w:val="auto"/>
              </w:rPr>
            </w:pPr>
          </w:p>
        </w:tc>
        <w:tc>
          <w:tcPr>
            <w:tcW w:w="180" w:type="dxa"/>
            <w:vAlign w:val="bottom"/>
          </w:tcPr>
          <w:p>
            <w:pPr>
              <w:jc w:val="right"/>
              <w:ind w:right="6"/>
              <w:spacing w:after="0"/>
              <w:rPr>
                <w:sz w:val="20"/>
                <w:szCs w:val="20"/>
                <w:color w:val="auto"/>
              </w:rPr>
            </w:pPr>
            <w:r>
              <w:rPr>
                <w:rFonts w:ascii="Arial" w:cs="Arial" w:eastAsia="Arial" w:hAnsi="Arial"/>
                <w:sz w:val="15"/>
                <w:szCs w:val="15"/>
                <w:color w:val="auto"/>
                <w:w w:val="95"/>
              </w:rPr>
              <w:t>$</w:t>
            </w:r>
          </w:p>
        </w:tc>
        <w:tc>
          <w:tcPr>
            <w:tcW w:w="980" w:type="dxa"/>
            <w:vAlign w:val="bottom"/>
          </w:tcPr>
          <w:p>
            <w:pPr>
              <w:jc w:val="center"/>
              <w:ind w:left="566"/>
              <w:spacing w:after="0"/>
              <w:rPr>
                <w:sz w:val="20"/>
                <w:szCs w:val="20"/>
                <w:color w:val="auto"/>
              </w:rPr>
            </w:pPr>
            <w:r>
              <w:rPr>
                <w:rFonts w:ascii="Arial" w:cs="Arial" w:eastAsia="Arial" w:hAnsi="Arial"/>
                <w:sz w:val="15"/>
                <w:szCs w:val="15"/>
                <w:color w:val="auto"/>
                <w:w w:val="97"/>
              </w:rPr>
              <w:t>(25)</w:t>
            </w:r>
          </w:p>
        </w:tc>
        <w:tc>
          <w:tcPr>
            <w:tcW w:w="100" w:type="dxa"/>
            <w:vAlign w:val="bottom"/>
          </w:tcPr>
          <w:p>
            <w:pPr>
              <w:spacing w:after="0"/>
              <w:rPr>
                <w:sz w:val="17"/>
                <w:szCs w:val="17"/>
                <w:color w:val="auto"/>
              </w:rPr>
            </w:pPr>
          </w:p>
        </w:tc>
        <w:tc>
          <w:tcPr>
            <w:tcW w:w="460" w:type="dxa"/>
            <w:vAlign w:val="bottom"/>
          </w:tcPr>
          <w:p>
            <w:pPr>
              <w:jc w:val="right"/>
              <w:ind w:right="286"/>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352</w:t>
            </w:r>
          </w:p>
        </w:tc>
        <w:tc>
          <w:tcPr>
            <w:tcW w:w="0" w:type="dxa"/>
            <w:vAlign w:val="bottom"/>
          </w:tcPr>
          <w:p>
            <w:pPr>
              <w:spacing w:after="0"/>
              <w:rPr>
                <w:sz w:val="1"/>
                <w:szCs w:val="1"/>
                <w:color w:val="auto"/>
              </w:rPr>
            </w:pPr>
          </w:p>
        </w:tc>
      </w:tr>
      <w:tr>
        <w:trPr>
          <w:trHeight w:val="207"/>
        </w:trPr>
        <w:tc>
          <w:tcPr>
            <w:tcW w:w="494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Other mortgage-related securities</w:t>
            </w:r>
          </w:p>
        </w:tc>
        <w:tc>
          <w:tcPr>
            <w:tcW w:w="10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131</w:t>
            </w:r>
          </w:p>
        </w:tc>
        <w:tc>
          <w:tcPr>
            <w:tcW w:w="10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1040" w:type="dxa"/>
            <w:vAlign w:val="bottom"/>
            <w:tcBorders>
              <w:bottom w:val="single" w:sz="8" w:color="2C6937"/>
            </w:tcBorders>
          </w:tcPr>
          <w:p>
            <w:pPr>
              <w:ind w:left="840"/>
              <w:spacing w:after="0"/>
              <w:rPr>
                <w:sz w:val="20"/>
                <w:szCs w:val="20"/>
                <w:color w:val="auto"/>
              </w:rPr>
            </w:pPr>
            <w:r>
              <w:rPr>
                <w:rFonts w:ascii="Arial" w:cs="Arial" w:eastAsia="Arial" w:hAnsi="Arial"/>
                <w:sz w:val="15"/>
                <w:szCs w:val="15"/>
                <w:color w:val="auto"/>
                <w:w w:val="97"/>
              </w:rPr>
              <w:t>(2)</w:t>
            </w:r>
          </w:p>
        </w:tc>
        <w:tc>
          <w:tcPr>
            <w:tcW w:w="12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96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980" w:type="dxa"/>
            <w:vAlign w:val="bottom"/>
            <w:tcBorders>
              <w:bottom w:val="single" w:sz="8" w:color="2C6937"/>
            </w:tcBorders>
          </w:tcPr>
          <w:p>
            <w:pPr>
              <w:jc w:val="center"/>
              <w:ind w:left="606"/>
              <w:spacing w:after="0"/>
              <w:rPr>
                <w:sz w:val="20"/>
                <w:szCs w:val="20"/>
                <w:color w:val="auto"/>
              </w:rPr>
            </w:pPr>
            <w:r>
              <w:rPr>
                <w:rFonts w:ascii="Arial" w:cs="Arial" w:eastAsia="Arial" w:hAnsi="Arial"/>
                <w:sz w:val="15"/>
                <w:szCs w:val="15"/>
                <w:color w:val="auto"/>
                <w:w w:val="93"/>
              </w:rPr>
              <w:t>—</w:t>
            </w:r>
          </w:p>
        </w:tc>
        <w:tc>
          <w:tcPr>
            <w:tcW w:w="100" w:type="dxa"/>
            <w:vAlign w:val="bottom"/>
          </w:tcPr>
          <w:p>
            <w:pPr>
              <w:spacing w:after="0"/>
              <w:rPr>
                <w:sz w:val="18"/>
                <w:szCs w:val="18"/>
                <w:color w:val="auto"/>
              </w:rPr>
            </w:pPr>
          </w:p>
        </w:tc>
        <w:tc>
          <w:tcPr>
            <w:tcW w:w="46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140</w:t>
            </w:r>
          </w:p>
        </w:tc>
        <w:tc>
          <w:tcPr>
            <w:tcW w:w="0" w:type="dxa"/>
            <w:vAlign w:val="bottom"/>
          </w:tcPr>
          <w:p>
            <w:pPr>
              <w:spacing w:after="0"/>
              <w:rPr>
                <w:sz w:val="1"/>
                <w:szCs w:val="1"/>
                <w:color w:val="auto"/>
              </w:rPr>
            </w:pPr>
          </w:p>
        </w:tc>
      </w:tr>
      <w:tr>
        <w:trPr>
          <w:trHeight w:val="199"/>
        </w:trPr>
        <w:tc>
          <w:tcPr>
            <w:tcW w:w="5040" w:type="dxa"/>
            <w:vAlign w:val="bottom"/>
            <w:gridSpan w:val="2"/>
          </w:tcPr>
          <w:p>
            <w:pPr>
              <w:ind w:left="140"/>
              <w:spacing w:after="0"/>
              <w:rPr>
                <w:sz w:val="20"/>
                <w:szCs w:val="20"/>
                <w:color w:val="auto"/>
              </w:rPr>
            </w:pPr>
            <w:r>
              <w:rPr>
                <w:rFonts w:ascii="Arial" w:cs="Arial" w:eastAsia="Arial" w:hAnsi="Arial"/>
                <w:sz w:val="15"/>
                <w:szCs w:val="15"/>
                <w:color w:val="auto"/>
              </w:rPr>
              <w:t>Total</w:t>
            </w:r>
          </w:p>
        </w:tc>
        <w:tc>
          <w:tcPr>
            <w:tcW w:w="260" w:type="dxa"/>
            <w:vAlign w:val="bottom"/>
          </w:tcPr>
          <w:p>
            <w:pPr>
              <w:jc w:val="right"/>
              <w:ind w:right="86"/>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506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tcPr>
          <w:p>
            <w:pPr>
              <w:ind w:left="840"/>
              <w:spacing w:after="0"/>
              <w:rPr>
                <w:sz w:val="20"/>
                <w:szCs w:val="20"/>
                <w:color w:val="auto"/>
              </w:rPr>
            </w:pPr>
            <w:r>
              <w:rPr>
                <w:rFonts w:ascii="Arial" w:cs="Arial" w:eastAsia="Arial" w:hAnsi="Arial"/>
                <w:sz w:val="15"/>
                <w:szCs w:val="15"/>
                <w:color w:val="auto"/>
                <w:w w:val="97"/>
              </w:rPr>
              <w:t>(2)</w:t>
            </w:r>
          </w:p>
        </w:tc>
        <w:tc>
          <w:tcPr>
            <w:tcW w:w="320" w:type="dxa"/>
            <w:vAlign w:val="bottom"/>
            <w:gridSpan w:val="2"/>
          </w:tcPr>
          <w:p>
            <w:pPr>
              <w:jc w:val="right"/>
              <w:ind w:right="31"/>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17"/>
                <w:szCs w:val="17"/>
                <w:color w:val="auto"/>
              </w:rPr>
            </w:pPr>
          </w:p>
        </w:tc>
        <w:tc>
          <w:tcPr>
            <w:tcW w:w="180" w:type="dxa"/>
            <w:vAlign w:val="bottom"/>
          </w:tcPr>
          <w:p>
            <w:pPr>
              <w:jc w:val="right"/>
              <w:ind w:right="6"/>
              <w:spacing w:after="0"/>
              <w:rPr>
                <w:sz w:val="20"/>
                <w:szCs w:val="20"/>
                <w:color w:val="auto"/>
              </w:rPr>
            </w:pPr>
            <w:r>
              <w:rPr>
                <w:rFonts w:ascii="Arial" w:cs="Arial" w:eastAsia="Arial" w:hAnsi="Arial"/>
                <w:sz w:val="15"/>
                <w:szCs w:val="15"/>
                <w:color w:val="auto"/>
                <w:w w:val="95"/>
              </w:rPr>
              <w:t>$</w:t>
            </w:r>
          </w:p>
        </w:tc>
        <w:tc>
          <w:tcPr>
            <w:tcW w:w="980" w:type="dxa"/>
            <w:vAlign w:val="bottom"/>
          </w:tcPr>
          <w:p>
            <w:pPr>
              <w:jc w:val="center"/>
              <w:ind w:left="566"/>
              <w:spacing w:after="0"/>
              <w:rPr>
                <w:sz w:val="20"/>
                <w:szCs w:val="20"/>
                <w:color w:val="auto"/>
              </w:rPr>
            </w:pPr>
            <w:r>
              <w:rPr>
                <w:rFonts w:ascii="Arial" w:cs="Arial" w:eastAsia="Arial" w:hAnsi="Arial"/>
                <w:sz w:val="15"/>
                <w:szCs w:val="15"/>
                <w:color w:val="auto"/>
                <w:w w:val="97"/>
              </w:rPr>
              <w:t>(25)</w:t>
            </w:r>
          </w:p>
        </w:tc>
        <w:tc>
          <w:tcPr>
            <w:tcW w:w="100" w:type="dxa"/>
            <w:vAlign w:val="bottom"/>
          </w:tcPr>
          <w:p>
            <w:pPr>
              <w:spacing w:after="0"/>
              <w:rPr>
                <w:sz w:val="17"/>
                <w:szCs w:val="17"/>
                <w:color w:val="auto"/>
              </w:rPr>
            </w:pPr>
          </w:p>
        </w:tc>
        <w:tc>
          <w:tcPr>
            <w:tcW w:w="460" w:type="dxa"/>
            <w:vAlign w:val="bottom"/>
          </w:tcPr>
          <w:p>
            <w:pPr>
              <w:jc w:val="right"/>
              <w:ind w:right="286"/>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492</w:t>
            </w:r>
          </w:p>
        </w:tc>
        <w:tc>
          <w:tcPr>
            <w:tcW w:w="0" w:type="dxa"/>
            <w:vAlign w:val="bottom"/>
          </w:tcPr>
          <w:p>
            <w:pPr>
              <w:spacing w:after="0"/>
              <w:rPr>
                <w:sz w:val="1"/>
                <w:szCs w:val="1"/>
                <w:color w:val="auto"/>
              </w:rPr>
            </w:pPr>
          </w:p>
        </w:tc>
      </w:tr>
      <w:tr>
        <w:trPr>
          <w:trHeight w:val="20"/>
        </w:trPr>
        <w:tc>
          <w:tcPr>
            <w:tcW w:w="49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9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04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9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9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441960</wp:posOffset>
            </wp:positionV>
            <wp:extent cx="680593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93" w:name="page94"/>
    <w:bookmarkEnd w:id="93"/>
    <w:p>
      <w:pPr>
        <w:ind w:left="6080"/>
        <w:spacing w:after="0"/>
        <w:rPr>
          <w:sz w:val="20"/>
          <w:szCs w:val="20"/>
          <w:color w:val="auto"/>
        </w:rPr>
      </w:pPr>
      <w:r>
        <w:rPr>
          <w:rFonts w:ascii="Arial" w:cs="Arial" w:eastAsia="Arial" w:hAnsi="Arial"/>
          <w:sz w:val="14"/>
          <w:szCs w:val="14"/>
          <w:color w:val="05314D"/>
        </w:rPr>
        <w:t>Notes to Condensed Consolidated Financial Statements | Investments in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90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2580" w:type="dxa"/>
            <w:vAlign w:val="bottom"/>
            <w:tcBorders>
              <w:bottom w:val="single" w:sz="8" w:color="2C6937"/>
            </w:tcBorders>
            <w:gridSpan w:val="6"/>
          </w:tcPr>
          <w:p>
            <w:pPr>
              <w:jc w:val="center"/>
              <w:ind w:left="767"/>
              <w:spacing w:after="0"/>
              <w:rPr>
                <w:sz w:val="20"/>
                <w:szCs w:val="20"/>
                <w:color w:val="auto"/>
              </w:rPr>
            </w:pPr>
            <w:r>
              <w:rPr>
                <w:rFonts w:ascii="Arial" w:cs="Arial" w:eastAsia="Arial" w:hAnsi="Arial"/>
                <w:sz w:val="14"/>
                <w:szCs w:val="14"/>
                <w:b w:val="1"/>
                <w:bCs w:val="1"/>
                <w:color w:val="auto"/>
                <w:w w:val="98"/>
              </w:rPr>
              <w:t>As of December 31, 2023</w:t>
            </w:r>
          </w:p>
        </w:tc>
        <w:tc>
          <w:tcPr>
            <w:tcW w:w="98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44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Total Amortized</w:t>
            </w:r>
          </w:p>
        </w:tc>
        <w:tc>
          <w:tcPr>
            <w:tcW w:w="120" w:type="dxa"/>
            <w:vAlign w:val="bottom"/>
          </w:tcPr>
          <w:p>
            <w:pPr>
              <w:spacing w:after="0"/>
              <w:rPr>
                <w:sz w:val="15"/>
                <w:szCs w:val="15"/>
                <w:color w:val="auto"/>
              </w:rPr>
            </w:pPr>
          </w:p>
        </w:tc>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rPr>
              <w:t>Allowance for</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Gross</w:t>
            </w:r>
          </w:p>
        </w:tc>
        <w:tc>
          <w:tcPr>
            <w:tcW w:w="18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Gross</w:t>
            </w: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3"/>
          </w:tcPr>
          <w:p>
            <w:pPr>
              <w:jc w:val="center"/>
              <w:ind w:right="100"/>
              <w:spacing w:after="0" w:line="155" w:lineRule="exact"/>
              <w:rPr>
                <w:sz w:val="20"/>
                <w:szCs w:val="20"/>
                <w:color w:val="auto"/>
              </w:rPr>
            </w:pPr>
            <w:r>
              <w:rPr>
                <w:rFonts w:ascii="Arial" w:cs="Arial" w:eastAsia="Arial" w:hAnsi="Arial"/>
                <w:sz w:val="14"/>
                <w:szCs w:val="14"/>
                <w:b w:val="1"/>
                <w:bCs w:val="1"/>
                <w:color w:val="auto"/>
                <w:w w:val="98"/>
              </w:rPr>
              <w:t>Unrealized Gains</w:t>
            </w:r>
          </w:p>
        </w:tc>
        <w:tc>
          <w:tcPr>
            <w:tcW w:w="180" w:type="dxa"/>
            <w:vAlign w:val="bottom"/>
          </w:tcPr>
          <w:p>
            <w:pPr>
              <w:spacing w:after="0"/>
              <w:rPr>
                <w:sz w:val="13"/>
                <w:szCs w:val="13"/>
                <w:color w:val="auto"/>
              </w:rPr>
            </w:pPr>
          </w:p>
        </w:tc>
        <w:tc>
          <w:tcPr>
            <w:tcW w:w="110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8"/>
              </w:rPr>
              <w:t>Unrealized</w:t>
            </w: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4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1000" w:type="dxa"/>
            <w:vAlign w:val="bottom"/>
            <w:tcBorders>
              <w:bottom w:val="single" w:sz="8" w:color="2C6937"/>
            </w:tcBorders>
            <w:gridSpan w:val="2"/>
          </w:tcPr>
          <w:p>
            <w:pPr>
              <w:ind w:left="160"/>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2C6937"/>
            </w:tcBorders>
          </w:tcPr>
          <w:p>
            <w:pPr>
              <w:spacing w:after="0"/>
              <w:rPr>
                <w:sz w:val="17"/>
                <w:szCs w:val="17"/>
                <w:color w:val="auto"/>
              </w:rPr>
            </w:pPr>
          </w:p>
        </w:tc>
        <w:tc>
          <w:tcPr>
            <w:tcW w:w="1040" w:type="dxa"/>
            <w:vAlign w:val="bottom"/>
            <w:tcBorders>
              <w:bottom w:val="single" w:sz="8" w:color="2C6937"/>
            </w:tcBorders>
          </w:tcPr>
          <w:p>
            <w:pPr>
              <w:spacing w:after="0"/>
              <w:rPr>
                <w:sz w:val="20"/>
                <w:szCs w:val="20"/>
                <w:color w:val="auto"/>
              </w:rPr>
            </w:pPr>
            <w:r>
              <w:rPr>
                <w:rFonts w:ascii="Arial" w:cs="Arial" w:eastAsia="Arial" w:hAnsi="Arial"/>
                <w:sz w:val="14"/>
                <w:szCs w:val="14"/>
                <w:b w:val="1"/>
                <w:bCs w:val="1"/>
                <w:color w:val="auto"/>
              </w:rPr>
              <w:t>Credit Losses</w:t>
            </w:r>
          </w:p>
        </w:tc>
        <w:tc>
          <w:tcPr>
            <w:tcW w:w="100" w:type="dxa"/>
            <w:vAlign w:val="bottom"/>
            <w:tcBorders>
              <w:bottom w:val="single" w:sz="8" w:color="2C6937"/>
            </w:tcBorders>
          </w:tcPr>
          <w:p>
            <w:pPr>
              <w:spacing w:after="0"/>
              <w:rPr>
                <w:sz w:val="17"/>
                <w:szCs w:val="17"/>
                <w:color w:val="auto"/>
              </w:rPr>
            </w:pPr>
          </w:p>
        </w:tc>
        <w:tc>
          <w:tcPr>
            <w:tcW w:w="220" w:type="dxa"/>
            <w:vAlign w:val="bottom"/>
            <w:tcBorders>
              <w:bottom w:val="single" w:sz="8" w:color="2C6937"/>
            </w:tcBorders>
          </w:tcPr>
          <w:p>
            <w:pPr>
              <w:spacing w:after="0"/>
              <w:rPr>
                <w:sz w:val="17"/>
                <w:szCs w:val="17"/>
                <w:color w:val="auto"/>
              </w:rPr>
            </w:pPr>
          </w:p>
        </w:tc>
        <w:tc>
          <w:tcPr>
            <w:tcW w:w="1040" w:type="dxa"/>
            <w:vAlign w:val="bottom"/>
            <w:tcBorders>
              <w:bottom w:val="single" w:sz="8" w:color="2C6937"/>
            </w:tcBorders>
            <w:gridSpan w:val="2"/>
          </w:tcPr>
          <w:p>
            <w:pPr>
              <w:jc w:val="center"/>
              <w:ind w:right="300"/>
              <w:spacing w:after="0"/>
              <w:rPr>
                <w:sz w:val="20"/>
                <w:szCs w:val="20"/>
                <w:color w:val="auto"/>
              </w:rPr>
            </w:pPr>
            <w:r>
              <w:rPr>
                <w:rFonts w:ascii="Arial" w:cs="Arial" w:eastAsia="Arial" w:hAnsi="Arial"/>
                <w:sz w:val="14"/>
                <w:szCs w:val="14"/>
                <w:b w:val="1"/>
                <w:bCs w:val="1"/>
                <w:color w:val="auto"/>
                <w:w w:val="97"/>
              </w:rPr>
              <w:t>in AOCI</w:t>
            </w:r>
          </w:p>
        </w:tc>
        <w:tc>
          <w:tcPr>
            <w:tcW w:w="1280" w:type="dxa"/>
            <w:vAlign w:val="bottom"/>
            <w:tcBorders>
              <w:bottom w:val="single" w:sz="8" w:color="2C6937"/>
            </w:tcBorders>
            <w:gridSpan w:val="3"/>
          </w:tcPr>
          <w:p>
            <w:pPr>
              <w:jc w:val="center"/>
              <w:ind w:right="100"/>
              <w:spacing w:after="0"/>
              <w:rPr>
                <w:sz w:val="20"/>
                <w:szCs w:val="20"/>
                <w:color w:val="auto"/>
              </w:rPr>
            </w:pPr>
            <w:r>
              <w:rPr>
                <w:rFonts w:ascii="Arial" w:cs="Arial" w:eastAsia="Arial" w:hAnsi="Arial"/>
                <w:sz w:val="14"/>
                <w:szCs w:val="14"/>
                <w:b w:val="1"/>
                <w:bCs w:val="1"/>
                <w:color w:val="auto"/>
                <w:w w:val="98"/>
              </w:rPr>
              <w:t>Losses in AOCI</w:t>
            </w:r>
          </w:p>
        </w:tc>
        <w:tc>
          <w:tcPr>
            <w:tcW w:w="1120" w:type="dxa"/>
            <w:vAlign w:val="bottom"/>
            <w:tcBorders>
              <w:bottom w:val="single" w:sz="8" w:color="2C6937"/>
            </w:tcBorders>
            <w:gridSpan w:val="2"/>
          </w:tcPr>
          <w:p>
            <w:pPr>
              <w:jc w:val="right"/>
              <w:spacing w:after="0"/>
              <w:rPr>
                <w:sz w:val="20"/>
                <w:szCs w:val="20"/>
                <w:color w:val="auto"/>
              </w:rPr>
            </w:pPr>
            <w:r>
              <w:rPr>
                <w:rFonts w:ascii="Arial" w:cs="Arial" w:eastAsia="Arial" w:hAnsi="Arial"/>
                <w:sz w:val="14"/>
                <w:szCs w:val="14"/>
                <w:b w:val="1"/>
                <w:bCs w:val="1"/>
                <w:color w:val="auto"/>
                <w:w w:val="99"/>
              </w:rPr>
              <w:t>Total Fair Value</w:t>
            </w:r>
          </w:p>
        </w:tc>
        <w:tc>
          <w:tcPr>
            <w:tcW w:w="0" w:type="dxa"/>
            <w:vAlign w:val="bottom"/>
          </w:tcPr>
          <w:p>
            <w:pPr>
              <w:spacing w:after="0"/>
              <w:rPr>
                <w:sz w:val="1"/>
                <w:szCs w:val="1"/>
                <w:color w:val="auto"/>
              </w:rPr>
            </w:pPr>
          </w:p>
        </w:tc>
      </w:tr>
      <w:tr>
        <w:trPr>
          <w:trHeight w:val="185"/>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6"/>
              </w:rPr>
              <w:t>(Dollars in millions)</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060" w:type="dxa"/>
            <w:vAlign w:val="bottom"/>
            <w:gridSpan w:val="2"/>
          </w:tcPr>
          <w:p>
            <w:pPr>
              <w:ind w:left="20"/>
              <w:spacing w:after="0"/>
              <w:rPr>
                <w:sz w:val="20"/>
                <w:szCs w:val="20"/>
                <w:color w:val="auto"/>
              </w:rPr>
            </w:pPr>
            <w:r>
              <w:rPr>
                <w:rFonts w:ascii="Arial" w:cs="Arial" w:eastAsia="Arial" w:hAnsi="Arial"/>
                <w:sz w:val="15"/>
                <w:szCs w:val="15"/>
                <w:color w:val="auto"/>
              </w:rPr>
              <w:t>Agency securities</w:t>
            </w:r>
          </w:p>
        </w:tc>
        <w:tc>
          <w:tcPr>
            <w:tcW w:w="260" w:type="dxa"/>
            <w:vAlign w:val="bottom"/>
          </w:tcPr>
          <w:p>
            <w:pPr>
              <w:jc w:val="right"/>
              <w:ind w:right="86"/>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ind w:right="5"/>
              <w:spacing w:after="0"/>
              <w:rPr>
                <w:sz w:val="20"/>
                <w:szCs w:val="20"/>
                <w:color w:val="auto"/>
              </w:rPr>
            </w:pPr>
            <w:r>
              <w:rPr>
                <w:rFonts w:ascii="Arial" w:cs="Arial" w:eastAsia="Arial" w:hAnsi="Arial"/>
                <w:sz w:val="15"/>
                <w:szCs w:val="15"/>
                <w:color w:val="auto"/>
              </w:rPr>
              <w:t>405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ind w:left="820"/>
              <w:spacing w:after="0"/>
              <w:rPr>
                <w:sz w:val="20"/>
                <w:szCs w:val="20"/>
                <w:color w:val="auto"/>
              </w:rPr>
            </w:pPr>
            <w:r>
              <w:rPr>
                <w:rFonts w:ascii="Arial" w:cs="Arial" w:eastAsia="Arial" w:hAnsi="Arial"/>
                <w:sz w:val="15"/>
                <w:szCs w:val="15"/>
                <w:color w:val="auto"/>
              </w:rPr>
              <w:t>—</w:t>
            </w:r>
          </w:p>
        </w:tc>
        <w:tc>
          <w:tcPr>
            <w:tcW w:w="320" w:type="dxa"/>
            <w:vAlign w:val="bottom"/>
            <w:gridSpan w:val="2"/>
          </w:tcPr>
          <w:p>
            <w:pPr>
              <w:jc w:val="right"/>
              <w:ind w:right="51"/>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center"/>
              <w:ind w:left="586"/>
              <w:spacing w:after="0"/>
              <w:rPr>
                <w:sz w:val="20"/>
                <w:szCs w:val="20"/>
                <w:color w:val="auto"/>
              </w:rPr>
            </w:pPr>
            <w:r>
              <w:rPr>
                <w:rFonts w:ascii="Arial" w:cs="Arial" w:eastAsia="Arial" w:hAnsi="Arial"/>
                <w:sz w:val="15"/>
                <w:szCs w:val="15"/>
                <w:color w:val="auto"/>
              </w:rPr>
              <w:t>(29)</w:t>
            </w:r>
          </w:p>
        </w:tc>
        <w:tc>
          <w:tcPr>
            <w:tcW w:w="120" w:type="dxa"/>
            <w:vAlign w:val="bottom"/>
          </w:tcPr>
          <w:p>
            <w:pPr>
              <w:spacing w:after="0"/>
              <w:rPr>
                <w:sz w:val="17"/>
                <w:szCs w:val="17"/>
                <w:color w:val="auto"/>
              </w:rPr>
            </w:pPr>
          </w:p>
        </w:tc>
        <w:tc>
          <w:tcPr>
            <w:tcW w:w="440" w:type="dxa"/>
            <w:vAlign w:val="bottom"/>
          </w:tcPr>
          <w:p>
            <w:pPr>
              <w:jc w:val="right"/>
              <w:ind w:right="266"/>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377</w:t>
            </w:r>
          </w:p>
        </w:tc>
        <w:tc>
          <w:tcPr>
            <w:tcW w:w="0" w:type="dxa"/>
            <w:vAlign w:val="bottom"/>
          </w:tcPr>
          <w:p>
            <w:pPr>
              <w:spacing w:after="0"/>
              <w:rPr>
                <w:sz w:val="1"/>
                <w:szCs w:val="1"/>
                <w:color w:val="auto"/>
              </w:rPr>
            </w:pPr>
          </w:p>
        </w:tc>
      </w:tr>
      <w:tr>
        <w:trPr>
          <w:trHeight w:val="207"/>
        </w:trPr>
        <w:tc>
          <w:tcPr>
            <w:tcW w:w="4960" w:type="dxa"/>
            <w:vAlign w:val="bottom"/>
            <w:tcBorders>
              <w:bottom w:val="single" w:sz="8" w:color="2C6937"/>
            </w:tcBorders>
          </w:tcPr>
          <w:p>
            <w:pPr>
              <w:ind w:left="40"/>
              <w:spacing w:after="0"/>
              <w:rPr>
                <w:sz w:val="20"/>
                <w:szCs w:val="20"/>
                <w:color w:val="auto"/>
              </w:rPr>
            </w:pPr>
            <w:r>
              <w:rPr>
                <w:rFonts w:ascii="Arial" w:cs="Arial" w:eastAsia="Arial" w:hAnsi="Arial"/>
                <w:sz w:val="15"/>
                <w:szCs w:val="15"/>
                <w:color w:val="auto"/>
              </w:rPr>
              <w:t>Other mortgage-related securities</w:t>
            </w:r>
          </w:p>
        </w:tc>
        <w:tc>
          <w:tcPr>
            <w:tcW w:w="10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90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179</w:t>
            </w:r>
          </w:p>
        </w:tc>
        <w:tc>
          <w:tcPr>
            <w:tcW w:w="10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1040" w:type="dxa"/>
            <w:vAlign w:val="bottom"/>
            <w:tcBorders>
              <w:bottom w:val="single" w:sz="8" w:color="2C6937"/>
            </w:tcBorders>
          </w:tcPr>
          <w:p>
            <w:pPr>
              <w:ind w:left="820"/>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980" w:type="dxa"/>
            <w:vAlign w:val="bottom"/>
            <w:tcBorders>
              <w:bottom w:val="single" w:sz="8" w:color="2C6937"/>
            </w:tcBorders>
          </w:tcPr>
          <w:p>
            <w:pPr>
              <w:jc w:val="center"/>
              <w:ind w:left="626"/>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44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187</w:t>
            </w:r>
          </w:p>
        </w:tc>
        <w:tc>
          <w:tcPr>
            <w:tcW w:w="0" w:type="dxa"/>
            <w:vAlign w:val="bottom"/>
          </w:tcPr>
          <w:p>
            <w:pPr>
              <w:spacing w:after="0"/>
              <w:rPr>
                <w:sz w:val="1"/>
                <w:szCs w:val="1"/>
                <w:color w:val="auto"/>
              </w:rPr>
            </w:pPr>
          </w:p>
        </w:tc>
      </w:tr>
      <w:tr>
        <w:trPr>
          <w:trHeight w:val="199"/>
        </w:trPr>
        <w:tc>
          <w:tcPr>
            <w:tcW w:w="5060" w:type="dxa"/>
            <w:vAlign w:val="bottom"/>
            <w:gridSpan w:val="2"/>
          </w:tcPr>
          <w:p>
            <w:pPr>
              <w:ind w:left="140"/>
              <w:spacing w:after="0"/>
              <w:rPr>
                <w:sz w:val="20"/>
                <w:szCs w:val="20"/>
                <w:color w:val="auto"/>
              </w:rPr>
            </w:pPr>
            <w:r>
              <w:rPr>
                <w:rFonts w:ascii="Arial" w:cs="Arial" w:eastAsia="Arial" w:hAnsi="Arial"/>
                <w:sz w:val="15"/>
                <w:szCs w:val="15"/>
                <w:color w:val="auto"/>
              </w:rPr>
              <w:t>Total</w:t>
            </w:r>
          </w:p>
        </w:tc>
        <w:tc>
          <w:tcPr>
            <w:tcW w:w="260" w:type="dxa"/>
            <w:vAlign w:val="bottom"/>
          </w:tcPr>
          <w:p>
            <w:pPr>
              <w:jc w:val="right"/>
              <w:ind w:right="86"/>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ind w:right="5"/>
              <w:spacing w:after="0"/>
              <w:rPr>
                <w:sz w:val="20"/>
                <w:szCs w:val="20"/>
                <w:color w:val="auto"/>
              </w:rPr>
            </w:pPr>
            <w:r>
              <w:rPr>
                <w:rFonts w:ascii="Arial" w:cs="Arial" w:eastAsia="Arial" w:hAnsi="Arial"/>
                <w:sz w:val="15"/>
                <w:szCs w:val="15"/>
                <w:color w:val="auto"/>
              </w:rPr>
              <w:t>584</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ind w:left="820"/>
              <w:spacing w:after="0"/>
              <w:rPr>
                <w:sz w:val="20"/>
                <w:szCs w:val="20"/>
                <w:color w:val="auto"/>
              </w:rPr>
            </w:pPr>
            <w:r>
              <w:rPr>
                <w:rFonts w:ascii="Arial" w:cs="Arial" w:eastAsia="Arial" w:hAnsi="Arial"/>
                <w:sz w:val="15"/>
                <w:szCs w:val="15"/>
                <w:color w:val="auto"/>
              </w:rPr>
              <w:t>(2)</w:t>
            </w:r>
          </w:p>
        </w:tc>
        <w:tc>
          <w:tcPr>
            <w:tcW w:w="320" w:type="dxa"/>
            <w:vAlign w:val="bottom"/>
            <w:gridSpan w:val="2"/>
          </w:tcPr>
          <w:p>
            <w:pPr>
              <w:jc w:val="right"/>
              <w:ind w:right="51"/>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center"/>
              <w:ind w:left="586"/>
              <w:spacing w:after="0"/>
              <w:rPr>
                <w:sz w:val="20"/>
                <w:szCs w:val="20"/>
                <w:color w:val="auto"/>
              </w:rPr>
            </w:pPr>
            <w:r>
              <w:rPr>
                <w:rFonts w:ascii="Arial" w:cs="Arial" w:eastAsia="Arial" w:hAnsi="Arial"/>
                <w:sz w:val="15"/>
                <w:szCs w:val="15"/>
                <w:color w:val="auto"/>
              </w:rPr>
              <w:t>(29)</w:t>
            </w:r>
          </w:p>
        </w:tc>
        <w:tc>
          <w:tcPr>
            <w:tcW w:w="120" w:type="dxa"/>
            <w:vAlign w:val="bottom"/>
          </w:tcPr>
          <w:p>
            <w:pPr>
              <w:spacing w:after="0"/>
              <w:rPr>
                <w:sz w:val="17"/>
                <w:szCs w:val="17"/>
                <w:color w:val="auto"/>
              </w:rPr>
            </w:pPr>
          </w:p>
        </w:tc>
        <w:tc>
          <w:tcPr>
            <w:tcW w:w="440" w:type="dxa"/>
            <w:vAlign w:val="bottom"/>
          </w:tcPr>
          <w:p>
            <w:pPr>
              <w:jc w:val="right"/>
              <w:ind w:right="266"/>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564</w:t>
            </w:r>
          </w:p>
        </w:tc>
        <w:tc>
          <w:tcPr>
            <w:tcW w:w="0" w:type="dxa"/>
            <w:vAlign w:val="bottom"/>
          </w:tcPr>
          <w:p>
            <w:pPr>
              <w:spacing w:after="0"/>
              <w:rPr>
                <w:sz w:val="1"/>
                <w:szCs w:val="1"/>
                <w:color w:val="auto"/>
              </w:rPr>
            </w:pPr>
          </w:p>
        </w:tc>
      </w:tr>
      <w:tr>
        <w:trPr>
          <w:trHeight w:val="20"/>
        </w:trPr>
        <w:tc>
          <w:tcPr>
            <w:tcW w:w="49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9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0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98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ind w:right="80"/>
        <w:spacing w:after="0" w:line="263" w:lineRule="auto"/>
        <w:rPr>
          <w:sz w:val="20"/>
          <w:szCs w:val="20"/>
          <w:color w:val="auto"/>
        </w:rPr>
      </w:pPr>
      <w:r>
        <w:rPr>
          <w:rFonts w:ascii="Arial" w:cs="Arial" w:eastAsia="Arial" w:hAnsi="Arial"/>
          <w:sz w:val="16"/>
          <w:szCs w:val="16"/>
          <w:color w:val="auto"/>
        </w:rPr>
        <w:t>Agency securities consist of securities issued by us, Freddie Mac, or Ginnie Mae. The principal and interest on these securities are guaranteed by the issuing agency. We believe that the guaranty provided by the issuing agency, the support provided to the agencies by the U.S. government, the importance of the agencies to the liquidity and stability in the secondary mortgage market, and the long history of zero credit losses on agency mortgage-related securities are all indicators that there are currently no credit losses on these securities, even if the security is in an unrealized loss position. In addition, we generally hold these securities that are in an unrealized loss position to recovery. As a result, unless we intend to sell the security, we do not recognize an allowance for credit losses on agency mortgage-related securities.</w:t>
      </w:r>
    </w:p>
    <w:p>
      <w:pPr>
        <w:spacing w:after="0" w:line="67" w:lineRule="exact"/>
        <w:rPr>
          <w:sz w:val="20"/>
          <w:szCs w:val="20"/>
          <w:color w:val="auto"/>
        </w:rPr>
      </w:pPr>
    </w:p>
    <w:p>
      <w:pPr>
        <w:ind w:right="620"/>
        <w:spacing w:after="0" w:line="293" w:lineRule="auto"/>
        <w:rPr>
          <w:sz w:val="20"/>
          <w:szCs w:val="20"/>
          <w:color w:val="auto"/>
        </w:rPr>
      </w:pPr>
      <w:r>
        <w:rPr>
          <w:rFonts w:ascii="Arial" w:cs="Arial" w:eastAsia="Arial" w:hAnsi="Arial"/>
          <w:sz w:val="16"/>
          <w:szCs w:val="16"/>
          <w:color w:val="auto"/>
        </w:rPr>
        <w:t>The following table displays additional information regarding gross unrealized losses and fair value for AFS securities in an unrealized loss position, excluding allowance for credit losses.</w:t>
      </w:r>
    </w:p>
    <w:p>
      <w:pPr>
        <w:spacing w:after="0" w:line="92"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316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840" w:type="dxa"/>
            <w:vAlign w:val="bottom"/>
            <w:tcBorders>
              <w:bottom w:val="single" w:sz="8" w:color="2C6937"/>
            </w:tcBorders>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62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820" w:type="dxa"/>
            <w:vAlign w:val="bottom"/>
            <w:tcBorders>
              <w:bottom w:val="single" w:sz="8" w:color="2C6937"/>
            </w:tcBorders>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gridSpan w:val="3"/>
          </w:tcPr>
          <w:p>
            <w:pPr>
              <w:jc w:val="center"/>
              <w:ind w:left="248"/>
              <w:spacing w:after="0"/>
              <w:rPr>
                <w:sz w:val="20"/>
                <w:szCs w:val="20"/>
                <w:color w:val="auto"/>
              </w:rPr>
            </w:pPr>
            <w:r>
              <w:rPr>
                <w:rFonts w:ascii="Arial" w:cs="Arial" w:eastAsia="Arial" w:hAnsi="Arial"/>
                <w:sz w:val="14"/>
                <w:szCs w:val="14"/>
                <w:b w:val="1"/>
                <w:bCs w:val="1"/>
                <w:color w:val="auto"/>
                <w:w w:val="97"/>
              </w:rPr>
              <w:t>As of</w:t>
            </w:r>
          </w:p>
        </w:tc>
        <w:tc>
          <w:tcPr>
            <w:tcW w:w="820" w:type="dxa"/>
            <w:vAlign w:val="bottom"/>
            <w:tcBorders>
              <w:bottom w:val="single" w:sz="8" w:color="2C6937"/>
            </w:tcBorders>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62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820" w:type="dxa"/>
            <w:vAlign w:val="bottom"/>
            <w:tcBorders>
              <w:bottom w:val="single" w:sz="8" w:color="2C6937"/>
            </w:tcBorders>
          </w:tcPr>
          <w:p>
            <w:pPr>
              <w:spacing w:after="0"/>
              <w:rPr>
                <w:sz w:val="16"/>
                <w:szCs w:val="16"/>
                <w:color w:val="auto"/>
              </w:rPr>
            </w:pPr>
          </w:p>
        </w:tc>
        <w:tc>
          <w:tcPr>
            <w:tcW w:w="320" w:type="dxa"/>
            <w:vAlign w:val="bottom"/>
            <w:tcBorders>
              <w:bottom w:val="single" w:sz="8" w:color="2C6937"/>
            </w:tcBorders>
          </w:tcPr>
          <w:p>
            <w:pPr>
              <w:spacing w:after="0"/>
              <w:rPr>
                <w:sz w:val="16"/>
                <w:szCs w:val="16"/>
                <w:color w:val="auto"/>
              </w:rPr>
            </w:pPr>
          </w:p>
        </w:tc>
        <w:tc>
          <w:tcPr>
            <w:tcW w:w="50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16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840" w:type="dxa"/>
            <w:vAlign w:val="bottom"/>
            <w:tcBorders>
              <w:bottom w:val="single" w:sz="8" w:color="2C6937"/>
            </w:tcBorders>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1840" w:type="dxa"/>
            <w:vAlign w:val="bottom"/>
            <w:tcBorders>
              <w:bottom w:val="single" w:sz="8" w:color="2C6937"/>
            </w:tcBorders>
            <w:gridSpan w:val="4"/>
          </w:tcPr>
          <w:p>
            <w:pPr>
              <w:jc w:val="right"/>
              <w:ind w:right="448"/>
              <w:spacing w:after="0"/>
              <w:rPr>
                <w:sz w:val="20"/>
                <w:szCs w:val="20"/>
                <w:color w:val="auto"/>
              </w:rPr>
            </w:pPr>
            <w:r>
              <w:rPr>
                <w:rFonts w:ascii="Arial" w:cs="Arial" w:eastAsia="Arial" w:hAnsi="Arial"/>
                <w:sz w:val="14"/>
                <w:szCs w:val="14"/>
                <w:b w:val="1"/>
                <w:bCs w:val="1"/>
                <w:color w:val="auto"/>
                <w:w w:val="99"/>
              </w:rPr>
              <w:t>September 30, 2024</w:t>
            </w:r>
          </w:p>
        </w:tc>
        <w:tc>
          <w:tcPr>
            <w:tcW w:w="200" w:type="dxa"/>
            <w:vAlign w:val="bottom"/>
            <w:tcBorders>
              <w:bottom w:val="single" w:sz="8" w:color="2C6937"/>
            </w:tcBorders>
          </w:tcPr>
          <w:p>
            <w:pPr>
              <w:spacing w:after="0"/>
              <w:rPr>
                <w:sz w:val="16"/>
                <w:szCs w:val="16"/>
                <w:color w:val="auto"/>
              </w:rPr>
            </w:pPr>
          </w:p>
        </w:tc>
        <w:tc>
          <w:tcPr>
            <w:tcW w:w="64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820" w:type="dxa"/>
            <w:vAlign w:val="bottom"/>
            <w:tcBorders>
              <w:bottom w:val="single" w:sz="8" w:color="2C6937"/>
            </w:tcBorders>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1840" w:type="dxa"/>
            <w:vAlign w:val="bottom"/>
            <w:tcBorders>
              <w:bottom w:val="single" w:sz="8" w:color="2C6937"/>
            </w:tcBorders>
            <w:gridSpan w:val="4"/>
          </w:tcPr>
          <w:p>
            <w:pPr>
              <w:jc w:val="right"/>
              <w:ind w:right="468"/>
              <w:spacing w:after="0"/>
              <w:rPr>
                <w:sz w:val="20"/>
                <w:szCs w:val="20"/>
                <w:color w:val="auto"/>
              </w:rPr>
            </w:pPr>
            <w:r>
              <w:rPr>
                <w:rFonts w:ascii="Arial" w:cs="Arial" w:eastAsia="Arial" w:hAnsi="Arial"/>
                <w:sz w:val="14"/>
                <w:szCs w:val="14"/>
                <w:b w:val="1"/>
                <w:bCs w:val="1"/>
                <w:color w:val="auto"/>
              </w:rPr>
              <w:t>December 31, 2023</w:t>
            </w:r>
          </w:p>
        </w:tc>
        <w:tc>
          <w:tcPr>
            <w:tcW w:w="320" w:type="dxa"/>
            <w:vAlign w:val="bottom"/>
            <w:tcBorders>
              <w:bottom w:val="single" w:sz="8" w:color="2C6937"/>
            </w:tcBorders>
          </w:tcPr>
          <w:p>
            <w:pPr>
              <w:spacing w:after="0"/>
              <w:rPr>
                <w:sz w:val="16"/>
                <w:szCs w:val="16"/>
                <w:color w:val="auto"/>
              </w:rPr>
            </w:pPr>
          </w:p>
        </w:tc>
        <w:tc>
          <w:tcPr>
            <w:tcW w:w="50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160" w:type="dxa"/>
            <w:vAlign w:val="bottom"/>
          </w:tcPr>
          <w:p>
            <w:pPr>
              <w:spacing w:after="0"/>
              <w:rPr>
                <w:sz w:val="15"/>
                <w:szCs w:val="15"/>
                <w:color w:val="auto"/>
              </w:rPr>
            </w:pPr>
          </w:p>
        </w:tc>
        <w:tc>
          <w:tcPr>
            <w:tcW w:w="2040" w:type="dxa"/>
            <w:vAlign w:val="bottom"/>
            <w:gridSpan w:val="5"/>
          </w:tcPr>
          <w:p>
            <w:pPr>
              <w:ind w:left="100"/>
              <w:spacing w:after="0"/>
              <w:rPr>
                <w:sz w:val="20"/>
                <w:szCs w:val="20"/>
                <w:color w:val="auto"/>
              </w:rPr>
            </w:pPr>
            <w:r>
              <w:rPr>
                <w:rFonts w:ascii="Arial" w:cs="Arial" w:eastAsia="Arial" w:hAnsi="Arial"/>
                <w:sz w:val="14"/>
                <w:szCs w:val="14"/>
                <w:b w:val="1"/>
                <w:bCs w:val="1"/>
                <w:color w:val="auto"/>
              </w:rPr>
              <w:t>Less Than 12 Consecutive</w:t>
            </w:r>
          </w:p>
        </w:tc>
        <w:tc>
          <w:tcPr>
            <w:tcW w:w="20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8"/>
              </w:rPr>
              <w:t>12 Consecutive Months or</w:t>
            </w:r>
          </w:p>
        </w:tc>
        <w:tc>
          <w:tcPr>
            <w:tcW w:w="2040" w:type="dxa"/>
            <w:vAlign w:val="bottom"/>
            <w:gridSpan w:val="5"/>
          </w:tcPr>
          <w:p>
            <w:pPr>
              <w:ind w:left="100"/>
              <w:spacing w:after="0"/>
              <w:rPr>
                <w:sz w:val="20"/>
                <w:szCs w:val="20"/>
                <w:color w:val="auto"/>
              </w:rPr>
            </w:pPr>
            <w:r>
              <w:rPr>
                <w:rFonts w:ascii="Arial" w:cs="Arial" w:eastAsia="Arial" w:hAnsi="Arial"/>
                <w:sz w:val="14"/>
                <w:szCs w:val="14"/>
                <w:b w:val="1"/>
                <w:bCs w:val="1"/>
                <w:color w:val="auto"/>
              </w:rPr>
              <w:t>Less Than 12 Consecutive</w:t>
            </w:r>
          </w:p>
        </w:tc>
        <w:tc>
          <w:tcPr>
            <w:tcW w:w="19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8"/>
              </w:rPr>
              <w:t>12 Consecutive Months or</w:t>
            </w:r>
          </w:p>
        </w:tc>
        <w:tc>
          <w:tcPr>
            <w:tcW w:w="0" w:type="dxa"/>
            <w:vAlign w:val="bottom"/>
          </w:tcPr>
          <w:p>
            <w:pPr>
              <w:spacing w:after="0"/>
              <w:rPr>
                <w:sz w:val="1"/>
                <w:szCs w:val="1"/>
                <w:color w:val="auto"/>
              </w:rPr>
            </w:pPr>
          </w:p>
        </w:tc>
      </w:tr>
      <w:tr>
        <w:trPr>
          <w:trHeight w:val="196"/>
        </w:trPr>
        <w:tc>
          <w:tcPr>
            <w:tcW w:w="3160" w:type="dxa"/>
            <w:vAlign w:val="bottom"/>
          </w:tcPr>
          <w:p>
            <w:pPr>
              <w:spacing w:after="0"/>
              <w:rPr>
                <w:sz w:val="17"/>
                <w:szCs w:val="17"/>
                <w:color w:val="auto"/>
              </w:rPr>
            </w:pPr>
          </w:p>
        </w:tc>
        <w:tc>
          <w:tcPr>
            <w:tcW w:w="280" w:type="dxa"/>
            <w:vAlign w:val="bottom"/>
            <w:tcBorders>
              <w:bottom w:val="single" w:sz="8" w:color="2C6937"/>
            </w:tcBorders>
          </w:tcPr>
          <w:p>
            <w:pPr>
              <w:spacing w:after="0"/>
              <w:rPr>
                <w:sz w:val="17"/>
                <w:szCs w:val="17"/>
                <w:color w:val="auto"/>
              </w:rPr>
            </w:pPr>
          </w:p>
        </w:tc>
        <w:tc>
          <w:tcPr>
            <w:tcW w:w="1040" w:type="dxa"/>
            <w:vAlign w:val="bottom"/>
            <w:tcBorders>
              <w:bottom w:val="single" w:sz="8" w:color="2C6937"/>
            </w:tcBorders>
            <w:gridSpan w:val="2"/>
          </w:tcPr>
          <w:p>
            <w:pPr>
              <w:ind w:left="440"/>
              <w:spacing w:after="0"/>
              <w:rPr>
                <w:sz w:val="20"/>
                <w:szCs w:val="20"/>
                <w:color w:val="auto"/>
              </w:rPr>
            </w:pPr>
            <w:r>
              <w:rPr>
                <w:rFonts w:ascii="Arial" w:cs="Arial" w:eastAsia="Arial" w:hAnsi="Arial"/>
                <w:sz w:val="14"/>
                <w:szCs w:val="14"/>
                <w:b w:val="1"/>
                <w:bCs w:val="1"/>
                <w:color w:val="auto"/>
              </w:rPr>
              <w:t>Months</w:t>
            </w:r>
          </w:p>
        </w:tc>
        <w:tc>
          <w:tcPr>
            <w:tcW w:w="62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gridSpan w:val="2"/>
          </w:tcPr>
          <w:p>
            <w:pPr>
              <w:jc w:val="center"/>
              <w:ind w:left="268"/>
              <w:spacing w:after="0"/>
              <w:rPr>
                <w:sz w:val="20"/>
                <w:szCs w:val="20"/>
                <w:color w:val="auto"/>
              </w:rPr>
            </w:pPr>
            <w:r>
              <w:rPr>
                <w:rFonts w:ascii="Arial" w:cs="Arial" w:eastAsia="Arial" w:hAnsi="Arial"/>
                <w:sz w:val="14"/>
                <w:szCs w:val="14"/>
                <w:b w:val="1"/>
                <w:bCs w:val="1"/>
                <w:color w:val="auto"/>
              </w:rPr>
              <w:t>Longer</w:t>
            </w:r>
          </w:p>
        </w:tc>
        <w:tc>
          <w:tcPr>
            <w:tcW w:w="64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gridSpan w:val="2"/>
          </w:tcPr>
          <w:p>
            <w:pPr>
              <w:ind w:left="440"/>
              <w:spacing w:after="0"/>
              <w:rPr>
                <w:sz w:val="20"/>
                <w:szCs w:val="20"/>
                <w:color w:val="auto"/>
              </w:rPr>
            </w:pPr>
            <w:r>
              <w:rPr>
                <w:rFonts w:ascii="Arial" w:cs="Arial" w:eastAsia="Arial" w:hAnsi="Arial"/>
                <w:sz w:val="14"/>
                <w:szCs w:val="14"/>
                <w:b w:val="1"/>
                <w:bCs w:val="1"/>
                <w:color w:val="auto"/>
              </w:rPr>
              <w:t>Months</w:t>
            </w:r>
          </w:p>
        </w:tc>
        <w:tc>
          <w:tcPr>
            <w:tcW w:w="620" w:type="dxa"/>
            <w:vAlign w:val="bottom"/>
            <w:tcBorders>
              <w:bottom w:val="single" w:sz="8" w:color="2C6937"/>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2C6937"/>
            </w:tcBorders>
          </w:tcPr>
          <w:p>
            <w:pPr>
              <w:spacing w:after="0"/>
              <w:rPr>
                <w:sz w:val="17"/>
                <w:szCs w:val="17"/>
                <w:color w:val="auto"/>
              </w:rPr>
            </w:pPr>
          </w:p>
        </w:tc>
        <w:tc>
          <w:tcPr>
            <w:tcW w:w="1140" w:type="dxa"/>
            <w:vAlign w:val="bottom"/>
            <w:tcBorders>
              <w:bottom w:val="single" w:sz="8" w:color="2C6937"/>
            </w:tcBorders>
            <w:gridSpan w:val="2"/>
          </w:tcPr>
          <w:p>
            <w:pPr>
              <w:jc w:val="center"/>
              <w:ind w:left="148"/>
              <w:spacing w:after="0"/>
              <w:rPr>
                <w:sz w:val="20"/>
                <w:szCs w:val="20"/>
                <w:color w:val="auto"/>
              </w:rPr>
            </w:pPr>
            <w:r>
              <w:rPr>
                <w:rFonts w:ascii="Arial" w:cs="Arial" w:eastAsia="Arial" w:hAnsi="Arial"/>
                <w:sz w:val="14"/>
                <w:szCs w:val="14"/>
                <w:b w:val="1"/>
                <w:bCs w:val="1"/>
                <w:color w:val="auto"/>
              </w:rPr>
              <w:t>Longer</w:t>
            </w:r>
          </w:p>
        </w:tc>
        <w:tc>
          <w:tcPr>
            <w:tcW w:w="50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3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center"/>
              <w:ind w:right="268"/>
              <w:spacing w:after="0" w:line="145" w:lineRule="exact"/>
              <w:rPr>
                <w:sz w:val="20"/>
                <w:szCs w:val="20"/>
                <w:color w:val="auto"/>
              </w:rPr>
            </w:pPr>
            <w:r>
              <w:rPr>
                <w:rFonts w:ascii="Arial" w:cs="Arial" w:eastAsia="Arial" w:hAnsi="Arial"/>
                <w:sz w:val="14"/>
                <w:szCs w:val="14"/>
                <w:b w:val="1"/>
                <w:bCs w:val="1"/>
                <w:color w:val="auto"/>
                <w:w w:val="93"/>
              </w:rPr>
              <w:t>Gross</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center"/>
              <w:ind w:right="268"/>
              <w:spacing w:after="0" w:line="145" w:lineRule="exact"/>
              <w:rPr>
                <w:sz w:val="20"/>
                <w:szCs w:val="20"/>
                <w:color w:val="auto"/>
              </w:rPr>
            </w:pPr>
            <w:r>
              <w:rPr>
                <w:rFonts w:ascii="Arial" w:cs="Arial" w:eastAsia="Arial" w:hAnsi="Arial"/>
                <w:sz w:val="14"/>
                <w:szCs w:val="14"/>
                <w:b w:val="1"/>
                <w:bCs w:val="1"/>
                <w:color w:val="auto"/>
                <w:w w:val="98"/>
              </w:rPr>
              <w:t>Gross</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center"/>
              <w:ind w:right="248"/>
              <w:spacing w:after="0" w:line="145" w:lineRule="exact"/>
              <w:rPr>
                <w:sz w:val="20"/>
                <w:szCs w:val="20"/>
                <w:color w:val="auto"/>
              </w:rPr>
            </w:pPr>
            <w:r>
              <w:rPr>
                <w:rFonts w:ascii="Arial" w:cs="Arial" w:eastAsia="Arial" w:hAnsi="Arial"/>
                <w:sz w:val="14"/>
                <w:szCs w:val="14"/>
                <w:b w:val="1"/>
                <w:bCs w:val="1"/>
                <w:color w:val="auto"/>
                <w:w w:val="93"/>
              </w:rPr>
              <w:t>Gross</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center"/>
              <w:ind w:right="268"/>
              <w:spacing w:after="0" w:line="145" w:lineRule="exact"/>
              <w:rPr>
                <w:sz w:val="20"/>
                <w:szCs w:val="20"/>
                <w:color w:val="auto"/>
              </w:rPr>
            </w:pPr>
            <w:r>
              <w:rPr>
                <w:rFonts w:ascii="Arial" w:cs="Arial" w:eastAsia="Arial" w:hAnsi="Arial"/>
                <w:sz w:val="14"/>
                <w:szCs w:val="14"/>
                <w:b w:val="1"/>
                <w:bCs w:val="1"/>
                <w:color w:val="auto"/>
                <w:w w:val="98"/>
              </w:rPr>
              <w:t>Gross</w:t>
            </w: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1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8"/>
              </w:rPr>
              <w:t>Unrealized</w:t>
            </w:r>
          </w:p>
        </w:tc>
        <w:tc>
          <w:tcPr>
            <w:tcW w:w="9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Fair Value</w:t>
            </w:r>
          </w:p>
        </w:tc>
        <w:tc>
          <w:tcPr>
            <w:tcW w:w="11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Unrealized</w:t>
            </w:r>
          </w:p>
        </w:tc>
        <w:tc>
          <w:tcPr>
            <w:tcW w:w="94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Fair Value</w:t>
            </w:r>
          </w:p>
        </w:tc>
        <w:tc>
          <w:tcPr>
            <w:tcW w:w="11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8"/>
              </w:rPr>
              <w:t>Unrealized</w:t>
            </w:r>
          </w:p>
        </w:tc>
        <w:tc>
          <w:tcPr>
            <w:tcW w:w="94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Fair Value</w:t>
            </w:r>
          </w:p>
        </w:tc>
        <w:tc>
          <w:tcPr>
            <w:tcW w:w="11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8"/>
              </w:rPr>
              <w:t>Unrealized</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7"/>
        </w:trPr>
        <w:tc>
          <w:tcPr>
            <w:tcW w:w="3160" w:type="dxa"/>
            <w:vAlign w:val="bottom"/>
          </w:tcPr>
          <w:p>
            <w:pPr>
              <w:spacing w:after="0"/>
              <w:rPr>
                <w:sz w:val="15"/>
                <w:szCs w:val="15"/>
                <w:color w:val="auto"/>
              </w:rPr>
            </w:pPr>
          </w:p>
        </w:tc>
        <w:tc>
          <w:tcPr>
            <w:tcW w:w="1120" w:type="dxa"/>
            <w:vAlign w:val="bottom"/>
            <w:tcBorders>
              <w:bottom w:val="single" w:sz="8" w:color="2C6937"/>
            </w:tcBorders>
            <w:gridSpan w:val="2"/>
          </w:tcPr>
          <w:p>
            <w:pPr>
              <w:jc w:val="center"/>
              <w:spacing w:after="0"/>
              <w:rPr>
                <w:sz w:val="20"/>
                <w:szCs w:val="20"/>
                <w:color w:val="auto"/>
              </w:rPr>
            </w:pPr>
            <w:r>
              <w:rPr>
                <w:rFonts w:ascii="Arial" w:cs="Arial" w:eastAsia="Arial" w:hAnsi="Arial"/>
                <w:sz w:val="14"/>
                <w:szCs w:val="14"/>
                <w:b w:val="1"/>
                <w:bCs w:val="1"/>
                <w:color w:val="auto"/>
                <w:w w:val="98"/>
              </w:rPr>
              <w:t>Losses in AOCI</w:t>
            </w:r>
          </w:p>
        </w:tc>
        <w:tc>
          <w:tcPr>
            <w:tcW w:w="920" w:type="dxa"/>
            <w:vAlign w:val="bottom"/>
            <w:tcBorders>
              <w:bottom w:val="single" w:sz="8" w:color="2C6937"/>
            </w:tcBorders>
            <w:gridSpan w:val="3"/>
            <w:vMerge w:val="continue"/>
          </w:tcPr>
          <w:p>
            <w:pPr>
              <w:spacing w:after="0"/>
              <w:rPr>
                <w:sz w:val="15"/>
                <w:szCs w:val="15"/>
                <w:color w:val="auto"/>
              </w:rPr>
            </w:pPr>
          </w:p>
        </w:tc>
        <w:tc>
          <w:tcPr>
            <w:tcW w:w="1120" w:type="dxa"/>
            <w:vAlign w:val="bottom"/>
            <w:tcBorders>
              <w:bottom w:val="single" w:sz="8" w:color="2C6937"/>
            </w:tcBorders>
            <w:gridSpan w:val="2"/>
          </w:tcPr>
          <w:p>
            <w:pPr>
              <w:jc w:val="center"/>
              <w:spacing w:after="0"/>
              <w:rPr>
                <w:sz w:val="20"/>
                <w:szCs w:val="20"/>
                <w:color w:val="auto"/>
              </w:rPr>
            </w:pPr>
            <w:r>
              <w:rPr>
                <w:rFonts w:ascii="Arial" w:cs="Arial" w:eastAsia="Arial" w:hAnsi="Arial"/>
                <w:sz w:val="14"/>
                <w:szCs w:val="14"/>
                <w:b w:val="1"/>
                <w:bCs w:val="1"/>
                <w:color w:val="auto"/>
                <w:w w:val="96"/>
              </w:rPr>
              <w:t>Losses in AOCI</w:t>
            </w:r>
          </w:p>
        </w:tc>
        <w:tc>
          <w:tcPr>
            <w:tcW w:w="940" w:type="dxa"/>
            <w:vAlign w:val="bottom"/>
            <w:tcBorders>
              <w:bottom w:val="single" w:sz="8" w:color="2C6937"/>
            </w:tcBorders>
            <w:gridSpan w:val="3"/>
            <w:vMerge w:val="continue"/>
          </w:tcPr>
          <w:p>
            <w:pPr>
              <w:spacing w:after="0"/>
              <w:rPr>
                <w:sz w:val="15"/>
                <w:szCs w:val="15"/>
                <w:color w:val="auto"/>
              </w:rPr>
            </w:pPr>
          </w:p>
        </w:tc>
        <w:tc>
          <w:tcPr>
            <w:tcW w:w="1100" w:type="dxa"/>
            <w:vAlign w:val="bottom"/>
            <w:tcBorders>
              <w:bottom w:val="single" w:sz="8" w:color="2C6937"/>
            </w:tcBorders>
            <w:gridSpan w:val="2"/>
          </w:tcPr>
          <w:p>
            <w:pPr>
              <w:jc w:val="center"/>
              <w:spacing w:after="0"/>
              <w:rPr>
                <w:sz w:val="20"/>
                <w:szCs w:val="20"/>
                <w:color w:val="auto"/>
              </w:rPr>
            </w:pPr>
            <w:r>
              <w:rPr>
                <w:rFonts w:ascii="Arial" w:cs="Arial" w:eastAsia="Arial" w:hAnsi="Arial"/>
                <w:sz w:val="14"/>
                <w:szCs w:val="14"/>
                <w:b w:val="1"/>
                <w:bCs w:val="1"/>
                <w:color w:val="auto"/>
                <w:w w:val="98"/>
              </w:rPr>
              <w:t>Losses in AOCI</w:t>
            </w:r>
          </w:p>
        </w:tc>
        <w:tc>
          <w:tcPr>
            <w:tcW w:w="940" w:type="dxa"/>
            <w:vAlign w:val="bottom"/>
            <w:tcBorders>
              <w:bottom w:val="single" w:sz="8" w:color="2C6937"/>
            </w:tcBorders>
            <w:gridSpan w:val="3"/>
            <w:vMerge w:val="continue"/>
          </w:tcPr>
          <w:p>
            <w:pPr>
              <w:spacing w:after="0"/>
              <w:rPr>
                <w:sz w:val="15"/>
                <w:szCs w:val="15"/>
                <w:color w:val="auto"/>
              </w:rPr>
            </w:pPr>
          </w:p>
        </w:tc>
        <w:tc>
          <w:tcPr>
            <w:tcW w:w="1100" w:type="dxa"/>
            <w:vAlign w:val="bottom"/>
            <w:tcBorders>
              <w:bottom w:val="single" w:sz="8" w:color="2C6937"/>
            </w:tcBorders>
            <w:gridSpan w:val="2"/>
          </w:tcPr>
          <w:p>
            <w:pPr>
              <w:jc w:val="center"/>
              <w:spacing w:after="0"/>
              <w:rPr>
                <w:sz w:val="20"/>
                <w:szCs w:val="20"/>
                <w:color w:val="auto"/>
              </w:rPr>
            </w:pPr>
            <w:r>
              <w:rPr>
                <w:rFonts w:ascii="Arial" w:cs="Arial" w:eastAsia="Arial" w:hAnsi="Arial"/>
                <w:sz w:val="14"/>
                <w:szCs w:val="14"/>
                <w:b w:val="1"/>
                <w:bCs w:val="1"/>
                <w:color w:val="auto"/>
                <w:w w:val="98"/>
              </w:rPr>
              <w:t>Losses in AOCI</w:t>
            </w:r>
          </w:p>
        </w:tc>
        <w:tc>
          <w:tcPr>
            <w:tcW w:w="820" w:type="dxa"/>
            <w:vAlign w:val="bottom"/>
            <w:tcBorders>
              <w:bottom w:val="single" w:sz="8" w:color="2C6937"/>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4"/>
          </w:tcPr>
          <w:p>
            <w:pPr>
              <w:jc w:val="center"/>
              <w:ind w:right="428"/>
              <w:spacing w:after="0"/>
              <w:rPr>
                <w:sz w:val="20"/>
                <w:szCs w:val="20"/>
                <w:color w:val="auto"/>
              </w:rPr>
            </w:pPr>
            <w:r>
              <w:rPr>
                <w:rFonts w:ascii="Arial" w:cs="Arial" w:eastAsia="Arial" w:hAnsi="Arial"/>
                <w:sz w:val="14"/>
                <w:szCs w:val="14"/>
                <w:b w:val="1"/>
                <w:bCs w:val="1"/>
                <w:color w:val="auto"/>
                <w:w w:val="96"/>
              </w:rPr>
              <w:t>(Dollars in millions)</w:t>
            </w: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160" w:type="dxa"/>
            <w:vAlign w:val="bottom"/>
          </w:tcPr>
          <w:p>
            <w:pPr>
              <w:spacing w:after="0"/>
              <w:rPr>
                <w:sz w:val="20"/>
                <w:szCs w:val="20"/>
                <w:color w:val="auto"/>
              </w:rPr>
            </w:pPr>
            <w:r>
              <w:rPr>
                <w:rFonts w:ascii="Arial" w:cs="Arial" w:eastAsia="Arial" w:hAnsi="Arial"/>
                <w:sz w:val="15"/>
                <w:szCs w:val="15"/>
                <w:color w:val="auto"/>
              </w:rPr>
              <w:t>Agency securities</w:t>
            </w:r>
          </w:p>
        </w:tc>
        <w:tc>
          <w:tcPr>
            <w:tcW w:w="2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840" w:type="dxa"/>
            <w:vAlign w:val="bottom"/>
          </w:tcPr>
          <w:p>
            <w:pPr>
              <w:ind w:left="420"/>
              <w:spacing w:after="0"/>
              <w:rPr>
                <w:sz w:val="20"/>
                <w:szCs w:val="20"/>
                <w:color w:val="auto"/>
              </w:rPr>
            </w:pPr>
            <w:r>
              <w:rPr>
                <w:rFonts w:ascii="Arial" w:cs="Arial" w:eastAsia="Arial" w:hAnsi="Arial"/>
                <w:sz w:val="15"/>
                <w:szCs w:val="15"/>
                <w:b w:val="1"/>
                <w:bCs w:val="1"/>
                <w:color w:val="auto"/>
              </w:rPr>
              <w:t>(1)</w:t>
            </w:r>
          </w:p>
        </w:tc>
        <w:tc>
          <w:tcPr>
            <w:tcW w:w="2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41</w:t>
            </w: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820" w:type="dxa"/>
            <w:vAlign w:val="bottom"/>
          </w:tcPr>
          <w:p>
            <w:pPr>
              <w:jc w:val="right"/>
              <w:ind w:right="148"/>
              <w:spacing w:after="0"/>
              <w:rPr>
                <w:sz w:val="20"/>
                <w:szCs w:val="20"/>
                <w:color w:val="auto"/>
              </w:rPr>
            </w:pPr>
            <w:r>
              <w:rPr>
                <w:rFonts w:ascii="Arial" w:cs="Arial" w:eastAsia="Arial" w:hAnsi="Arial"/>
                <w:sz w:val="15"/>
                <w:szCs w:val="15"/>
                <w:b w:val="1"/>
                <w:bCs w:val="1"/>
                <w:color w:val="auto"/>
              </w:rPr>
              <w:t>(24)</w:t>
            </w:r>
          </w:p>
        </w:tc>
        <w:tc>
          <w:tcPr>
            <w:tcW w:w="2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40" w:type="dxa"/>
            <w:vAlign w:val="bottom"/>
          </w:tcPr>
          <w:p>
            <w:pPr>
              <w:jc w:val="right"/>
              <w:ind w:right="8"/>
              <w:spacing w:after="0"/>
              <w:rPr>
                <w:sz w:val="20"/>
                <w:szCs w:val="20"/>
                <w:color w:val="auto"/>
              </w:rPr>
            </w:pPr>
            <w:r>
              <w:rPr>
                <w:rFonts w:ascii="Arial" w:cs="Arial" w:eastAsia="Arial" w:hAnsi="Arial"/>
                <w:sz w:val="15"/>
                <w:szCs w:val="15"/>
                <w:b w:val="1"/>
                <w:bCs w:val="1"/>
                <w:color w:val="auto"/>
              </w:rPr>
              <w:t>233</w:t>
            </w: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ind w:left="420"/>
              <w:spacing w:after="0"/>
              <w:rPr>
                <w:sz w:val="20"/>
                <w:szCs w:val="20"/>
                <w:color w:val="auto"/>
              </w:rPr>
            </w:pPr>
            <w:r>
              <w:rPr>
                <w:rFonts w:ascii="Arial" w:cs="Arial" w:eastAsia="Arial" w:hAnsi="Arial"/>
                <w:sz w:val="15"/>
                <w:szCs w:val="15"/>
                <w:color w:val="auto"/>
              </w:rPr>
              <w:t>(3)</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66</w:t>
            </w:r>
          </w:p>
        </w:tc>
        <w:tc>
          <w:tcPr>
            <w:tcW w:w="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128"/>
              <w:spacing w:after="0"/>
              <w:rPr>
                <w:sz w:val="20"/>
                <w:szCs w:val="20"/>
                <w:color w:val="auto"/>
              </w:rPr>
            </w:pPr>
            <w:r>
              <w:rPr>
                <w:rFonts w:ascii="Arial" w:cs="Arial" w:eastAsia="Arial" w:hAnsi="Arial"/>
                <w:sz w:val="15"/>
                <w:szCs w:val="15"/>
                <w:color w:val="auto"/>
              </w:rPr>
              <w:t>(26)</w:t>
            </w:r>
          </w:p>
        </w:tc>
        <w:tc>
          <w:tcPr>
            <w:tcW w:w="32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238</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right="480"/>
        <w:spacing w:after="0" w:line="293" w:lineRule="auto"/>
        <w:rPr>
          <w:sz w:val="20"/>
          <w:szCs w:val="20"/>
          <w:color w:val="auto"/>
        </w:rPr>
      </w:pPr>
      <w:r>
        <w:rPr>
          <w:rFonts w:ascii="Arial" w:cs="Arial" w:eastAsia="Arial" w:hAnsi="Arial"/>
          <w:sz w:val="16"/>
          <w:szCs w:val="16"/>
          <w:color w:val="auto"/>
        </w:rPr>
        <w:t>There were no sales of AFS securities in the first nine months of 2024 or the first nine months of 2023. As a result, no gross realized gains (losses) or proceeds from sales were recognized in either period.</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We held no securities classified as held-to-maturity as of September 30, 2024 or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387985</wp:posOffset>
            </wp:positionV>
            <wp:extent cx="680593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94" w:name="page95"/>
    <w:bookmarkEnd w:id="94"/>
    <w:p>
      <w:pPr>
        <w:ind w:left="6300"/>
        <w:spacing w:after="0"/>
        <w:rPr>
          <w:sz w:val="20"/>
          <w:szCs w:val="20"/>
          <w:color w:val="auto"/>
        </w:rPr>
      </w:pPr>
      <w:r>
        <w:rPr>
          <w:rFonts w:ascii="Arial" w:cs="Arial" w:eastAsia="Arial" w:hAnsi="Arial"/>
          <w:sz w:val="14"/>
          <w:szCs w:val="14"/>
          <w:color w:val="05314D"/>
        </w:rPr>
        <w:t>Notes to Condensed Consolidated Financial Statements | Financial 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7. Financial Guarantees</w:t>
      </w:r>
    </w:p>
    <w:p>
      <w:pPr>
        <w:spacing w:after="0" w:line="80"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We recognize a guaranty obligation for our obligation to stand ready to perform on our guarantees to unconsolidated trusts and other guaranty arrangements. These off-balance sheet guarantees expose us to credit losses primarily relating to the unpaid principal balance of our unconsolidated Fannie Mae MBS and other financial guarantees. The maximum remaining contractual term of our guarantees is 29 years; however, the actual term of each guaranty may be significantly less than the contractual term based on the prepayment characteristics of the related mortgage loans. We measure our guaranty reserve for estimated credit losses for off-balance sheet exposures over the contractual period for which they are exposed to the credit risk, unless that obligation is unconditionally cancellable by the issuer.</w:t>
      </w:r>
    </w:p>
    <w:p>
      <w:pPr>
        <w:spacing w:after="0" w:line="4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As the guarantor of structured securities backed in whole or in part by Freddie Mac-issued securities, we extend our guaranty to the underlying Freddie Mac securities in our resecuritization trusts. However, Freddie Mac continues to guarantee the payment of principal and interest on the underlying Freddie Mac securities that we have resecuritized. When we began issuing UMBS, we entered into an indemnification agreement under which Freddie Mac agreed to indemnify us for losses caused by its failure to meet its payment or other specified obligations under the trust agreements pursuant to which the underlying resecuritized securities were issued. As a result, and due to the funding commitment available to Freddie Mac through its senior preferred stock purchase agreement with Treasury, we have concluded that the associated credit risk is negligible. Accordingly, we exclude from the following table Freddie Mac securities backing unconsolidated Fannie Mae-issued structured securities of $203.7 billion and $215.6 billion as of September 30, 2024 and December 31, 2023, respectively.</w:t>
      </w:r>
    </w:p>
    <w:p>
      <w:pPr>
        <w:spacing w:after="0" w:line="43" w:lineRule="exact"/>
        <w:rPr>
          <w:sz w:val="20"/>
          <w:szCs w:val="20"/>
          <w:color w:val="auto"/>
        </w:rPr>
      </w:pPr>
    </w:p>
    <w:p>
      <w:pPr>
        <w:ind w:right="160"/>
        <w:spacing w:after="0" w:line="310" w:lineRule="auto"/>
        <w:rPr>
          <w:sz w:val="20"/>
          <w:szCs w:val="20"/>
          <w:color w:val="auto"/>
        </w:rPr>
      </w:pPr>
      <w:r>
        <w:rPr>
          <w:rFonts w:ascii="Arial" w:cs="Arial" w:eastAsia="Arial" w:hAnsi="Arial"/>
          <w:sz w:val="16"/>
          <w:szCs w:val="16"/>
          <w:color w:val="auto"/>
        </w:rPr>
        <w:t>The following table displays our off-balance sheet maximum exposure, guaranty obligation recognized in our condensed consolidated balance sheets and the potential maximum recovery from third parties through available credit enhancements and recourse related to our financial guarantees.</w:t>
      </w:r>
    </w:p>
    <w:p>
      <w:pPr>
        <w:spacing w:after="0" w:line="53"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4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260" w:type="dxa"/>
            <w:vAlign w:val="bottom"/>
            <w:tcBorders>
              <w:bottom w:val="single" w:sz="8" w:color="2C6937"/>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88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spacing w:after="0"/>
              <w:rPr>
                <w:sz w:val="16"/>
                <w:szCs w:val="16"/>
                <w:color w:val="auto"/>
              </w:rPr>
            </w:pPr>
          </w:p>
        </w:tc>
      </w:tr>
      <w:tr>
        <w:trPr>
          <w:trHeight w:val="186"/>
        </w:trPr>
        <w:tc>
          <w:tcPr>
            <w:tcW w:w="4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c>
          <w:tcPr>
            <w:tcW w:w="1400" w:type="dxa"/>
            <w:vAlign w:val="bottom"/>
            <w:tcBorders>
              <w:bottom w:val="single" w:sz="8" w:color="2C6937"/>
            </w:tcBorders>
            <w:gridSpan w:val="5"/>
          </w:tcPr>
          <w:p>
            <w:pPr>
              <w:jc w:val="right"/>
              <w:ind w:right="3"/>
              <w:spacing w:after="0"/>
              <w:rPr>
                <w:sz w:val="20"/>
                <w:szCs w:val="20"/>
                <w:color w:val="auto"/>
              </w:rPr>
            </w:pPr>
            <w:r>
              <w:rPr>
                <w:rFonts w:ascii="Arial" w:cs="Arial" w:eastAsia="Arial" w:hAnsi="Arial"/>
                <w:sz w:val="14"/>
                <w:szCs w:val="14"/>
                <w:b w:val="1"/>
                <w:bCs w:val="1"/>
                <w:color w:val="auto"/>
                <w:w w:val="99"/>
              </w:rPr>
              <w:t>September 30, 2024</w:t>
            </w:r>
          </w:p>
        </w:tc>
        <w:tc>
          <w:tcPr>
            <w:tcW w:w="98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c>
          <w:tcPr>
            <w:tcW w:w="1280" w:type="dxa"/>
            <w:vAlign w:val="bottom"/>
            <w:tcBorders>
              <w:bottom w:val="single" w:sz="8" w:color="2C6937"/>
            </w:tcBorders>
            <w:gridSpan w:val="4"/>
          </w:tcPr>
          <w:p>
            <w:pPr>
              <w:jc w:val="center"/>
              <w:spacing w:after="0"/>
              <w:rPr>
                <w:sz w:val="20"/>
                <w:szCs w:val="20"/>
                <w:color w:val="auto"/>
              </w:rPr>
            </w:pPr>
            <w:r>
              <w:rPr>
                <w:rFonts w:ascii="Arial" w:cs="Arial" w:eastAsia="Arial" w:hAnsi="Arial"/>
                <w:sz w:val="14"/>
                <w:szCs w:val="14"/>
                <w:b w:val="1"/>
                <w:bCs w:val="1"/>
                <w:color w:val="auto"/>
                <w:w w:val="98"/>
              </w:rPr>
              <w:t>December 31, 2023</w:t>
            </w:r>
          </w:p>
        </w:tc>
        <w:tc>
          <w:tcPr>
            <w:tcW w:w="14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spacing w:after="0"/>
              <w:rPr>
                <w:sz w:val="16"/>
                <w:szCs w:val="16"/>
                <w:color w:val="auto"/>
              </w:rPr>
            </w:pPr>
          </w:p>
        </w:tc>
      </w:tr>
      <w:tr>
        <w:trPr>
          <w:trHeight w:val="176"/>
        </w:trPr>
        <w:tc>
          <w:tcPr>
            <w:tcW w:w="4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126"/>
              <w:spacing w:after="0"/>
              <w:rPr>
                <w:sz w:val="20"/>
                <w:szCs w:val="20"/>
                <w:color w:val="auto"/>
              </w:rPr>
            </w:pPr>
            <w:r>
              <w:rPr>
                <w:rFonts w:ascii="Arial" w:cs="Arial" w:eastAsia="Arial" w:hAnsi="Arial"/>
                <w:sz w:val="14"/>
                <w:szCs w:val="14"/>
                <w:b w:val="1"/>
                <w:bCs w:val="1"/>
                <w:color w:val="auto"/>
              </w:rPr>
              <w:t>Maximum</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Guaranty</w:t>
            </w:r>
          </w:p>
        </w:tc>
        <w:tc>
          <w:tcPr>
            <w:tcW w:w="14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Maximum</w:t>
            </w:r>
          </w:p>
        </w:tc>
        <w:tc>
          <w:tcPr>
            <w:tcW w:w="180" w:type="dxa"/>
            <w:vAlign w:val="bottom"/>
          </w:tcPr>
          <w:p>
            <w:pPr>
              <w:spacing w:after="0"/>
              <w:rPr>
                <w:sz w:val="15"/>
                <w:szCs w:val="15"/>
                <w:color w:val="auto"/>
              </w:rPr>
            </w:pPr>
          </w:p>
        </w:tc>
        <w:tc>
          <w:tcPr>
            <w:tcW w:w="880" w:type="dxa"/>
            <w:vAlign w:val="bottom"/>
          </w:tcPr>
          <w:p>
            <w:pPr>
              <w:jc w:val="right"/>
              <w:ind w:right="146"/>
              <w:spacing w:after="0"/>
              <w:rPr>
                <w:sz w:val="20"/>
                <w:szCs w:val="20"/>
                <w:color w:val="auto"/>
              </w:rPr>
            </w:pPr>
            <w:r>
              <w:rPr>
                <w:rFonts w:ascii="Arial" w:cs="Arial" w:eastAsia="Arial" w:hAnsi="Arial"/>
                <w:sz w:val="14"/>
                <w:szCs w:val="14"/>
                <w:b w:val="1"/>
                <w:bCs w:val="1"/>
                <w:color w:val="auto"/>
                <w:w w:val="99"/>
              </w:rPr>
              <w:t>Maximum</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Guaranty</w:t>
            </w:r>
          </w:p>
        </w:tc>
        <w:tc>
          <w:tcPr>
            <w:tcW w:w="140" w:type="dxa"/>
            <w:vAlign w:val="bottom"/>
          </w:tcPr>
          <w:p>
            <w:pPr>
              <w:spacing w:after="0"/>
              <w:rPr>
                <w:sz w:val="15"/>
                <w:szCs w:val="15"/>
                <w:color w:val="auto"/>
              </w:rPr>
            </w:pPr>
          </w:p>
        </w:tc>
        <w:tc>
          <w:tcPr>
            <w:tcW w:w="960" w:type="dxa"/>
            <w:vAlign w:val="bottom"/>
          </w:tcPr>
          <w:p>
            <w:pPr>
              <w:jc w:val="right"/>
              <w:ind w:right="166"/>
              <w:spacing w:after="0"/>
              <w:rPr>
                <w:sz w:val="20"/>
                <w:szCs w:val="20"/>
                <w:color w:val="auto"/>
              </w:rPr>
            </w:pPr>
            <w:r>
              <w:rPr>
                <w:rFonts w:ascii="Arial" w:cs="Arial" w:eastAsia="Arial" w:hAnsi="Arial"/>
                <w:sz w:val="14"/>
                <w:szCs w:val="14"/>
                <w:b w:val="1"/>
                <w:bCs w:val="1"/>
                <w:color w:val="auto"/>
              </w:rPr>
              <w:t>Maximum</w:t>
            </w:r>
          </w:p>
        </w:tc>
      </w:tr>
      <w:tr>
        <w:trPr>
          <w:trHeight w:val="205"/>
        </w:trPr>
        <w:tc>
          <w:tcPr>
            <w:tcW w:w="4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jc w:val="right"/>
              <w:ind w:right="126"/>
              <w:spacing w:after="0"/>
              <w:rPr>
                <w:sz w:val="20"/>
                <w:szCs w:val="20"/>
                <w:color w:val="auto"/>
              </w:rPr>
            </w:pPr>
            <w:r>
              <w:rPr>
                <w:rFonts w:ascii="Arial" w:cs="Arial" w:eastAsia="Arial" w:hAnsi="Arial"/>
                <w:sz w:val="14"/>
                <w:szCs w:val="14"/>
                <w:b w:val="1"/>
                <w:bCs w:val="1"/>
                <w:color w:val="auto"/>
              </w:rPr>
              <w:t>Exposure</w:t>
            </w:r>
          </w:p>
        </w:tc>
        <w:tc>
          <w:tcPr>
            <w:tcW w:w="10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Obligation</w:t>
            </w:r>
          </w:p>
        </w:tc>
        <w:tc>
          <w:tcPr>
            <w:tcW w:w="140" w:type="dxa"/>
            <w:vAlign w:val="bottom"/>
            <w:tcBorders>
              <w:bottom w:val="single" w:sz="8" w:color="2C6937"/>
            </w:tcBorders>
          </w:tcPr>
          <w:p>
            <w:pPr>
              <w:spacing w:after="0"/>
              <w:rPr>
                <w:sz w:val="17"/>
                <w:szCs w:val="17"/>
                <w:color w:val="auto"/>
              </w:rPr>
            </w:pPr>
          </w:p>
        </w:tc>
        <w:tc>
          <w:tcPr>
            <w:tcW w:w="1080" w:type="dxa"/>
            <w:vAlign w:val="bottom"/>
            <w:tcBorders>
              <w:bottom w:val="single" w:sz="8" w:color="2C6937"/>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Recovery</w:t>
            </w:r>
            <w:r>
              <w:rPr>
                <w:rFonts w:ascii="Arial" w:cs="Arial" w:eastAsia="Arial" w:hAnsi="Arial"/>
                <w:sz w:val="17"/>
                <w:szCs w:val="17"/>
                <w:b w:val="1"/>
                <w:bCs w:val="1"/>
                <w:color w:val="auto"/>
                <w:w w:val="93"/>
                <w:vertAlign w:val="superscript"/>
              </w:rPr>
              <w:t>(1)</w:t>
            </w:r>
          </w:p>
        </w:tc>
        <w:tc>
          <w:tcPr>
            <w:tcW w:w="18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jc w:val="right"/>
              <w:ind w:right="146"/>
              <w:spacing w:after="0"/>
              <w:rPr>
                <w:sz w:val="20"/>
                <w:szCs w:val="20"/>
                <w:color w:val="auto"/>
              </w:rPr>
            </w:pPr>
            <w:r>
              <w:rPr>
                <w:rFonts w:ascii="Arial" w:cs="Arial" w:eastAsia="Arial" w:hAnsi="Arial"/>
                <w:sz w:val="14"/>
                <w:szCs w:val="14"/>
                <w:b w:val="1"/>
                <w:bCs w:val="1"/>
                <w:color w:val="auto"/>
              </w:rPr>
              <w:t>Exposure</w:t>
            </w:r>
          </w:p>
        </w:tc>
        <w:tc>
          <w:tcPr>
            <w:tcW w:w="100" w:type="dxa"/>
            <w:vAlign w:val="bottom"/>
            <w:tcBorders>
              <w:bottom w:val="single" w:sz="8" w:color="2C6937"/>
            </w:tcBorders>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Obligation</w:t>
            </w:r>
          </w:p>
        </w:tc>
        <w:tc>
          <w:tcPr>
            <w:tcW w:w="140" w:type="dxa"/>
            <w:vAlign w:val="bottom"/>
            <w:tcBorders>
              <w:bottom w:val="single" w:sz="8" w:color="2C6937"/>
            </w:tcBorders>
          </w:tcPr>
          <w:p>
            <w:pPr>
              <w:spacing w:after="0"/>
              <w:rPr>
                <w:sz w:val="17"/>
                <w:szCs w:val="17"/>
                <w:color w:val="auto"/>
              </w:rPr>
            </w:pPr>
          </w:p>
        </w:tc>
        <w:tc>
          <w:tcPr>
            <w:tcW w:w="960" w:type="dxa"/>
            <w:vAlign w:val="bottom"/>
            <w:tcBorders>
              <w:bottom w:val="single" w:sz="8" w:color="2C6937"/>
            </w:tcBorders>
          </w:tcPr>
          <w:p>
            <w:pPr>
              <w:jc w:val="right"/>
              <w:ind w:right="126"/>
              <w:spacing w:after="0"/>
              <w:rPr>
                <w:sz w:val="20"/>
                <w:szCs w:val="20"/>
                <w:color w:val="auto"/>
              </w:rPr>
            </w:pPr>
            <w:r>
              <w:rPr>
                <w:rFonts w:ascii="Arial" w:cs="Arial" w:eastAsia="Arial" w:hAnsi="Arial"/>
                <w:sz w:val="14"/>
                <w:szCs w:val="14"/>
                <w:b w:val="1"/>
                <w:bCs w:val="1"/>
                <w:color w:val="auto"/>
                <w:w w:val="96"/>
              </w:rPr>
              <w:t>Recovery</w:t>
            </w:r>
            <w:r>
              <w:rPr>
                <w:rFonts w:ascii="Arial" w:cs="Arial" w:eastAsia="Arial" w:hAnsi="Arial"/>
                <w:sz w:val="17"/>
                <w:szCs w:val="17"/>
                <w:b w:val="1"/>
                <w:bCs w:val="1"/>
                <w:color w:val="auto"/>
                <w:w w:val="96"/>
                <w:vertAlign w:val="superscript"/>
              </w:rPr>
              <w:t>(1)</w:t>
            </w:r>
          </w:p>
        </w:tc>
      </w:tr>
      <w:tr>
        <w:trPr>
          <w:trHeight w:val="185"/>
        </w:trPr>
        <w:tc>
          <w:tcPr>
            <w:tcW w:w="4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40" w:type="dxa"/>
            <w:vAlign w:val="bottom"/>
            <w:gridSpan w:val="4"/>
          </w:tcPr>
          <w:p>
            <w:pPr>
              <w:jc w:val="right"/>
              <w:ind w:right="386"/>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4"/>
        </w:trPr>
        <w:tc>
          <w:tcPr>
            <w:tcW w:w="4280" w:type="dxa"/>
            <w:vAlign w:val="bottom"/>
            <w:gridSpan w:val="2"/>
          </w:tcPr>
          <w:p>
            <w:pPr>
              <w:ind w:left="20"/>
              <w:spacing w:after="0"/>
              <w:rPr>
                <w:sz w:val="20"/>
                <w:szCs w:val="20"/>
                <w:color w:val="auto"/>
              </w:rPr>
            </w:pPr>
            <w:r>
              <w:rPr>
                <w:rFonts w:ascii="Arial" w:cs="Arial" w:eastAsia="Arial" w:hAnsi="Arial"/>
                <w:sz w:val="15"/>
                <w:szCs w:val="15"/>
                <w:color w:val="auto"/>
              </w:rPr>
              <w:t>Unconsolidated Fannie Mae MBS</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6"/>
              <w:spacing w:after="0"/>
              <w:rPr>
                <w:sz w:val="20"/>
                <w:szCs w:val="20"/>
                <w:color w:val="auto"/>
              </w:rPr>
            </w:pPr>
            <w:r>
              <w:rPr>
                <w:rFonts w:ascii="Arial" w:cs="Arial" w:eastAsia="Arial" w:hAnsi="Arial"/>
                <w:sz w:val="15"/>
                <w:szCs w:val="15"/>
                <w:b w:val="1"/>
                <w:bCs w:val="1"/>
                <w:color w:val="auto"/>
              </w:rPr>
              <w:t>2,555</w:t>
            </w:r>
          </w:p>
        </w:tc>
        <w:tc>
          <w:tcPr>
            <w:tcW w:w="24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920" w:type="dxa"/>
            <w:vAlign w:val="bottom"/>
          </w:tcPr>
          <w:p>
            <w:pPr>
              <w:jc w:val="right"/>
              <w:ind w:right="6"/>
              <w:spacing w:after="0"/>
              <w:rPr>
                <w:sz w:val="20"/>
                <w:szCs w:val="20"/>
                <w:color w:val="auto"/>
              </w:rPr>
            </w:pPr>
            <w:r>
              <w:rPr>
                <w:rFonts w:ascii="Arial" w:cs="Arial" w:eastAsia="Arial" w:hAnsi="Arial"/>
                <w:sz w:val="15"/>
                <w:szCs w:val="15"/>
                <w:b w:val="1"/>
                <w:bCs w:val="1"/>
                <w:color w:val="auto"/>
              </w:rPr>
              <w:t>14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2,500</w:t>
            </w:r>
          </w:p>
        </w:tc>
        <w:tc>
          <w:tcPr>
            <w:tcW w:w="100" w:type="dxa"/>
            <w:vAlign w:val="bottom"/>
          </w:tcPr>
          <w:p>
            <w:pPr>
              <w:spacing w:after="0"/>
              <w:rPr>
                <w:sz w:val="18"/>
                <w:szCs w:val="18"/>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2,778</w:t>
            </w:r>
          </w:p>
        </w:tc>
        <w:tc>
          <w:tcPr>
            <w:tcW w:w="2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6"/>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2,713</w:t>
            </w:r>
          </w:p>
        </w:tc>
      </w:tr>
      <w:tr>
        <w:trPr>
          <w:trHeight w:val="226"/>
        </w:trPr>
        <w:tc>
          <w:tcPr>
            <w:tcW w:w="4180" w:type="dxa"/>
            <w:vAlign w:val="bottom"/>
            <w:tcBorders>
              <w:bottom w:val="single" w:sz="8" w:color="2C6937"/>
            </w:tcBorders>
          </w:tcPr>
          <w:p>
            <w:pPr>
              <w:ind w:left="20"/>
              <w:spacing w:after="0" w:line="226" w:lineRule="exact"/>
              <w:rPr>
                <w:sz w:val="20"/>
                <w:szCs w:val="20"/>
                <w:color w:val="auto"/>
              </w:rPr>
            </w:pPr>
            <w:r>
              <w:rPr>
                <w:rFonts w:ascii="Arial" w:cs="Arial" w:eastAsia="Arial" w:hAnsi="Arial"/>
                <w:sz w:val="15"/>
                <w:szCs w:val="15"/>
                <w:color w:val="auto"/>
              </w:rPr>
              <w:t>Other guaranty arrangements</w:t>
            </w:r>
            <w:r>
              <w:rPr>
                <w:rFonts w:ascii="Arial" w:cs="Arial" w:eastAsia="Arial" w:hAnsi="Arial"/>
                <w:sz w:val="20"/>
                <w:szCs w:val="20"/>
                <w:color w:val="auto"/>
                <w:vertAlign w:val="superscript"/>
              </w:rPr>
              <w:t>(2)</w:t>
            </w:r>
          </w:p>
        </w:tc>
        <w:tc>
          <w:tcPr>
            <w:tcW w:w="10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88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b w:val="1"/>
                <w:bCs w:val="1"/>
                <w:color w:val="auto"/>
              </w:rPr>
              <w:t>8,928</w:t>
            </w:r>
          </w:p>
        </w:tc>
        <w:tc>
          <w:tcPr>
            <w:tcW w:w="10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92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b w:val="1"/>
                <w:bCs w:val="1"/>
                <w:color w:val="auto"/>
              </w:rPr>
              <w:t>58</w:t>
            </w:r>
          </w:p>
        </w:tc>
        <w:tc>
          <w:tcPr>
            <w:tcW w:w="10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1,928</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9,154</w:t>
            </w:r>
          </w:p>
        </w:tc>
        <w:tc>
          <w:tcPr>
            <w:tcW w:w="100" w:type="dxa"/>
            <w:vAlign w:val="bottom"/>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92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65</w:t>
            </w:r>
          </w:p>
        </w:tc>
        <w:tc>
          <w:tcPr>
            <w:tcW w:w="10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96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1,967</w:t>
            </w:r>
          </w:p>
        </w:tc>
      </w:tr>
      <w:tr>
        <w:trPr>
          <w:trHeight w:val="199"/>
        </w:trPr>
        <w:tc>
          <w:tcPr>
            <w:tcW w:w="4280" w:type="dxa"/>
            <w:vAlign w:val="bottom"/>
            <w:gridSpan w:val="2"/>
          </w:tcPr>
          <w:p>
            <w:pPr>
              <w:ind w:left="100"/>
              <w:spacing w:after="0"/>
              <w:rPr>
                <w:sz w:val="20"/>
                <w:szCs w:val="20"/>
                <w:color w:val="auto"/>
              </w:rPr>
            </w:pPr>
            <w:r>
              <w:rPr>
                <w:rFonts w:ascii="Arial" w:cs="Arial" w:eastAsia="Arial" w:hAnsi="Arial"/>
                <w:sz w:val="15"/>
                <w:szCs w:val="15"/>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6"/>
              <w:spacing w:after="0"/>
              <w:rPr>
                <w:sz w:val="20"/>
                <w:szCs w:val="20"/>
                <w:color w:val="auto"/>
              </w:rPr>
            </w:pPr>
            <w:r>
              <w:rPr>
                <w:rFonts w:ascii="Arial" w:cs="Arial" w:eastAsia="Arial" w:hAnsi="Arial"/>
                <w:sz w:val="15"/>
                <w:szCs w:val="15"/>
                <w:b w:val="1"/>
                <w:bCs w:val="1"/>
                <w:color w:val="auto"/>
              </w:rPr>
              <w:t>11,483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20" w:type="dxa"/>
            <w:vAlign w:val="bottom"/>
          </w:tcPr>
          <w:p>
            <w:pPr>
              <w:jc w:val="right"/>
              <w:ind w:right="6"/>
              <w:spacing w:after="0"/>
              <w:rPr>
                <w:sz w:val="20"/>
                <w:szCs w:val="20"/>
                <w:color w:val="auto"/>
              </w:rPr>
            </w:pPr>
            <w:r>
              <w:rPr>
                <w:rFonts w:ascii="Arial" w:cs="Arial" w:eastAsia="Arial" w:hAnsi="Arial"/>
                <w:sz w:val="15"/>
                <w:szCs w:val="15"/>
                <w:b w:val="1"/>
                <w:bCs w:val="1"/>
                <w:color w:val="auto"/>
              </w:rPr>
              <w:t>72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4,428</w:t>
            </w:r>
          </w:p>
        </w:tc>
        <w:tc>
          <w:tcPr>
            <w:tcW w:w="10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11,932</w:t>
            </w:r>
          </w:p>
        </w:tc>
        <w:tc>
          <w:tcPr>
            <w:tcW w:w="2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6"/>
              <w:spacing w:after="0"/>
              <w:rPr>
                <w:sz w:val="20"/>
                <w:szCs w:val="20"/>
                <w:color w:val="auto"/>
              </w:rPr>
            </w:pPr>
            <w:r>
              <w:rPr>
                <w:rFonts w:ascii="Arial" w:cs="Arial" w:eastAsia="Arial" w:hAnsi="Arial"/>
                <w:sz w:val="15"/>
                <w:szCs w:val="15"/>
                <w:color w:val="auto"/>
              </w:rPr>
              <w:t>79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4,680</w:t>
            </w:r>
          </w:p>
        </w:tc>
      </w:tr>
      <w:tr>
        <w:trPr>
          <w:trHeight w:val="20"/>
        </w:trPr>
        <w:tc>
          <w:tcPr>
            <w:tcW w:w="41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9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60" w:type="dxa"/>
            <w:vAlign w:val="bottom"/>
            <w:tcBorders>
              <w:top w:val="single" w:sz="8" w:color="2C6937"/>
              <w:bottom w:val="single" w:sz="8" w:color="2C6937"/>
            </w:tcBorders>
          </w:tcPr>
          <w:p>
            <w:pPr>
              <w:spacing w:after="0" w:line="20" w:lineRule="exact"/>
              <w:rPr>
                <w:sz w:val="1"/>
                <w:szCs w:val="1"/>
                <w:color w:val="auto"/>
              </w:rPr>
            </w:pPr>
          </w:p>
        </w:tc>
      </w:tr>
    </w:tbl>
    <w:p>
      <w:pPr>
        <w:spacing w:after="0" w:line="121" w:lineRule="exact"/>
        <w:rPr>
          <w:sz w:val="20"/>
          <w:szCs w:val="20"/>
          <w:color w:val="auto"/>
        </w:rPr>
      </w:pPr>
    </w:p>
    <w:p>
      <w:pPr>
        <w:ind w:left="240" w:hanging="237"/>
        <w:spacing w:after="0" w:line="218" w:lineRule="auto"/>
        <w:tabs>
          <w:tab w:leader="none" w:pos="233" w:val="left"/>
        </w:tabs>
        <w:numPr>
          <w:ilvl w:val="0"/>
          <w:numId w:val="85"/>
        </w:numPr>
        <w:rPr>
          <w:rFonts w:ascii="Arial" w:cs="Arial" w:eastAsia="Arial" w:hAnsi="Arial"/>
          <w:sz w:val="18"/>
          <w:szCs w:val="18"/>
          <w:color w:val="auto"/>
          <w:vertAlign w:val="superscript"/>
        </w:rPr>
      </w:pPr>
      <w:r>
        <w:rPr>
          <w:rFonts w:ascii="Arial" w:cs="Arial" w:eastAsia="Arial" w:hAnsi="Arial"/>
          <w:sz w:val="14"/>
          <w:szCs w:val="14"/>
          <w:color w:val="auto"/>
        </w:rPr>
        <w:t>Recoverability of such credit enhancements and recourse is subject to, among other factors, the ability of our mortgage insurers and the U.S. government, as a financial guarantor, to meet their obligations to us. For information on our mortgage insurers, see “Note 11, Concentrations of Credit Risk.”</w:t>
      </w:r>
    </w:p>
    <w:p>
      <w:pPr>
        <w:ind w:left="220" w:hanging="217"/>
        <w:spacing w:after="0"/>
        <w:tabs>
          <w:tab w:leader="none" w:pos="220" w:val="left"/>
        </w:tabs>
        <w:numPr>
          <w:ilvl w:val="0"/>
          <w:numId w:val="85"/>
        </w:numPr>
        <w:rPr>
          <w:rFonts w:ascii="Arial" w:cs="Arial" w:eastAsia="Arial" w:hAnsi="Arial"/>
          <w:sz w:val="18"/>
          <w:szCs w:val="18"/>
          <w:color w:val="auto"/>
          <w:vertAlign w:val="superscript"/>
        </w:rPr>
      </w:pPr>
      <w:r>
        <w:rPr>
          <w:rFonts w:ascii="Arial" w:cs="Arial" w:eastAsia="Arial" w:hAnsi="Arial"/>
          <w:sz w:val="14"/>
          <w:szCs w:val="14"/>
          <w:color w:val="auto"/>
        </w:rPr>
        <w:t>Primarily consists of credit enhancements and long-term standby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364490</wp:posOffset>
            </wp:positionV>
            <wp:extent cx="680593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95" w:name="page96"/>
    <w:bookmarkEnd w:id="95"/>
    <w:p>
      <w:pPr>
        <w:ind w:left="5640"/>
        <w:spacing w:after="0"/>
        <w:rPr>
          <w:sz w:val="20"/>
          <w:szCs w:val="20"/>
          <w:color w:val="auto"/>
        </w:rPr>
      </w:pPr>
      <w:r>
        <w:rPr>
          <w:rFonts w:ascii="Arial" w:cs="Arial" w:eastAsia="Arial" w:hAnsi="Arial"/>
          <w:sz w:val="13"/>
          <w:szCs w:val="13"/>
          <w:color w:val="05314D"/>
        </w:rPr>
        <w:t>Notes to Condensed Consolidated Financial Statements | Short-Term and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8. Short-Term and Long-Term Debt</w:t>
      </w:r>
    </w:p>
    <w:p>
      <w:pPr>
        <w:spacing w:after="0" w:line="126"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Short-Term Debt</w:t>
      </w:r>
    </w:p>
    <w:p>
      <w:pPr>
        <w:spacing w:after="0" w:line="68"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The following table displays our outstanding short-term debt (debt with an original contractual maturity of one year or less) and weighted-average interest rates of this debt.</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488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1320" w:type="dxa"/>
            <w:vAlign w:val="bottom"/>
            <w:tcBorders>
              <w:bottom w:val="single" w:sz="8" w:color="2C6937"/>
            </w:tcBorders>
          </w:tcPr>
          <w:p>
            <w:pPr>
              <w:spacing w:after="0"/>
              <w:rPr>
                <w:sz w:val="16"/>
                <w:szCs w:val="16"/>
                <w:color w:val="auto"/>
              </w:rPr>
            </w:pPr>
          </w:p>
        </w:tc>
        <w:tc>
          <w:tcPr>
            <w:tcW w:w="1900" w:type="dxa"/>
            <w:vAlign w:val="bottom"/>
            <w:tcBorders>
              <w:bottom w:val="single" w:sz="8" w:color="2C6937"/>
            </w:tcBorders>
            <w:gridSpan w:val="3"/>
          </w:tcPr>
          <w:p>
            <w:pPr>
              <w:jc w:val="center"/>
              <w:ind w:left="1270"/>
              <w:spacing w:after="0"/>
              <w:rPr>
                <w:sz w:val="20"/>
                <w:szCs w:val="20"/>
                <w:color w:val="auto"/>
              </w:rPr>
            </w:pPr>
            <w:r>
              <w:rPr>
                <w:rFonts w:ascii="Arial" w:cs="Arial" w:eastAsia="Arial" w:hAnsi="Arial"/>
                <w:sz w:val="14"/>
                <w:szCs w:val="14"/>
                <w:b w:val="1"/>
                <w:bCs w:val="1"/>
                <w:color w:val="auto"/>
              </w:rPr>
              <w:t>As of</w:t>
            </w:r>
          </w:p>
        </w:tc>
        <w:tc>
          <w:tcPr>
            <w:tcW w:w="1320" w:type="dxa"/>
            <w:vAlign w:val="bottom"/>
            <w:tcBorders>
              <w:bottom w:val="single" w:sz="8" w:color="2C6937"/>
            </w:tcBorders>
          </w:tcPr>
          <w:p>
            <w:pPr>
              <w:spacing w:after="0"/>
              <w:rPr>
                <w:sz w:val="16"/>
                <w:szCs w:val="16"/>
                <w:color w:val="auto"/>
              </w:rPr>
            </w:pPr>
          </w:p>
        </w:tc>
        <w:tc>
          <w:tcPr>
            <w:tcW w:w="1560" w:type="dxa"/>
            <w:vAlign w:val="bottom"/>
            <w:tcBorders>
              <w:bottom w:val="single" w:sz="8" w:color="2C6937"/>
            </w:tcBorders>
          </w:tcPr>
          <w:p>
            <w:pPr>
              <w:spacing w:after="0"/>
              <w:rPr>
                <w:sz w:val="16"/>
                <w:szCs w:val="16"/>
                <w:color w:val="auto"/>
              </w:rPr>
            </w:pPr>
          </w:p>
        </w:tc>
      </w:tr>
      <w:tr>
        <w:trPr>
          <w:trHeight w:val="186"/>
        </w:trPr>
        <w:tc>
          <w:tcPr>
            <w:tcW w:w="488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2880" w:type="dxa"/>
            <w:vAlign w:val="bottom"/>
            <w:tcBorders>
              <w:bottom w:val="single" w:sz="8" w:color="2C6937"/>
            </w:tcBorders>
            <w:gridSpan w:val="2"/>
          </w:tcPr>
          <w:p>
            <w:pPr>
              <w:ind w:left="700"/>
              <w:spacing w:after="0"/>
              <w:rPr>
                <w:sz w:val="20"/>
                <w:szCs w:val="20"/>
                <w:color w:val="auto"/>
              </w:rPr>
            </w:pPr>
            <w:r>
              <w:rPr>
                <w:rFonts w:ascii="Arial" w:cs="Arial" w:eastAsia="Arial" w:hAnsi="Arial"/>
                <w:sz w:val="14"/>
                <w:szCs w:val="14"/>
                <w:b w:val="1"/>
                <w:bCs w:val="1"/>
                <w:color w:val="auto"/>
              </w:rPr>
              <w:t>September 30, 2024</w:t>
            </w:r>
          </w:p>
        </w:tc>
        <w:tc>
          <w:tcPr>
            <w:tcW w:w="12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2880" w:type="dxa"/>
            <w:vAlign w:val="bottom"/>
            <w:tcBorders>
              <w:bottom w:val="single" w:sz="8" w:color="2C6937"/>
            </w:tcBorders>
            <w:gridSpan w:val="2"/>
          </w:tcPr>
          <w:p>
            <w:pPr>
              <w:jc w:val="right"/>
              <w:ind w:right="868"/>
              <w:spacing w:after="0"/>
              <w:rPr>
                <w:sz w:val="20"/>
                <w:szCs w:val="20"/>
                <w:color w:val="auto"/>
              </w:rPr>
            </w:pPr>
            <w:r>
              <w:rPr>
                <w:rFonts w:ascii="Arial" w:cs="Arial" w:eastAsia="Arial" w:hAnsi="Arial"/>
                <w:sz w:val="14"/>
                <w:szCs w:val="14"/>
                <w:b w:val="1"/>
                <w:bCs w:val="1"/>
                <w:color w:val="auto"/>
              </w:rPr>
              <w:t>December 31, 2023</w:t>
            </w:r>
          </w:p>
        </w:tc>
      </w:tr>
      <w:tr>
        <w:trPr>
          <w:trHeight w:val="165"/>
        </w:trPr>
        <w:tc>
          <w:tcPr>
            <w:tcW w:w="4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9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6"/>
              </w:rPr>
              <w:t>Weighted- Average</w:t>
            </w:r>
          </w:p>
        </w:tc>
        <w:tc>
          <w:tcPr>
            <w:tcW w:w="13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7"/>
              </w:rPr>
              <w:t>Weighted- Average</w:t>
            </w:r>
          </w:p>
        </w:tc>
      </w:tr>
      <w:tr>
        <w:trPr>
          <w:trHeight w:val="215"/>
        </w:trPr>
        <w:tc>
          <w:tcPr>
            <w:tcW w:w="488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1320" w:type="dxa"/>
            <w:vAlign w:val="bottom"/>
            <w:tcBorders>
              <w:bottom w:val="single" w:sz="8" w:color="2C6937"/>
            </w:tcBorders>
          </w:tcPr>
          <w:p>
            <w:pPr>
              <w:ind w:left="100"/>
              <w:spacing w:after="0"/>
              <w:rPr>
                <w:sz w:val="20"/>
                <w:szCs w:val="20"/>
                <w:color w:val="auto"/>
              </w:rPr>
            </w:pPr>
            <w:r>
              <w:rPr>
                <w:rFonts w:ascii="Arial" w:cs="Arial" w:eastAsia="Arial" w:hAnsi="Arial"/>
                <w:sz w:val="14"/>
                <w:szCs w:val="14"/>
                <w:b w:val="1"/>
                <w:bCs w:val="1"/>
                <w:color w:val="auto"/>
              </w:rPr>
              <w:t>Outstanding</w:t>
            </w:r>
          </w:p>
        </w:tc>
        <w:tc>
          <w:tcPr>
            <w:tcW w:w="1900" w:type="dxa"/>
            <w:vAlign w:val="bottom"/>
            <w:tcBorders>
              <w:bottom w:val="single" w:sz="8" w:color="2C6937"/>
            </w:tcBorders>
            <w:gridSpan w:val="3"/>
          </w:tcPr>
          <w:p>
            <w:pPr>
              <w:jc w:val="center"/>
              <w:ind w:right="320"/>
              <w:spacing w:after="0"/>
              <w:rPr>
                <w:sz w:val="20"/>
                <w:szCs w:val="20"/>
                <w:color w:val="auto"/>
              </w:rPr>
            </w:pPr>
            <w:r>
              <w:rPr>
                <w:rFonts w:ascii="Arial" w:cs="Arial" w:eastAsia="Arial" w:hAnsi="Arial"/>
                <w:sz w:val="14"/>
                <w:szCs w:val="14"/>
                <w:b w:val="1"/>
                <w:bCs w:val="1"/>
                <w:color w:val="auto"/>
                <w:w w:val="99"/>
              </w:rPr>
              <w:t>Interest Rate</w:t>
            </w:r>
            <w:r>
              <w:rPr>
                <w:rFonts w:ascii="Arial" w:cs="Arial" w:eastAsia="Arial" w:hAnsi="Arial"/>
                <w:sz w:val="8"/>
                <w:szCs w:val="8"/>
                <w:b w:val="1"/>
                <w:bCs w:val="1"/>
                <w:color w:val="auto"/>
                <w:w w:val="99"/>
              </w:rPr>
              <w:t>(1)</w:t>
            </w:r>
          </w:p>
        </w:tc>
        <w:tc>
          <w:tcPr>
            <w:tcW w:w="1320" w:type="dxa"/>
            <w:vAlign w:val="bottom"/>
            <w:tcBorders>
              <w:bottom w:val="single" w:sz="8" w:color="2C6937"/>
            </w:tcBorders>
          </w:tcPr>
          <w:p>
            <w:pPr>
              <w:jc w:val="right"/>
              <w:ind w:right="348"/>
              <w:spacing w:after="0"/>
              <w:rPr>
                <w:sz w:val="20"/>
                <w:szCs w:val="20"/>
                <w:color w:val="auto"/>
              </w:rPr>
            </w:pPr>
            <w:r>
              <w:rPr>
                <w:rFonts w:ascii="Arial" w:cs="Arial" w:eastAsia="Arial" w:hAnsi="Arial"/>
                <w:sz w:val="14"/>
                <w:szCs w:val="14"/>
                <w:b w:val="1"/>
                <w:bCs w:val="1"/>
                <w:color w:val="auto"/>
              </w:rPr>
              <w:t>Outstanding</w:t>
            </w:r>
          </w:p>
        </w:tc>
        <w:tc>
          <w:tcPr>
            <w:tcW w:w="15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9"/>
              </w:rPr>
              <w:t>Interest Rate</w:t>
            </w:r>
            <w:r>
              <w:rPr>
                <w:rFonts w:ascii="Arial" w:cs="Arial" w:eastAsia="Arial" w:hAnsi="Arial"/>
                <w:sz w:val="8"/>
                <w:szCs w:val="8"/>
                <w:b w:val="1"/>
                <w:bCs w:val="1"/>
                <w:color w:val="auto"/>
                <w:w w:val="99"/>
              </w:rPr>
              <w:t>(1)</w:t>
            </w:r>
          </w:p>
        </w:tc>
      </w:tr>
      <w:tr>
        <w:trPr>
          <w:trHeight w:val="185"/>
        </w:trPr>
        <w:tc>
          <w:tcPr>
            <w:tcW w:w="4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2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8"/>
              </w:rPr>
              <w:t>(Dollars in millions)</w:t>
            </w:r>
          </w:p>
        </w:tc>
        <w:tc>
          <w:tcPr>
            <w:tcW w:w="1560" w:type="dxa"/>
            <w:vAlign w:val="bottom"/>
          </w:tcPr>
          <w:p>
            <w:pPr>
              <w:spacing w:after="0"/>
              <w:rPr>
                <w:sz w:val="16"/>
                <w:szCs w:val="16"/>
                <w:color w:val="auto"/>
              </w:rPr>
            </w:pPr>
          </w:p>
        </w:tc>
      </w:tr>
      <w:tr>
        <w:trPr>
          <w:trHeight w:val="214"/>
        </w:trPr>
        <w:tc>
          <w:tcPr>
            <w:tcW w:w="4880" w:type="dxa"/>
            <w:vAlign w:val="bottom"/>
          </w:tcPr>
          <w:p>
            <w:pPr>
              <w:spacing w:after="0"/>
              <w:rPr>
                <w:sz w:val="20"/>
                <w:szCs w:val="20"/>
                <w:color w:val="auto"/>
              </w:rPr>
            </w:pPr>
            <w:r>
              <w:rPr>
                <w:rFonts w:ascii="Arial" w:cs="Arial" w:eastAsia="Arial" w:hAnsi="Arial"/>
                <w:sz w:val="15"/>
                <w:szCs w:val="15"/>
                <w:color w:val="auto"/>
              </w:rPr>
              <w:t>Short-term debt of Fannie Mae</w:t>
            </w:r>
          </w:p>
        </w:tc>
        <w:tc>
          <w:tcPr>
            <w:tcW w:w="220" w:type="dxa"/>
            <w:vAlign w:val="bottom"/>
          </w:tcPr>
          <w:p>
            <w:pPr>
              <w:jc w:val="right"/>
              <w:ind w:right="43"/>
              <w:spacing w:after="0"/>
              <w:rPr>
                <w:sz w:val="20"/>
                <w:szCs w:val="20"/>
                <w:color w:val="auto"/>
              </w:rPr>
            </w:pPr>
            <w:r>
              <w:rPr>
                <w:rFonts w:ascii="Arial" w:cs="Arial" w:eastAsia="Arial" w:hAnsi="Arial"/>
                <w:sz w:val="15"/>
                <w:szCs w:val="15"/>
                <w:b w:val="1"/>
                <w:bCs w:val="1"/>
                <w:color w:val="auto"/>
                <w:w w:val="95"/>
              </w:rPr>
              <w:t>$</w:t>
            </w:r>
          </w:p>
        </w:tc>
        <w:tc>
          <w:tcPr>
            <w:tcW w:w="1320" w:type="dxa"/>
            <w:vAlign w:val="bottom"/>
          </w:tcPr>
          <w:p>
            <w:pPr>
              <w:ind w:left="700"/>
              <w:spacing w:after="0"/>
              <w:rPr>
                <w:sz w:val="20"/>
                <w:szCs w:val="20"/>
                <w:color w:val="auto"/>
              </w:rPr>
            </w:pPr>
            <w:r>
              <w:rPr>
                <w:rFonts w:ascii="Arial" w:cs="Arial" w:eastAsia="Arial" w:hAnsi="Arial"/>
                <w:sz w:val="15"/>
                <w:szCs w:val="15"/>
                <w:b w:val="1"/>
                <w:bCs w:val="1"/>
                <w:color w:val="auto"/>
              </w:rPr>
              <w:t>11,419</w:t>
            </w:r>
          </w:p>
        </w:tc>
        <w:tc>
          <w:tcPr>
            <w:tcW w:w="1900" w:type="dxa"/>
            <w:vAlign w:val="bottom"/>
            <w:gridSpan w:val="3"/>
          </w:tcPr>
          <w:p>
            <w:pPr>
              <w:jc w:val="right"/>
              <w:ind w:right="120"/>
              <w:spacing w:after="0"/>
              <w:rPr>
                <w:sz w:val="20"/>
                <w:szCs w:val="20"/>
                <w:color w:val="auto"/>
              </w:rPr>
            </w:pPr>
            <w:r>
              <w:rPr>
                <w:rFonts w:ascii="Arial" w:cs="Arial" w:eastAsia="Arial" w:hAnsi="Arial"/>
                <w:sz w:val="15"/>
                <w:szCs w:val="15"/>
                <w:b w:val="1"/>
                <w:bCs w:val="1"/>
                <w:color w:val="auto"/>
              </w:rPr>
              <w:t xml:space="preserve">5.10 %  </w:t>
            </w:r>
            <w:r>
              <w:rPr>
                <w:rFonts w:ascii="Arial" w:cs="Arial" w:eastAsia="Arial" w:hAnsi="Arial"/>
                <w:sz w:val="15"/>
                <w:szCs w:val="15"/>
                <w:color w:val="auto"/>
              </w:rPr>
              <w:t>$</w:t>
            </w:r>
          </w:p>
        </w:tc>
        <w:tc>
          <w:tcPr>
            <w:tcW w:w="1320" w:type="dxa"/>
            <w:vAlign w:val="bottom"/>
          </w:tcPr>
          <w:p>
            <w:pPr>
              <w:jc w:val="right"/>
              <w:ind w:right="108"/>
              <w:spacing w:after="0"/>
              <w:rPr>
                <w:sz w:val="20"/>
                <w:szCs w:val="20"/>
                <w:color w:val="auto"/>
              </w:rPr>
            </w:pPr>
            <w:r>
              <w:rPr>
                <w:rFonts w:ascii="Arial" w:cs="Arial" w:eastAsia="Arial" w:hAnsi="Arial"/>
                <w:sz w:val="15"/>
                <w:szCs w:val="15"/>
                <w:color w:val="auto"/>
              </w:rPr>
              <w:t>17,314</w:t>
            </w:r>
          </w:p>
        </w:tc>
        <w:tc>
          <w:tcPr>
            <w:tcW w:w="1560" w:type="dxa"/>
            <w:vAlign w:val="bottom"/>
          </w:tcPr>
          <w:p>
            <w:pPr>
              <w:jc w:val="right"/>
              <w:spacing w:after="0"/>
              <w:rPr>
                <w:sz w:val="20"/>
                <w:szCs w:val="20"/>
                <w:color w:val="auto"/>
              </w:rPr>
            </w:pPr>
            <w:r>
              <w:rPr>
                <w:rFonts w:ascii="Arial" w:cs="Arial" w:eastAsia="Arial" w:hAnsi="Arial"/>
                <w:sz w:val="15"/>
                <w:szCs w:val="15"/>
                <w:color w:val="auto"/>
              </w:rPr>
              <w:t>5.13 %</w:t>
            </w:r>
          </w:p>
        </w:tc>
      </w:tr>
    </w:tbl>
    <w:p>
      <w:pPr>
        <w:spacing w:after="0" w:line="102" w:lineRule="exact"/>
        <w:rPr>
          <w:sz w:val="20"/>
          <w:szCs w:val="20"/>
          <w:color w:val="auto"/>
        </w:rPr>
      </w:pPr>
    </w:p>
    <w:p>
      <w:pPr>
        <w:ind w:left="220" w:hanging="217"/>
        <w:spacing w:after="0"/>
        <w:tabs>
          <w:tab w:leader="none" w:pos="220" w:val="left"/>
        </w:tabs>
        <w:numPr>
          <w:ilvl w:val="0"/>
          <w:numId w:val="86"/>
        </w:numPr>
        <w:rPr>
          <w:rFonts w:ascii="Arial" w:cs="Arial" w:eastAsia="Arial" w:hAnsi="Arial"/>
          <w:sz w:val="9"/>
          <w:szCs w:val="9"/>
          <w:color w:val="auto"/>
        </w:rPr>
      </w:pPr>
      <w:r>
        <w:rPr>
          <w:rFonts w:ascii="Arial" w:cs="Arial" w:eastAsia="Arial" w:hAnsi="Arial"/>
          <w:sz w:val="14"/>
          <w:szCs w:val="14"/>
          <w:color w:val="auto"/>
        </w:rPr>
        <w:t>Includes the effects of discounts, premiums and other cost basis adjustments.</w:t>
      </w:r>
    </w:p>
    <w:p>
      <w:pPr>
        <w:spacing w:after="0" w:line="116"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Long-Term Debt</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Long-term debt represents debt with an original contractual maturity of greater than one year. The following table displays our outstanding long-term debt.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00" w:type="dxa"/>
            <w:vAlign w:val="bottom"/>
          </w:tcPr>
          <w:p>
            <w:pPr>
              <w:spacing w:after="0"/>
              <w:rPr>
                <w:sz w:val="16"/>
                <w:szCs w:val="16"/>
                <w:color w:val="auto"/>
              </w:rPr>
            </w:pPr>
          </w:p>
        </w:tc>
        <w:tc>
          <w:tcPr>
            <w:tcW w:w="1260" w:type="dxa"/>
            <w:vAlign w:val="bottom"/>
            <w:tcBorders>
              <w:bottom w:val="single" w:sz="8" w:color="2C6937"/>
            </w:tcBorders>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1180" w:type="dxa"/>
            <w:vAlign w:val="bottom"/>
            <w:tcBorders>
              <w:bottom w:val="single" w:sz="8" w:color="2C6937"/>
            </w:tcBorders>
          </w:tcPr>
          <w:p>
            <w:pPr>
              <w:spacing w:after="0"/>
              <w:rPr>
                <w:sz w:val="16"/>
                <w:szCs w:val="16"/>
                <w:color w:val="auto"/>
              </w:rPr>
            </w:pPr>
          </w:p>
        </w:tc>
        <w:tc>
          <w:tcPr>
            <w:tcW w:w="1480" w:type="dxa"/>
            <w:vAlign w:val="bottom"/>
            <w:tcBorders>
              <w:bottom w:val="single" w:sz="8" w:color="2C6937"/>
            </w:tcBorders>
            <w:gridSpan w:val="3"/>
          </w:tcPr>
          <w:p>
            <w:pPr>
              <w:jc w:val="center"/>
              <w:ind w:left="985"/>
              <w:spacing w:after="0"/>
              <w:rPr>
                <w:sz w:val="20"/>
                <w:szCs w:val="20"/>
                <w:color w:val="auto"/>
              </w:rPr>
            </w:pPr>
            <w:r>
              <w:rPr>
                <w:rFonts w:ascii="Arial" w:cs="Arial" w:eastAsia="Arial" w:hAnsi="Arial"/>
                <w:sz w:val="14"/>
                <w:szCs w:val="14"/>
                <w:b w:val="1"/>
                <w:bCs w:val="1"/>
                <w:color w:val="auto"/>
                <w:w w:val="97"/>
              </w:rPr>
              <w:t>As of</w:t>
            </w:r>
          </w:p>
        </w:tc>
        <w:tc>
          <w:tcPr>
            <w:tcW w:w="1120" w:type="dxa"/>
            <w:vAlign w:val="bottom"/>
            <w:tcBorders>
              <w:bottom w:val="single" w:sz="8" w:color="2C6937"/>
            </w:tcBorders>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1160" w:type="dxa"/>
            <w:vAlign w:val="bottom"/>
            <w:tcBorders>
              <w:bottom w:val="single" w:sz="8" w:color="2C6937"/>
            </w:tcBorders>
          </w:tcPr>
          <w:p>
            <w:pPr>
              <w:spacing w:after="0"/>
              <w:rPr>
                <w:sz w:val="16"/>
                <w:szCs w:val="16"/>
                <w:color w:val="auto"/>
              </w:rPr>
            </w:pPr>
          </w:p>
        </w:tc>
        <w:tc>
          <w:tcPr>
            <w:tcW w:w="1220" w:type="dxa"/>
            <w:vAlign w:val="bottom"/>
            <w:tcBorders>
              <w:bottom w:val="single" w:sz="8" w:color="2C6937"/>
            </w:tcBorders>
          </w:tcPr>
          <w:p>
            <w:pPr>
              <w:spacing w:after="0"/>
              <w:rPr>
                <w:sz w:val="16"/>
                <w:szCs w:val="16"/>
                <w:color w:val="auto"/>
              </w:rPr>
            </w:pPr>
          </w:p>
        </w:tc>
      </w:tr>
      <w:tr>
        <w:trPr>
          <w:trHeight w:val="186"/>
        </w:trPr>
        <w:tc>
          <w:tcPr>
            <w:tcW w:w="3500" w:type="dxa"/>
            <w:vAlign w:val="bottom"/>
          </w:tcPr>
          <w:p>
            <w:pPr>
              <w:spacing w:after="0"/>
              <w:rPr>
                <w:sz w:val="16"/>
                <w:szCs w:val="16"/>
                <w:color w:val="auto"/>
              </w:rPr>
            </w:pPr>
          </w:p>
        </w:tc>
        <w:tc>
          <w:tcPr>
            <w:tcW w:w="1260" w:type="dxa"/>
            <w:vAlign w:val="bottom"/>
            <w:tcBorders>
              <w:bottom w:val="single" w:sz="8" w:color="2C6937"/>
            </w:tcBorders>
          </w:tcPr>
          <w:p>
            <w:pPr>
              <w:spacing w:after="0"/>
              <w:rPr>
                <w:sz w:val="16"/>
                <w:szCs w:val="16"/>
                <w:color w:val="auto"/>
              </w:rPr>
            </w:pPr>
          </w:p>
        </w:tc>
        <w:tc>
          <w:tcPr>
            <w:tcW w:w="1340" w:type="dxa"/>
            <w:vAlign w:val="bottom"/>
            <w:tcBorders>
              <w:bottom w:val="single" w:sz="8" w:color="2C6937"/>
            </w:tcBorders>
            <w:gridSpan w:val="2"/>
          </w:tcPr>
          <w:p>
            <w:pPr>
              <w:spacing w:after="0"/>
              <w:rPr>
                <w:sz w:val="20"/>
                <w:szCs w:val="20"/>
                <w:color w:val="auto"/>
              </w:rPr>
            </w:pPr>
            <w:r>
              <w:rPr>
                <w:rFonts w:ascii="Arial" w:cs="Arial" w:eastAsia="Arial" w:hAnsi="Arial"/>
                <w:sz w:val="14"/>
                <w:szCs w:val="14"/>
                <w:b w:val="1"/>
                <w:bCs w:val="1"/>
                <w:color w:val="auto"/>
              </w:rPr>
              <w:t>September 30, 2024</w:t>
            </w:r>
          </w:p>
        </w:tc>
        <w:tc>
          <w:tcPr>
            <w:tcW w:w="122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1120" w:type="dxa"/>
            <w:vAlign w:val="bottom"/>
            <w:tcBorders>
              <w:bottom w:val="single" w:sz="8" w:color="2C6937"/>
            </w:tcBorders>
          </w:tcPr>
          <w:p>
            <w:pPr>
              <w:spacing w:after="0"/>
              <w:rPr>
                <w:sz w:val="16"/>
                <w:szCs w:val="16"/>
                <w:color w:val="auto"/>
              </w:rPr>
            </w:pPr>
          </w:p>
        </w:tc>
        <w:tc>
          <w:tcPr>
            <w:tcW w:w="1320" w:type="dxa"/>
            <w:vAlign w:val="bottom"/>
            <w:tcBorders>
              <w:bottom w:val="single" w:sz="8" w:color="2C6937"/>
            </w:tcBorders>
            <w:gridSpan w:val="2"/>
          </w:tcPr>
          <w:p>
            <w:pPr>
              <w:ind w:left="20"/>
              <w:spacing w:after="0"/>
              <w:rPr>
                <w:sz w:val="20"/>
                <w:szCs w:val="20"/>
                <w:color w:val="auto"/>
              </w:rPr>
            </w:pPr>
            <w:r>
              <w:rPr>
                <w:rFonts w:ascii="Arial" w:cs="Arial" w:eastAsia="Arial" w:hAnsi="Arial"/>
                <w:sz w:val="14"/>
                <w:szCs w:val="14"/>
                <w:b w:val="1"/>
                <w:bCs w:val="1"/>
                <w:color w:val="auto"/>
              </w:rPr>
              <w:t>December 31, 2023</w:t>
            </w:r>
          </w:p>
        </w:tc>
        <w:tc>
          <w:tcPr>
            <w:tcW w:w="1220" w:type="dxa"/>
            <w:vAlign w:val="bottom"/>
            <w:tcBorders>
              <w:bottom w:val="single" w:sz="8" w:color="2C6937"/>
            </w:tcBorders>
          </w:tcPr>
          <w:p>
            <w:pPr>
              <w:spacing w:after="0"/>
              <w:rPr>
                <w:sz w:val="16"/>
                <w:szCs w:val="16"/>
                <w:color w:val="auto"/>
              </w:rPr>
            </w:pPr>
          </w:p>
        </w:tc>
      </w:tr>
      <w:tr>
        <w:trPr>
          <w:trHeight w:val="165"/>
        </w:trPr>
        <w:tc>
          <w:tcPr>
            <w:tcW w:w="3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7"/>
              </w:rPr>
              <w:t>Weighted-</w:t>
            </w: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jc w:val="center"/>
              <w:ind w:left="44"/>
              <w:spacing w:after="0"/>
              <w:rPr>
                <w:sz w:val="20"/>
                <w:szCs w:val="20"/>
                <w:color w:val="auto"/>
              </w:rPr>
            </w:pPr>
            <w:r>
              <w:rPr>
                <w:rFonts w:ascii="Arial" w:cs="Arial" w:eastAsia="Arial" w:hAnsi="Arial"/>
                <w:sz w:val="14"/>
                <w:szCs w:val="14"/>
                <w:b w:val="1"/>
                <w:bCs w:val="1"/>
                <w:color w:val="auto"/>
                <w:w w:val="97"/>
              </w:rPr>
              <w:t>Weighted-</w:t>
            </w:r>
          </w:p>
        </w:tc>
      </w:tr>
      <w:tr>
        <w:trPr>
          <w:trHeight w:val="168"/>
        </w:trPr>
        <w:tc>
          <w:tcPr>
            <w:tcW w:w="3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8"/>
              </w:rPr>
              <w:t>Average Interest</w:t>
            </w: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jc w:val="center"/>
              <w:ind w:left="24"/>
              <w:spacing w:after="0"/>
              <w:rPr>
                <w:sz w:val="20"/>
                <w:szCs w:val="20"/>
                <w:color w:val="auto"/>
              </w:rPr>
            </w:pPr>
            <w:r>
              <w:rPr>
                <w:rFonts w:ascii="Arial" w:cs="Arial" w:eastAsia="Arial" w:hAnsi="Arial"/>
                <w:sz w:val="14"/>
                <w:szCs w:val="14"/>
                <w:b w:val="1"/>
                <w:bCs w:val="1"/>
                <w:color w:val="auto"/>
                <w:w w:val="98"/>
              </w:rPr>
              <w:t>Average Interest</w:t>
            </w:r>
          </w:p>
        </w:tc>
      </w:tr>
      <w:tr>
        <w:trPr>
          <w:trHeight w:val="203"/>
        </w:trPr>
        <w:tc>
          <w:tcPr>
            <w:tcW w:w="3500" w:type="dxa"/>
            <w:vAlign w:val="bottom"/>
          </w:tcPr>
          <w:p>
            <w:pPr>
              <w:spacing w:after="0"/>
              <w:rPr>
                <w:sz w:val="17"/>
                <w:szCs w:val="17"/>
                <w:color w:val="auto"/>
              </w:rPr>
            </w:pPr>
          </w:p>
        </w:tc>
        <w:tc>
          <w:tcPr>
            <w:tcW w:w="1260" w:type="dxa"/>
            <w:vAlign w:val="bottom"/>
            <w:tcBorders>
              <w:bottom w:val="single" w:sz="8" w:color="2C6937"/>
            </w:tcBorders>
          </w:tcPr>
          <w:p>
            <w:pPr>
              <w:ind w:left="260"/>
              <w:spacing w:after="0"/>
              <w:rPr>
                <w:sz w:val="20"/>
                <w:szCs w:val="20"/>
                <w:color w:val="auto"/>
              </w:rPr>
            </w:pPr>
            <w:r>
              <w:rPr>
                <w:rFonts w:ascii="Arial" w:cs="Arial" w:eastAsia="Arial" w:hAnsi="Arial"/>
                <w:sz w:val="14"/>
                <w:szCs w:val="14"/>
                <w:b w:val="1"/>
                <w:bCs w:val="1"/>
                <w:color w:val="auto"/>
              </w:rPr>
              <w:t>Maturities</w:t>
            </w:r>
          </w:p>
        </w:tc>
        <w:tc>
          <w:tcPr>
            <w:tcW w:w="160" w:type="dxa"/>
            <w:vAlign w:val="bottom"/>
            <w:tcBorders>
              <w:bottom w:val="single" w:sz="8" w:color="2C6937"/>
            </w:tcBorders>
          </w:tcPr>
          <w:p>
            <w:pPr>
              <w:spacing w:after="0"/>
              <w:rPr>
                <w:sz w:val="17"/>
                <w:szCs w:val="17"/>
                <w:color w:val="auto"/>
              </w:rPr>
            </w:pPr>
          </w:p>
        </w:tc>
        <w:tc>
          <w:tcPr>
            <w:tcW w:w="1180" w:type="dxa"/>
            <w:vAlign w:val="bottom"/>
            <w:tcBorders>
              <w:bottom w:val="single" w:sz="8" w:color="2C6937"/>
            </w:tcBorders>
          </w:tcPr>
          <w:p>
            <w:pPr>
              <w:jc w:val="right"/>
              <w:ind w:right="143"/>
              <w:spacing w:after="0"/>
              <w:rPr>
                <w:sz w:val="20"/>
                <w:szCs w:val="20"/>
                <w:color w:val="auto"/>
              </w:rPr>
            </w:pPr>
            <w:r>
              <w:rPr>
                <w:rFonts w:ascii="Arial" w:cs="Arial" w:eastAsia="Arial" w:hAnsi="Arial"/>
                <w:sz w:val="14"/>
                <w:szCs w:val="14"/>
                <w:b w:val="1"/>
                <w:bCs w:val="1"/>
                <w:color w:val="auto"/>
                <w:w w:val="97"/>
              </w:rPr>
              <w:t>Outstanding</w:t>
            </w:r>
            <w:r>
              <w:rPr>
                <w:rFonts w:ascii="Arial" w:cs="Arial" w:eastAsia="Arial" w:hAnsi="Arial"/>
                <w:sz w:val="17"/>
                <w:szCs w:val="17"/>
                <w:b w:val="1"/>
                <w:bCs w:val="1"/>
                <w:color w:val="auto"/>
                <w:w w:val="97"/>
                <w:vertAlign w:val="superscript"/>
              </w:rPr>
              <w:t>(1)</w:t>
            </w:r>
          </w:p>
        </w:tc>
        <w:tc>
          <w:tcPr>
            <w:tcW w:w="1480" w:type="dxa"/>
            <w:vAlign w:val="bottom"/>
            <w:tcBorders>
              <w:bottom w:val="single" w:sz="8" w:color="2C6937"/>
            </w:tcBorders>
            <w:gridSpan w:val="3"/>
          </w:tcPr>
          <w:p>
            <w:pPr>
              <w:jc w:val="center"/>
              <w:ind w:right="160"/>
              <w:spacing w:after="0"/>
              <w:rPr>
                <w:sz w:val="20"/>
                <w:szCs w:val="20"/>
                <w:color w:val="auto"/>
              </w:rPr>
            </w:pPr>
            <w:r>
              <w:rPr>
                <w:rFonts w:ascii="Arial" w:cs="Arial" w:eastAsia="Arial" w:hAnsi="Arial"/>
                <w:sz w:val="14"/>
                <w:szCs w:val="14"/>
                <w:b w:val="1"/>
                <w:bCs w:val="1"/>
                <w:color w:val="auto"/>
                <w:w w:val="99"/>
              </w:rPr>
              <w:t>Rate</w:t>
            </w:r>
            <w:r>
              <w:rPr>
                <w:rFonts w:ascii="Arial" w:cs="Arial" w:eastAsia="Arial" w:hAnsi="Arial"/>
                <w:sz w:val="8"/>
                <w:szCs w:val="8"/>
                <w:b w:val="1"/>
                <w:bCs w:val="1"/>
                <w:color w:val="auto"/>
                <w:w w:val="99"/>
              </w:rPr>
              <w:t>(2)</w:t>
            </w:r>
          </w:p>
        </w:tc>
        <w:tc>
          <w:tcPr>
            <w:tcW w:w="1120" w:type="dxa"/>
            <w:vAlign w:val="bottom"/>
            <w:tcBorders>
              <w:bottom w:val="single" w:sz="8" w:color="2C6937"/>
            </w:tcBorders>
          </w:tcPr>
          <w:p>
            <w:pPr>
              <w:jc w:val="center"/>
              <w:ind w:right="164"/>
              <w:spacing w:after="0"/>
              <w:rPr>
                <w:sz w:val="20"/>
                <w:szCs w:val="20"/>
                <w:color w:val="auto"/>
              </w:rPr>
            </w:pPr>
            <w:r>
              <w:rPr>
                <w:rFonts w:ascii="Arial" w:cs="Arial" w:eastAsia="Arial" w:hAnsi="Arial"/>
                <w:sz w:val="14"/>
                <w:szCs w:val="14"/>
                <w:b w:val="1"/>
                <w:bCs w:val="1"/>
                <w:color w:val="auto"/>
                <w:w w:val="96"/>
              </w:rPr>
              <w:t>Maturities</w:t>
            </w:r>
          </w:p>
        </w:tc>
        <w:tc>
          <w:tcPr>
            <w:tcW w:w="16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tcPr>
          <w:p>
            <w:pPr>
              <w:jc w:val="right"/>
              <w:ind w:right="123"/>
              <w:spacing w:after="0"/>
              <w:rPr>
                <w:sz w:val="20"/>
                <w:szCs w:val="20"/>
                <w:color w:val="auto"/>
              </w:rPr>
            </w:pPr>
            <w:r>
              <w:rPr>
                <w:rFonts w:ascii="Arial" w:cs="Arial" w:eastAsia="Arial" w:hAnsi="Arial"/>
                <w:sz w:val="14"/>
                <w:szCs w:val="14"/>
                <w:b w:val="1"/>
                <w:bCs w:val="1"/>
                <w:color w:val="auto"/>
                <w:w w:val="97"/>
              </w:rPr>
              <w:t>Outstanding</w:t>
            </w:r>
            <w:r>
              <w:rPr>
                <w:rFonts w:ascii="Arial" w:cs="Arial" w:eastAsia="Arial" w:hAnsi="Arial"/>
                <w:sz w:val="17"/>
                <w:szCs w:val="17"/>
                <w:b w:val="1"/>
                <w:bCs w:val="1"/>
                <w:color w:val="auto"/>
                <w:w w:val="97"/>
                <w:vertAlign w:val="superscript"/>
              </w:rPr>
              <w:t>(1)</w:t>
            </w:r>
          </w:p>
        </w:tc>
        <w:tc>
          <w:tcPr>
            <w:tcW w:w="1220" w:type="dxa"/>
            <w:vAlign w:val="bottom"/>
            <w:tcBorders>
              <w:bottom w:val="single" w:sz="8" w:color="2C6937"/>
            </w:tcBorders>
          </w:tcPr>
          <w:p>
            <w:pPr>
              <w:jc w:val="center"/>
              <w:ind w:left="24"/>
              <w:spacing w:after="0"/>
              <w:rPr>
                <w:sz w:val="20"/>
                <w:szCs w:val="20"/>
                <w:color w:val="auto"/>
              </w:rPr>
            </w:pPr>
            <w:r>
              <w:rPr>
                <w:rFonts w:ascii="Arial" w:cs="Arial" w:eastAsia="Arial" w:hAnsi="Arial"/>
                <w:sz w:val="14"/>
                <w:szCs w:val="14"/>
                <w:b w:val="1"/>
                <w:bCs w:val="1"/>
                <w:color w:val="auto"/>
                <w:w w:val="99"/>
              </w:rPr>
              <w:t>Rate</w:t>
            </w:r>
            <w:r>
              <w:rPr>
                <w:rFonts w:ascii="Arial" w:cs="Arial" w:eastAsia="Arial" w:hAnsi="Arial"/>
                <w:sz w:val="8"/>
                <w:szCs w:val="8"/>
                <w:b w:val="1"/>
                <w:bCs w:val="1"/>
                <w:color w:val="auto"/>
                <w:w w:val="99"/>
              </w:rPr>
              <w:t>(2)</w:t>
            </w:r>
          </w:p>
        </w:tc>
      </w:tr>
      <w:tr>
        <w:trPr>
          <w:trHeight w:val="185"/>
        </w:trPr>
        <w:tc>
          <w:tcPr>
            <w:tcW w:w="3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6"/>
              </w:rPr>
              <w:t>(Dollars in millions)</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6"/>
        </w:trPr>
        <w:tc>
          <w:tcPr>
            <w:tcW w:w="3500" w:type="dxa"/>
            <w:vAlign w:val="bottom"/>
          </w:tcPr>
          <w:p>
            <w:pPr>
              <w:ind w:left="20"/>
              <w:spacing w:after="0"/>
              <w:rPr>
                <w:sz w:val="20"/>
                <w:szCs w:val="20"/>
                <w:color w:val="auto"/>
              </w:rPr>
            </w:pPr>
            <w:r>
              <w:rPr>
                <w:rFonts w:ascii="Arial" w:cs="Arial" w:eastAsia="Arial" w:hAnsi="Arial"/>
                <w:sz w:val="15"/>
                <w:szCs w:val="15"/>
                <w:color w:val="auto"/>
              </w:rPr>
              <w:t>Senior fixed:</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7"/>
        </w:trPr>
        <w:tc>
          <w:tcPr>
            <w:tcW w:w="3500" w:type="dxa"/>
            <w:vAlign w:val="bottom"/>
          </w:tcPr>
          <w:p>
            <w:pPr>
              <w:ind w:left="220"/>
              <w:spacing w:after="0"/>
              <w:rPr>
                <w:sz w:val="20"/>
                <w:szCs w:val="20"/>
                <w:color w:val="auto"/>
              </w:rPr>
            </w:pPr>
            <w:r>
              <w:rPr>
                <w:rFonts w:ascii="Arial" w:cs="Arial" w:eastAsia="Arial" w:hAnsi="Arial"/>
                <w:sz w:val="15"/>
                <w:szCs w:val="15"/>
                <w:color w:val="auto"/>
              </w:rPr>
              <w:t>Benchmark notes and bonds</w:t>
            </w:r>
          </w:p>
        </w:tc>
        <w:tc>
          <w:tcPr>
            <w:tcW w:w="1260" w:type="dxa"/>
            <w:vAlign w:val="bottom"/>
          </w:tcPr>
          <w:p>
            <w:pPr>
              <w:jc w:val="center"/>
              <w:ind w:right="44"/>
              <w:spacing w:after="0"/>
              <w:rPr>
                <w:sz w:val="20"/>
                <w:szCs w:val="20"/>
                <w:color w:val="auto"/>
              </w:rPr>
            </w:pPr>
            <w:r>
              <w:rPr>
                <w:rFonts w:ascii="Arial" w:cs="Arial" w:eastAsia="Arial" w:hAnsi="Arial"/>
                <w:sz w:val="15"/>
                <w:szCs w:val="15"/>
                <w:color w:val="auto"/>
              </w:rPr>
              <w:t>2024 - 2030</w:t>
            </w:r>
          </w:p>
        </w:tc>
        <w:tc>
          <w:tcPr>
            <w:tcW w:w="16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5"/>
                <w:szCs w:val="15"/>
                <w:b w:val="1"/>
                <w:bCs w:val="1"/>
                <w:color w:val="auto"/>
              </w:rPr>
              <w:t>46,825</w:t>
            </w:r>
          </w:p>
        </w:tc>
        <w:tc>
          <w:tcPr>
            <w:tcW w:w="1220" w:type="dxa"/>
            <w:vAlign w:val="bottom"/>
          </w:tcPr>
          <w:p>
            <w:pPr>
              <w:jc w:val="right"/>
              <w:spacing w:after="0"/>
              <w:rPr>
                <w:sz w:val="20"/>
                <w:szCs w:val="20"/>
                <w:color w:val="auto"/>
              </w:rPr>
            </w:pPr>
            <w:r>
              <w:rPr>
                <w:rFonts w:ascii="Arial" w:cs="Arial" w:eastAsia="Arial" w:hAnsi="Arial"/>
                <w:sz w:val="15"/>
                <w:szCs w:val="15"/>
                <w:b w:val="1"/>
                <w:bCs w:val="1"/>
                <w:color w:val="auto"/>
              </w:rPr>
              <w:t>2.89 %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184"/>
              <w:spacing w:after="0"/>
              <w:rPr>
                <w:sz w:val="20"/>
                <w:szCs w:val="20"/>
                <w:color w:val="auto"/>
              </w:rPr>
            </w:pPr>
            <w:r>
              <w:rPr>
                <w:rFonts w:ascii="Arial" w:cs="Arial" w:eastAsia="Arial" w:hAnsi="Arial"/>
                <w:sz w:val="15"/>
                <w:szCs w:val="15"/>
                <w:color w:val="auto"/>
              </w:rPr>
              <w:t>2024 - 2030</w:t>
            </w:r>
          </w:p>
        </w:tc>
        <w:tc>
          <w:tcPr>
            <w:tcW w:w="160" w:type="dxa"/>
            <w:vAlign w:val="bottom"/>
          </w:tcPr>
          <w:p>
            <w:pPr>
              <w:ind w:left="20"/>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54,727</w:t>
            </w:r>
          </w:p>
        </w:tc>
        <w:tc>
          <w:tcPr>
            <w:tcW w:w="1220" w:type="dxa"/>
            <w:vAlign w:val="bottom"/>
          </w:tcPr>
          <w:p>
            <w:pPr>
              <w:jc w:val="right"/>
              <w:spacing w:after="0"/>
              <w:rPr>
                <w:sz w:val="20"/>
                <w:szCs w:val="20"/>
                <w:color w:val="auto"/>
              </w:rPr>
            </w:pPr>
            <w:r>
              <w:rPr>
                <w:rFonts w:ascii="Arial" w:cs="Arial" w:eastAsia="Arial" w:hAnsi="Arial"/>
                <w:sz w:val="15"/>
                <w:szCs w:val="15"/>
                <w:color w:val="auto"/>
              </w:rPr>
              <w:t>2.79 %</w:t>
            </w:r>
          </w:p>
        </w:tc>
      </w:tr>
      <w:tr>
        <w:trPr>
          <w:trHeight w:val="206"/>
        </w:trPr>
        <w:tc>
          <w:tcPr>
            <w:tcW w:w="3500" w:type="dxa"/>
            <w:vAlign w:val="bottom"/>
          </w:tcPr>
          <w:p>
            <w:pPr>
              <w:ind w:left="220"/>
              <w:spacing w:after="0" w:line="207" w:lineRule="exact"/>
              <w:rPr>
                <w:sz w:val="20"/>
                <w:szCs w:val="20"/>
                <w:color w:val="auto"/>
              </w:rPr>
            </w:pPr>
            <w:r>
              <w:rPr>
                <w:rFonts w:ascii="Arial" w:cs="Arial" w:eastAsia="Arial" w:hAnsi="Arial"/>
                <w:sz w:val="15"/>
                <w:szCs w:val="15"/>
                <w:color w:val="auto"/>
              </w:rPr>
              <w:t>Medium-term notes</w:t>
            </w:r>
            <w:r>
              <w:rPr>
                <w:rFonts w:ascii="Arial" w:cs="Arial" w:eastAsia="Arial" w:hAnsi="Arial"/>
                <w:sz w:val="20"/>
                <w:szCs w:val="20"/>
                <w:color w:val="auto"/>
                <w:vertAlign w:val="superscript"/>
              </w:rPr>
              <w:t>(3)</w:t>
            </w:r>
          </w:p>
        </w:tc>
        <w:tc>
          <w:tcPr>
            <w:tcW w:w="1260" w:type="dxa"/>
            <w:vAlign w:val="bottom"/>
          </w:tcPr>
          <w:p>
            <w:pPr>
              <w:jc w:val="center"/>
              <w:ind w:right="44"/>
              <w:spacing w:after="0"/>
              <w:rPr>
                <w:sz w:val="20"/>
                <w:szCs w:val="20"/>
                <w:color w:val="auto"/>
              </w:rPr>
            </w:pPr>
            <w:r>
              <w:rPr>
                <w:rFonts w:ascii="Arial" w:cs="Arial" w:eastAsia="Arial" w:hAnsi="Arial"/>
                <w:sz w:val="15"/>
                <w:szCs w:val="15"/>
                <w:color w:val="auto"/>
              </w:rPr>
              <w:t>2024 - 2034</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b w:val="1"/>
                <w:bCs w:val="1"/>
                <w:color w:val="auto"/>
              </w:rPr>
              <w:t>39,231</w:t>
            </w:r>
          </w:p>
        </w:tc>
        <w:tc>
          <w:tcPr>
            <w:tcW w:w="1220" w:type="dxa"/>
            <w:vAlign w:val="bottom"/>
          </w:tcPr>
          <w:p>
            <w:pPr>
              <w:jc w:val="right"/>
              <w:ind w:right="125"/>
              <w:spacing w:after="0"/>
              <w:rPr>
                <w:sz w:val="20"/>
                <w:szCs w:val="20"/>
                <w:color w:val="auto"/>
              </w:rPr>
            </w:pPr>
            <w:r>
              <w:rPr>
                <w:rFonts w:ascii="Arial" w:cs="Arial" w:eastAsia="Arial" w:hAnsi="Arial"/>
                <w:sz w:val="15"/>
                <w:szCs w:val="15"/>
                <w:b w:val="1"/>
                <w:bCs w:val="1"/>
                <w:color w:val="auto"/>
              </w:rPr>
              <w:t>1.90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184"/>
              <w:spacing w:after="0"/>
              <w:rPr>
                <w:sz w:val="20"/>
                <w:szCs w:val="20"/>
                <w:color w:val="auto"/>
              </w:rPr>
            </w:pPr>
            <w:r>
              <w:rPr>
                <w:rFonts w:ascii="Arial" w:cs="Arial" w:eastAsia="Arial" w:hAnsi="Arial"/>
                <w:sz w:val="15"/>
                <w:szCs w:val="15"/>
                <w:color w:val="auto"/>
              </w:rPr>
              <w:t>2024 - 2031</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42,217</w:t>
            </w:r>
          </w:p>
        </w:tc>
        <w:tc>
          <w:tcPr>
            <w:tcW w:w="1220" w:type="dxa"/>
            <w:vAlign w:val="bottom"/>
          </w:tcPr>
          <w:p>
            <w:pPr>
              <w:jc w:val="right"/>
              <w:ind w:right="124"/>
              <w:spacing w:after="0"/>
              <w:rPr>
                <w:sz w:val="20"/>
                <w:szCs w:val="20"/>
                <w:color w:val="auto"/>
              </w:rPr>
            </w:pPr>
            <w:r>
              <w:rPr>
                <w:rFonts w:ascii="Arial" w:cs="Arial" w:eastAsia="Arial" w:hAnsi="Arial"/>
                <w:sz w:val="15"/>
                <w:szCs w:val="15"/>
                <w:color w:val="auto"/>
              </w:rPr>
              <w:t>1.58</w:t>
            </w:r>
          </w:p>
        </w:tc>
      </w:tr>
      <w:tr>
        <w:trPr>
          <w:trHeight w:val="217"/>
        </w:trPr>
        <w:tc>
          <w:tcPr>
            <w:tcW w:w="3500" w:type="dxa"/>
            <w:vAlign w:val="bottom"/>
            <w:tcBorders>
              <w:bottom w:val="single" w:sz="8" w:color="2C6937"/>
            </w:tcBorders>
          </w:tcPr>
          <w:p>
            <w:pPr>
              <w:ind w:left="220"/>
              <w:spacing w:after="0" w:line="217" w:lineRule="exact"/>
              <w:rPr>
                <w:sz w:val="20"/>
                <w:szCs w:val="20"/>
                <w:color w:val="auto"/>
              </w:rPr>
            </w:pPr>
            <w:r>
              <w:rPr>
                <w:rFonts w:ascii="Arial" w:cs="Arial" w:eastAsia="Arial" w:hAnsi="Arial"/>
                <w:sz w:val="15"/>
                <w:szCs w:val="15"/>
                <w:color w:val="auto"/>
              </w:rPr>
              <w:t>Other</w:t>
            </w:r>
            <w:r>
              <w:rPr>
                <w:rFonts w:ascii="Arial" w:cs="Arial" w:eastAsia="Arial" w:hAnsi="Arial"/>
                <w:sz w:val="20"/>
                <w:szCs w:val="20"/>
                <w:color w:val="auto"/>
                <w:vertAlign w:val="superscript"/>
              </w:rPr>
              <w:t>(4)</w:t>
            </w:r>
          </w:p>
        </w:tc>
        <w:tc>
          <w:tcPr>
            <w:tcW w:w="1260" w:type="dxa"/>
            <w:vAlign w:val="bottom"/>
          </w:tcPr>
          <w:p>
            <w:pPr>
              <w:jc w:val="center"/>
              <w:ind w:right="44"/>
              <w:spacing w:after="0"/>
              <w:rPr>
                <w:sz w:val="20"/>
                <w:szCs w:val="20"/>
                <w:color w:val="auto"/>
              </w:rPr>
            </w:pPr>
            <w:r>
              <w:rPr>
                <w:rFonts w:ascii="Arial" w:cs="Arial" w:eastAsia="Arial" w:hAnsi="Arial"/>
                <w:sz w:val="15"/>
                <w:szCs w:val="15"/>
                <w:color w:val="auto"/>
              </w:rPr>
              <w:t>2024 - 2038</w:t>
            </w:r>
          </w:p>
        </w:tc>
        <w:tc>
          <w:tcPr>
            <w:tcW w:w="160" w:type="dxa"/>
            <w:vAlign w:val="bottom"/>
            <w:tcBorders>
              <w:bottom w:val="single" w:sz="8" w:color="2C6937"/>
            </w:tcBorders>
          </w:tcPr>
          <w:p>
            <w:pPr>
              <w:spacing w:after="0"/>
              <w:rPr>
                <w:sz w:val="18"/>
                <w:szCs w:val="18"/>
                <w:color w:val="auto"/>
              </w:rPr>
            </w:pPr>
          </w:p>
        </w:tc>
        <w:tc>
          <w:tcPr>
            <w:tcW w:w="11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6,820</w:t>
            </w:r>
          </w:p>
        </w:tc>
        <w:tc>
          <w:tcPr>
            <w:tcW w:w="1220" w:type="dxa"/>
            <w:vAlign w:val="bottom"/>
          </w:tcPr>
          <w:p>
            <w:pPr>
              <w:jc w:val="right"/>
              <w:ind w:right="125"/>
              <w:spacing w:after="0"/>
              <w:rPr>
                <w:sz w:val="20"/>
                <w:szCs w:val="20"/>
                <w:color w:val="auto"/>
              </w:rPr>
            </w:pPr>
            <w:r>
              <w:rPr>
                <w:rFonts w:ascii="Arial" w:cs="Arial" w:eastAsia="Arial" w:hAnsi="Arial"/>
                <w:sz w:val="15"/>
                <w:szCs w:val="15"/>
                <w:b w:val="1"/>
                <w:bCs w:val="1"/>
                <w:color w:val="auto"/>
              </w:rPr>
              <w:t>4.08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184"/>
              <w:spacing w:after="0"/>
              <w:rPr>
                <w:sz w:val="20"/>
                <w:szCs w:val="20"/>
                <w:color w:val="auto"/>
              </w:rPr>
            </w:pPr>
            <w:r>
              <w:rPr>
                <w:rFonts w:ascii="Arial" w:cs="Arial" w:eastAsia="Arial" w:hAnsi="Arial"/>
                <w:sz w:val="15"/>
                <w:szCs w:val="15"/>
                <w:color w:val="auto"/>
              </w:rPr>
              <w:t>2024 - 2038</w:t>
            </w:r>
          </w:p>
        </w:tc>
        <w:tc>
          <w:tcPr>
            <w:tcW w:w="160" w:type="dxa"/>
            <w:vAlign w:val="bottom"/>
            <w:tcBorders>
              <w:bottom w:val="single" w:sz="8" w:color="2C6937"/>
            </w:tcBorders>
          </w:tcPr>
          <w:p>
            <w:pPr>
              <w:spacing w:after="0"/>
              <w:rPr>
                <w:sz w:val="18"/>
                <w:szCs w:val="18"/>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6,787</w:t>
            </w:r>
          </w:p>
        </w:tc>
        <w:tc>
          <w:tcPr>
            <w:tcW w:w="1220" w:type="dxa"/>
            <w:vAlign w:val="bottom"/>
          </w:tcPr>
          <w:p>
            <w:pPr>
              <w:jc w:val="right"/>
              <w:ind w:right="124"/>
              <w:spacing w:after="0"/>
              <w:rPr>
                <w:sz w:val="20"/>
                <w:szCs w:val="20"/>
                <w:color w:val="auto"/>
              </w:rPr>
            </w:pPr>
            <w:r>
              <w:rPr>
                <w:rFonts w:ascii="Arial" w:cs="Arial" w:eastAsia="Arial" w:hAnsi="Arial"/>
                <w:sz w:val="15"/>
                <w:szCs w:val="15"/>
                <w:color w:val="auto"/>
              </w:rPr>
              <w:t>3.98</w:t>
            </w:r>
          </w:p>
        </w:tc>
      </w:tr>
      <w:tr>
        <w:trPr>
          <w:trHeight w:val="200"/>
        </w:trPr>
        <w:tc>
          <w:tcPr>
            <w:tcW w:w="3500" w:type="dxa"/>
            <w:vAlign w:val="bottom"/>
          </w:tcPr>
          <w:p>
            <w:pPr>
              <w:ind w:left="400"/>
              <w:spacing w:after="0"/>
              <w:rPr>
                <w:sz w:val="20"/>
                <w:szCs w:val="20"/>
                <w:color w:val="auto"/>
              </w:rPr>
            </w:pPr>
            <w:r>
              <w:rPr>
                <w:rFonts w:ascii="Arial" w:cs="Arial" w:eastAsia="Arial" w:hAnsi="Arial"/>
                <w:sz w:val="15"/>
                <w:szCs w:val="15"/>
                <w:color w:val="auto"/>
              </w:rPr>
              <w:t>Total senior fixed</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b w:val="1"/>
                <w:bCs w:val="1"/>
                <w:color w:val="auto"/>
              </w:rPr>
              <w:t>92,876</w:t>
            </w:r>
          </w:p>
        </w:tc>
        <w:tc>
          <w:tcPr>
            <w:tcW w:w="1220" w:type="dxa"/>
            <w:vAlign w:val="bottom"/>
          </w:tcPr>
          <w:p>
            <w:pPr>
              <w:jc w:val="right"/>
              <w:ind w:right="125"/>
              <w:spacing w:after="0"/>
              <w:rPr>
                <w:sz w:val="20"/>
                <w:szCs w:val="20"/>
                <w:color w:val="auto"/>
              </w:rPr>
            </w:pPr>
            <w:r>
              <w:rPr>
                <w:rFonts w:ascii="Arial" w:cs="Arial" w:eastAsia="Arial" w:hAnsi="Arial"/>
                <w:sz w:val="15"/>
                <w:szCs w:val="15"/>
                <w:b w:val="1"/>
                <w:bCs w:val="1"/>
                <w:color w:val="auto"/>
              </w:rPr>
              <w:t>2.57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103,731</w:t>
            </w:r>
          </w:p>
        </w:tc>
        <w:tc>
          <w:tcPr>
            <w:tcW w:w="1220" w:type="dxa"/>
            <w:vAlign w:val="bottom"/>
          </w:tcPr>
          <w:p>
            <w:pPr>
              <w:jc w:val="right"/>
              <w:ind w:right="124"/>
              <w:spacing w:after="0"/>
              <w:rPr>
                <w:sz w:val="20"/>
                <w:szCs w:val="20"/>
                <w:color w:val="auto"/>
              </w:rPr>
            </w:pPr>
            <w:r>
              <w:rPr>
                <w:rFonts w:ascii="Arial" w:cs="Arial" w:eastAsia="Arial" w:hAnsi="Arial"/>
                <w:sz w:val="15"/>
                <w:szCs w:val="15"/>
                <w:color w:val="auto"/>
              </w:rPr>
              <w:t>2.40</w:t>
            </w:r>
          </w:p>
        </w:tc>
      </w:tr>
      <w:tr>
        <w:trPr>
          <w:trHeight w:val="195"/>
        </w:trPr>
        <w:tc>
          <w:tcPr>
            <w:tcW w:w="3500" w:type="dxa"/>
            <w:vAlign w:val="bottom"/>
          </w:tcPr>
          <w:p>
            <w:pPr>
              <w:ind w:left="20"/>
              <w:spacing w:after="0"/>
              <w:rPr>
                <w:sz w:val="20"/>
                <w:szCs w:val="20"/>
                <w:color w:val="auto"/>
              </w:rPr>
            </w:pPr>
            <w:r>
              <w:rPr>
                <w:rFonts w:ascii="Arial" w:cs="Arial" w:eastAsia="Arial" w:hAnsi="Arial"/>
                <w:sz w:val="15"/>
                <w:szCs w:val="15"/>
                <w:color w:val="auto"/>
              </w:rPr>
              <w:t>Senior floating:</w:t>
            </w: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6"/>
        </w:trPr>
        <w:tc>
          <w:tcPr>
            <w:tcW w:w="3500" w:type="dxa"/>
            <w:vAlign w:val="bottom"/>
          </w:tcPr>
          <w:p>
            <w:pPr>
              <w:ind w:left="220"/>
              <w:spacing w:after="0" w:line="207" w:lineRule="exact"/>
              <w:rPr>
                <w:sz w:val="20"/>
                <w:szCs w:val="20"/>
                <w:color w:val="auto"/>
              </w:rPr>
            </w:pPr>
            <w:r>
              <w:rPr>
                <w:rFonts w:ascii="Arial" w:cs="Arial" w:eastAsia="Arial" w:hAnsi="Arial"/>
                <w:sz w:val="15"/>
                <w:szCs w:val="15"/>
                <w:color w:val="auto"/>
              </w:rPr>
              <w:t>Medium-term notes</w:t>
            </w:r>
            <w:r>
              <w:rPr>
                <w:rFonts w:ascii="Arial" w:cs="Arial" w:eastAsia="Arial" w:hAnsi="Arial"/>
                <w:sz w:val="20"/>
                <w:szCs w:val="20"/>
                <w:color w:val="auto"/>
                <w:vertAlign w:val="superscript"/>
              </w:rPr>
              <w:t>(3)</w:t>
            </w:r>
          </w:p>
        </w:tc>
        <w:tc>
          <w:tcPr>
            <w:tcW w:w="1260" w:type="dxa"/>
            <w:vAlign w:val="bottom"/>
          </w:tcPr>
          <w:p>
            <w:pPr>
              <w:jc w:val="center"/>
              <w:ind w:right="44"/>
              <w:spacing w:after="0"/>
              <w:rPr>
                <w:sz w:val="20"/>
                <w:szCs w:val="20"/>
                <w:color w:val="auto"/>
              </w:rPr>
            </w:pPr>
            <w:r>
              <w:rPr>
                <w:rFonts w:ascii="Arial" w:cs="Arial" w:eastAsia="Arial" w:hAnsi="Arial"/>
                <w:sz w:val="15"/>
                <w:szCs w:val="15"/>
                <w:color w:val="auto"/>
              </w:rPr>
              <w:t>2026</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b w:val="1"/>
                <w:bCs w:val="1"/>
                <w:color w:val="auto"/>
              </w:rPr>
              <w:t>14,997</w:t>
            </w:r>
          </w:p>
        </w:tc>
        <w:tc>
          <w:tcPr>
            <w:tcW w:w="1220" w:type="dxa"/>
            <w:vAlign w:val="bottom"/>
          </w:tcPr>
          <w:p>
            <w:pPr>
              <w:jc w:val="right"/>
              <w:ind w:right="125"/>
              <w:spacing w:after="0"/>
              <w:rPr>
                <w:sz w:val="20"/>
                <w:szCs w:val="20"/>
                <w:color w:val="auto"/>
              </w:rPr>
            </w:pPr>
            <w:r>
              <w:rPr>
                <w:rFonts w:ascii="Arial" w:cs="Arial" w:eastAsia="Arial" w:hAnsi="Arial"/>
                <w:sz w:val="15"/>
                <w:szCs w:val="15"/>
                <w:b w:val="1"/>
                <w:bCs w:val="1"/>
                <w:color w:val="auto"/>
              </w:rPr>
              <w:t>5.25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184"/>
              <w:spacing w:after="0"/>
              <w:rPr>
                <w:sz w:val="20"/>
                <w:szCs w:val="20"/>
                <w:color w:val="auto"/>
              </w:rPr>
            </w:pPr>
            <w:r>
              <w:rPr>
                <w:rFonts w:ascii="Arial" w:cs="Arial" w:eastAsia="Arial" w:hAnsi="Arial"/>
                <w:sz w:val="15"/>
                <w:szCs w:val="15"/>
                <w:color w:val="auto"/>
              </w:rPr>
              <w:t>N/A</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124"/>
              <w:spacing w:after="0"/>
              <w:rPr>
                <w:sz w:val="20"/>
                <w:szCs w:val="20"/>
                <w:color w:val="auto"/>
              </w:rPr>
            </w:pPr>
            <w:r>
              <w:rPr>
                <w:rFonts w:ascii="Arial" w:cs="Arial" w:eastAsia="Arial" w:hAnsi="Arial"/>
                <w:sz w:val="15"/>
                <w:szCs w:val="15"/>
                <w:color w:val="auto"/>
              </w:rPr>
              <w:t>—</w:t>
            </w:r>
          </w:p>
        </w:tc>
      </w:tr>
      <w:tr>
        <w:trPr>
          <w:trHeight w:val="206"/>
        </w:trPr>
        <w:tc>
          <w:tcPr>
            <w:tcW w:w="3500" w:type="dxa"/>
            <w:vAlign w:val="bottom"/>
          </w:tcPr>
          <w:p>
            <w:pPr>
              <w:ind w:left="220"/>
              <w:spacing w:after="0" w:line="207" w:lineRule="exact"/>
              <w:rPr>
                <w:sz w:val="20"/>
                <w:szCs w:val="20"/>
                <w:color w:val="auto"/>
              </w:rPr>
            </w:pPr>
            <w:r>
              <w:rPr>
                <w:rFonts w:ascii="Arial" w:cs="Arial" w:eastAsia="Arial" w:hAnsi="Arial"/>
                <w:sz w:val="15"/>
                <w:szCs w:val="15"/>
                <w:color w:val="auto"/>
              </w:rPr>
              <w:t>Connecticut Avenue Securities</w:t>
            </w:r>
            <w:r>
              <w:rPr>
                <w:rFonts w:ascii="Arial" w:cs="Arial" w:eastAsia="Arial" w:hAnsi="Arial"/>
                <w:sz w:val="20"/>
                <w:szCs w:val="20"/>
                <w:color w:val="auto"/>
                <w:vertAlign w:val="superscript"/>
              </w:rPr>
              <w:t>(5)</w:t>
            </w:r>
          </w:p>
        </w:tc>
        <w:tc>
          <w:tcPr>
            <w:tcW w:w="1260" w:type="dxa"/>
            <w:vAlign w:val="bottom"/>
          </w:tcPr>
          <w:p>
            <w:pPr>
              <w:jc w:val="center"/>
              <w:ind w:right="44"/>
              <w:spacing w:after="0"/>
              <w:rPr>
                <w:sz w:val="20"/>
                <w:szCs w:val="20"/>
                <w:color w:val="auto"/>
              </w:rPr>
            </w:pPr>
            <w:r>
              <w:rPr>
                <w:rFonts w:ascii="Arial" w:cs="Arial" w:eastAsia="Arial" w:hAnsi="Arial"/>
                <w:sz w:val="15"/>
                <w:szCs w:val="15"/>
                <w:color w:val="auto"/>
              </w:rPr>
              <w:t>2024 - 2031</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b w:val="1"/>
                <w:bCs w:val="1"/>
                <w:color w:val="auto"/>
              </w:rPr>
              <w:t>2,139</w:t>
            </w:r>
          </w:p>
        </w:tc>
        <w:tc>
          <w:tcPr>
            <w:tcW w:w="1220" w:type="dxa"/>
            <w:vAlign w:val="bottom"/>
          </w:tcPr>
          <w:p>
            <w:pPr>
              <w:jc w:val="right"/>
              <w:ind w:right="125"/>
              <w:spacing w:after="0"/>
              <w:rPr>
                <w:sz w:val="20"/>
                <w:szCs w:val="20"/>
                <w:color w:val="auto"/>
              </w:rPr>
            </w:pPr>
            <w:r>
              <w:rPr>
                <w:rFonts w:ascii="Arial" w:cs="Arial" w:eastAsia="Arial" w:hAnsi="Arial"/>
                <w:sz w:val="15"/>
                <w:szCs w:val="15"/>
                <w:b w:val="1"/>
                <w:bCs w:val="1"/>
                <w:color w:val="auto"/>
              </w:rPr>
              <w:t>11.56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184"/>
              <w:spacing w:after="0"/>
              <w:rPr>
                <w:sz w:val="20"/>
                <w:szCs w:val="20"/>
                <w:color w:val="auto"/>
              </w:rPr>
            </w:pPr>
            <w:r>
              <w:rPr>
                <w:rFonts w:ascii="Arial" w:cs="Arial" w:eastAsia="Arial" w:hAnsi="Arial"/>
                <w:sz w:val="15"/>
                <w:szCs w:val="15"/>
                <w:color w:val="auto"/>
              </w:rPr>
              <w:t>2024 - 2031</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2,752</w:t>
            </w:r>
          </w:p>
        </w:tc>
        <w:tc>
          <w:tcPr>
            <w:tcW w:w="1220" w:type="dxa"/>
            <w:vAlign w:val="bottom"/>
          </w:tcPr>
          <w:p>
            <w:pPr>
              <w:jc w:val="right"/>
              <w:ind w:right="124"/>
              <w:spacing w:after="0"/>
              <w:rPr>
                <w:sz w:val="20"/>
                <w:szCs w:val="20"/>
                <w:color w:val="auto"/>
              </w:rPr>
            </w:pPr>
            <w:r>
              <w:rPr>
                <w:rFonts w:ascii="Arial" w:cs="Arial" w:eastAsia="Arial" w:hAnsi="Arial"/>
                <w:sz w:val="15"/>
                <w:szCs w:val="15"/>
                <w:color w:val="auto"/>
              </w:rPr>
              <w:t>11.12</w:t>
            </w:r>
          </w:p>
        </w:tc>
      </w:tr>
      <w:tr>
        <w:trPr>
          <w:trHeight w:val="217"/>
        </w:trPr>
        <w:tc>
          <w:tcPr>
            <w:tcW w:w="3500" w:type="dxa"/>
            <w:vAlign w:val="bottom"/>
            <w:tcBorders>
              <w:bottom w:val="single" w:sz="8" w:color="2C6937"/>
            </w:tcBorders>
          </w:tcPr>
          <w:p>
            <w:pPr>
              <w:ind w:left="220"/>
              <w:spacing w:after="0" w:line="217" w:lineRule="exact"/>
              <w:rPr>
                <w:sz w:val="20"/>
                <w:szCs w:val="20"/>
                <w:color w:val="auto"/>
              </w:rPr>
            </w:pPr>
            <w:r>
              <w:rPr>
                <w:rFonts w:ascii="Arial" w:cs="Arial" w:eastAsia="Arial" w:hAnsi="Arial"/>
                <w:sz w:val="15"/>
                <w:szCs w:val="15"/>
                <w:color w:val="auto"/>
              </w:rPr>
              <w:t>Other</w:t>
            </w:r>
            <w:r>
              <w:rPr>
                <w:rFonts w:ascii="Arial" w:cs="Arial" w:eastAsia="Arial" w:hAnsi="Arial"/>
                <w:sz w:val="20"/>
                <w:szCs w:val="20"/>
                <w:color w:val="auto"/>
                <w:vertAlign w:val="superscript"/>
              </w:rPr>
              <w:t>(6)</w:t>
            </w:r>
          </w:p>
        </w:tc>
        <w:tc>
          <w:tcPr>
            <w:tcW w:w="1260" w:type="dxa"/>
            <w:vAlign w:val="bottom"/>
          </w:tcPr>
          <w:p>
            <w:pPr>
              <w:jc w:val="center"/>
              <w:ind w:right="44"/>
              <w:spacing w:after="0"/>
              <w:rPr>
                <w:sz w:val="20"/>
                <w:szCs w:val="20"/>
                <w:color w:val="auto"/>
              </w:rPr>
            </w:pPr>
            <w:r>
              <w:rPr>
                <w:rFonts w:ascii="Arial" w:cs="Arial" w:eastAsia="Arial" w:hAnsi="Arial"/>
                <w:sz w:val="15"/>
                <w:szCs w:val="15"/>
                <w:color w:val="auto"/>
              </w:rPr>
              <w:t>2037</w:t>
            </w:r>
          </w:p>
        </w:tc>
        <w:tc>
          <w:tcPr>
            <w:tcW w:w="160" w:type="dxa"/>
            <w:vAlign w:val="bottom"/>
            <w:tcBorders>
              <w:bottom w:val="single" w:sz="8" w:color="2C6937"/>
            </w:tcBorders>
          </w:tcPr>
          <w:p>
            <w:pPr>
              <w:spacing w:after="0"/>
              <w:rPr>
                <w:sz w:val="18"/>
                <w:szCs w:val="18"/>
                <w:color w:val="auto"/>
              </w:rPr>
            </w:pPr>
          </w:p>
        </w:tc>
        <w:tc>
          <w:tcPr>
            <w:tcW w:w="11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284</w:t>
            </w:r>
          </w:p>
        </w:tc>
        <w:tc>
          <w:tcPr>
            <w:tcW w:w="1220" w:type="dxa"/>
            <w:vAlign w:val="bottom"/>
          </w:tcPr>
          <w:p>
            <w:pPr>
              <w:jc w:val="right"/>
              <w:ind w:right="125"/>
              <w:spacing w:after="0"/>
              <w:rPr>
                <w:sz w:val="20"/>
                <w:szCs w:val="20"/>
                <w:color w:val="auto"/>
              </w:rPr>
            </w:pPr>
            <w:r>
              <w:rPr>
                <w:rFonts w:ascii="Arial" w:cs="Arial" w:eastAsia="Arial" w:hAnsi="Arial"/>
                <w:sz w:val="15"/>
                <w:szCs w:val="15"/>
                <w:b w:val="1"/>
                <w:bCs w:val="1"/>
                <w:color w:val="auto"/>
              </w:rPr>
              <w:t>8.81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184"/>
              <w:spacing w:after="0"/>
              <w:rPr>
                <w:sz w:val="20"/>
                <w:szCs w:val="20"/>
                <w:color w:val="auto"/>
              </w:rPr>
            </w:pPr>
            <w:r>
              <w:rPr>
                <w:rFonts w:ascii="Arial" w:cs="Arial" w:eastAsia="Arial" w:hAnsi="Arial"/>
                <w:sz w:val="15"/>
                <w:szCs w:val="15"/>
                <w:color w:val="auto"/>
              </w:rPr>
              <w:t>2037</w:t>
            </w:r>
          </w:p>
        </w:tc>
        <w:tc>
          <w:tcPr>
            <w:tcW w:w="160" w:type="dxa"/>
            <w:vAlign w:val="bottom"/>
            <w:tcBorders>
              <w:bottom w:val="single" w:sz="8" w:color="2C6937"/>
            </w:tcBorders>
          </w:tcPr>
          <w:p>
            <w:pPr>
              <w:spacing w:after="0"/>
              <w:rPr>
                <w:sz w:val="18"/>
                <w:szCs w:val="18"/>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268</w:t>
            </w:r>
          </w:p>
        </w:tc>
        <w:tc>
          <w:tcPr>
            <w:tcW w:w="1220" w:type="dxa"/>
            <w:vAlign w:val="bottom"/>
          </w:tcPr>
          <w:p>
            <w:pPr>
              <w:jc w:val="right"/>
              <w:ind w:right="124"/>
              <w:spacing w:after="0"/>
              <w:rPr>
                <w:sz w:val="20"/>
                <w:szCs w:val="20"/>
                <w:color w:val="auto"/>
              </w:rPr>
            </w:pPr>
            <w:r>
              <w:rPr>
                <w:rFonts w:ascii="Arial" w:cs="Arial" w:eastAsia="Arial" w:hAnsi="Arial"/>
                <w:sz w:val="15"/>
                <w:szCs w:val="15"/>
                <w:color w:val="auto"/>
              </w:rPr>
              <w:t>8.79</w:t>
            </w:r>
          </w:p>
        </w:tc>
      </w:tr>
      <w:tr>
        <w:trPr>
          <w:trHeight w:val="199"/>
        </w:trPr>
        <w:tc>
          <w:tcPr>
            <w:tcW w:w="3500" w:type="dxa"/>
            <w:vAlign w:val="bottom"/>
            <w:tcBorders>
              <w:bottom w:val="single" w:sz="8" w:color="2C6937"/>
            </w:tcBorders>
          </w:tcPr>
          <w:p>
            <w:pPr>
              <w:ind w:left="400"/>
              <w:spacing w:after="0"/>
              <w:rPr>
                <w:sz w:val="20"/>
                <w:szCs w:val="20"/>
                <w:color w:val="auto"/>
              </w:rPr>
            </w:pPr>
            <w:r>
              <w:rPr>
                <w:rFonts w:ascii="Arial" w:cs="Arial" w:eastAsia="Arial" w:hAnsi="Arial"/>
                <w:sz w:val="15"/>
                <w:szCs w:val="15"/>
                <w:color w:val="auto"/>
              </w:rPr>
              <w:t>Total senior floating</w:t>
            </w:r>
          </w:p>
        </w:tc>
        <w:tc>
          <w:tcPr>
            <w:tcW w:w="126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1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17,420</w:t>
            </w:r>
          </w:p>
        </w:tc>
        <w:tc>
          <w:tcPr>
            <w:tcW w:w="1220" w:type="dxa"/>
            <w:vAlign w:val="bottom"/>
          </w:tcPr>
          <w:p>
            <w:pPr>
              <w:jc w:val="right"/>
              <w:ind w:right="125"/>
              <w:spacing w:after="0"/>
              <w:rPr>
                <w:sz w:val="20"/>
                <w:szCs w:val="20"/>
                <w:color w:val="auto"/>
              </w:rPr>
            </w:pPr>
            <w:r>
              <w:rPr>
                <w:rFonts w:ascii="Arial" w:cs="Arial" w:eastAsia="Arial" w:hAnsi="Arial"/>
                <w:sz w:val="15"/>
                <w:szCs w:val="15"/>
                <w:b w:val="1"/>
                <w:bCs w:val="1"/>
                <w:color w:val="auto"/>
              </w:rPr>
              <w:t>6.08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3,020</w:t>
            </w:r>
          </w:p>
        </w:tc>
        <w:tc>
          <w:tcPr>
            <w:tcW w:w="1220" w:type="dxa"/>
            <w:vAlign w:val="bottom"/>
          </w:tcPr>
          <w:p>
            <w:pPr>
              <w:jc w:val="right"/>
              <w:ind w:right="124"/>
              <w:spacing w:after="0"/>
              <w:rPr>
                <w:sz w:val="20"/>
                <w:szCs w:val="20"/>
                <w:color w:val="auto"/>
              </w:rPr>
            </w:pPr>
            <w:r>
              <w:rPr>
                <w:rFonts w:ascii="Arial" w:cs="Arial" w:eastAsia="Arial" w:hAnsi="Arial"/>
                <w:sz w:val="15"/>
                <w:szCs w:val="15"/>
                <w:color w:val="auto"/>
              </w:rPr>
              <w:t>10.92</w:t>
            </w:r>
          </w:p>
        </w:tc>
      </w:tr>
      <w:tr>
        <w:trPr>
          <w:trHeight w:val="198"/>
        </w:trPr>
        <w:tc>
          <w:tcPr>
            <w:tcW w:w="3500" w:type="dxa"/>
            <w:vAlign w:val="bottom"/>
          </w:tcPr>
          <w:p>
            <w:pPr>
              <w:ind w:left="20"/>
              <w:spacing w:after="0" w:line="198" w:lineRule="exact"/>
              <w:rPr>
                <w:sz w:val="20"/>
                <w:szCs w:val="20"/>
                <w:color w:val="auto"/>
              </w:rPr>
            </w:pPr>
            <w:r>
              <w:rPr>
                <w:rFonts w:ascii="Arial" w:cs="Arial" w:eastAsia="Arial" w:hAnsi="Arial"/>
                <w:sz w:val="15"/>
                <w:szCs w:val="15"/>
                <w:color w:val="auto"/>
              </w:rPr>
              <w:t>Total long-term debt of Fannie Mae</w:t>
            </w:r>
            <w:r>
              <w:rPr>
                <w:rFonts w:ascii="Arial" w:cs="Arial" w:eastAsia="Arial" w:hAnsi="Arial"/>
                <w:sz w:val="20"/>
                <w:szCs w:val="20"/>
                <w:color w:val="auto"/>
                <w:vertAlign w:val="superscript"/>
              </w:rPr>
              <w:t>(7)</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b w:val="1"/>
                <w:bCs w:val="1"/>
                <w:color w:val="auto"/>
              </w:rPr>
              <w:t>110,296</w:t>
            </w:r>
          </w:p>
        </w:tc>
        <w:tc>
          <w:tcPr>
            <w:tcW w:w="1220" w:type="dxa"/>
            <w:vAlign w:val="bottom"/>
          </w:tcPr>
          <w:p>
            <w:pPr>
              <w:jc w:val="right"/>
              <w:ind w:right="125"/>
              <w:spacing w:after="0"/>
              <w:rPr>
                <w:sz w:val="20"/>
                <w:szCs w:val="20"/>
                <w:color w:val="auto"/>
              </w:rPr>
            </w:pPr>
            <w:r>
              <w:rPr>
                <w:rFonts w:ascii="Arial" w:cs="Arial" w:eastAsia="Arial" w:hAnsi="Arial"/>
                <w:sz w:val="15"/>
                <w:szCs w:val="15"/>
                <w:b w:val="1"/>
                <w:bCs w:val="1"/>
                <w:color w:val="auto"/>
              </w:rPr>
              <w:t>3.11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106,751</w:t>
            </w:r>
          </w:p>
        </w:tc>
        <w:tc>
          <w:tcPr>
            <w:tcW w:w="1220" w:type="dxa"/>
            <w:vAlign w:val="bottom"/>
          </w:tcPr>
          <w:p>
            <w:pPr>
              <w:jc w:val="right"/>
              <w:ind w:right="124"/>
              <w:spacing w:after="0"/>
              <w:rPr>
                <w:sz w:val="20"/>
                <w:szCs w:val="20"/>
                <w:color w:val="auto"/>
              </w:rPr>
            </w:pPr>
            <w:r>
              <w:rPr>
                <w:rFonts w:ascii="Arial" w:cs="Arial" w:eastAsia="Arial" w:hAnsi="Arial"/>
                <w:sz w:val="15"/>
                <w:szCs w:val="15"/>
                <w:color w:val="auto"/>
              </w:rPr>
              <w:t>2.63</w:t>
            </w:r>
          </w:p>
        </w:tc>
      </w:tr>
      <w:tr>
        <w:trPr>
          <w:trHeight w:val="208"/>
        </w:trPr>
        <w:tc>
          <w:tcPr>
            <w:tcW w:w="35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Debt of consolidated trusts</w:t>
            </w:r>
          </w:p>
        </w:tc>
        <w:tc>
          <w:tcPr>
            <w:tcW w:w="1260" w:type="dxa"/>
            <w:vAlign w:val="bottom"/>
          </w:tcPr>
          <w:p>
            <w:pPr>
              <w:jc w:val="center"/>
              <w:ind w:right="44"/>
              <w:spacing w:after="0"/>
              <w:rPr>
                <w:sz w:val="20"/>
                <w:szCs w:val="20"/>
                <w:color w:val="auto"/>
              </w:rPr>
            </w:pPr>
            <w:r>
              <w:rPr>
                <w:rFonts w:ascii="Arial" w:cs="Arial" w:eastAsia="Arial" w:hAnsi="Arial"/>
                <w:sz w:val="15"/>
                <w:szCs w:val="15"/>
                <w:color w:val="auto"/>
              </w:rPr>
              <w:t>2024 - 2063</w:t>
            </w:r>
          </w:p>
        </w:tc>
        <w:tc>
          <w:tcPr>
            <w:tcW w:w="160" w:type="dxa"/>
            <w:vAlign w:val="bottom"/>
            <w:tcBorders>
              <w:bottom w:val="single" w:sz="8" w:color="2C6937"/>
            </w:tcBorders>
          </w:tcPr>
          <w:p>
            <w:pPr>
              <w:spacing w:after="0"/>
              <w:rPr>
                <w:sz w:val="18"/>
                <w:szCs w:val="18"/>
                <w:color w:val="auto"/>
              </w:rPr>
            </w:pPr>
          </w:p>
        </w:tc>
        <w:tc>
          <w:tcPr>
            <w:tcW w:w="11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4,096,063</w:t>
            </w:r>
          </w:p>
        </w:tc>
        <w:tc>
          <w:tcPr>
            <w:tcW w:w="1220" w:type="dxa"/>
            <w:vAlign w:val="bottom"/>
          </w:tcPr>
          <w:p>
            <w:pPr>
              <w:jc w:val="right"/>
              <w:ind w:right="125"/>
              <w:spacing w:after="0"/>
              <w:rPr>
                <w:sz w:val="20"/>
                <w:szCs w:val="20"/>
                <w:color w:val="auto"/>
              </w:rPr>
            </w:pPr>
            <w:r>
              <w:rPr>
                <w:rFonts w:ascii="Arial" w:cs="Arial" w:eastAsia="Arial" w:hAnsi="Arial"/>
                <w:sz w:val="15"/>
                <w:szCs w:val="15"/>
                <w:b w:val="1"/>
                <w:bCs w:val="1"/>
                <w:color w:val="auto"/>
              </w:rPr>
              <w:t>2.90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184"/>
              <w:spacing w:after="0"/>
              <w:rPr>
                <w:sz w:val="20"/>
                <w:szCs w:val="20"/>
                <w:color w:val="auto"/>
              </w:rPr>
            </w:pPr>
            <w:r>
              <w:rPr>
                <w:rFonts w:ascii="Arial" w:cs="Arial" w:eastAsia="Arial" w:hAnsi="Arial"/>
                <w:sz w:val="15"/>
                <w:szCs w:val="15"/>
                <w:color w:val="auto"/>
              </w:rPr>
              <w:t>2024 - 2062</w:t>
            </w:r>
          </w:p>
        </w:tc>
        <w:tc>
          <w:tcPr>
            <w:tcW w:w="160" w:type="dxa"/>
            <w:vAlign w:val="bottom"/>
            <w:tcBorders>
              <w:bottom w:val="single" w:sz="8" w:color="2C6937"/>
            </w:tcBorders>
          </w:tcPr>
          <w:p>
            <w:pPr>
              <w:spacing w:after="0"/>
              <w:rPr>
                <w:sz w:val="18"/>
                <w:szCs w:val="18"/>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4,098,653</w:t>
            </w:r>
          </w:p>
        </w:tc>
        <w:tc>
          <w:tcPr>
            <w:tcW w:w="1220" w:type="dxa"/>
            <w:vAlign w:val="bottom"/>
          </w:tcPr>
          <w:p>
            <w:pPr>
              <w:jc w:val="right"/>
              <w:ind w:right="124"/>
              <w:spacing w:after="0"/>
              <w:rPr>
                <w:sz w:val="20"/>
                <w:szCs w:val="20"/>
                <w:color w:val="auto"/>
              </w:rPr>
            </w:pPr>
            <w:r>
              <w:rPr>
                <w:rFonts w:ascii="Arial" w:cs="Arial" w:eastAsia="Arial" w:hAnsi="Arial"/>
                <w:sz w:val="15"/>
                <w:szCs w:val="15"/>
                <w:color w:val="auto"/>
              </w:rPr>
              <w:t>2.56</w:t>
            </w:r>
          </w:p>
        </w:tc>
      </w:tr>
      <w:tr>
        <w:trPr>
          <w:trHeight w:val="199"/>
        </w:trPr>
        <w:tc>
          <w:tcPr>
            <w:tcW w:w="3500" w:type="dxa"/>
            <w:vAlign w:val="bottom"/>
            <w:tcBorders>
              <w:bottom w:val="single" w:sz="8" w:color="2C6937"/>
            </w:tcBorders>
          </w:tcPr>
          <w:p>
            <w:pPr>
              <w:ind w:left="220"/>
              <w:spacing w:after="0"/>
              <w:rPr>
                <w:sz w:val="20"/>
                <w:szCs w:val="20"/>
                <w:color w:val="auto"/>
              </w:rPr>
            </w:pPr>
            <w:r>
              <w:rPr>
                <w:rFonts w:ascii="Arial" w:cs="Arial" w:eastAsia="Arial" w:hAnsi="Arial"/>
                <w:sz w:val="15"/>
                <w:szCs w:val="15"/>
                <w:color w:val="auto"/>
              </w:rPr>
              <w:t>Total long-term debt</w:t>
            </w:r>
          </w:p>
        </w:tc>
        <w:tc>
          <w:tcPr>
            <w:tcW w:w="1260" w:type="dxa"/>
            <w:vAlign w:val="bottom"/>
          </w:tcPr>
          <w:p>
            <w:pPr>
              <w:spacing w:after="0"/>
              <w:rPr>
                <w:sz w:val="17"/>
                <w:szCs w:val="17"/>
                <w:color w:val="auto"/>
              </w:rPr>
            </w:pPr>
          </w:p>
        </w:tc>
        <w:tc>
          <w:tcPr>
            <w:tcW w:w="160" w:type="dxa"/>
            <w:vAlign w:val="bottom"/>
            <w:tcBorders>
              <w:bottom w:val="single" w:sz="8" w:color="2C6937"/>
            </w:tcBorders>
          </w:tcPr>
          <w:p>
            <w:pPr>
              <w:ind w:left="20"/>
              <w:spacing w:after="0"/>
              <w:rPr>
                <w:sz w:val="20"/>
                <w:szCs w:val="20"/>
                <w:color w:val="auto"/>
              </w:rPr>
            </w:pPr>
            <w:r>
              <w:rPr>
                <w:rFonts w:ascii="Arial" w:cs="Arial" w:eastAsia="Arial" w:hAnsi="Arial"/>
                <w:sz w:val="15"/>
                <w:szCs w:val="15"/>
                <w:b w:val="1"/>
                <w:bCs w:val="1"/>
                <w:color w:val="auto"/>
              </w:rPr>
              <w:t>$</w:t>
            </w:r>
          </w:p>
        </w:tc>
        <w:tc>
          <w:tcPr>
            <w:tcW w:w="11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4,206,359</w:t>
            </w:r>
          </w:p>
        </w:tc>
        <w:tc>
          <w:tcPr>
            <w:tcW w:w="1220" w:type="dxa"/>
            <w:vAlign w:val="bottom"/>
          </w:tcPr>
          <w:p>
            <w:pPr>
              <w:jc w:val="right"/>
              <w:spacing w:after="0"/>
              <w:rPr>
                <w:sz w:val="20"/>
                <w:szCs w:val="20"/>
                <w:color w:val="auto"/>
              </w:rPr>
            </w:pPr>
            <w:r>
              <w:rPr>
                <w:rFonts w:ascii="Arial" w:cs="Arial" w:eastAsia="Arial" w:hAnsi="Arial"/>
                <w:sz w:val="15"/>
                <w:szCs w:val="15"/>
                <w:b w:val="1"/>
                <w:bCs w:val="1"/>
                <w:color w:val="auto"/>
              </w:rPr>
              <w:t>2.91 %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4,205,404</w:t>
            </w:r>
          </w:p>
        </w:tc>
        <w:tc>
          <w:tcPr>
            <w:tcW w:w="1220" w:type="dxa"/>
            <w:vAlign w:val="bottom"/>
          </w:tcPr>
          <w:p>
            <w:pPr>
              <w:jc w:val="right"/>
              <w:spacing w:after="0"/>
              <w:rPr>
                <w:sz w:val="20"/>
                <w:szCs w:val="20"/>
                <w:color w:val="auto"/>
              </w:rPr>
            </w:pPr>
            <w:r>
              <w:rPr>
                <w:rFonts w:ascii="Arial" w:cs="Arial" w:eastAsia="Arial" w:hAnsi="Arial"/>
                <w:sz w:val="15"/>
                <w:szCs w:val="15"/>
                <w:color w:val="auto"/>
              </w:rPr>
              <w:t>2.57 %</w:t>
            </w:r>
          </w:p>
        </w:tc>
      </w:tr>
      <w:tr>
        <w:trPr>
          <w:trHeight w:val="20"/>
        </w:trPr>
        <w:tc>
          <w:tcPr>
            <w:tcW w:w="3500" w:type="dxa"/>
            <w:vAlign w:val="bottom"/>
            <w:tcBorders>
              <w:bottom w:val="single" w:sz="8" w:color="2C6937"/>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1180" w:type="dxa"/>
            <w:vAlign w:val="bottom"/>
            <w:tcBorders>
              <w:bottom w:val="single" w:sz="8" w:color="2C6937"/>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1160" w:type="dxa"/>
            <w:vAlign w:val="bottom"/>
            <w:tcBorders>
              <w:bottom w:val="single" w:sz="8" w:color="2C6937"/>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109" w:lineRule="exact"/>
        <w:rPr>
          <w:sz w:val="20"/>
          <w:szCs w:val="20"/>
          <w:color w:val="auto"/>
        </w:rPr>
      </w:pPr>
    </w:p>
    <w:p>
      <w:pPr>
        <w:ind w:left="240" w:right="660" w:hanging="237"/>
        <w:spacing w:after="0" w:line="275" w:lineRule="auto"/>
        <w:tabs>
          <w:tab w:leader="none" w:pos="233" w:val="left"/>
        </w:tabs>
        <w:numPr>
          <w:ilvl w:val="0"/>
          <w:numId w:val="87"/>
        </w:numPr>
        <w:rPr>
          <w:rFonts w:ascii="Arial" w:cs="Arial" w:eastAsia="Arial" w:hAnsi="Arial"/>
          <w:sz w:val="9"/>
          <w:szCs w:val="9"/>
          <w:color w:val="auto"/>
        </w:rPr>
      </w:pPr>
      <w:r>
        <w:rPr>
          <w:rFonts w:ascii="Arial" w:cs="Arial" w:eastAsia="Arial" w:hAnsi="Arial"/>
          <w:sz w:val="14"/>
          <w:szCs w:val="14"/>
          <w:color w:val="auto"/>
        </w:rPr>
        <w:t>Outstanding debt balance consists of the unpaid principal balance, premiums and discounts, fair value adjustments, hedge-related basis adjustments, and other cost basis adjustments.</w:t>
      </w:r>
    </w:p>
    <w:p>
      <w:pPr>
        <w:ind w:left="220" w:hanging="217"/>
        <w:spacing w:after="0"/>
        <w:tabs>
          <w:tab w:leader="none" w:pos="220" w:val="left"/>
        </w:tabs>
        <w:numPr>
          <w:ilvl w:val="0"/>
          <w:numId w:val="87"/>
        </w:numPr>
        <w:rPr>
          <w:rFonts w:ascii="Arial" w:cs="Arial" w:eastAsia="Arial" w:hAnsi="Arial"/>
          <w:sz w:val="18"/>
          <w:szCs w:val="18"/>
          <w:color w:val="auto"/>
          <w:vertAlign w:val="superscript"/>
        </w:rPr>
      </w:pPr>
      <w:r>
        <w:rPr>
          <w:rFonts w:ascii="Arial" w:cs="Arial" w:eastAsia="Arial" w:hAnsi="Arial"/>
          <w:sz w:val="14"/>
          <w:szCs w:val="14"/>
          <w:color w:val="auto"/>
        </w:rPr>
        <w:t>Excludes the effects of fair value adjustments and hedge-related basis adjustments.</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87"/>
        </w:numPr>
        <w:rPr>
          <w:rFonts w:ascii="Arial" w:cs="Arial" w:eastAsia="Arial" w:hAnsi="Arial"/>
          <w:sz w:val="18"/>
          <w:szCs w:val="18"/>
          <w:color w:val="auto"/>
          <w:vertAlign w:val="superscript"/>
        </w:rPr>
      </w:pPr>
      <w:r>
        <w:rPr>
          <w:rFonts w:ascii="Arial" w:cs="Arial" w:eastAsia="Arial" w:hAnsi="Arial"/>
          <w:sz w:val="14"/>
          <w:szCs w:val="14"/>
          <w:color w:val="auto"/>
        </w:rPr>
        <w:t>Includes long-term debt with an original contractual maturity of greater than 1 year and up to 10 years, excluding zero-coupon debt.</w:t>
      </w:r>
    </w:p>
    <w:p>
      <w:pPr>
        <w:spacing w:after="0" w:line="38"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87"/>
        </w:numPr>
        <w:rPr>
          <w:rFonts w:ascii="Arial" w:cs="Arial" w:eastAsia="Arial" w:hAnsi="Arial"/>
          <w:sz w:val="18"/>
          <w:szCs w:val="18"/>
          <w:color w:val="auto"/>
          <w:vertAlign w:val="superscript"/>
        </w:rPr>
      </w:pPr>
      <w:r>
        <w:rPr>
          <w:rFonts w:ascii="Arial" w:cs="Arial" w:eastAsia="Arial" w:hAnsi="Arial"/>
          <w:sz w:val="14"/>
          <w:szCs w:val="14"/>
          <w:color w:val="auto"/>
        </w:rPr>
        <w:t>Includes other long-term debt with an original contractual maturity of greater than 10 years and foreign exchange bonds.</w:t>
      </w:r>
    </w:p>
    <w:p>
      <w:pPr>
        <w:spacing w:after="0" w:line="38"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87"/>
        </w:numPr>
        <w:rPr>
          <w:rFonts w:ascii="Arial" w:cs="Arial" w:eastAsia="Arial" w:hAnsi="Arial"/>
          <w:sz w:val="18"/>
          <w:szCs w:val="18"/>
          <w:color w:val="auto"/>
          <w:vertAlign w:val="superscript"/>
        </w:rPr>
      </w:pPr>
      <w:r>
        <w:rPr>
          <w:rFonts w:ascii="Arial" w:cs="Arial" w:eastAsia="Arial" w:hAnsi="Arial"/>
          <w:sz w:val="14"/>
          <w:szCs w:val="14"/>
          <w:color w:val="auto"/>
        </w:rPr>
        <w:t>Consists of CAS debt issued prior to November 2018, a portion of which is reported at fair value.</w:t>
      </w:r>
    </w:p>
    <w:p>
      <w:pPr>
        <w:spacing w:after="0" w:line="25"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87"/>
        </w:numPr>
        <w:rPr>
          <w:rFonts w:ascii="Arial" w:cs="Arial" w:eastAsia="Arial" w:hAnsi="Arial"/>
          <w:sz w:val="9"/>
          <w:szCs w:val="9"/>
          <w:color w:val="auto"/>
        </w:rPr>
      </w:pPr>
      <w:r>
        <w:rPr>
          <w:rFonts w:ascii="Arial" w:cs="Arial" w:eastAsia="Arial" w:hAnsi="Arial"/>
          <w:sz w:val="14"/>
          <w:szCs w:val="14"/>
          <w:color w:val="auto"/>
        </w:rPr>
        <w:t>Consists of structured debt instruments that are reported at fair value.</w:t>
      </w:r>
    </w:p>
    <w:p>
      <w:pPr>
        <w:spacing w:after="0" w:line="33" w:lineRule="exact"/>
        <w:rPr>
          <w:rFonts w:ascii="Arial" w:cs="Arial" w:eastAsia="Arial" w:hAnsi="Arial"/>
          <w:sz w:val="9"/>
          <w:szCs w:val="9"/>
          <w:color w:val="auto"/>
        </w:rPr>
      </w:pPr>
    </w:p>
    <w:p>
      <w:pPr>
        <w:ind w:left="240" w:right="320" w:hanging="237"/>
        <w:spacing w:after="0" w:line="226" w:lineRule="auto"/>
        <w:tabs>
          <w:tab w:leader="none" w:pos="233" w:val="left"/>
        </w:tabs>
        <w:numPr>
          <w:ilvl w:val="0"/>
          <w:numId w:val="87"/>
        </w:numPr>
        <w:rPr>
          <w:rFonts w:ascii="Arial" w:cs="Arial" w:eastAsia="Arial" w:hAnsi="Arial"/>
          <w:sz w:val="18"/>
          <w:szCs w:val="18"/>
          <w:color w:val="auto"/>
          <w:vertAlign w:val="superscript"/>
        </w:rPr>
      </w:pPr>
      <w:r>
        <w:rPr>
          <w:rFonts w:ascii="Arial" w:cs="Arial" w:eastAsia="Arial" w:hAnsi="Arial"/>
          <w:sz w:val="14"/>
          <w:szCs w:val="14"/>
          <w:color w:val="auto"/>
        </w:rPr>
        <w:t>Includes unamortized discounts and premiums, fair value adjustments, hedge-related cost basis adjustments, and other cost basis adjustments in a net discount position of $3.4 billion and $4.0 billion as of September 30, 2024 and December 31,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365760</wp:posOffset>
            </wp:positionV>
            <wp:extent cx="680593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96" w:name="page97"/>
    <w:bookmarkEnd w:id="96"/>
    <w:p>
      <w:pPr>
        <w:ind w:left="6240"/>
        <w:spacing w:after="0"/>
        <w:rPr>
          <w:sz w:val="20"/>
          <w:szCs w:val="20"/>
          <w:color w:val="auto"/>
        </w:rPr>
      </w:pPr>
      <w:r>
        <w:rPr>
          <w:rFonts w:ascii="Arial" w:cs="Arial" w:eastAsia="Arial" w:hAnsi="Arial"/>
          <w:sz w:val="13"/>
          <w:szCs w:val="13"/>
          <w:color w:val="05314D"/>
        </w:rPr>
        <w:t>Notes to Condensed Consolidated Financial Statements |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9. Derivative Instruments</w:t>
      </w:r>
    </w:p>
    <w:p>
      <w:pPr>
        <w:spacing w:after="0" w:line="80"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Derivative instruments are an integral part of our strategy in managing interest-rate risk. Derivative instruments may be privately-negotiated, bilateral contracts or they may be listed and traded on an exchange. We refer to our derivative transactions made pursuant to bilateral contracts as our over-the-counter (“OTC”) derivative transactions and our derivative transactions accepted for clearing by a derivatives clearing organization as our cleared derivative transactions. We typically do not settle the notional amount of our risk management derivatives; rather, notional amounts provide the basis for calculating actual payments or settlement amounts. The derivative contracts we use for interest-rate risk management purposes consist primarily of interest-rate swaps and interest-rate options. See “Note 9, Derivative Instruments” in our 2023 Form 10-K for additional information on interest-rate risk management.</w:t>
      </w:r>
    </w:p>
    <w:p>
      <w:pPr>
        <w:spacing w:after="0" w:line="41" w:lineRule="exact"/>
        <w:rPr>
          <w:sz w:val="20"/>
          <w:szCs w:val="20"/>
          <w:color w:val="auto"/>
        </w:rPr>
      </w:pPr>
    </w:p>
    <w:p>
      <w:pPr>
        <w:jc w:val="both"/>
        <w:ind w:right="120"/>
        <w:spacing w:after="0" w:line="266" w:lineRule="auto"/>
        <w:rPr>
          <w:sz w:val="20"/>
          <w:szCs w:val="20"/>
          <w:color w:val="auto"/>
        </w:rPr>
      </w:pPr>
      <w:r>
        <w:rPr>
          <w:rFonts w:ascii="Arial" w:cs="Arial" w:eastAsia="Arial" w:hAnsi="Arial"/>
          <w:sz w:val="16"/>
          <w:szCs w:val="16"/>
          <w:color w:val="auto"/>
        </w:rPr>
        <w:t>We account for certain forms of credit risk transfer transactions as derivatives. In our credit risk transfer transactions, a portion of the credit risk associated with losses on a reference pool of mortgage loans is transferred to a third party. We enter into derivative transactions that are associated with some of our credit risk transfer transactions, whereby we manage investment risk to guarantee that certain unconsolidated VIEs have sufficient cash flows to pay their contractual obligations.</w:t>
      </w:r>
    </w:p>
    <w:p>
      <w:pPr>
        <w:spacing w:after="0" w:line="48" w:lineRule="exact"/>
        <w:rPr>
          <w:sz w:val="20"/>
          <w:szCs w:val="20"/>
          <w:color w:val="auto"/>
        </w:rPr>
      </w:pPr>
    </w:p>
    <w:p>
      <w:pPr>
        <w:ind w:right="120"/>
        <w:spacing w:after="0" w:line="272" w:lineRule="auto"/>
        <w:rPr>
          <w:sz w:val="20"/>
          <w:szCs w:val="20"/>
          <w:color w:val="auto"/>
        </w:rPr>
      </w:pPr>
      <w:r>
        <w:rPr>
          <w:rFonts w:ascii="Arial" w:cs="Arial" w:eastAsia="Arial" w:hAnsi="Arial"/>
          <w:sz w:val="16"/>
          <w:szCs w:val="16"/>
          <w:color w:val="auto"/>
        </w:rPr>
        <w:t>We enter into forward purchase and sale commitments that lock in the future delivery of mortgage loans and mortgage-related securities at a fixed price or yield. Certain commitments to purchase mortgage loans and purchase or sell mortgage-related securities meet the criteria of a derivative. We typically settle the notional amount of our mortgage commitments that are accounted for as derivatives.</w:t>
      </w:r>
    </w:p>
    <w:p>
      <w:pPr>
        <w:spacing w:after="0" w:line="32"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We recognize all derivatives as either assets or liabilities in our condensed consolidated balance sheets at their fair value on a trade date basis. Fair value amounts, which are (1) netted to the extent a legal right of offset exists and is enforceable by law at the counterparty level and (2) inclusive of the right or obligation associated with the cash collateral posted or received, are recorded in “Other assets” or “Other liabilities” in our condensed consolidated balance sheets. See “Note 13, Fair Value” for additional information on derivatives recorded at fair value. We present cash flows from derivatives as operating activities in our condensed consolidated statements of cash flows.</w:t>
      </w:r>
    </w:p>
    <w:p>
      <w:pPr>
        <w:spacing w:after="0" w:line="84"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Fair Value Hedge Accounting</w:t>
      </w:r>
    </w:p>
    <w:p>
      <w:pPr>
        <w:spacing w:after="0" w:line="81"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color w:val="auto"/>
        </w:rPr>
        <w:t>Pursuant to our fair value hedge accounting program, we may designate certain interest-rate swaps as hedging instruments in hedges of the change in fair value attributable to the designated benchmark interest rate for certain closed pools of fixed-rate, single-family mortgage loans or our funding debt. For hedged items in qualifying fair value hedging relationships, changes in fair value attributable to the designated risk are recognized as a basis adjustment to the hedged item. We also report changes in the fair value of the derivative hedging instrument in the same condensed consolidated statements of operations and comprehensive income line item used to recognize the earnings effect of the hedged item’s basis adjustment. The objective of our fair value hedges is to reduce GAAP earnings volatility related to changes in benchmark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358775</wp:posOffset>
            </wp:positionV>
            <wp:extent cx="680593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48" w:right="359" w:bottom="1440" w:gutter="0" w:footer="0" w:header="0"/>
        </w:sectPr>
      </w:pPr>
    </w:p>
    <w:bookmarkStart w:id="97" w:name="page98"/>
    <w:bookmarkEnd w:id="97"/>
    <w:p>
      <w:pPr>
        <w:ind w:left="6240"/>
        <w:spacing w:after="0"/>
        <w:rPr>
          <w:sz w:val="20"/>
          <w:szCs w:val="20"/>
          <w:color w:val="auto"/>
        </w:rPr>
      </w:pPr>
      <w:r>
        <w:rPr>
          <w:rFonts w:ascii="Arial" w:cs="Arial" w:eastAsia="Arial" w:hAnsi="Arial"/>
          <w:sz w:val="14"/>
          <w:szCs w:val="14"/>
          <w:color w:val="05314D"/>
        </w:rPr>
        <w:t>Notes to Condensed Consolidated Financial Statements |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Notional and Fair Value Position of our Derivatives</w:t>
      </w:r>
    </w:p>
    <w:p>
      <w:pPr>
        <w:spacing w:after="0" w:line="68" w:lineRule="exact"/>
        <w:rPr>
          <w:sz w:val="20"/>
          <w:szCs w:val="20"/>
          <w:color w:val="auto"/>
        </w:rPr>
      </w:pPr>
    </w:p>
    <w:p>
      <w:pPr>
        <w:ind w:right="240"/>
        <w:spacing w:after="0" w:line="310" w:lineRule="auto"/>
        <w:rPr>
          <w:sz w:val="20"/>
          <w:szCs w:val="20"/>
          <w:color w:val="auto"/>
        </w:rPr>
      </w:pPr>
      <w:r>
        <w:rPr>
          <w:rFonts w:ascii="Arial" w:cs="Arial" w:eastAsia="Arial" w:hAnsi="Arial"/>
          <w:sz w:val="16"/>
          <w:szCs w:val="16"/>
          <w:color w:val="auto"/>
        </w:rPr>
        <w:t>The following table displays the notional amount and estimated fair value of our asset and liability derivative instruments, including derivative instruments designated as hedges.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2460" w:type="dxa"/>
            <w:vAlign w:val="bottom"/>
            <w:tcBorders>
              <w:bottom w:val="single" w:sz="8" w:color="2C6937"/>
            </w:tcBorders>
            <w:gridSpan w:val="6"/>
          </w:tcPr>
          <w:p>
            <w:pPr>
              <w:jc w:val="center"/>
              <w:ind w:left="691"/>
              <w:spacing w:after="0"/>
              <w:rPr>
                <w:sz w:val="20"/>
                <w:szCs w:val="20"/>
                <w:color w:val="auto"/>
              </w:rPr>
            </w:pPr>
            <w:r>
              <w:rPr>
                <w:rFonts w:ascii="Arial" w:cs="Arial" w:eastAsia="Arial" w:hAnsi="Arial"/>
                <w:sz w:val="14"/>
                <w:szCs w:val="14"/>
                <w:b w:val="1"/>
                <w:bCs w:val="1"/>
                <w:color w:val="auto"/>
                <w:w w:val="97"/>
              </w:rPr>
              <w:t>As of September 30, 2024</w:t>
            </w:r>
          </w:p>
        </w:tc>
        <w:tc>
          <w:tcPr>
            <w:tcW w:w="96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2460" w:type="dxa"/>
            <w:vAlign w:val="bottom"/>
            <w:tcBorders>
              <w:bottom w:val="single" w:sz="8" w:color="2C6937"/>
            </w:tcBorders>
            <w:gridSpan w:val="6"/>
          </w:tcPr>
          <w:p>
            <w:pPr>
              <w:jc w:val="center"/>
              <w:ind w:left="711"/>
              <w:spacing w:after="0"/>
              <w:rPr>
                <w:sz w:val="20"/>
                <w:szCs w:val="20"/>
                <w:color w:val="auto"/>
              </w:rPr>
            </w:pPr>
            <w:r>
              <w:rPr>
                <w:rFonts w:ascii="Arial" w:cs="Arial" w:eastAsia="Arial" w:hAnsi="Arial"/>
                <w:sz w:val="14"/>
                <w:szCs w:val="14"/>
                <w:b w:val="1"/>
                <w:bCs w:val="1"/>
                <w:color w:val="auto"/>
                <w:w w:val="96"/>
              </w:rPr>
              <w:t>As of December 31, 2023</w:t>
            </w:r>
          </w:p>
        </w:tc>
        <w:tc>
          <w:tcPr>
            <w:tcW w:w="96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2240" w:type="dxa"/>
            <w:vAlign w:val="bottom"/>
            <w:tcBorders>
              <w:bottom w:val="single" w:sz="8" w:color="2C6937"/>
            </w:tcBorders>
            <w:gridSpan w:val="4"/>
          </w:tcPr>
          <w:p>
            <w:pPr>
              <w:jc w:val="right"/>
              <w:ind w:right="451"/>
              <w:spacing w:after="0"/>
              <w:rPr>
                <w:sz w:val="20"/>
                <w:szCs w:val="20"/>
                <w:color w:val="auto"/>
              </w:rPr>
            </w:pPr>
            <w:r>
              <w:rPr>
                <w:rFonts w:ascii="Arial" w:cs="Arial" w:eastAsia="Arial" w:hAnsi="Arial"/>
                <w:sz w:val="14"/>
                <w:szCs w:val="14"/>
                <w:b w:val="1"/>
                <w:bCs w:val="1"/>
                <w:color w:val="auto"/>
              </w:rPr>
              <w:t>Estimated Fair Value</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2220" w:type="dxa"/>
            <w:vAlign w:val="bottom"/>
            <w:tcBorders>
              <w:bottom w:val="single" w:sz="8" w:color="2C6937"/>
            </w:tcBorders>
            <w:gridSpan w:val="4"/>
          </w:tcPr>
          <w:p>
            <w:pPr>
              <w:jc w:val="right"/>
              <w:ind w:right="431"/>
              <w:spacing w:after="0"/>
              <w:rPr>
                <w:sz w:val="20"/>
                <w:szCs w:val="20"/>
                <w:color w:val="auto"/>
              </w:rPr>
            </w:pPr>
            <w:r>
              <w:rPr>
                <w:rFonts w:ascii="Arial" w:cs="Arial" w:eastAsia="Arial" w:hAnsi="Arial"/>
                <w:sz w:val="14"/>
                <w:szCs w:val="14"/>
                <w:b w:val="1"/>
                <w:bCs w:val="1"/>
                <w:color w:val="auto"/>
              </w:rPr>
              <w:t>Estimated Fair Value</w:t>
            </w:r>
          </w:p>
        </w:tc>
        <w:tc>
          <w:tcPr>
            <w:tcW w:w="0" w:type="dxa"/>
            <w:vAlign w:val="bottom"/>
          </w:tcPr>
          <w:p>
            <w:pPr>
              <w:spacing w:after="0"/>
              <w:rPr>
                <w:sz w:val="1"/>
                <w:szCs w:val="1"/>
                <w:color w:val="auto"/>
              </w:rPr>
            </w:pPr>
          </w:p>
        </w:tc>
      </w:tr>
      <w:tr>
        <w:trPr>
          <w:trHeight w:val="178"/>
        </w:trPr>
        <w:tc>
          <w:tcPr>
            <w:tcW w:w="3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Notional</w:t>
            </w:r>
          </w:p>
        </w:tc>
        <w:tc>
          <w:tcPr>
            <w:tcW w:w="14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Asset</w:t>
            </w:r>
          </w:p>
        </w:tc>
        <w:tc>
          <w:tcPr>
            <w:tcW w:w="18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Liability</w:t>
            </w:r>
          </w:p>
        </w:tc>
        <w:tc>
          <w:tcPr>
            <w:tcW w:w="180" w:type="dxa"/>
            <w:vAlign w:val="bottom"/>
          </w:tcPr>
          <w:p>
            <w:pPr>
              <w:spacing w:after="0"/>
              <w:rPr>
                <w:sz w:val="15"/>
                <w:szCs w:val="15"/>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Notional</w:t>
            </w:r>
          </w:p>
        </w:tc>
        <w:tc>
          <w:tcPr>
            <w:tcW w:w="14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Asset</w:t>
            </w:r>
          </w:p>
        </w:tc>
        <w:tc>
          <w:tcPr>
            <w:tcW w:w="160" w:type="dxa"/>
            <w:vAlign w:val="bottom"/>
          </w:tcPr>
          <w:p>
            <w:pPr>
              <w:spacing w:after="0"/>
              <w:rPr>
                <w:sz w:val="15"/>
                <w:szCs w:val="15"/>
                <w:color w:val="auto"/>
              </w:rPr>
            </w:pPr>
          </w:p>
        </w:tc>
        <w:tc>
          <w:tcPr>
            <w:tcW w:w="960" w:type="dxa"/>
            <w:vAlign w:val="bottom"/>
          </w:tcPr>
          <w:p>
            <w:pPr>
              <w:jc w:val="right"/>
              <w:ind w:right="231"/>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196"/>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1040" w:type="dxa"/>
            <w:vAlign w:val="bottom"/>
            <w:tcBorders>
              <w:bottom w:val="single" w:sz="8" w:color="2C6937"/>
            </w:tcBorders>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2C6937"/>
            </w:tcBorders>
          </w:tcPr>
          <w:p>
            <w:pPr>
              <w:spacing w:after="0"/>
              <w:rPr>
                <w:sz w:val="17"/>
                <w:szCs w:val="17"/>
                <w:color w:val="auto"/>
              </w:rPr>
            </w:pPr>
          </w:p>
        </w:tc>
        <w:tc>
          <w:tcPr>
            <w:tcW w:w="1100" w:type="dxa"/>
            <w:vAlign w:val="bottom"/>
            <w:tcBorders>
              <w:bottom w:val="single" w:sz="8" w:color="2C6937"/>
            </w:tcBorders>
            <w:gridSpan w:val="2"/>
          </w:tcPr>
          <w:p>
            <w:pPr>
              <w:jc w:val="center"/>
              <w:ind w:right="240"/>
              <w:spacing w:after="0"/>
              <w:rPr>
                <w:sz w:val="20"/>
                <w:szCs w:val="20"/>
                <w:color w:val="auto"/>
              </w:rPr>
            </w:pPr>
            <w:r>
              <w:rPr>
                <w:rFonts w:ascii="Arial" w:cs="Arial" w:eastAsia="Arial" w:hAnsi="Arial"/>
                <w:sz w:val="14"/>
                <w:szCs w:val="14"/>
                <w:b w:val="1"/>
                <w:bCs w:val="1"/>
                <w:color w:val="auto"/>
                <w:w w:val="98"/>
              </w:rPr>
              <w:t>Derivatives</w:t>
            </w:r>
          </w:p>
        </w:tc>
        <w:tc>
          <w:tcPr>
            <w:tcW w:w="18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gridSpan w:val="2"/>
          </w:tcPr>
          <w:p>
            <w:pPr>
              <w:jc w:val="center"/>
              <w:ind w:right="280"/>
              <w:spacing w:after="0"/>
              <w:rPr>
                <w:sz w:val="20"/>
                <w:szCs w:val="20"/>
                <w:color w:val="auto"/>
              </w:rPr>
            </w:pPr>
            <w:r>
              <w:rPr>
                <w:rFonts w:ascii="Arial" w:cs="Arial" w:eastAsia="Arial" w:hAnsi="Arial"/>
                <w:sz w:val="14"/>
                <w:szCs w:val="14"/>
                <w:b w:val="1"/>
                <w:bCs w:val="1"/>
                <w:color w:val="auto"/>
                <w:w w:val="98"/>
              </w:rPr>
              <w:t>Derivatives</w:t>
            </w:r>
          </w:p>
        </w:tc>
        <w:tc>
          <w:tcPr>
            <w:tcW w:w="18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2C6937"/>
            </w:tcBorders>
          </w:tcPr>
          <w:p>
            <w:pPr>
              <w:spacing w:after="0"/>
              <w:rPr>
                <w:sz w:val="17"/>
                <w:szCs w:val="17"/>
                <w:color w:val="auto"/>
              </w:rPr>
            </w:pPr>
          </w:p>
        </w:tc>
        <w:tc>
          <w:tcPr>
            <w:tcW w:w="1100" w:type="dxa"/>
            <w:vAlign w:val="bottom"/>
            <w:tcBorders>
              <w:bottom w:val="single" w:sz="8" w:color="2C6937"/>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Derivatives</w:t>
            </w:r>
          </w:p>
        </w:tc>
        <w:tc>
          <w:tcPr>
            <w:tcW w:w="160" w:type="dxa"/>
            <w:vAlign w:val="bottom"/>
            <w:tcBorders>
              <w:bottom w:val="single" w:sz="8" w:color="2C6937"/>
            </w:tcBorders>
          </w:tcPr>
          <w:p>
            <w:pPr>
              <w:spacing w:after="0"/>
              <w:rPr>
                <w:sz w:val="17"/>
                <w:szCs w:val="17"/>
                <w:color w:val="auto"/>
              </w:rPr>
            </w:pPr>
          </w:p>
        </w:tc>
        <w:tc>
          <w:tcPr>
            <w:tcW w:w="960" w:type="dxa"/>
            <w:vAlign w:val="bottom"/>
            <w:tcBorders>
              <w:bottom w:val="single" w:sz="8" w:color="2C6937"/>
            </w:tcBorders>
          </w:tcPr>
          <w:p>
            <w:pPr>
              <w:jc w:val="right"/>
              <w:ind w:right="131"/>
              <w:spacing w:after="0"/>
              <w:rPr>
                <w:sz w:val="20"/>
                <w:szCs w:val="20"/>
                <w:color w:val="auto"/>
              </w:rPr>
            </w:pPr>
            <w:r>
              <w:rPr>
                <w:rFonts w:ascii="Arial" w:cs="Arial" w:eastAsia="Arial" w:hAnsi="Arial"/>
                <w:sz w:val="14"/>
                <w:szCs w:val="14"/>
                <w:b w:val="1"/>
                <w:bCs w:val="1"/>
                <w:color w:val="auto"/>
                <w:w w:val="98"/>
              </w:rPr>
              <w:t>Derivatives</w:t>
            </w:r>
          </w:p>
        </w:tc>
        <w:tc>
          <w:tcPr>
            <w:tcW w:w="0" w:type="dxa"/>
            <w:vAlign w:val="bottom"/>
          </w:tcPr>
          <w:p>
            <w:pPr>
              <w:spacing w:after="0"/>
              <w:rPr>
                <w:sz w:val="1"/>
                <w:szCs w:val="1"/>
                <w:color w:val="auto"/>
              </w:rPr>
            </w:pPr>
          </w:p>
        </w:tc>
      </w:tr>
      <w:tr>
        <w:trPr>
          <w:trHeight w:val="192"/>
        </w:trPr>
        <w:tc>
          <w:tcPr>
            <w:tcW w:w="3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00" w:type="dxa"/>
            <w:vAlign w:val="bottom"/>
            <w:gridSpan w:val="5"/>
          </w:tcPr>
          <w:p>
            <w:pPr>
              <w:ind w:left="38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940" w:type="dxa"/>
            <w:vAlign w:val="bottom"/>
            <w:gridSpan w:val="2"/>
          </w:tcPr>
          <w:p>
            <w:pPr>
              <w:ind w:left="20"/>
              <w:spacing w:after="0"/>
              <w:rPr>
                <w:sz w:val="20"/>
                <w:szCs w:val="20"/>
                <w:color w:val="auto"/>
              </w:rPr>
            </w:pPr>
            <w:r>
              <w:rPr>
                <w:rFonts w:ascii="Arial" w:cs="Arial" w:eastAsia="Arial" w:hAnsi="Arial"/>
                <w:sz w:val="14"/>
                <w:szCs w:val="14"/>
                <w:color w:val="auto"/>
              </w:rPr>
              <w:t>Risk management derivatives designated as hedging</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940" w:type="dxa"/>
            <w:vAlign w:val="bottom"/>
            <w:gridSpan w:val="2"/>
          </w:tcPr>
          <w:p>
            <w:pPr>
              <w:ind w:left="180"/>
              <w:spacing w:after="0"/>
              <w:rPr>
                <w:sz w:val="20"/>
                <w:szCs w:val="20"/>
                <w:color w:val="auto"/>
              </w:rPr>
            </w:pPr>
            <w:r>
              <w:rPr>
                <w:rFonts w:ascii="Arial" w:cs="Arial" w:eastAsia="Arial" w:hAnsi="Arial"/>
                <w:sz w:val="14"/>
                <w:szCs w:val="14"/>
                <w:color w:val="auto"/>
              </w:rPr>
              <w:t>instruments: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940" w:type="dxa"/>
            <w:vAlign w:val="bottom"/>
            <w:gridSpan w:val="2"/>
          </w:tcPr>
          <w:p>
            <w:pPr>
              <w:ind w:left="180"/>
              <w:spacing w:after="0"/>
              <w:rPr>
                <w:sz w:val="20"/>
                <w:szCs w:val="20"/>
                <w:color w:val="auto"/>
              </w:rPr>
            </w:pPr>
            <w:r>
              <w:rPr>
                <w:rFonts w:ascii="Arial" w:cs="Arial" w:eastAsia="Arial" w:hAnsi="Arial"/>
                <w:sz w:val="14"/>
                <w:szCs w:val="14"/>
                <w:color w:val="auto"/>
              </w:rPr>
              <w:t>Swaps:</w:t>
            </w:r>
            <w:r>
              <w:rPr>
                <w:rFonts w:ascii="Arial" w:cs="Arial" w:eastAsia="Arial" w:hAnsi="Arial"/>
                <w:sz w:val="17"/>
                <w:szCs w:val="17"/>
                <w:color w:val="auto"/>
                <w:vertAlign w:val="superscript"/>
              </w:rPr>
              <w:t>(1)</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940" w:type="dxa"/>
            <w:vAlign w:val="bottom"/>
            <w:gridSpan w:val="2"/>
          </w:tcPr>
          <w:p>
            <w:pPr>
              <w:ind w:left="320"/>
              <w:spacing w:after="0"/>
              <w:rPr>
                <w:sz w:val="20"/>
                <w:szCs w:val="20"/>
                <w:color w:val="auto"/>
              </w:rPr>
            </w:pPr>
            <w:r>
              <w:rPr>
                <w:rFonts w:ascii="Arial" w:cs="Arial" w:eastAsia="Arial" w:hAnsi="Arial"/>
                <w:sz w:val="14"/>
                <w:szCs w:val="14"/>
                <w:color w:val="auto"/>
              </w:rPr>
              <w:t>Pay-fixed</w:t>
            </w:r>
          </w:p>
        </w:tc>
        <w:tc>
          <w:tcPr>
            <w:tcW w:w="180" w:type="dxa"/>
            <w:vAlign w:val="bottom"/>
          </w:tcPr>
          <w:p>
            <w:pPr>
              <w:jc w:val="right"/>
              <w:ind w:right="31"/>
              <w:spacing w:after="0"/>
              <w:rPr>
                <w:sz w:val="20"/>
                <w:szCs w:val="20"/>
                <w:color w:val="auto"/>
              </w:rPr>
            </w:pPr>
            <w:r>
              <w:rPr>
                <w:rFonts w:ascii="Arial" w:cs="Arial" w:eastAsia="Arial" w:hAnsi="Arial"/>
                <w:sz w:val="14"/>
                <w:szCs w:val="14"/>
                <w:b w:val="1"/>
                <w:bCs w:val="1"/>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18,107</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jc w:val="right"/>
              <w:ind w:right="11"/>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9,954</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384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Receive-fixed</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24,224</w:t>
            </w: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28,587</w:t>
            </w:r>
          </w:p>
        </w:tc>
        <w:tc>
          <w:tcPr>
            <w:tcW w:w="12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39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Total risk management derivatives designated as hedging</w:t>
            </w:r>
          </w:p>
        </w:tc>
        <w:tc>
          <w:tcPr>
            <w:tcW w:w="18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42,331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38,541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84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instruments</w:t>
            </w:r>
          </w:p>
        </w:tc>
        <w:tc>
          <w:tcPr>
            <w:tcW w:w="100" w:type="dxa"/>
            <w:vAlign w:val="bottom"/>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940" w:type="dxa"/>
            <w:vAlign w:val="bottom"/>
            <w:tcBorders>
              <w:bottom w:val="single" w:sz="8" w:color="2C6937"/>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000" w:type="dxa"/>
            <w:vAlign w:val="bottom"/>
            <w:tcBorders>
              <w:bottom w:val="single" w:sz="8" w:color="2C6937"/>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960" w:type="dxa"/>
            <w:vAlign w:val="bottom"/>
            <w:tcBorders>
              <w:bottom w:val="single" w:sz="8" w:color="2C6937"/>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940" w:type="dxa"/>
            <w:vAlign w:val="bottom"/>
            <w:tcBorders>
              <w:bottom w:val="single" w:sz="8" w:color="2C6937"/>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980" w:type="dxa"/>
            <w:vAlign w:val="bottom"/>
            <w:tcBorders>
              <w:bottom w:val="single" w:sz="8" w:color="2C6937"/>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60" w:type="dxa"/>
            <w:vAlign w:val="bottom"/>
            <w:tcBorders>
              <w:bottom w:val="single" w:sz="8" w:color="2C6937"/>
            </w:tcBorders>
          </w:tcPr>
          <w:p>
            <w:pPr>
              <w:spacing w:after="0"/>
              <w:rPr>
                <w:sz w:val="15"/>
                <w:szCs w:val="15"/>
                <w:color w:val="auto"/>
              </w:rPr>
            </w:pPr>
          </w:p>
        </w:tc>
        <w:tc>
          <w:tcPr>
            <w:tcW w:w="96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940" w:type="dxa"/>
            <w:vAlign w:val="bottom"/>
            <w:gridSpan w:val="2"/>
          </w:tcPr>
          <w:p>
            <w:pPr>
              <w:ind w:left="20"/>
              <w:spacing w:after="0"/>
              <w:rPr>
                <w:sz w:val="20"/>
                <w:szCs w:val="20"/>
                <w:color w:val="auto"/>
              </w:rPr>
            </w:pPr>
            <w:r>
              <w:rPr>
                <w:rFonts w:ascii="Arial" w:cs="Arial" w:eastAsia="Arial" w:hAnsi="Arial"/>
                <w:sz w:val="14"/>
                <w:szCs w:val="14"/>
                <w:color w:val="auto"/>
              </w:rPr>
              <w:t>Risk management derivatives not designated as hedging</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40" w:type="dxa"/>
            <w:vAlign w:val="bottom"/>
            <w:gridSpan w:val="2"/>
          </w:tcPr>
          <w:p>
            <w:pPr>
              <w:ind w:left="180"/>
              <w:spacing w:after="0"/>
              <w:rPr>
                <w:sz w:val="20"/>
                <w:szCs w:val="20"/>
                <w:color w:val="auto"/>
              </w:rPr>
            </w:pPr>
            <w:r>
              <w:rPr>
                <w:rFonts w:ascii="Arial" w:cs="Arial" w:eastAsia="Arial" w:hAnsi="Arial"/>
                <w:sz w:val="14"/>
                <w:szCs w:val="14"/>
                <w:color w:val="auto"/>
              </w:rPr>
              <w:t>instruments: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940" w:type="dxa"/>
            <w:vAlign w:val="bottom"/>
            <w:gridSpan w:val="2"/>
          </w:tcPr>
          <w:p>
            <w:pPr>
              <w:ind w:left="180"/>
              <w:spacing w:after="0"/>
              <w:rPr>
                <w:sz w:val="20"/>
                <w:szCs w:val="20"/>
                <w:color w:val="auto"/>
              </w:rPr>
            </w:pPr>
            <w:r>
              <w:rPr>
                <w:rFonts w:ascii="Arial" w:cs="Arial" w:eastAsia="Arial" w:hAnsi="Arial"/>
                <w:sz w:val="14"/>
                <w:szCs w:val="14"/>
                <w:color w:val="auto"/>
              </w:rPr>
              <w:t>Swaps:</w:t>
            </w:r>
            <w:r>
              <w:rPr>
                <w:rFonts w:ascii="Arial" w:cs="Arial" w:eastAsia="Arial" w:hAnsi="Arial"/>
                <w:sz w:val="17"/>
                <w:szCs w:val="17"/>
                <w:color w:val="auto"/>
                <w:vertAlign w:val="superscript"/>
              </w:rPr>
              <w:t>(1)</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940" w:type="dxa"/>
            <w:vAlign w:val="bottom"/>
            <w:gridSpan w:val="2"/>
          </w:tcPr>
          <w:p>
            <w:pPr>
              <w:ind w:left="320"/>
              <w:spacing w:after="0"/>
              <w:rPr>
                <w:sz w:val="20"/>
                <w:szCs w:val="20"/>
                <w:color w:val="auto"/>
              </w:rPr>
            </w:pPr>
            <w:r>
              <w:rPr>
                <w:rFonts w:ascii="Arial" w:cs="Arial" w:eastAsia="Arial" w:hAnsi="Arial"/>
                <w:sz w:val="14"/>
                <w:szCs w:val="14"/>
                <w:color w:val="auto"/>
              </w:rPr>
              <w:t>Pay-fixed</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141,966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136,648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3940" w:type="dxa"/>
            <w:vAlign w:val="bottom"/>
            <w:gridSpan w:val="2"/>
          </w:tcPr>
          <w:p>
            <w:pPr>
              <w:ind w:left="320"/>
              <w:spacing w:after="0"/>
              <w:rPr>
                <w:sz w:val="20"/>
                <w:szCs w:val="20"/>
                <w:color w:val="auto"/>
              </w:rPr>
            </w:pPr>
            <w:r>
              <w:rPr>
                <w:rFonts w:ascii="Arial" w:cs="Arial" w:eastAsia="Arial" w:hAnsi="Arial"/>
                <w:sz w:val="14"/>
                <w:szCs w:val="14"/>
                <w:color w:val="auto"/>
              </w:rPr>
              <w:t>Receive-fixed</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119,680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77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(2,041)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115,288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(3,085)</w:t>
            </w:r>
          </w:p>
        </w:tc>
        <w:tc>
          <w:tcPr>
            <w:tcW w:w="0" w:type="dxa"/>
            <w:vAlign w:val="bottom"/>
          </w:tcPr>
          <w:p>
            <w:pPr>
              <w:spacing w:after="0"/>
              <w:rPr>
                <w:sz w:val="1"/>
                <w:szCs w:val="1"/>
                <w:color w:val="auto"/>
              </w:rPr>
            </w:pPr>
          </w:p>
        </w:tc>
      </w:tr>
      <w:tr>
        <w:trPr>
          <w:trHeight w:val="193"/>
        </w:trPr>
        <w:tc>
          <w:tcPr>
            <w:tcW w:w="3940" w:type="dxa"/>
            <w:vAlign w:val="bottom"/>
            <w:gridSpan w:val="2"/>
          </w:tcPr>
          <w:p>
            <w:pPr>
              <w:ind w:left="320"/>
              <w:spacing w:after="0"/>
              <w:rPr>
                <w:sz w:val="20"/>
                <w:szCs w:val="20"/>
                <w:color w:val="auto"/>
              </w:rPr>
            </w:pPr>
            <w:r>
              <w:rPr>
                <w:rFonts w:ascii="Arial" w:cs="Arial" w:eastAsia="Arial" w:hAnsi="Arial"/>
                <w:sz w:val="14"/>
                <w:szCs w:val="14"/>
                <w:color w:val="auto"/>
              </w:rPr>
              <w:t>Basis</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54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3940" w:type="dxa"/>
            <w:vAlign w:val="bottom"/>
            <w:gridSpan w:val="2"/>
          </w:tcPr>
          <w:p>
            <w:pPr>
              <w:ind w:left="320"/>
              <w:spacing w:after="0"/>
              <w:rPr>
                <w:sz w:val="20"/>
                <w:szCs w:val="20"/>
                <w:color w:val="auto"/>
              </w:rPr>
            </w:pPr>
            <w:r>
              <w:rPr>
                <w:rFonts w:ascii="Arial" w:cs="Arial" w:eastAsia="Arial" w:hAnsi="Arial"/>
                <w:sz w:val="14"/>
                <w:szCs w:val="14"/>
                <w:color w:val="auto"/>
              </w:rPr>
              <w:t>Foreign currency</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332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(55)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98"/>
        </w:trPr>
        <w:tc>
          <w:tcPr>
            <w:tcW w:w="3940" w:type="dxa"/>
            <w:vAlign w:val="bottom"/>
            <w:gridSpan w:val="2"/>
          </w:tcPr>
          <w:p>
            <w:pPr>
              <w:ind w:left="180"/>
              <w:spacing w:after="0"/>
              <w:rPr>
                <w:sz w:val="20"/>
                <w:szCs w:val="20"/>
                <w:color w:val="auto"/>
              </w:rPr>
            </w:pPr>
            <w:r>
              <w:rPr>
                <w:rFonts w:ascii="Arial" w:cs="Arial" w:eastAsia="Arial" w:hAnsi="Arial"/>
                <w:sz w:val="14"/>
                <w:szCs w:val="14"/>
                <w:color w:val="auto"/>
              </w:rPr>
              <w:t>Swaptions:</w:t>
            </w:r>
            <w:r>
              <w:rPr>
                <w:rFonts w:ascii="Arial" w:cs="Arial" w:eastAsia="Arial" w:hAnsi="Arial"/>
                <w:sz w:val="17"/>
                <w:szCs w:val="17"/>
                <w:color w:val="auto"/>
                <w:vertAlign w:val="superscript"/>
              </w:rPr>
              <w:t>(1)</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940" w:type="dxa"/>
            <w:vAlign w:val="bottom"/>
            <w:gridSpan w:val="2"/>
          </w:tcPr>
          <w:p>
            <w:pPr>
              <w:ind w:left="320"/>
              <w:spacing w:after="0"/>
              <w:rPr>
                <w:sz w:val="20"/>
                <w:szCs w:val="20"/>
                <w:color w:val="auto"/>
              </w:rPr>
            </w:pPr>
            <w:r>
              <w:rPr>
                <w:rFonts w:ascii="Arial" w:cs="Arial" w:eastAsia="Arial" w:hAnsi="Arial"/>
                <w:sz w:val="14"/>
                <w:szCs w:val="14"/>
                <w:color w:val="auto"/>
              </w:rPr>
              <w:t>Pay-fixed</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7,006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5,816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3"/>
        </w:trPr>
        <w:tc>
          <w:tcPr>
            <w:tcW w:w="3940" w:type="dxa"/>
            <w:vAlign w:val="bottom"/>
            <w:gridSpan w:val="2"/>
          </w:tcPr>
          <w:p>
            <w:pPr>
              <w:ind w:left="320"/>
              <w:spacing w:after="0"/>
              <w:rPr>
                <w:sz w:val="20"/>
                <w:szCs w:val="20"/>
                <w:color w:val="auto"/>
              </w:rPr>
            </w:pPr>
            <w:r>
              <w:rPr>
                <w:rFonts w:ascii="Arial" w:cs="Arial" w:eastAsia="Arial" w:hAnsi="Arial"/>
                <w:sz w:val="14"/>
                <w:szCs w:val="14"/>
                <w:color w:val="auto"/>
              </w:rPr>
              <w:t>Receive-fixed</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5,916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(69)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2,666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95"/>
        </w:trPr>
        <w:tc>
          <w:tcPr>
            <w:tcW w:w="384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Futures</w:t>
            </w:r>
            <w:r>
              <w:rPr>
                <w:rFonts w:ascii="Arial" w:cs="Arial" w:eastAsia="Arial" w:hAnsi="Arial"/>
                <w:sz w:val="17"/>
                <w:szCs w:val="17"/>
                <w:color w:val="auto"/>
                <w:vertAlign w:val="superscript"/>
              </w:rPr>
              <w:t>(1)</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87</w:t>
            </w: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39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Total risk management derivatives not designated as hedging</w:t>
            </w:r>
          </w:p>
        </w:tc>
        <w:tc>
          <w:tcPr>
            <w:tcW w:w="18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275,237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367</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(2,176)</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261,016</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328</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(3,223)</w:t>
            </w:r>
          </w:p>
        </w:tc>
        <w:tc>
          <w:tcPr>
            <w:tcW w:w="0" w:type="dxa"/>
            <w:vAlign w:val="bottom"/>
          </w:tcPr>
          <w:p>
            <w:pPr>
              <w:spacing w:after="0"/>
              <w:rPr>
                <w:sz w:val="1"/>
                <w:szCs w:val="1"/>
                <w:color w:val="auto"/>
              </w:rPr>
            </w:pPr>
          </w:p>
        </w:tc>
      </w:tr>
      <w:tr>
        <w:trPr>
          <w:trHeight w:val="180"/>
        </w:trPr>
        <w:tc>
          <w:tcPr>
            <w:tcW w:w="384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instruments</w:t>
            </w:r>
          </w:p>
        </w:tc>
        <w:tc>
          <w:tcPr>
            <w:tcW w:w="100" w:type="dxa"/>
            <w:vAlign w:val="bottom"/>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940" w:type="dxa"/>
            <w:vAlign w:val="bottom"/>
            <w:tcBorders>
              <w:bottom w:val="single" w:sz="8" w:color="2C6937"/>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000" w:type="dxa"/>
            <w:vAlign w:val="bottom"/>
            <w:tcBorders>
              <w:bottom w:val="single" w:sz="8" w:color="2C6937"/>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960" w:type="dxa"/>
            <w:vAlign w:val="bottom"/>
            <w:tcBorders>
              <w:bottom w:val="single" w:sz="8" w:color="2C6937"/>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940" w:type="dxa"/>
            <w:vAlign w:val="bottom"/>
            <w:tcBorders>
              <w:bottom w:val="single" w:sz="8" w:color="2C6937"/>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980" w:type="dxa"/>
            <w:vAlign w:val="bottom"/>
            <w:tcBorders>
              <w:bottom w:val="single" w:sz="8" w:color="2C6937"/>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2C6937"/>
            </w:tcBorders>
          </w:tcPr>
          <w:p>
            <w:pPr>
              <w:spacing w:after="0"/>
              <w:rPr>
                <w:sz w:val="15"/>
                <w:szCs w:val="15"/>
                <w:color w:val="auto"/>
              </w:rPr>
            </w:pPr>
          </w:p>
        </w:tc>
        <w:tc>
          <w:tcPr>
            <w:tcW w:w="96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840" w:type="dxa"/>
            <w:vAlign w:val="bottom"/>
            <w:tcBorders>
              <w:bottom w:val="single" w:sz="8" w:color="2C6937"/>
            </w:tcBorders>
          </w:tcPr>
          <w:p>
            <w:pPr>
              <w:ind w:left="20"/>
              <w:spacing w:after="0" w:line="186" w:lineRule="exact"/>
              <w:rPr>
                <w:sz w:val="20"/>
                <w:szCs w:val="20"/>
                <w:color w:val="auto"/>
              </w:rPr>
            </w:pPr>
            <w:r>
              <w:rPr>
                <w:rFonts w:ascii="Arial" w:cs="Arial" w:eastAsia="Arial" w:hAnsi="Arial"/>
                <w:sz w:val="14"/>
                <w:szCs w:val="14"/>
                <w:color w:val="auto"/>
              </w:rPr>
              <w:t>Netting adjustment</w:t>
            </w:r>
            <w:r>
              <w:rPr>
                <w:rFonts w:ascii="Arial" w:cs="Arial" w:eastAsia="Arial" w:hAnsi="Arial"/>
                <w:sz w:val="17"/>
                <w:szCs w:val="17"/>
                <w:color w:val="auto"/>
                <w:vertAlign w:val="superscript"/>
              </w:rPr>
              <w:t>(2)</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(233)</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2,154</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(283)</w:t>
            </w:r>
          </w:p>
        </w:tc>
        <w:tc>
          <w:tcPr>
            <w:tcW w:w="12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3,200</w:t>
            </w:r>
          </w:p>
        </w:tc>
        <w:tc>
          <w:tcPr>
            <w:tcW w:w="0" w:type="dxa"/>
            <w:vAlign w:val="bottom"/>
          </w:tcPr>
          <w:p>
            <w:pPr>
              <w:spacing w:after="0"/>
              <w:rPr>
                <w:sz w:val="1"/>
                <w:szCs w:val="1"/>
                <w:color w:val="auto"/>
              </w:rPr>
            </w:pPr>
          </w:p>
        </w:tc>
      </w:tr>
      <w:tr>
        <w:trPr>
          <w:trHeight w:val="185"/>
        </w:trPr>
        <w:tc>
          <w:tcPr>
            <w:tcW w:w="38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Total risk management derivatives portfolio</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317,568</w:t>
            </w: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134</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(22)</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299,557</w:t>
            </w:r>
          </w:p>
        </w:tc>
        <w:tc>
          <w:tcPr>
            <w:tcW w:w="12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79"/>
        </w:trPr>
        <w:tc>
          <w:tcPr>
            <w:tcW w:w="3940" w:type="dxa"/>
            <w:vAlign w:val="bottom"/>
            <w:gridSpan w:val="2"/>
          </w:tcPr>
          <w:p>
            <w:pPr>
              <w:ind w:left="20"/>
              <w:spacing w:after="0"/>
              <w:rPr>
                <w:sz w:val="20"/>
                <w:szCs w:val="20"/>
                <w:color w:val="auto"/>
              </w:rPr>
            </w:pPr>
            <w:r>
              <w:rPr>
                <w:rFonts w:ascii="Arial" w:cs="Arial" w:eastAsia="Arial" w:hAnsi="Arial"/>
                <w:sz w:val="14"/>
                <w:szCs w:val="14"/>
                <w:color w:val="auto"/>
              </w:rPr>
              <w:t>Mortgage commitment derivatives: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940" w:type="dxa"/>
            <w:vAlign w:val="bottom"/>
            <w:gridSpan w:val="2"/>
          </w:tcPr>
          <w:p>
            <w:pPr>
              <w:ind w:left="180"/>
              <w:spacing w:after="0"/>
              <w:rPr>
                <w:sz w:val="20"/>
                <w:szCs w:val="20"/>
                <w:color w:val="auto"/>
              </w:rPr>
            </w:pPr>
            <w:r>
              <w:rPr>
                <w:rFonts w:ascii="Arial" w:cs="Arial" w:eastAsia="Arial" w:hAnsi="Arial"/>
                <w:sz w:val="14"/>
                <w:szCs w:val="14"/>
                <w:color w:val="auto"/>
              </w:rPr>
              <w:t>Mortgage commitments to purchase whole loans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3,587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3940" w:type="dxa"/>
            <w:vAlign w:val="bottom"/>
            <w:gridSpan w:val="2"/>
          </w:tcPr>
          <w:p>
            <w:pPr>
              <w:ind w:left="180"/>
              <w:spacing w:after="0"/>
              <w:rPr>
                <w:sz w:val="20"/>
                <w:szCs w:val="20"/>
                <w:color w:val="auto"/>
              </w:rPr>
            </w:pPr>
            <w:r>
              <w:rPr>
                <w:rFonts w:ascii="Arial" w:cs="Arial" w:eastAsia="Arial" w:hAnsi="Arial"/>
                <w:sz w:val="14"/>
                <w:szCs w:val="14"/>
                <w:color w:val="auto"/>
              </w:rPr>
              <w:t>Forward contracts to purchase mortgage-related securities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32,495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14,264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20"/>
        </w:trPr>
        <w:tc>
          <w:tcPr>
            <w:tcW w:w="384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Forward contracts to sell mortgage-related securities</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73,292</w:t>
            </w:r>
          </w:p>
        </w:tc>
        <w:tc>
          <w:tcPr>
            <w:tcW w:w="10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65</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(36)</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43,942</w:t>
            </w:r>
          </w:p>
        </w:tc>
        <w:tc>
          <w:tcPr>
            <w:tcW w:w="12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212"/>
        </w:trPr>
        <w:tc>
          <w:tcPr>
            <w:tcW w:w="38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Total mortgage commitment derivatives</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109,374</w:t>
            </w:r>
          </w:p>
        </w:tc>
        <w:tc>
          <w:tcPr>
            <w:tcW w:w="10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109</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(99)</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60,940</w:t>
            </w:r>
          </w:p>
        </w:tc>
        <w:tc>
          <w:tcPr>
            <w:tcW w:w="12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86"/>
        </w:trPr>
        <w:tc>
          <w:tcPr>
            <w:tcW w:w="38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Credit enhancement derivatives</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29,660</w:t>
            </w: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37</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27,624</w:t>
            </w:r>
          </w:p>
        </w:tc>
        <w:tc>
          <w:tcPr>
            <w:tcW w:w="12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6"/>
        </w:trPr>
        <w:tc>
          <w:tcPr>
            <w:tcW w:w="3940" w:type="dxa"/>
            <w:vAlign w:val="bottom"/>
            <w:gridSpan w:val="2"/>
          </w:tcPr>
          <w:p>
            <w:pPr>
              <w:ind w:left="180"/>
              <w:spacing w:after="0"/>
              <w:rPr>
                <w:sz w:val="20"/>
                <w:szCs w:val="20"/>
                <w:color w:val="auto"/>
              </w:rPr>
            </w:pPr>
            <w:r>
              <w:rPr>
                <w:rFonts w:ascii="Arial" w:cs="Arial" w:eastAsia="Arial" w:hAnsi="Arial"/>
                <w:sz w:val="14"/>
                <w:szCs w:val="14"/>
                <w:color w:val="auto"/>
              </w:rPr>
              <w:t>Derivatives at fair value</w:t>
            </w:r>
          </w:p>
        </w:tc>
        <w:tc>
          <w:tcPr>
            <w:tcW w:w="180" w:type="dxa"/>
            <w:vAlign w:val="bottom"/>
          </w:tcPr>
          <w:p>
            <w:pPr>
              <w:jc w:val="right"/>
              <w:ind w:right="31"/>
              <w:spacing w:after="0"/>
              <w:rPr>
                <w:sz w:val="20"/>
                <w:szCs w:val="20"/>
                <w:color w:val="auto"/>
              </w:rPr>
            </w:pPr>
            <w:r>
              <w:rPr>
                <w:rFonts w:ascii="Arial" w:cs="Arial" w:eastAsia="Arial" w:hAnsi="Arial"/>
                <w:sz w:val="14"/>
                <w:szCs w:val="14"/>
                <w:b w:val="1"/>
                <w:bCs w:val="1"/>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456,602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280</w:t>
            </w:r>
          </w:p>
        </w:tc>
        <w:tc>
          <w:tcPr>
            <w:tcW w:w="100" w:type="dxa"/>
            <w:vAlign w:val="bottom"/>
          </w:tcPr>
          <w:p>
            <w:pPr>
              <w:spacing w:after="0"/>
              <w:rPr>
                <w:sz w:val="16"/>
                <w:szCs w:val="16"/>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(132)</w:t>
            </w:r>
          </w:p>
        </w:tc>
        <w:tc>
          <w:tcPr>
            <w:tcW w:w="100" w:type="dxa"/>
            <w:vAlign w:val="bottom"/>
          </w:tcPr>
          <w:p>
            <w:pPr>
              <w:spacing w:after="0"/>
              <w:rPr>
                <w:sz w:val="16"/>
                <w:szCs w:val="16"/>
                <w:color w:val="auto"/>
              </w:rPr>
            </w:pP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388,121</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202</w:t>
            </w:r>
          </w:p>
        </w:tc>
        <w:tc>
          <w:tcPr>
            <w:tcW w:w="12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20"/>
        </w:trPr>
        <w:tc>
          <w:tcPr>
            <w:tcW w:w="38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0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9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8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96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p>
    <w:p>
      <w:pPr>
        <w:ind w:left="220" w:hanging="217"/>
        <w:spacing w:after="0"/>
        <w:tabs>
          <w:tab w:leader="none" w:pos="220" w:val="left"/>
        </w:tabs>
        <w:numPr>
          <w:ilvl w:val="0"/>
          <w:numId w:val="88"/>
        </w:numPr>
        <w:rPr>
          <w:rFonts w:ascii="Arial" w:cs="Arial" w:eastAsia="Arial" w:hAnsi="Arial"/>
          <w:sz w:val="9"/>
          <w:szCs w:val="9"/>
          <w:color w:val="auto"/>
        </w:rPr>
      </w:pPr>
      <w:r>
        <w:rPr>
          <w:rFonts w:ascii="Arial" w:cs="Arial" w:eastAsia="Arial" w:hAnsi="Arial"/>
          <w:sz w:val="14"/>
          <w:szCs w:val="14"/>
          <w:color w:val="auto"/>
        </w:rPr>
        <w:t>Centrally cleared derivatives have no ascribable fair value because the positions are settled daily.</w:t>
      </w:r>
    </w:p>
    <w:p>
      <w:pPr>
        <w:spacing w:after="0" w:line="45" w:lineRule="exact"/>
        <w:rPr>
          <w:rFonts w:ascii="Arial" w:cs="Arial" w:eastAsia="Arial" w:hAnsi="Arial"/>
          <w:sz w:val="9"/>
          <w:szCs w:val="9"/>
          <w:color w:val="auto"/>
        </w:rPr>
      </w:pPr>
    </w:p>
    <w:p>
      <w:pPr>
        <w:ind w:left="240" w:right="280" w:hanging="237"/>
        <w:spacing w:after="0" w:line="264" w:lineRule="auto"/>
        <w:tabs>
          <w:tab w:leader="none" w:pos="233" w:val="left"/>
        </w:tabs>
        <w:numPr>
          <w:ilvl w:val="0"/>
          <w:numId w:val="88"/>
        </w:numPr>
        <w:rPr>
          <w:rFonts w:ascii="Arial" w:cs="Arial" w:eastAsia="Arial" w:hAnsi="Arial"/>
          <w:sz w:val="9"/>
          <w:szCs w:val="9"/>
          <w:color w:val="auto"/>
        </w:rPr>
      </w:pPr>
      <w:r>
        <w:rPr>
          <w:rFonts w:ascii="Arial" w:cs="Arial" w:eastAsia="Arial" w:hAnsi="Arial"/>
          <w:sz w:val="14"/>
          <w:szCs w:val="14"/>
          <w:color w:val="auto"/>
        </w:rPr>
        <w:t>The netting adjustment represents the effect of the legal right to offset under legally enforceable master netting arrangements to settle with the same counterparty on a net basis, including cash collateral posted and received. Cash collateral posted was $1.9 billion and $2.9 billion as of September 30, 2024 and December 31, 2023, respectively. Cash collateral received was $2 million and $5 million as of September 30, 2024 and December 31,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354965</wp:posOffset>
            </wp:positionV>
            <wp:extent cx="680593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98" w:name="page99"/>
    <w:bookmarkEnd w:id="98"/>
    <w:p>
      <w:pPr>
        <w:ind w:left="6240"/>
        <w:spacing w:after="0"/>
        <w:rPr>
          <w:sz w:val="20"/>
          <w:szCs w:val="20"/>
          <w:color w:val="auto"/>
        </w:rPr>
      </w:pPr>
      <w:r>
        <w:rPr>
          <w:rFonts w:ascii="Arial" w:cs="Arial" w:eastAsia="Arial" w:hAnsi="Arial"/>
          <w:sz w:val="14"/>
          <w:szCs w:val="14"/>
          <w:color w:val="05314D"/>
        </w:rPr>
        <w:t>Notes to Condensed Consolidated Financial Statements |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color w:val="auto"/>
        </w:rPr>
        <w:t>We record all gains and losses, including accrued interest, on derivatives while they are not in a qualifying designated hedging relationship in “Fair value gains (losses), net” in our condensed consolidated statements of operations and comprehensive income. The following table displays, by type of derivative instrument, the fair value gains and losses, net on our derivatives.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7"/>
              </w:rPr>
              <w:t>For the Three Months Ended</w:t>
            </w:r>
          </w:p>
        </w:tc>
        <w:tc>
          <w:tcPr>
            <w:tcW w:w="160" w:type="dxa"/>
            <w:vAlign w:val="bottom"/>
          </w:tcPr>
          <w:p>
            <w:pPr>
              <w:spacing w:after="0"/>
              <w:rPr>
                <w:sz w:val="14"/>
                <w:szCs w:val="14"/>
                <w:color w:val="auto"/>
              </w:rPr>
            </w:pPr>
          </w:p>
        </w:tc>
        <w:tc>
          <w:tcPr>
            <w:tcW w:w="2120" w:type="dxa"/>
            <w:vAlign w:val="bottom"/>
            <w:gridSpan w:val="4"/>
          </w:tcPr>
          <w:p>
            <w:pPr>
              <w:jc w:val="right"/>
              <w:ind w:right="163"/>
              <w:spacing w:after="0"/>
              <w:rPr>
                <w:sz w:val="20"/>
                <w:szCs w:val="20"/>
                <w:color w:val="auto"/>
              </w:rPr>
            </w:pPr>
            <w:r>
              <w:rPr>
                <w:rFonts w:ascii="Arial" w:cs="Arial" w:eastAsia="Arial" w:hAnsi="Arial"/>
                <w:sz w:val="14"/>
                <w:szCs w:val="14"/>
                <w:b w:val="1"/>
                <w:bCs w:val="1"/>
                <w:color w:val="auto"/>
              </w:rPr>
              <w:t>For the Nine Months Ended</w:t>
            </w:r>
          </w:p>
        </w:tc>
      </w:tr>
      <w:tr>
        <w:trPr>
          <w:trHeight w:val="180"/>
        </w:trPr>
        <w:tc>
          <w:tcPr>
            <w:tcW w:w="6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8"/>
              </w:rPr>
              <w:t>September 30,</w:t>
            </w:r>
          </w:p>
        </w:tc>
        <w:tc>
          <w:tcPr>
            <w:tcW w:w="160" w:type="dxa"/>
            <w:vAlign w:val="bottom"/>
          </w:tcPr>
          <w:p>
            <w:pPr>
              <w:spacing w:after="0"/>
              <w:rPr>
                <w:sz w:val="15"/>
                <w:szCs w:val="15"/>
                <w:color w:val="auto"/>
              </w:rPr>
            </w:pPr>
          </w:p>
        </w:tc>
        <w:tc>
          <w:tcPr>
            <w:tcW w:w="2120" w:type="dxa"/>
            <w:vAlign w:val="bottom"/>
            <w:gridSpan w:val="4"/>
          </w:tcPr>
          <w:p>
            <w:pPr>
              <w:jc w:val="right"/>
              <w:ind w:right="603"/>
              <w:spacing w:after="0"/>
              <w:rPr>
                <w:sz w:val="20"/>
                <w:szCs w:val="20"/>
                <w:color w:val="auto"/>
              </w:rPr>
            </w:pPr>
            <w:r>
              <w:rPr>
                <w:rFonts w:ascii="Arial" w:cs="Arial" w:eastAsia="Arial" w:hAnsi="Arial"/>
                <w:sz w:val="14"/>
                <w:szCs w:val="14"/>
                <w:b w:val="1"/>
                <w:bCs w:val="1"/>
                <w:color w:val="auto"/>
              </w:rPr>
              <w:t>September 30,</w:t>
            </w:r>
          </w:p>
        </w:tc>
      </w:tr>
      <w:tr>
        <w:trPr>
          <w:trHeight w:val="185"/>
        </w:trPr>
        <w:tc>
          <w:tcPr>
            <w:tcW w:w="6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top w:val="single" w:sz="8" w:color="2C6937"/>
              <w:bottom w:val="single" w:sz="8" w:color="2C6937"/>
            </w:tcBorders>
          </w:tcPr>
          <w:p>
            <w:pPr>
              <w:spacing w:after="0"/>
              <w:rPr>
                <w:sz w:val="16"/>
                <w:szCs w:val="16"/>
                <w:color w:val="auto"/>
              </w:rPr>
            </w:pPr>
          </w:p>
        </w:tc>
        <w:tc>
          <w:tcPr>
            <w:tcW w:w="920" w:type="dxa"/>
            <w:vAlign w:val="bottom"/>
            <w:tcBorders>
              <w:top w:val="single" w:sz="8" w:color="2C6937"/>
              <w:bottom w:val="single" w:sz="8" w:color="2C6937"/>
            </w:tcBorders>
          </w:tcPr>
          <w:p>
            <w:pPr>
              <w:jc w:val="right"/>
              <w:ind w:right="304"/>
              <w:spacing w:after="0"/>
              <w:rPr>
                <w:sz w:val="20"/>
                <w:szCs w:val="20"/>
                <w:color w:val="auto"/>
              </w:rPr>
            </w:pPr>
            <w:r>
              <w:rPr>
                <w:rFonts w:ascii="Arial" w:cs="Arial" w:eastAsia="Arial" w:hAnsi="Arial"/>
                <w:sz w:val="14"/>
                <w:szCs w:val="14"/>
                <w:b w:val="1"/>
                <w:bCs w:val="1"/>
                <w:color w:val="auto"/>
              </w:rPr>
              <w:t>2024</w:t>
            </w:r>
          </w:p>
        </w:tc>
        <w:tc>
          <w:tcPr>
            <w:tcW w:w="140" w:type="dxa"/>
            <w:vAlign w:val="bottom"/>
            <w:tcBorders>
              <w:top w:val="single" w:sz="8" w:color="2C6937"/>
              <w:bottom w:val="single" w:sz="8" w:color="2C6937"/>
            </w:tcBorders>
          </w:tcPr>
          <w:p>
            <w:pPr>
              <w:spacing w:after="0"/>
              <w:rPr>
                <w:sz w:val="16"/>
                <w:szCs w:val="16"/>
                <w:color w:val="auto"/>
              </w:rPr>
            </w:pPr>
          </w:p>
        </w:tc>
        <w:tc>
          <w:tcPr>
            <w:tcW w:w="260" w:type="dxa"/>
            <w:vAlign w:val="bottom"/>
            <w:tcBorders>
              <w:top w:val="single" w:sz="8" w:color="2C6937"/>
              <w:bottom w:val="single" w:sz="8" w:color="2C6937"/>
            </w:tcBorders>
          </w:tcPr>
          <w:p>
            <w:pPr>
              <w:spacing w:after="0"/>
              <w:rPr>
                <w:sz w:val="16"/>
                <w:szCs w:val="16"/>
                <w:color w:val="auto"/>
              </w:rPr>
            </w:pPr>
          </w:p>
        </w:tc>
        <w:tc>
          <w:tcPr>
            <w:tcW w:w="820" w:type="dxa"/>
            <w:vAlign w:val="bottom"/>
            <w:tcBorders>
              <w:top w:val="single" w:sz="8" w:color="2C6937"/>
              <w:bottom w:val="single" w:sz="8" w:color="2C6937"/>
            </w:tcBorders>
          </w:tcPr>
          <w:p>
            <w:pPr>
              <w:jc w:val="right"/>
              <w:ind w:right="304"/>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2C6937"/>
            </w:tcBorders>
          </w:tcPr>
          <w:p>
            <w:pPr>
              <w:spacing w:after="0"/>
              <w:rPr>
                <w:sz w:val="16"/>
                <w:szCs w:val="16"/>
                <w:color w:val="auto"/>
              </w:rPr>
            </w:pPr>
          </w:p>
        </w:tc>
        <w:tc>
          <w:tcPr>
            <w:tcW w:w="160" w:type="dxa"/>
            <w:vAlign w:val="bottom"/>
            <w:tcBorders>
              <w:top w:val="single" w:sz="8" w:color="2C6937"/>
              <w:bottom w:val="single" w:sz="8" w:color="2C6937"/>
            </w:tcBorders>
          </w:tcPr>
          <w:p>
            <w:pPr>
              <w:spacing w:after="0"/>
              <w:rPr>
                <w:sz w:val="16"/>
                <w:szCs w:val="16"/>
                <w:color w:val="auto"/>
              </w:rPr>
            </w:pPr>
          </w:p>
        </w:tc>
        <w:tc>
          <w:tcPr>
            <w:tcW w:w="900" w:type="dxa"/>
            <w:vAlign w:val="bottom"/>
            <w:tcBorders>
              <w:top w:val="single" w:sz="8" w:color="2C6937"/>
              <w:bottom w:val="single" w:sz="8" w:color="2C6937"/>
            </w:tcBorders>
          </w:tcPr>
          <w:p>
            <w:pPr>
              <w:jc w:val="right"/>
              <w:ind w:right="304"/>
              <w:spacing w:after="0"/>
              <w:rPr>
                <w:sz w:val="20"/>
                <w:szCs w:val="20"/>
                <w:color w:val="auto"/>
              </w:rPr>
            </w:pPr>
            <w:r>
              <w:rPr>
                <w:rFonts w:ascii="Arial" w:cs="Arial" w:eastAsia="Arial" w:hAnsi="Arial"/>
                <w:sz w:val="14"/>
                <w:szCs w:val="14"/>
                <w:b w:val="1"/>
                <w:bCs w:val="1"/>
                <w:color w:val="auto"/>
              </w:rPr>
              <w:t>2024</w:t>
            </w:r>
          </w:p>
        </w:tc>
        <w:tc>
          <w:tcPr>
            <w:tcW w:w="140" w:type="dxa"/>
            <w:vAlign w:val="bottom"/>
            <w:tcBorders>
              <w:top w:val="single" w:sz="8" w:color="2C6937"/>
              <w:bottom w:val="single" w:sz="8" w:color="2C6937"/>
            </w:tcBorders>
          </w:tcPr>
          <w:p>
            <w:pPr>
              <w:spacing w:after="0"/>
              <w:rPr>
                <w:sz w:val="16"/>
                <w:szCs w:val="16"/>
                <w:color w:val="auto"/>
              </w:rPr>
            </w:pPr>
          </w:p>
        </w:tc>
        <w:tc>
          <w:tcPr>
            <w:tcW w:w="240" w:type="dxa"/>
            <w:vAlign w:val="bottom"/>
            <w:tcBorders>
              <w:top w:val="single" w:sz="8" w:color="2C6937"/>
              <w:bottom w:val="single" w:sz="8" w:color="2C6937"/>
            </w:tcBorders>
          </w:tcPr>
          <w:p>
            <w:pPr>
              <w:spacing w:after="0"/>
              <w:rPr>
                <w:sz w:val="16"/>
                <w:szCs w:val="16"/>
                <w:color w:val="auto"/>
              </w:rPr>
            </w:pPr>
          </w:p>
        </w:tc>
        <w:tc>
          <w:tcPr>
            <w:tcW w:w="840" w:type="dxa"/>
            <w:vAlign w:val="bottom"/>
            <w:tcBorders>
              <w:top w:val="single" w:sz="8" w:color="2C6937"/>
              <w:bottom w:val="single" w:sz="8" w:color="2C6937"/>
            </w:tcBorders>
          </w:tcPr>
          <w:p>
            <w:pPr>
              <w:jc w:val="right"/>
              <w:ind w:right="303"/>
              <w:spacing w:after="0"/>
              <w:rPr>
                <w:sz w:val="20"/>
                <w:szCs w:val="20"/>
                <w:color w:val="auto"/>
              </w:rPr>
            </w:pPr>
            <w:r>
              <w:rPr>
                <w:rFonts w:ascii="Arial" w:cs="Arial" w:eastAsia="Arial" w:hAnsi="Arial"/>
                <w:sz w:val="14"/>
                <w:szCs w:val="14"/>
                <w:b w:val="1"/>
                <w:bCs w:val="1"/>
                <w:color w:val="auto"/>
              </w:rPr>
              <w:t>2023</w:t>
            </w:r>
          </w:p>
        </w:tc>
      </w:tr>
      <w:tr>
        <w:trPr>
          <w:trHeight w:val="185"/>
        </w:trPr>
        <w:tc>
          <w:tcPr>
            <w:tcW w:w="6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80" w:type="dxa"/>
            <w:vAlign w:val="bottom"/>
            <w:gridSpan w:val="5"/>
          </w:tcPr>
          <w:p>
            <w:pPr>
              <w:ind w:left="26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6"/>
        </w:trPr>
        <w:tc>
          <w:tcPr>
            <w:tcW w:w="6500" w:type="dxa"/>
            <w:vAlign w:val="bottom"/>
            <w:gridSpan w:val="2"/>
          </w:tcPr>
          <w:p>
            <w:pPr>
              <w:ind w:left="20"/>
              <w:spacing w:after="0"/>
              <w:rPr>
                <w:sz w:val="20"/>
                <w:szCs w:val="20"/>
                <w:color w:val="auto"/>
              </w:rPr>
            </w:pPr>
            <w:r>
              <w:rPr>
                <w:rFonts w:ascii="Arial" w:cs="Arial" w:eastAsia="Arial" w:hAnsi="Arial"/>
                <w:sz w:val="15"/>
                <w:szCs w:val="15"/>
                <w:color w:val="auto"/>
              </w:rPr>
              <w:t>Risk management derivatives:</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6"/>
        </w:trPr>
        <w:tc>
          <w:tcPr>
            <w:tcW w:w="6500" w:type="dxa"/>
            <w:vAlign w:val="bottom"/>
            <w:gridSpan w:val="2"/>
          </w:tcPr>
          <w:p>
            <w:pPr>
              <w:ind w:left="180"/>
              <w:spacing w:after="0"/>
              <w:rPr>
                <w:sz w:val="20"/>
                <w:szCs w:val="20"/>
                <w:color w:val="auto"/>
              </w:rPr>
            </w:pPr>
            <w:r>
              <w:rPr>
                <w:rFonts w:ascii="Arial" w:cs="Arial" w:eastAsia="Arial" w:hAnsi="Arial"/>
                <w:sz w:val="15"/>
                <w:szCs w:val="15"/>
                <w:color w:val="auto"/>
              </w:rPr>
              <w:t>Swaps:</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7"/>
        </w:trPr>
        <w:tc>
          <w:tcPr>
            <w:tcW w:w="6500" w:type="dxa"/>
            <w:vAlign w:val="bottom"/>
            <w:gridSpan w:val="2"/>
          </w:tcPr>
          <w:p>
            <w:pPr>
              <w:ind w:left="320"/>
              <w:spacing w:after="0"/>
              <w:rPr>
                <w:sz w:val="20"/>
                <w:szCs w:val="20"/>
                <w:color w:val="auto"/>
              </w:rPr>
            </w:pPr>
            <w:r>
              <w:rPr>
                <w:rFonts w:ascii="Arial" w:cs="Arial" w:eastAsia="Arial" w:hAnsi="Arial"/>
                <w:sz w:val="15"/>
                <w:szCs w:val="15"/>
                <w:color w:val="auto"/>
              </w:rPr>
              <w:t>Pay-fixed</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(2,225)</w:t>
            </w:r>
          </w:p>
        </w:tc>
        <w:tc>
          <w:tcPr>
            <w:tcW w:w="14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1,349</w:t>
            </w:r>
          </w:p>
        </w:tc>
        <w:tc>
          <w:tcPr>
            <w:tcW w:w="1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(626)</w:t>
            </w:r>
          </w:p>
        </w:tc>
        <w:tc>
          <w:tcPr>
            <w:tcW w:w="14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1,617</w:t>
            </w:r>
          </w:p>
        </w:tc>
      </w:tr>
      <w:tr>
        <w:trPr>
          <w:trHeight w:val="206"/>
        </w:trPr>
        <w:tc>
          <w:tcPr>
            <w:tcW w:w="6500" w:type="dxa"/>
            <w:vAlign w:val="bottom"/>
            <w:gridSpan w:val="2"/>
          </w:tcPr>
          <w:p>
            <w:pPr>
              <w:ind w:left="320"/>
              <w:spacing w:after="0"/>
              <w:rPr>
                <w:sz w:val="20"/>
                <w:szCs w:val="20"/>
                <w:color w:val="auto"/>
              </w:rPr>
            </w:pPr>
            <w:r>
              <w:rPr>
                <w:rFonts w:ascii="Arial" w:cs="Arial" w:eastAsia="Arial" w:hAnsi="Arial"/>
                <w:sz w:val="15"/>
                <w:szCs w:val="15"/>
                <w:color w:val="auto"/>
              </w:rPr>
              <w:t>Receive-fixed</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2,225</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(1,040)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1,738</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(478)</w:t>
            </w:r>
          </w:p>
        </w:tc>
      </w:tr>
      <w:tr>
        <w:trPr>
          <w:trHeight w:val="206"/>
        </w:trPr>
        <w:tc>
          <w:tcPr>
            <w:tcW w:w="6500" w:type="dxa"/>
            <w:vAlign w:val="bottom"/>
            <w:gridSpan w:val="2"/>
          </w:tcPr>
          <w:p>
            <w:pPr>
              <w:ind w:left="320"/>
              <w:spacing w:after="0"/>
              <w:rPr>
                <w:sz w:val="20"/>
                <w:szCs w:val="20"/>
                <w:color w:val="auto"/>
              </w:rPr>
            </w:pPr>
            <w:r>
              <w:rPr>
                <w:rFonts w:ascii="Arial" w:cs="Arial" w:eastAsia="Arial" w:hAnsi="Arial"/>
                <w:sz w:val="15"/>
                <w:szCs w:val="15"/>
                <w:color w:val="auto"/>
              </w:rPr>
              <w:t>Basis</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17</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(22)</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14</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w:t>
            </w:r>
          </w:p>
        </w:tc>
      </w:tr>
      <w:tr>
        <w:trPr>
          <w:trHeight w:val="208"/>
        </w:trPr>
        <w:tc>
          <w:tcPr>
            <w:tcW w:w="6500" w:type="dxa"/>
            <w:vAlign w:val="bottom"/>
            <w:gridSpan w:val="2"/>
          </w:tcPr>
          <w:p>
            <w:pPr>
              <w:ind w:left="320"/>
              <w:spacing w:after="0"/>
              <w:rPr>
                <w:sz w:val="20"/>
                <w:szCs w:val="20"/>
                <w:color w:val="auto"/>
              </w:rPr>
            </w:pPr>
            <w:r>
              <w:rPr>
                <w:rFonts w:ascii="Arial" w:cs="Arial" w:eastAsia="Arial" w:hAnsi="Arial"/>
                <w:sz w:val="15"/>
                <w:szCs w:val="15"/>
                <w:color w:val="auto"/>
              </w:rPr>
              <w:t>Foreign currency</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19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w:t>
            </w:r>
          </w:p>
        </w:tc>
      </w:tr>
      <w:tr>
        <w:trPr>
          <w:trHeight w:val="204"/>
        </w:trPr>
        <w:tc>
          <w:tcPr>
            <w:tcW w:w="6500" w:type="dxa"/>
            <w:vAlign w:val="bottom"/>
            <w:gridSpan w:val="2"/>
          </w:tcPr>
          <w:p>
            <w:pPr>
              <w:ind w:left="180"/>
              <w:spacing w:after="0"/>
              <w:rPr>
                <w:sz w:val="20"/>
                <w:szCs w:val="20"/>
                <w:color w:val="auto"/>
              </w:rPr>
            </w:pPr>
            <w:r>
              <w:rPr>
                <w:rFonts w:ascii="Arial" w:cs="Arial" w:eastAsia="Arial" w:hAnsi="Arial"/>
                <w:sz w:val="15"/>
                <w:szCs w:val="15"/>
                <w:color w:val="auto"/>
              </w:rPr>
              <w:t>Swaptions:</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7"/>
        </w:trPr>
        <w:tc>
          <w:tcPr>
            <w:tcW w:w="6500" w:type="dxa"/>
            <w:vAlign w:val="bottom"/>
            <w:gridSpan w:val="2"/>
          </w:tcPr>
          <w:p>
            <w:pPr>
              <w:ind w:left="320"/>
              <w:spacing w:after="0"/>
              <w:rPr>
                <w:sz w:val="20"/>
                <w:szCs w:val="20"/>
                <w:color w:val="auto"/>
              </w:rPr>
            </w:pPr>
            <w:r>
              <w:rPr>
                <w:rFonts w:ascii="Arial" w:cs="Arial" w:eastAsia="Arial" w:hAnsi="Arial"/>
                <w:sz w:val="15"/>
                <w:szCs w:val="15"/>
                <w:color w:val="auto"/>
              </w:rPr>
              <w:t>Pay-fixed</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(29)</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95</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15</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74</w:t>
            </w:r>
          </w:p>
        </w:tc>
      </w:tr>
      <w:tr>
        <w:trPr>
          <w:trHeight w:val="206"/>
        </w:trPr>
        <w:tc>
          <w:tcPr>
            <w:tcW w:w="6500" w:type="dxa"/>
            <w:vAlign w:val="bottom"/>
            <w:gridSpan w:val="2"/>
          </w:tcPr>
          <w:p>
            <w:pPr>
              <w:ind w:left="320"/>
              <w:spacing w:after="0"/>
              <w:rPr>
                <w:sz w:val="20"/>
                <w:szCs w:val="20"/>
                <w:color w:val="auto"/>
              </w:rPr>
            </w:pPr>
            <w:r>
              <w:rPr>
                <w:rFonts w:ascii="Arial" w:cs="Arial" w:eastAsia="Arial" w:hAnsi="Arial"/>
                <w:sz w:val="15"/>
                <w:szCs w:val="15"/>
                <w:color w:val="auto"/>
              </w:rPr>
              <w:t>Receive-fixed</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3</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(13)</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6</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(16)</w:t>
            </w:r>
          </w:p>
        </w:tc>
      </w:tr>
      <w:tr>
        <w:trPr>
          <w:trHeight w:val="206"/>
        </w:trPr>
        <w:tc>
          <w:tcPr>
            <w:tcW w:w="6500" w:type="dxa"/>
            <w:vAlign w:val="bottom"/>
            <w:gridSpan w:val="2"/>
          </w:tcPr>
          <w:p>
            <w:pPr>
              <w:ind w:left="180"/>
              <w:spacing w:after="0"/>
              <w:rPr>
                <w:sz w:val="20"/>
                <w:szCs w:val="20"/>
                <w:color w:val="auto"/>
              </w:rPr>
            </w:pPr>
            <w:r>
              <w:rPr>
                <w:rFonts w:ascii="Arial" w:cs="Arial" w:eastAsia="Arial" w:hAnsi="Arial"/>
                <w:sz w:val="15"/>
                <w:szCs w:val="15"/>
                <w:color w:val="auto"/>
              </w:rPr>
              <w:t>Futures</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(2)</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w:t>
            </w:r>
          </w:p>
        </w:tc>
      </w:tr>
      <w:tr>
        <w:trPr>
          <w:trHeight w:val="208"/>
        </w:trPr>
        <w:tc>
          <w:tcPr>
            <w:tcW w:w="634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Net contractual interest income (expense) on interest-rate swaps</w:t>
            </w:r>
          </w:p>
        </w:tc>
        <w:tc>
          <w:tcPr>
            <w:tcW w:w="16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(263)</w:t>
            </w:r>
          </w:p>
        </w:tc>
        <w:tc>
          <w:tcPr>
            <w:tcW w:w="14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(193)</w:t>
            </w:r>
          </w:p>
        </w:tc>
        <w:tc>
          <w:tcPr>
            <w:tcW w:w="16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(713)</w:t>
            </w:r>
          </w:p>
        </w:tc>
        <w:tc>
          <w:tcPr>
            <w:tcW w:w="14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(499)</w:t>
            </w:r>
          </w:p>
        </w:tc>
      </w:tr>
      <w:tr>
        <w:trPr>
          <w:trHeight w:val="198"/>
        </w:trPr>
        <w:tc>
          <w:tcPr>
            <w:tcW w:w="6500" w:type="dxa"/>
            <w:vAlign w:val="bottom"/>
            <w:gridSpan w:val="2"/>
          </w:tcPr>
          <w:p>
            <w:pPr>
              <w:ind w:left="20"/>
              <w:spacing w:after="0"/>
              <w:rPr>
                <w:sz w:val="20"/>
                <w:szCs w:val="20"/>
                <w:color w:val="auto"/>
              </w:rPr>
            </w:pPr>
            <w:r>
              <w:rPr>
                <w:rFonts w:ascii="Arial" w:cs="Arial" w:eastAsia="Arial" w:hAnsi="Arial"/>
                <w:sz w:val="15"/>
                <w:szCs w:val="15"/>
                <w:color w:val="auto"/>
              </w:rPr>
              <w:t>Total risk management derivatives fair value gains (losses), net</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(255)</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165</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442</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704</w:t>
            </w:r>
          </w:p>
        </w:tc>
      </w:tr>
      <w:tr>
        <w:trPr>
          <w:trHeight w:val="206"/>
        </w:trPr>
        <w:tc>
          <w:tcPr>
            <w:tcW w:w="6500" w:type="dxa"/>
            <w:vAlign w:val="bottom"/>
            <w:gridSpan w:val="2"/>
          </w:tcPr>
          <w:p>
            <w:pPr>
              <w:ind w:left="20"/>
              <w:spacing w:after="0"/>
              <w:rPr>
                <w:sz w:val="20"/>
                <w:szCs w:val="20"/>
                <w:color w:val="auto"/>
              </w:rPr>
            </w:pPr>
            <w:r>
              <w:rPr>
                <w:rFonts w:ascii="Arial" w:cs="Arial" w:eastAsia="Arial" w:hAnsi="Arial"/>
                <w:sz w:val="15"/>
                <w:szCs w:val="15"/>
                <w:color w:val="auto"/>
              </w:rPr>
              <w:t>Mortgage commitment derivatives fair value gains (losses), net</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(567)</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591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(266)</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675</w:t>
            </w:r>
          </w:p>
        </w:tc>
      </w:tr>
      <w:tr>
        <w:trPr>
          <w:trHeight w:val="208"/>
        </w:trPr>
        <w:tc>
          <w:tcPr>
            <w:tcW w:w="634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Credit enhancement derivatives fair value gains (losses), net</w:t>
            </w:r>
          </w:p>
        </w:tc>
        <w:tc>
          <w:tcPr>
            <w:tcW w:w="16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(38)</w:t>
            </w:r>
          </w:p>
        </w:tc>
        <w:tc>
          <w:tcPr>
            <w:tcW w:w="14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47</w:t>
            </w:r>
          </w:p>
        </w:tc>
        <w:tc>
          <w:tcPr>
            <w:tcW w:w="16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(52)</w:t>
            </w:r>
          </w:p>
        </w:tc>
        <w:tc>
          <w:tcPr>
            <w:tcW w:w="14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61</w:t>
            </w:r>
          </w:p>
        </w:tc>
      </w:tr>
      <w:tr>
        <w:trPr>
          <w:trHeight w:val="199"/>
        </w:trPr>
        <w:tc>
          <w:tcPr>
            <w:tcW w:w="6500" w:type="dxa"/>
            <w:vAlign w:val="bottom"/>
            <w:gridSpan w:val="2"/>
          </w:tcPr>
          <w:p>
            <w:pPr>
              <w:ind w:left="180"/>
              <w:spacing w:after="0"/>
              <w:rPr>
                <w:sz w:val="20"/>
                <w:szCs w:val="20"/>
                <w:color w:val="auto"/>
              </w:rPr>
            </w:pPr>
            <w:r>
              <w:rPr>
                <w:rFonts w:ascii="Arial" w:cs="Arial" w:eastAsia="Arial" w:hAnsi="Arial"/>
                <w:sz w:val="15"/>
                <w:szCs w:val="15"/>
                <w:color w:val="auto"/>
              </w:rPr>
              <w:t>Total derivatives fair value gains (losses), net</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(860)</w:t>
            </w:r>
          </w:p>
        </w:tc>
        <w:tc>
          <w:tcPr>
            <w:tcW w:w="14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803</w:t>
            </w:r>
          </w:p>
        </w:tc>
        <w:tc>
          <w:tcPr>
            <w:tcW w:w="1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124</w:t>
            </w:r>
          </w:p>
        </w:tc>
        <w:tc>
          <w:tcPr>
            <w:tcW w:w="14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1,440</w:t>
            </w:r>
          </w:p>
        </w:tc>
      </w:tr>
      <w:tr>
        <w:trPr>
          <w:trHeight w:val="20"/>
        </w:trPr>
        <w:tc>
          <w:tcPr>
            <w:tcW w:w="6340" w:type="dxa"/>
            <w:vAlign w:val="bottom"/>
            <w:tcBorders>
              <w:top w:val="single" w:sz="8" w:color="2C6937"/>
              <w:bottom w:val="single" w:sz="8" w:color="2C6937"/>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92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90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433705</wp:posOffset>
            </wp:positionV>
            <wp:extent cx="680593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99" w:name="page100"/>
    <w:bookmarkEnd w:id="99"/>
    <w:p>
      <w:pPr>
        <w:ind w:left="6240"/>
        <w:spacing w:after="0"/>
        <w:rPr>
          <w:sz w:val="20"/>
          <w:szCs w:val="20"/>
          <w:color w:val="auto"/>
        </w:rPr>
      </w:pPr>
      <w:r>
        <w:rPr>
          <w:rFonts w:ascii="Arial" w:cs="Arial" w:eastAsia="Arial" w:hAnsi="Arial"/>
          <w:sz w:val="13"/>
          <w:szCs w:val="13"/>
          <w:color w:val="05314D"/>
        </w:rPr>
        <w:t>Notes to Condensed Consolidated Financial Statements |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Effect of Fair Value Hedge Accounting</w:t>
      </w:r>
    </w:p>
    <w:p>
      <w:pPr>
        <w:spacing w:after="0" w:line="68"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following table displays the effect of fair value hedge accounting on our condensed consolidated statements of operations and comprehensive income, including gains and losses recognized on fair value hedging relationships.</w:t>
      </w:r>
    </w:p>
    <w:tbl>
      <w:tblPr>
        <w:tblLayout w:type="fixed"/>
        <w:tblInd w:w="60" w:type="dxa"/>
        <w:tblCellMar>
          <w:top w:w="0" w:type="dxa"/>
          <w:left w:w="0" w:type="dxa"/>
          <w:bottom w:w="0" w:type="dxa"/>
          <w:right w:w="0" w:type="dxa"/>
        </w:tblCellMar>
      </w:tblPr>
      <w:tr>
        <w:trPr>
          <w:trHeight w:val="189"/>
        </w:trPr>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80" w:type="dxa"/>
            <w:vAlign w:val="bottom"/>
            <w:gridSpan w:val="11"/>
          </w:tcPr>
          <w:p>
            <w:pPr>
              <w:ind w:left="400"/>
              <w:spacing w:after="0"/>
              <w:rPr>
                <w:sz w:val="20"/>
                <w:szCs w:val="20"/>
                <w:color w:val="auto"/>
              </w:rPr>
            </w:pPr>
            <w:r>
              <w:rPr>
                <w:rFonts w:ascii="Arial" w:cs="Arial" w:eastAsia="Arial" w:hAnsi="Arial"/>
                <w:sz w:val="14"/>
                <w:szCs w:val="14"/>
                <w:b w:val="1"/>
                <w:bCs w:val="1"/>
                <w:color w:val="auto"/>
              </w:rPr>
              <w:t>For the Three Months Ended September 30,</w:t>
            </w:r>
          </w:p>
        </w:tc>
        <w:tc>
          <w:tcPr>
            <w:tcW w:w="120" w:type="dxa"/>
            <w:vAlign w:val="bottom"/>
          </w:tcPr>
          <w:p>
            <w:pPr>
              <w:spacing w:after="0"/>
              <w:rPr>
                <w:sz w:val="16"/>
                <w:szCs w:val="16"/>
                <w:color w:val="auto"/>
              </w:rPr>
            </w:pPr>
          </w:p>
        </w:tc>
        <w:tc>
          <w:tcPr>
            <w:tcW w:w="3840" w:type="dxa"/>
            <w:vAlign w:val="bottom"/>
            <w:gridSpan w:val="10"/>
          </w:tcPr>
          <w:p>
            <w:pPr>
              <w:ind w:left="480"/>
              <w:spacing w:after="0"/>
              <w:rPr>
                <w:sz w:val="20"/>
                <w:szCs w:val="20"/>
                <w:color w:val="auto"/>
              </w:rPr>
            </w:pPr>
            <w:r>
              <w:rPr>
                <w:rFonts w:ascii="Arial" w:cs="Arial" w:eastAsia="Arial" w:hAnsi="Arial"/>
                <w:sz w:val="14"/>
                <w:szCs w:val="14"/>
                <w:b w:val="1"/>
                <w:bCs w:val="1"/>
                <w:color w:val="auto"/>
              </w:rPr>
              <w:t>For the Nine Months Ended September 30,</w:t>
            </w:r>
          </w:p>
        </w:tc>
      </w:tr>
      <w:tr>
        <w:trPr>
          <w:trHeight w:val="186"/>
        </w:trPr>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2C6937"/>
              <w:bottom w:val="single" w:sz="8" w:color="2C6937"/>
            </w:tcBorders>
          </w:tcPr>
          <w:p>
            <w:pPr>
              <w:spacing w:after="0"/>
              <w:rPr>
                <w:sz w:val="16"/>
                <w:szCs w:val="16"/>
                <w:color w:val="auto"/>
              </w:rPr>
            </w:pPr>
          </w:p>
        </w:tc>
        <w:tc>
          <w:tcPr>
            <w:tcW w:w="1780" w:type="dxa"/>
            <w:vAlign w:val="bottom"/>
            <w:tcBorders>
              <w:top w:val="single" w:sz="8" w:color="2C6937"/>
              <w:bottom w:val="single" w:sz="8" w:color="2C6937"/>
            </w:tcBorders>
            <w:gridSpan w:val="4"/>
          </w:tcPr>
          <w:p>
            <w:pPr>
              <w:jc w:val="right"/>
              <w:ind w:right="731"/>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2C6937"/>
            </w:tcBorders>
          </w:tcPr>
          <w:p>
            <w:pPr>
              <w:spacing w:after="0"/>
              <w:rPr>
                <w:sz w:val="16"/>
                <w:szCs w:val="16"/>
                <w:color w:val="auto"/>
              </w:rPr>
            </w:pPr>
          </w:p>
        </w:tc>
        <w:tc>
          <w:tcPr>
            <w:tcW w:w="120" w:type="dxa"/>
            <w:vAlign w:val="bottom"/>
            <w:tcBorders>
              <w:top w:val="single" w:sz="8" w:color="2C6937"/>
              <w:bottom w:val="single" w:sz="8" w:color="2C6937"/>
            </w:tcBorders>
          </w:tcPr>
          <w:p>
            <w:pPr>
              <w:spacing w:after="0"/>
              <w:rPr>
                <w:sz w:val="16"/>
                <w:szCs w:val="16"/>
                <w:color w:val="auto"/>
              </w:rPr>
            </w:pPr>
          </w:p>
        </w:tc>
        <w:tc>
          <w:tcPr>
            <w:tcW w:w="1800" w:type="dxa"/>
            <w:vAlign w:val="bottom"/>
            <w:tcBorders>
              <w:top w:val="single" w:sz="8" w:color="2C6937"/>
              <w:bottom w:val="single" w:sz="8" w:color="2C6937"/>
            </w:tcBorders>
            <w:gridSpan w:val="4"/>
          </w:tcPr>
          <w:p>
            <w:pPr>
              <w:jc w:val="right"/>
              <w:ind w:right="73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20" w:type="dxa"/>
            <w:vAlign w:val="bottom"/>
            <w:tcBorders>
              <w:top w:val="single" w:sz="8" w:color="2C6937"/>
              <w:bottom w:val="single" w:sz="8" w:color="2C6937"/>
            </w:tcBorders>
          </w:tcPr>
          <w:p>
            <w:pPr>
              <w:spacing w:after="0"/>
              <w:rPr>
                <w:sz w:val="16"/>
                <w:szCs w:val="16"/>
                <w:color w:val="auto"/>
              </w:rPr>
            </w:pPr>
          </w:p>
        </w:tc>
        <w:tc>
          <w:tcPr>
            <w:tcW w:w="1020" w:type="dxa"/>
            <w:vAlign w:val="bottom"/>
            <w:tcBorders>
              <w:top w:val="single" w:sz="8" w:color="2C6937"/>
              <w:bottom w:val="single" w:sz="8" w:color="2C6937"/>
            </w:tcBorders>
            <w:gridSpan w:val="3"/>
          </w:tcPr>
          <w:p>
            <w:pPr>
              <w:jc w:val="right"/>
              <w:spacing w:after="0"/>
              <w:rPr>
                <w:sz w:val="20"/>
                <w:szCs w:val="20"/>
                <w:color w:val="auto"/>
              </w:rPr>
            </w:pPr>
            <w:r>
              <w:rPr>
                <w:rFonts w:ascii="Arial" w:cs="Arial" w:eastAsia="Arial" w:hAnsi="Arial"/>
                <w:sz w:val="14"/>
                <w:szCs w:val="14"/>
                <w:b w:val="1"/>
                <w:bCs w:val="1"/>
                <w:color w:val="auto"/>
              </w:rPr>
              <w:t>2024</w:t>
            </w:r>
          </w:p>
        </w:tc>
        <w:tc>
          <w:tcPr>
            <w:tcW w:w="820" w:type="dxa"/>
            <w:vAlign w:val="bottom"/>
            <w:tcBorders>
              <w:top w:val="single" w:sz="8" w:color="2C6937"/>
              <w:bottom w:val="single" w:sz="8" w:color="2C6937"/>
            </w:tcBorders>
          </w:tcPr>
          <w:p>
            <w:pPr>
              <w:spacing w:after="0"/>
              <w:rPr>
                <w:sz w:val="16"/>
                <w:szCs w:val="16"/>
                <w:color w:val="auto"/>
              </w:rPr>
            </w:pPr>
          </w:p>
        </w:tc>
        <w:tc>
          <w:tcPr>
            <w:tcW w:w="80" w:type="dxa"/>
            <w:vAlign w:val="bottom"/>
            <w:tcBorders>
              <w:top w:val="single" w:sz="8" w:color="2C6937"/>
            </w:tcBorders>
          </w:tcPr>
          <w:p>
            <w:pPr>
              <w:spacing w:after="0"/>
              <w:rPr>
                <w:sz w:val="16"/>
                <w:szCs w:val="16"/>
                <w:color w:val="auto"/>
              </w:rPr>
            </w:pPr>
          </w:p>
        </w:tc>
        <w:tc>
          <w:tcPr>
            <w:tcW w:w="120" w:type="dxa"/>
            <w:vAlign w:val="bottom"/>
            <w:tcBorders>
              <w:top w:val="single" w:sz="8" w:color="2C6937"/>
              <w:bottom w:val="single" w:sz="8" w:color="2C6937"/>
            </w:tcBorders>
          </w:tcPr>
          <w:p>
            <w:pPr>
              <w:spacing w:after="0"/>
              <w:rPr>
                <w:sz w:val="16"/>
                <w:szCs w:val="16"/>
                <w:color w:val="auto"/>
              </w:rPr>
            </w:pPr>
          </w:p>
        </w:tc>
        <w:tc>
          <w:tcPr>
            <w:tcW w:w="1800" w:type="dxa"/>
            <w:vAlign w:val="bottom"/>
            <w:tcBorders>
              <w:top w:val="single" w:sz="8" w:color="2C6937"/>
              <w:bottom w:val="single" w:sz="8" w:color="2C6937"/>
            </w:tcBorders>
            <w:gridSpan w:val="4"/>
          </w:tcPr>
          <w:p>
            <w:pPr>
              <w:jc w:val="right"/>
              <w:ind w:right="731"/>
              <w:spacing w:after="0"/>
              <w:rPr>
                <w:sz w:val="20"/>
                <w:szCs w:val="20"/>
                <w:color w:val="auto"/>
              </w:rPr>
            </w:pPr>
            <w:r>
              <w:rPr>
                <w:rFonts w:ascii="Arial" w:cs="Arial" w:eastAsia="Arial" w:hAnsi="Arial"/>
                <w:sz w:val="14"/>
                <w:szCs w:val="14"/>
                <w:b w:val="1"/>
                <w:bCs w:val="1"/>
                <w:color w:val="auto"/>
              </w:rPr>
              <w:t>2023</w:t>
            </w:r>
          </w:p>
        </w:tc>
      </w:tr>
      <w:tr>
        <w:trPr>
          <w:trHeight w:val="178"/>
        </w:trPr>
        <w:tc>
          <w:tcPr>
            <w:tcW w:w="3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Interest</w:t>
            </w:r>
          </w:p>
        </w:tc>
        <w:tc>
          <w:tcPr>
            <w:tcW w:w="8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Interest</w:t>
            </w: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Interest</w:t>
            </w:r>
          </w:p>
        </w:tc>
        <w:tc>
          <w:tcPr>
            <w:tcW w:w="10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Interest</w:t>
            </w:r>
          </w:p>
        </w:tc>
        <w:tc>
          <w:tcPr>
            <w:tcW w:w="12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Interest</w:t>
            </w:r>
          </w:p>
        </w:tc>
        <w:tc>
          <w:tcPr>
            <w:tcW w:w="10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Interest</w:t>
            </w:r>
          </w:p>
        </w:tc>
        <w:tc>
          <w:tcPr>
            <w:tcW w:w="12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Interest</w:t>
            </w:r>
          </w:p>
        </w:tc>
        <w:tc>
          <w:tcPr>
            <w:tcW w:w="80" w:type="dxa"/>
            <w:vAlign w:val="bottom"/>
          </w:tcPr>
          <w:p>
            <w:pPr>
              <w:spacing w:after="0"/>
              <w:rPr>
                <w:sz w:val="15"/>
                <w:szCs w:val="15"/>
                <w:color w:val="auto"/>
              </w:rPr>
            </w:pPr>
          </w:p>
        </w:tc>
        <w:tc>
          <w:tcPr>
            <w:tcW w:w="820" w:type="dxa"/>
            <w:vAlign w:val="bottom"/>
          </w:tcPr>
          <w:p>
            <w:pPr>
              <w:jc w:val="center"/>
              <w:ind w:right="11"/>
              <w:spacing w:after="0"/>
              <w:rPr>
                <w:sz w:val="20"/>
                <w:szCs w:val="20"/>
                <w:color w:val="auto"/>
              </w:rPr>
            </w:pPr>
            <w:r>
              <w:rPr>
                <w:rFonts w:ascii="Arial" w:cs="Arial" w:eastAsia="Arial" w:hAnsi="Arial"/>
                <w:sz w:val="14"/>
                <w:szCs w:val="14"/>
                <w:b w:val="1"/>
                <w:bCs w:val="1"/>
                <w:color w:val="auto"/>
                <w:w w:val="98"/>
              </w:rPr>
              <w:t>Interest</w:t>
            </w:r>
          </w:p>
        </w:tc>
      </w:tr>
      <w:tr>
        <w:trPr>
          <w:trHeight w:val="155"/>
        </w:trPr>
        <w:tc>
          <w:tcPr>
            <w:tcW w:w="3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6"/>
              </w:rPr>
              <w:t>Income:</w:t>
            </w:r>
          </w:p>
        </w:tc>
        <w:tc>
          <w:tcPr>
            <w:tcW w:w="80" w:type="dxa"/>
            <w:vAlign w:val="bottom"/>
          </w:tcPr>
          <w:p>
            <w:pPr>
              <w:spacing w:after="0"/>
              <w:rPr>
                <w:sz w:val="13"/>
                <w:szCs w:val="13"/>
                <w:color w:val="auto"/>
              </w:rPr>
            </w:pPr>
          </w:p>
        </w:tc>
        <w:tc>
          <w:tcPr>
            <w:tcW w:w="900" w:type="dxa"/>
            <w:vAlign w:val="bottom"/>
            <w:gridSpan w:val="2"/>
          </w:tcPr>
          <w:p>
            <w:pPr>
              <w:jc w:val="center"/>
              <w:ind w:right="180"/>
              <w:spacing w:after="0" w:line="155" w:lineRule="exact"/>
              <w:rPr>
                <w:sz w:val="20"/>
                <w:szCs w:val="20"/>
                <w:color w:val="auto"/>
              </w:rPr>
            </w:pPr>
            <w:r>
              <w:rPr>
                <w:rFonts w:ascii="Arial" w:cs="Arial" w:eastAsia="Arial" w:hAnsi="Arial"/>
                <w:sz w:val="14"/>
                <w:szCs w:val="14"/>
                <w:b w:val="1"/>
                <w:bCs w:val="1"/>
                <w:color w:val="auto"/>
                <w:w w:val="96"/>
              </w:rPr>
              <w:t>Expense:</w:t>
            </w:r>
          </w:p>
        </w:tc>
        <w:tc>
          <w:tcPr>
            <w:tcW w:w="120" w:type="dxa"/>
            <w:vAlign w:val="bottom"/>
          </w:tcPr>
          <w:p>
            <w:pPr>
              <w:spacing w:after="0"/>
              <w:rPr>
                <w:sz w:val="13"/>
                <w:szCs w:val="13"/>
                <w:color w:val="auto"/>
              </w:rPr>
            </w:pPr>
          </w:p>
        </w:tc>
        <w:tc>
          <w:tcPr>
            <w:tcW w:w="88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6"/>
              </w:rPr>
              <w:t>Income:</w:t>
            </w:r>
          </w:p>
        </w:tc>
        <w:tc>
          <w:tcPr>
            <w:tcW w:w="100" w:type="dxa"/>
            <w:vAlign w:val="bottom"/>
          </w:tcPr>
          <w:p>
            <w:pPr>
              <w:spacing w:after="0"/>
              <w:rPr>
                <w:sz w:val="13"/>
                <w:szCs w:val="13"/>
                <w:color w:val="auto"/>
              </w:rPr>
            </w:pPr>
          </w:p>
        </w:tc>
        <w:tc>
          <w:tcPr>
            <w:tcW w:w="92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6"/>
              </w:rPr>
              <w:t>Expense:</w:t>
            </w:r>
          </w:p>
        </w:tc>
        <w:tc>
          <w:tcPr>
            <w:tcW w:w="120" w:type="dxa"/>
            <w:vAlign w:val="bottom"/>
          </w:tcPr>
          <w:p>
            <w:pPr>
              <w:spacing w:after="0"/>
              <w:rPr>
                <w:sz w:val="13"/>
                <w:szCs w:val="13"/>
                <w:color w:val="auto"/>
              </w:rPr>
            </w:pPr>
          </w:p>
        </w:tc>
        <w:tc>
          <w:tcPr>
            <w:tcW w:w="92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6"/>
              </w:rPr>
              <w:t>Income:</w:t>
            </w:r>
          </w:p>
        </w:tc>
        <w:tc>
          <w:tcPr>
            <w:tcW w:w="100" w:type="dxa"/>
            <w:vAlign w:val="bottom"/>
          </w:tcPr>
          <w:p>
            <w:pPr>
              <w:spacing w:after="0"/>
              <w:rPr>
                <w:sz w:val="13"/>
                <w:szCs w:val="13"/>
                <w:color w:val="auto"/>
              </w:rPr>
            </w:pPr>
          </w:p>
        </w:tc>
        <w:tc>
          <w:tcPr>
            <w:tcW w:w="90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9"/>
              </w:rPr>
              <w:t>Expense:</w:t>
            </w:r>
          </w:p>
        </w:tc>
        <w:tc>
          <w:tcPr>
            <w:tcW w:w="120" w:type="dxa"/>
            <w:vAlign w:val="bottom"/>
          </w:tcPr>
          <w:p>
            <w:pPr>
              <w:spacing w:after="0"/>
              <w:rPr>
                <w:sz w:val="13"/>
                <w:szCs w:val="13"/>
                <w:color w:val="auto"/>
              </w:rPr>
            </w:pPr>
          </w:p>
        </w:tc>
        <w:tc>
          <w:tcPr>
            <w:tcW w:w="90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6"/>
              </w:rPr>
              <w:t>Income:</w:t>
            </w:r>
          </w:p>
        </w:tc>
        <w:tc>
          <w:tcPr>
            <w:tcW w:w="80" w:type="dxa"/>
            <w:vAlign w:val="bottom"/>
          </w:tcPr>
          <w:p>
            <w:pPr>
              <w:spacing w:after="0"/>
              <w:rPr>
                <w:sz w:val="13"/>
                <w:szCs w:val="13"/>
                <w:color w:val="auto"/>
              </w:rPr>
            </w:pPr>
          </w:p>
        </w:tc>
        <w:tc>
          <w:tcPr>
            <w:tcW w:w="820" w:type="dxa"/>
            <w:vAlign w:val="bottom"/>
          </w:tcPr>
          <w:p>
            <w:pPr>
              <w:jc w:val="center"/>
              <w:ind w:right="31"/>
              <w:spacing w:after="0" w:line="155" w:lineRule="exact"/>
              <w:rPr>
                <w:sz w:val="20"/>
                <w:szCs w:val="20"/>
                <w:color w:val="auto"/>
              </w:rPr>
            </w:pPr>
            <w:r>
              <w:rPr>
                <w:rFonts w:ascii="Arial" w:cs="Arial" w:eastAsia="Arial" w:hAnsi="Arial"/>
                <w:sz w:val="14"/>
                <w:szCs w:val="14"/>
                <w:b w:val="1"/>
                <w:bCs w:val="1"/>
                <w:color w:val="auto"/>
                <w:w w:val="96"/>
              </w:rPr>
              <w:t>Expense:</w:t>
            </w:r>
          </w:p>
        </w:tc>
      </w:tr>
      <w:tr>
        <w:trPr>
          <w:trHeight w:val="168"/>
        </w:trPr>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Mortgage</w:t>
            </w:r>
          </w:p>
        </w:tc>
        <w:tc>
          <w:tcPr>
            <w:tcW w:w="8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Long-Term</w:t>
            </w: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Mortgage</w:t>
            </w: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Long-Term</w:t>
            </w:r>
          </w:p>
        </w:tc>
        <w:tc>
          <w:tcPr>
            <w:tcW w:w="12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Mortgage</w:t>
            </w: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Long-Term</w:t>
            </w: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Mortgage</w:t>
            </w:r>
          </w:p>
        </w:tc>
        <w:tc>
          <w:tcPr>
            <w:tcW w:w="80" w:type="dxa"/>
            <w:vAlign w:val="bottom"/>
          </w:tcPr>
          <w:p>
            <w:pPr>
              <w:spacing w:after="0"/>
              <w:rPr>
                <w:sz w:val="14"/>
                <w:szCs w:val="14"/>
                <w:color w:val="auto"/>
              </w:rPr>
            </w:pPr>
          </w:p>
        </w:tc>
        <w:tc>
          <w:tcPr>
            <w:tcW w:w="820" w:type="dxa"/>
            <w:vAlign w:val="bottom"/>
          </w:tcPr>
          <w:p>
            <w:pPr>
              <w:jc w:val="center"/>
              <w:ind w:right="31"/>
              <w:spacing w:after="0"/>
              <w:rPr>
                <w:sz w:val="20"/>
                <w:szCs w:val="20"/>
                <w:color w:val="auto"/>
              </w:rPr>
            </w:pPr>
            <w:r>
              <w:rPr>
                <w:rFonts w:ascii="Arial" w:cs="Arial" w:eastAsia="Arial" w:hAnsi="Arial"/>
                <w:sz w:val="14"/>
                <w:szCs w:val="14"/>
                <w:b w:val="1"/>
                <w:bCs w:val="1"/>
                <w:color w:val="auto"/>
                <w:w w:val="98"/>
              </w:rPr>
              <w:t>Long-Term</w:t>
            </w:r>
          </w:p>
        </w:tc>
      </w:tr>
      <w:tr>
        <w:trPr>
          <w:trHeight w:val="196"/>
        </w:trPr>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Loans</w:t>
            </w:r>
          </w:p>
        </w:tc>
        <w:tc>
          <w:tcPr>
            <w:tcW w:w="80" w:type="dxa"/>
            <w:vAlign w:val="bottom"/>
            <w:tcBorders>
              <w:bottom w:val="single" w:sz="8" w:color="2C6937"/>
            </w:tcBorders>
          </w:tcPr>
          <w:p>
            <w:pPr>
              <w:spacing w:after="0"/>
              <w:rPr>
                <w:sz w:val="17"/>
                <w:szCs w:val="17"/>
                <w:color w:val="auto"/>
              </w:rPr>
            </w:pPr>
          </w:p>
        </w:tc>
        <w:tc>
          <w:tcPr>
            <w:tcW w:w="90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14"/>
                <w:szCs w:val="14"/>
                <w:b w:val="1"/>
                <w:bCs w:val="1"/>
                <w:color w:val="auto"/>
                <w:w w:val="96"/>
              </w:rPr>
              <w:t>Debt</w:t>
            </w:r>
          </w:p>
        </w:tc>
        <w:tc>
          <w:tcPr>
            <w:tcW w:w="12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14"/>
                <w:szCs w:val="14"/>
                <w:b w:val="1"/>
                <w:bCs w:val="1"/>
                <w:color w:val="auto"/>
                <w:w w:val="96"/>
              </w:rPr>
              <w:t>Loans</w:t>
            </w:r>
          </w:p>
        </w:tc>
        <w:tc>
          <w:tcPr>
            <w:tcW w:w="100" w:type="dxa"/>
            <w:vAlign w:val="bottom"/>
            <w:tcBorders>
              <w:bottom w:val="single" w:sz="8" w:color="2C6937"/>
            </w:tcBorders>
          </w:tcPr>
          <w:p>
            <w:pPr>
              <w:spacing w:after="0"/>
              <w:rPr>
                <w:sz w:val="17"/>
                <w:szCs w:val="17"/>
                <w:color w:val="auto"/>
              </w:rPr>
            </w:pPr>
          </w:p>
        </w:tc>
        <w:tc>
          <w:tcPr>
            <w:tcW w:w="92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14"/>
                <w:szCs w:val="14"/>
                <w:b w:val="1"/>
                <w:bCs w:val="1"/>
                <w:color w:val="auto"/>
              </w:rPr>
              <w:t>Debt</w:t>
            </w:r>
          </w:p>
        </w:tc>
        <w:tc>
          <w:tcPr>
            <w:tcW w:w="120" w:type="dxa"/>
            <w:vAlign w:val="bottom"/>
            <w:tcBorders>
              <w:bottom w:val="single" w:sz="8" w:color="2C6937"/>
            </w:tcBorders>
          </w:tcPr>
          <w:p>
            <w:pPr>
              <w:spacing w:after="0"/>
              <w:rPr>
                <w:sz w:val="17"/>
                <w:szCs w:val="17"/>
                <w:color w:val="auto"/>
              </w:rPr>
            </w:pPr>
          </w:p>
        </w:tc>
        <w:tc>
          <w:tcPr>
            <w:tcW w:w="920" w:type="dxa"/>
            <w:vAlign w:val="bottom"/>
            <w:tcBorders>
              <w:bottom w:val="single" w:sz="8" w:color="2C6937"/>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Loans</w:t>
            </w:r>
          </w:p>
        </w:tc>
        <w:tc>
          <w:tcPr>
            <w:tcW w:w="100" w:type="dxa"/>
            <w:vAlign w:val="bottom"/>
            <w:tcBorders>
              <w:bottom w:val="single" w:sz="8" w:color="2C6937"/>
            </w:tcBorders>
          </w:tcPr>
          <w:p>
            <w:pPr>
              <w:spacing w:after="0"/>
              <w:rPr>
                <w:sz w:val="17"/>
                <w:szCs w:val="17"/>
                <w:color w:val="auto"/>
              </w:rPr>
            </w:pPr>
          </w:p>
        </w:tc>
        <w:tc>
          <w:tcPr>
            <w:tcW w:w="90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14"/>
                <w:szCs w:val="14"/>
                <w:b w:val="1"/>
                <w:bCs w:val="1"/>
                <w:color w:val="auto"/>
                <w:w w:val="96"/>
              </w:rPr>
              <w:t>Debt</w:t>
            </w:r>
          </w:p>
        </w:tc>
        <w:tc>
          <w:tcPr>
            <w:tcW w:w="120" w:type="dxa"/>
            <w:vAlign w:val="bottom"/>
            <w:tcBorders>
              <w:bottom w:val="single" w:sz="8" w:color="2C6937"/>
            </w:tcBorders>
          </w:tcPr>
          <w:p>
            <w:pPr>
              <w:spacing w:after="0"/>
              <w:rPr>
                <w:sz w:val="17"/>
                <w:szCs w:val="17"/>
                <w:color w:val="auto"/>
              </w:rPr>
            </w:pPr>
          </w:p>
        </w:tc>
        <w:tc>
          <w:tcPr>
            <w:tcW w:w="90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4"/>
                <w:szCs w:val="14"/>
                <w:b w:val="1"/>
                <w:bCs w:val="1"/>
                <w:color w:val="auto"/>
                <w:w w:val="96"/>
              </w:rPr>
              <w:t>Loans</w:t>
            </w:r>
          </w:p>
        </w:tc>
        <w:tc>
          <w:tcPr>
            <w:tcW w:w="80" w:type="dxa"/>
            <w:vAlign w:val="bottom"/>
            <w:tcBorders>
              <w:bottom w:val="single" w:sz="8" w:color="2C6937"/>
            </w:tcBorders>
          </w:tcPr>
          <w:p>
            <w:pPr>
              <w:spacing w:after="0"/>
              <w:rPr>
                <w:sz w:val="17"/>
                <w:szCs w:val="17"/>
                <w:color w:val="auto"/>
              </w:rPr>
            </w:pPr>
          </w:p>
        </w:tc>
        <w:tc>
          <w:tcPr>
            <w:tcW w:w="820" w:type="dxa"/>
            <w:vAlign w:val="bottom"/>
            <w:tcBorders>
              <w:bottom w:val="single" w:sz="8" w:color="2C6937"/>
            </w:tcBorders>
          </w:tcPr>
          <w:p>
            <w:pPr>
              <w:jc w:val="center"/>
              <w:ind w:right="31"/>
              <w:spacing w:after="0"/>
              <w:rPr>
                <w:sz w:val="20"/>
                <w:szCs w:val="20"/>
                <w:color w:val="auto"/>
              </w:rPr>
            </w:pPr>
            <w:r>
              <w:rPr>
                <w:rFonts w:ascii="Arial" w:cs="Arial" w:eastAsia="Arial" w:hAnsi="Arial"/>
                <w:sz w:val="14"/>
                <w:szCs w:val="14"/>
                <w:b w:val="1"/>
                <w:bCs w:val="1"/>
                <w:color w:val="auto"/>
              </w:rPr>
              <w:t>Debt</w:t>
            </w:r>
          </w:p>
        </w:tc>
      </w:tr>
      <w:tr>
        <w:trPr>
          <w:trHeight w:val="192"/>
        </w:trPr>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5"/>
          </w:tcPr>
          <w:p>
            <w:pPr>
              <w:ind w:left="260"/>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4"/>
        </w:trPr>
        <w:tc>
          <w:tcPr>
            <w:tcW w:w="3180" w:type="dxa"/>
            <w:vAlign w:val="bottom"/>
            <w:gridSpan w:val="2"/>
          </w:tcPr>
          <w:p>
            <w:pPr>
              <w:spacing w:after="0"/>
              <w:rPr>
                <w:sz w:val="20"/>
                <w:szCs w:val="20"/>
                <w:color w:val="auto"/>
              </w:rPr>
            </w:pPr>
            <w:r>
              <w:rPr>
                <w:rFonts w:ascii="Arial" w:cs="Arial" w:eastAsia="Arial" w:hAnsi="Arial"/>
                <w:sz w:val="15"/>
                <w:szCs w:val="15"/>
                <w:b w:val="1"/>
                <w:bCs w:val="1"/>
                <w:color w:val="auto"/>
              </w:rPr>
              <w:t>Total amounts presented in our</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3"/>
        </w:trPr>
        <w:tc>
          <w:tcPr>
            <w:tcW w:w="3180" w:type="dxa"/>
            <w:vAlign w:val="bottom"/>
            <w:gridSpan w:val="2"/>
          </w:tcPr>
          <w:p>
            <w:pPr>
              <w:ind w:left="160"/>
              <w:spacing w:after="0"/>
              <w:rPr>
                <w:sz w:val="20"/>
                <w:szCs w:val="20"/>
                <w:color w:val="auto"/>
              </w:rPr>
            </w:pPr>
            <w:r>
              <w:rPr>
                <w:rFonts w:ascii="Arial" w:cs="Arial" w:eastAsia="Arial" w:hAnsi="Arial"/>
                <w:sz w:val="15"/>
                <w:szCs w:val="15"/>
                <w:b w:val="1"/>
                <w:bCs w:val="1"/>
                <w:color w:val="auto"/>
              </w:rPr>
              <w:t>condensed consolidated statements of</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20"/>
        </w:trPr>
        <w:tc>
          <w:tcPr>
            <w:tcW w:w="3080" w:type="dxa"/>
            <w:vAlign w:val="bottom"/>
            <w:tcBorders>
              <w:bottom w:val="single" w:sz="8" w:color="2C6937"/>
            </w:tcBorders>
          </w:tcPr>
          <w:p>
            <w:pPr>
              <w:ind w:left="160"/>
              <w:spacing w:after="0"/>
              <w:rPr>
                <w:sz w:val="20"/>
                <w:szCs w:val="20"/>
                <w:color w:val="auto"/>
              </w:rPr>
            </w:pPr>
            <w:r>
              <w:rPr>
                <w:rFonts w:ascii="Arial" w:cs="Arial" w:eastAsia="Arial" w:hAnsi="Arial"/>
                <w:sz w:val="15"/>
                <w:szCs w:val="15"/>
                <w:b w:val="1"/>
                <w:bCs w:val="1"/>
                <w:color w:val="auto"/>
              </w:rPr>
              <w:t>operations and comprehensive income</w:t>
            </w:r>
          </w:p>
        </w:tc>
        <w:tc>
          <w:tcPr>
            <w:tcW w:w="100" w:type="dxa"/>
            <w:vAlign w:val="bottom"/>
          </w:tcPr>
          <w:p>
            <w:pPr>
              <w:spacing w:after="0"/>
              <w:rPr>
                <w:sz w:val="19"/>
                <w:szCs w:val="19"/>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36,390</w:t>
            </w:r>
          </w:p>
        </w:tc>
        <w:tc>
          <w:tcPr>
            <w:tcW w:w="100" w:type="dxa"/>
            <w:vAlign w:val="bottom"/>
          </w:tcPr>
          <w:p>
            <w:pPr>
              <w:spacing w:after="0"/>
              <w:rPr>
                <w:sz w:val="19"/>
                <w:szCs w:val="19"/>
                <w:color w:val="auto"/>
              </w:rPr>
            </w:pPr>
          </w:p>
        </w:tc>
        <w:tc>
          <w:tcPr>
            <w:tcW w:w="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(30,600)</w:t>
            </w:r>
          </w:p>
        </w:tc>
        <w:tc>
          <w:tcPr>
            <w:tcW w:w="80" w:type="dxa"/>
            <w:vAlign w:val="bottom"/>
          </w:tcPr>
          <w:p>
            <w:pPr>
              <w:spacing w:after="0"/>
              <w:rPr>
                <w:sz w:val="19"/>
                <w:szCs w:val="19"/>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33,711</w:t>
            </w:r>
          </w:p>
        </w:tc>
        <w:tc>
          <w:tcPr>
            <w:tcW w:w="80" w:type="dxa"/>
            <w:vAlign w:val="bottom"/>
          </w:tcPr>
          <w:p>
            <w:pPr>
              <w:spacing w:after="0"/>
              <w:rPr>
                <w:sz w:val="19"/>
                <w:szCs w:val="19"/>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(27,994)</w:t>
            </w:r>
          </w:p>
        </w:tc>
        <w:tc>
          <w:tcPr>
            <w:tcW w:w="100" w:type="dxa"/>
            <w:vAlign w:val="bottom"/>
          </w:tcPr>
          <w:p>
            <w:pPr>
              <w:spacing w:after="0"/>
              <w:rPr>
                <w:sz w:val="19"/>
                <w:szCs w:val="19"/>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107,223</w:t>
            </w:r>
          </w:p>
        </w:tc>
        <w:tc>
          <w:tcPr>
            <w:tcW w:w="100" w:type="dxa"/>
            <w:vAlign w:val="bottom"/>
          </w:tcPr>
          <w:p>
            <w:pPr>
              <w:spacing w:after="0"/>
              <w:rPr>
                <w:sz w:val="19"/>
                <w:szCs w:val="19"/>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(90,057)</w:t>
            </w:r>
          </w:p>
        </w:tc>
        <w:tc>
          <w:tcPr>
            <w:tcW w:w="80" w:type="dxa"/>
            <w:vAlign w:val="bottom"/>
          </w:tcPr>
          <w:p>
            <w:pPr>
              <w:spacing w:after="0"/>
              <w:rPr>
                <w:sz w:val="19"/>
                <w:szCs w:val="19"/>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98,503</w:t>
            </w:r>
          </w:p>
        </w:tc>
        <w:tc>
          <w:tcPr>
            <w:tcW w:w="100" w:type="dxa"/>
            <w:vAlign w:val="bottom"/>
          </w:tcPr>
          <w:p>
            <w:pPr>
              <w:spacing w:after="0"/>
              <w:rPr>
                <w:sz w:val="19"/>
                <w:szCs w:val="19"/>
                <w:color w:val="auto"/>
              </w:rPr>
            </w:pPr>
          </w:p>
        </w:tc>
        <w:tc>
          <w:tcPr>
            <w:tcW w:w="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(81,781)</w:t>
            </w:r>
          </w:p>
        </w:tc>
      </w:tr>
      <w:tr>
        <w:trPr>
          <w:trHeight w:val="315"/>
        </w:trPr>
        <w:tc>
          <w:tcPr>
            <w:tcW w:w="3180" w:type="dxa"/>
            <w:vAlign w:val="bottom"/>
            <w:gridSpan w:val="2"/>
          </w:tcPr>
          <w:p>
            <w:pPr>
              <w:spacing w:after="0"/>
              <w:rPr>
                <w:sz w:val="20"/>
                <w:szCs w:val="20"/>
                <w:color w:val="auto"/>
              </w:rPr>
            </w:pPr>
            <w:r>
              <w:rPr>
                <w:rFonts w:ascii="Arial" w:cs="Arial" w:eastAsia="Arial" w:hAnsi="Arial"/>
                <w:sz w:val="15"/>
                <w:szCs w:val="15"/>
                <w:b w:val="1"/>
                <w:bCs w:val="1"/>
                <w:color w:val="auto"/>
              </w:rPr>
              <w:t>Gains (losses) from fair value hedging</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4"/>
        </w:trPr>
        <w:tc>
          <w:tcPr>
            <w:tcW w:w="3180" w:type="dxa"/>
            <w:vAlign w:val="bottom"/>
            <w:gridSpan w:val="2"/>
          </w:tcPr>
          <w:p>
            <w:pPr>
              <w:ind w:left="160"/>
              <w:spacing w:after="0"/>
              <w:rPr>
                <w:sz w:val="20"/>
                <w:szCs w:val="20"/>
                <w:color w:val="auto"/>
              </w:rPr>
            </w:pPr>
            <w:r>
              <w:rPr>
                <w:rFonts w:ascii="Arial" w:cs="Arial" w:eastAsia="Arial" w:hAnsi="Arial"/>
                <w:sz w:val="15"/>
                <w:szCs w:val="15"/>
                <w:b w:val="1"/>
                <w:bCs w:val="1"/>
                <w:color w:val="auto"/>
              </w:rPr>
              <w:t>relationships: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3"/>
        </w:trPr>
        <w:tc>
          <w:tcPr>
            <w:tcW w:w="3180" w:type="dxa"/>
            <w:vAlign w:val="bottom"/>
            <w:gridSpan w:val="2"/>
          </w:tcPr>
          <w:p>
            <w:pPr>
              <w:ind w:left="100"/>
              <w:spacing w:after="0"/>
              <w:rPr>
                <w:sz w:val="20"/>
                <w:szCs w:val="20"/>
                <w:color w:val="auto"/>
              </w:rPr>
            </w:pPr>
            <w:r>
              <w:rPr>
                <w:rFonts w:ascii="Arial" w:cs="Arial" w:eastAsia="Arial" w:hAnsi="Arial"/>
                <w:sz w:val="15"/>
                <w:szCs w:val="15"/>
                <w:color w:val="auto"/>
              </w:rPr>
              <w:t>Mortgage loans HFI and related interest-</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04"/>
        </w:trPr>
        <w:tc>
          <w:tcPr>
            <w:tcW w:w="3180" w:type="dxa"/>
            <w:vAlign w:val="bottom"/>
            <w:gridSpan w:val="2"/>
          </w:tcPr>
          <w:p>
            <w:pPr>
              <w:ind w:left="220"/>
              <w:spacing w:after="0"/>
              <w:rPr>
                <w:sz w:val="20"/>
                <w:szCs w:val="20"/>
                <w:color w:val="auto"/>
              </w:rPr>
            </w:pPr>
            <w:r>
              <w:rPr>
                <w:rFonts w:ascii="Arial" w:cs="Arial" w:eastAsia="Arial" w:hAnsi="Arial"/>
                <w:sz w:val="15"/>
                <w:szCs w:val="15"/>
                <w:color w:val="auto"/>
              </w:rPr>
              <w:t>rate contracts:</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2"/>
        </w:trPr>
        <w:tc>
          <w:tcPr>
            <w:tcW w:w="3180" w:type="dxa"/>
            <w:vAlign w:val="bottom"/>
            <w:gridSpan w:val="2"/>
          </w:tcPr>
          <w:p>
            <w:pPr>
              <w:ind w:left="320"/>
              <w:spacing w:after="0"/>
              <w:rPr>
                <w:sz w:val="20"/>
                <w:szCs w:val="20"/>
                <w:color w:val="auto"/>
              </w:rPr>
            </w:pPr>
            <w:r>
              <w:rPr>
                <w:rFonts w:ascii="Arial" w:cs="Arial" w:eastAsia="Arial" w:hAnsi="Arial"/>
                <w:sz w:val="15"/>
                <w:szCs w:val="15"/>
                <w:color w:val="auto"/>
              </w:rPr>
              <w:t>Hedged items</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730</w:t>
            </w:r>
          </w:p>
        </w:tc>
        <w:tc>
          <w:tcPr>
            <w:tcW w:w="1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(544)</w:t>
            </w: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368</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(511)</w:t>
            </w:r>
          </w:p>
        </w:tc>
        <w:tc>
          <w:tcPr>
            <w:tcW w:w="1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3180" w:type="dxa"/>
            <w:vAlign w:val="bottom"/>
            <w:gridSpan w:val="2"/>
          </w:tcPr>
          <w:p>
            <w:pPr>
              <w:ind w:left="320"/>
              <w:spacing w:after="0"/>
              <w:rPr>
                <w:sz w:val="20"/>
                <w:szCs w:val="20"/>
                <w:color w:val="auto"/>
              </w:rPr>
            </w:pPr>
            <w:r>
              <w:rPr>
                <w:rFonts w:ascii="Arial" w:cs="Arial" w:eastAsia="Arial" w:hAnsi="Arial"/>
                <w:sz w:val="15"/>
                <w:szCs w:val="15"/>
                <w:color w:val="auto"/>
              </w:rPr>
              <w:t>Discontinued hedge related basis</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0"/>
        </w:trPr>
        <w:tc>
          <w:tcPr>
            <w:tcW w:w="3180" w:type="dxa"/>
            <w:vAlign w:val="bottom"/>
            <w:gridSpan w:val="2"/>
          </w:tcPr>
          <w:p>
            <w:pPr>
              <w:ind w:left="440"/>
              <w:spacing w:after="0"/>
              <w:rPr>
                <w:sz w:val="20"/>
                <w:szCs w:val="20"/>
                <w:color w:val="auto"/>
              </w:rPr>
            </w:pPr>
            <w:r>
              <w:rPr>
                <w:rFonts w:ascii="Arial" w:cs="Arial" w:eastAsia="Arial" w:hAnsi="Arial"/>
                <w:sz w:val="15"/>
                <w:szCs w:val="15"/>
                <w:color w:val="auto"/>
              </w:rPr>
              <w:t>adjustment amortization</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9"/>
                <w:szCs w:val="19"/>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3180" w:type="dxa"/>
            <w:vAlign w:val="bottom"/>
            <w:gridSpan w:val="2"/>
          </w:tcPr>
          <w:p>
            <w:pPr>
              <w:ind w:left="320"/>
              <w:spacing w:after="0"/>
              <w:rPr>
                <w:sz w:val="20"/>
                <w:szCs w:val="20"/>
                <w:color w:val="auto"/>
              </w:rPr>
            </w:pPr>
            <w:r>
              <w:rPr>
                <w:rFonts w:ascii="Arial" w:cs="Arial" w:eastAsia="Arial" w:hAnsi="Arial"/>
                <w:sz w:val="15"/>
                <w:szCs w:val="15"/>
                <w:color w:val="auto"/>
              </w:rPr>
              <w:t>Derivatives designated as hedging</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0"/>
        </w:trPr>
        <w:tc>
          <w:tcPr>
            <w:tcW w:w="3180" w:type="dxa"/>
            <w:vAlign w:val="bottom"/>
            <w:gridSpan w:val="2"/>
          </w:tcPr>
          <w:p>
            <w:pPr>
              <w:ind w:left="440"/>
              <w:spacing w:after="0"/>
              <w:rPr>
                <w:sz w:val="20"/>
                <w:szCs w:val="20"/>
                <w:color w:val="auto"/>
              </w:rPr>
            </w:pPr>
            <w:r>
              <w:rPr>
                <w:rFonts w:ascii="Arial" w:cs="Arial" w:eastAsia="Arial" w:hAnsi="Arial"/>
                <w:sz w:val="15"/>
                <w:szCs w:val="15"/>
                <w:color w:val="auto"/>
              </w:rPr>
              <w:t>instruments</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(725)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9"/>
                <w:szCs w:val="19"/>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560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820" w:type="dxa"/>
            <w:vAlign w:val="bottom"/>
          </w:tcPr>
          <w:p>
            <w:pPr>
              <w:ind w:left="480"/>
              <w:spacing w:after="0"/>
              <w:rPr>
                <w:sz w:val="20"/>
                <w:szCs w:val="20"/>
                <w:color w:val="auto"/>
              </w:rPr>
            </w:pPr>
            <w:r>
              <w:rPr>
                <w:rFonts w:ascii="Arial" w:cs="Arial" w:eastAsia="Arial" w:hAnsi="Arial"/>
                <w:sz w:val="14"/>
                <w:szCs w:val="14"/>
                <w:b w:val="1"/>
                <w:bCs w:val="1"/>
                <w:color w:val="auto"/>
                <w:w w:val="97"/>
              </w:rPr>
              <w:t>(410)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478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3180" w:type="dxa"/>
            <w:vAlign w:val="bottom"/>
            <w:gridSpan w:val="2"/>
          </w:tcPr>
          <w:p>
            <w:pPr>
              <w:ind w:left="320"/>
              <w:spacing w:after="0"/>
              <w:rPr>
                <w:sz w:val="20"/>
                <w:szCs w:val="20"/>
                <w:color w:val="auto"/>
              </w:rPr>
            </w:pPr>
            <w:r>
              <w:rPr>
                <w:rFonts w:ascii="Arial" w:cs="Arial" w:eastAsia="Arial" w:hAnsi="Arial"/>
                <w:sz w:val="15"/>
                <w:szCs w:val="15"/>
                <w:color w:val="auto"/>
              </w:rPr>
              <w:t>Interest accruals on hedging</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0"/>
        </w:trPr>
        <w:tc>
          <w:tcPr>
            <w:tcW w:w="3180" w:type="dxa"/>
            <w:vAlign w:val="bottom"/>
            <w:gridSpan w:val="2"/>
          </w:tcPr>
          <w:p>
            <w:pPr>
              <w:ind w:left="440"/>
              <w:spacing w:after="0"/>
              <w:rPr>
                <w:sz w:val="20"/>
                <w:szCs w:val="20"/>
                <w:color w:val="auto"/>
              </w:rPr>
            </w:pPr>
            <w:r>
              <w:rPr>
                <w:rFonts w:ascii="Arial" w:cs="Arial" w:eastAsia="Arial" w:hAnsi="Arial"/>
                <w:sz w:val="15"/>
                <w:szCs w:val="15"/>
                <w:color w:val="auto"/>
              </w:rPr>
              <w:t>instruments</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84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9"/>
                <w:szCs w:val="19"/>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36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226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3180" w:type="dxa"/>
            <w:vAlign w:val="bottom"/>
            <w:gridSpan w:val="2"/>
          </w:tcPr>
          <w:p>
            <w:pPr>
              <w:ind w:left="100"/>
              <w:spacing w:after="0"/>
              <w:rPr>
                <w:sz w:val="20"/>
                <w:szCs w:val="20"/>
                <w:color w:val="auto"/>
              </w:rPr>
            </w:pPr>
            <w:r>
              <w:rPr>
                <w:rFonts w:ascii="Arial" w:cs="Arial" w:eastAsia="Arial" w:hAnsi="Arial"/>
                <w:sz w:val="15"/>
                <w:szCs w:val="15"/>
                <w:color w:val="auto"/>
              </w:rPr>
              <w:t>Debt of Fannie Mae and related interest-</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4"/>
        </w:trPr>
        <w:tc>
          <w:tcPr>
            <w:tcW w:w="3180" w:type="dxa"/>
            <w:vAlign w:val="bottom"/>
            <w:gridSpan w:val="2"/>
          </w:tcPr>
          <w:p>
            <w:pPr>
              <w:ind w:left="220"/>
              <w:spacing w:after="0"/>
              <w:rPr>
                <w:sz w:val="20"/>
                <w:szCs w:val="20"/>
                <w:color w:val="auto"/>
              </w:rPr>
            </w:pPr>
            <w:r>
              <w:rPr>
                <w:rFonts w:ascii="Arial" w:cs="Arial" w:eastAsia="Arial" w:hAnsi="Arial"/>
                <w:sz w:val="15"/>
                <w:szCs w:val="15"/>
                <w:color w:val="auto"/>
              </w:rPr>
              <w:t>rate contracts:</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2"/>
        </w:trPr>
        <w:tc>
          <w:tcPr>
            <w:tcW w:w="3180" w:type="dxa"/>
            <w:vAlign w:val="bottom"/>
            <w:gridSpan w:val="2"/>
          </w:tcPr>
          <w:p>
            <w:pPr>
              <w:ind w:left="320"/>
              <w:spacing w:after="0"/>
              <w:rPr>
                <w:sz w:val="20"/>
                <w:szCs w:val="20"/>
                <w:color w:val="auto"/>
              </w:rPr>
            </w:pPr>
            <w:r>
              <w:rPr>
                <w:rFonts w:ascii="Arial" w:cs="Arial" w:eastAsia="Arial" w:hAnsi="Arial"/>
                <w:sz w:val="15"/>
                <w:szCs w:val="15"/>
                <w:color w:val="auto"/>
              </w:rPr>
              <w:t>Hedged items</w:t>
            </w:r>
          </w:p>
        </w:tc>
        <w:tc>
          <w:tcPr>
            <w:tcW w:w="1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(506)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51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606</w:t>
            </w:r>
          </w:p>
        </w:tc>
      </w:tr>
      <w:tr>
        <w:trPr>
          <w:trHeight w:val="196"/>
        </w:trPr>
        <w:tc>
          <w:tcPr>
            <w:tcW w:w="3180" w:type="dxa"/>
            <w:vAlign w:val="bottom"/>
            <w:gridSpan w:val="2"/>
          </w:tcPr>
          <w:p>
            <w:pPr>
              <w:ind w:left="320"/>
              <w:spacing w:after="0"/>
              <w:rPr>
                <w:sz w:val="20"/>
                <w:szCs w:val="20"/>
                <w:color w:val="auto"/>
              </w:rPr>
            </w:pPr>
            <w:r>
              <w:rPr>
                <w:rFonts w:ascii="Arial" w:cs="Arial" w:eastAsia="Arial" w:hAnsi="Arial"/>
                <w:sz w:val="15"/>
                <w:szCs w:val="15"/>
                <w:color w:val="auto"/>
              </w:rPr>
              <w:t>Discontinued hedge-related basis</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0"/>
        </w:trPr>
        <w:tc>
          <w:tcPr>
            <w:tcW w:w="3180" w:type="dxa"/>
            <w:vAlign w:val="bottom"/>
            <w:gridSpan w:val="2"/>
          </w:tcPr>
          <w:p>
            <w:pPr>
              <w:ind w:left="440"/>
              <w:spacing w:after="0"/>
              <w:rPr>
                <w:sz w:val="20"/>
                <w:szCs w:val="20"/>
                <w:color w:val="auto"/>
              </w:rPr>
            </w:pPr>
            <w:r>
              <w:rPr>
                <w:rFonts w:ascii="Arial" w:cs="Arial" w:eastAsia="Arial" w:hAnsi="Arial"/>
                <w:sz w:val="15"/>
                <w:szCs w:val="15"/>
                <w:color w:val="auto"/>
              </w:rPr>
              <w:t>adjustment amortization</w:t>
            </w: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(213)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(641)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(618)</w:t>
            </w:r>
          </w:p>
        </w:tc>
      </w:tr>
      <w:tr>
        <w:trPr>
          <w:trHeight w:val="196"/>
        </w:trPr>
        <w:tc>
          <w:tcPr>
            <w:tcW w:w="3180" w:type="dxa"/>
            <w:vAlign w:val="bottom"/>
            <w:gridSpan w:val="2"/>
          </w:tcPr>
          <w:p>
            <w:pPr>
              <w:ind w:left="320"/>
              <w:spacing w:after="0"/>
              <w:rPr>
                <w:sz w:val="20"/>
                <w:szCs w:val="20"/>
                <w:color w:val="auto"/>
              </w:rPr>
            </w:pPr>
            <w:r>
              <w:rPr>
                <w:rFonts w:ascii="Arial" w:cs="Arial" w:eastAsia="Arial" w:hAnsi="Arial"/>
                <w:sz w:val="15"/>
                <w:szCs w:val="15"/>
                <w:color w:val="auto"/>
              </w:rPr>
              <w:t>Derivatives designated as hedging</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0"/>
        </w:trPr>
        <w:tc>
          <w:tcPr>
            <w:tcW w:w="3180" w:type="dxa"/>
            <w:vAlign w:val="bottom"/>
            <w:gridSpan w:val="2"/>
          </w:tcPr>
          <w:p>
            <w:pPr>
              <w:ind w:left="440"/>
              <w:spacing w:after="0"/>
              <w:rPr>
                <w:sz w:val="20"/>
                <w:szCs w:val="20"/>
                <w:color w:val="auto"/>
              </w:rPr>
            </w:pPr>
            <w:r>
              <w:rPr>
                <w:rFonts w:ascii="Arial" w:cs="Arial" w:eastAsia="Arial" w:hAnsi="Arial"/>
                <w:sz w:val="15"/>
                <w:szCs w:val="15"/>
                <w:color w:val="auto"/>
              </w:rPr>
              <w:t>instruments</w:t>
            </w: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9"/>
                <w:szCs w:val="19"/>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519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9"/>
                <w:szCs w:val="19"/>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86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(137)</w:t>
            </w:r>
          </w:p>
        </w:tc>
      </w:tr>
      <w:tr>
        <w:trPr>
          <w:trHeight w:val="196"/>
        </w:trPr>
        <w:tc>
          <w:tcPr>
            <w:tcW w:w="3180" w:type="dxa"/>
            <w:vAlign w:val="bottom"/>
            <w:gridSpan w:val="2"/>
          </w:tcPr>
          <w:p>
            <w:pPr>
              <w:ind w:left="320"/>
              <w:spacing w:after="0"/>
              <w:rPr>
                <w:sz w:val="20"/>
                <w:szCs w:val="20"/>
                <w:color w:val="auto"/>
              </w:rPr>
            </w:pPr>
            <w:r>
              <w:rPr>
                <w:rFonts w:ascii="Arial" w:cs="Arial" w:eastAsia="Arial" w:hAnsi="Arial"/>
                <w:sz w:val="15"/>
                <w:szCs w:val="15"/>
                <w:color w:val="auto"/>
              </w:rPr>
              <w:t>Interest accruals on derivative hedging</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1"/>
        </w:trPr>
        <w:tc>
          <w:tcPr>
            <w:tcW w:w="3080" w:type="dxa"/>
            <w:vAlign w:val="bottom"/>
            <w:tcBorders>
              <w:bottom w:val="single" w:sz="8" w:color="2C6937"/>
            </w:tcBorders>
          </w:tcPr>
          <w:p>
            <w:pPr>
              <w:ind w:left="440"/>
              <w:spacing w:after="0"/>
              <w:rPr>
                <w:sz w:val="20"/>
                <w:szCs w:val="20"/>
                <w:color w:val="auto"/>
              </w:rPr>
            </w:pPr>
            <w:r>
              <w:rPr>
                <w:rFonts w:ascii="Arial" w:cs="Arial" w:eastAsia="Arial" w:hAnsi="Arial"/>
                <w:sz w:val="15"/>
                <w:szCs w:val="15"/>
                <w:color w:val="auto"/>
              </w:rPr>
              <w:t>instruments</w:t>
            </w:r>
          </w:p>
        </w:tc>
        <w:tc>
          <w:tcPr>
            <w:tcW w:w="10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p>
        </w:tc>
        <w:tc>
          <w:tcPr>
            <w:tcW w:w="80" w:type="dxa"/>
            <w:vAlign w:val="bottom"/>
            <w:tcBorders>
              <w:bottom w:val="single" w:sz="8" w:color="2C6937"/>
            </w:tcBorders>
          </w:tcPr>
          <w:p>
            <w:pPr>
              <w:spacing w:after="0"/>
              <w:rPr>
                <w:sz w:val="20"/>
                <w:szCs w:val="20"/>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(93)</w:t>
            </w:r>
          </w:p>
        </w:tc>
        <w:tc>
          <w:tcPr>
            <w:tcW w:w="8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8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(373)</w:t>
            </w:r>
          </w:p>
        </w:tc>
        <w:tc>
          <w:tcPr>
            <w:tcW w:w="8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0" w:type="dxa"/>
            <w:vAlign w:val="bottom"/>
            <w:tcBorders>
              <w:bottom w:val="single" w:sz="8" w:color="2C6937"/>
            </w:tcBorders>
          </w:tcPr>
          <w:p>
            <w:pPr>
              <w:spacing w:after="0"/>
              <w:rPr>
                <w:sz w:val="20"/>
                <w:szCs w:val="20"/>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(713)</w:t>
            </w:r>
          </w:p>
        </w:tc>
      </w:tr>
      <w:tr>
        <w:trPr>
          <w:trHeight w:val="225"/>
        </w:trPr>
        <w:tc>
          <w:tcPr>
            <w:tcW w:w="3180" w:type="dxa"/>
            <w:vAlign w:val="bottom"/>
            <w:gridSpan w:val="2"/>
          </w:tcPr>
          <w:p>
            <w:pPr>
              <w:spacing w:after="0"/>
              <w:rPr>
                <w:sz w:val="20"/>
                <w:szCs w:val="20"/>
                <w:color w:val="auto"/>
              </w:rPr>
            </w:pPr>
            <w:r>
              <w:rPr>
                <w:rFonts w:ascii="Arial" w:cs="Arial" w:eastAsia="Arial" w:hAnsi="Arial"/>
                <w:sz w:val="15"/>
                <w:szCs w:val="15"/>
                <w:color w:val="auto"/>
              </w:rPr>
              <w:t>Total effect of fair value hedges</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92</w:t>
            </w:r>
          </w:p>
        </w:tc>
        <w:tc>
          <w:tcPr>
            <w:tcW w:w="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(293)</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66</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(304)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213</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(877)</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(862)</w:t>
            </w:r>
          </w:p>
        </w:tc>
      </w:tr>
      <w:tr>
        <w:trPr>
          <w:trHeight w:val="20"/>
        </w:trPr>
        <w:tc>
          <w:tcPr>
            <w:tcW w:w="30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7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425450</wp:posOffset>
            </wp:positionV>
            <wp:extent cx="680593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48" w:right="379" w:bottom="1440" w:gutter="0" w:footer="0" w:header="0"/>
        </w:sectPr>
      </w:pPr>
    </w:p>
    <w:bookmarkStart w:id="100" w:name="page101"/>
    <w:bookmarkEnd w:id="100"/>
    <w:p>
      <w:pPr>
        <w:ind w:left="6240"/>
        <w:spacing w:after="0"/>
        <w:rPr>
          <w:sz w:val="20"/>
          <w:szCs w:val="20"/>
          <w:color w:val="auto"/>
        </w:rPr>
      </w:pPr>
      <w:r>
        <w:rPr>
          <w:rFonts w:ascii="Arial" w:cs="Arial" w:eastAsia="Arial" w:hAnsi="Arial"/>
          <w:sz w:val="14"/>
          <w:szCs w:val="14"/>
          <w:color w:val="05314D"/>
        </w:rPr>
        <w:t>Notes to Condensed Consolidated Financial Statements |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Hedged Items in Fair Value Hedging Relationships</w:t>
      </w:r>
    </w:p>
    <w:p>
      <w:pPr>
        <w:spacing w:after="0" w:line="68"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The following table displays the carrying amounts of the hedged items that have been in qualifying fair value hedges recorded in our condensed consolidated balance sheets, including the hedged item’s cumulative basis adjustments and the closed portfolio balances under the portfolio layer method. The hedged item carrying amounts and total basis adjustments include both open and discontinued hedges. The amortized cost and designated UPB consists only of open hedges as of September 30, 2024 and December 31, 2023.</w:t>
      </w:r>
    </w:p>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2760" w:type="dxa"/>
            <w:vAlign w:val="bottom"/>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60" w:type="dxa"/>
            <w:vAlign w:val="bottom"/>
            <w:tcBorders>
              <w:bottom w:val="single" w:sz="8" w:color="2C6937"/>
            </w:tcBorders>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440" w:type="dxa"/>
            <w:vAlign w:val="bottom"/>
            <w:tcBorders>
              <w:bottom w:val="single" w:sz="8" w:color="2C6937"/>
            </w:tcBorders>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186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14"/>
                <w:szCs w:val="14"/>
                <w:b w:val="1"/>
                <w:bCs w:val="1"/>
                <w:color w:val="auto"/>
                <w:w w:val="97"/>
              </w:rPr>
              <w:t>As of September 30, 2024</w:t>
            </w:r>
          </w:p>
        </w:tc>
        <w:tc>
          <w:tcPr>
            <w:tcW w:w="160" w:type="dxa"/>
            <w:vAlign w:val="bottom"/>
            <w:tcBorders>
              <w:bottom w:val="single" w:sz="8" w:color="2C6937"/>
            </w:tcBorders>
          </w:tcPr>
          <w:p>
            <w:pPr>
              <w:spacing w:after="0"/>
              <w:rPr>
                <w:sz w:val="16"/>
                <w:szCs w:val="16"/>
                <w:color w:val="auto"/>
              </w:rPr>
            </w:pPr>
          </w:p>
        </w:tc>
        <w:tc>
          <w:tcPr>
            <w:tcW w:w="1380" w:type="dxa"/>
            <w:vAlign w:val="bottom"/>
            <w:tcBorders>
              <w:bottom w:val="single" w:sz="8" w:color="2C6937"/>
            </w:tcBorders>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1360" w:type="dxa"/>
            <w:vAlign w:val="bottom"/>
            <w:tcBorders>
              <w:bottom w:val="single" w:sz="8" w:color="2C6937"/>
            </w:tcBorders>
          </w:tcPr>
          <w:p>
            <w:pPr>
              <w:spacing w:after="0"/>
              <w:rPr>
                <w:sz w:val="16"/>
                <w:szCs w:val="16"/>
                <w:color w:val="auto"/>
              </w:rPr>
            </w:pPr>
          </w:p>
        </w:tc>
      </w:tr>
      <w:tr>
        <w:trPr>
          <w:trHeight w:val="332"/>
        </w:trPr>
        <w:tc>
          <w:tcPr>
            <w:tcW w:w="2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8"/>
              </w:rPr>
              <w:t>Cumulative Amount of Fair Value Hedging Basis</w:t>
            </w:r>
          </w:p>
        </w:tc>
        <w:tc>
          <w:tcPr>
            <w:tcW w:w="160" w:type="dxa"/>
            <w:vAlign w:val="bottom"/>
          </w:tcPr>
          <w:p>
            <w:pPr>
              <w:spacing w:after="0"/>
              <w:rPr>
                <w:sz w:val="24"/>
                <w:szCs w:val="24"/>
                <w:color w:val="auto"/>
              </w:rPr>
            </w:pPr>
          </w:p>
        </w:tc>
        <w:tc>
          <w:tcPr>
            <w:tcW w:w="3040" w:type="dxa"/>
            <w:vAlign w:val="bottom"/>
            <w:gridSpan w:val="3"/>
          </w:tcPr>
          <w:p>
            <w:pPr>
              <w:jc w:val="right"/>
              <w:ind w:right="146"/>
              <w:spacing w:after="0"/>
              <w:rPr>
                <w:sz w:val="20"/>
                <w:szCs w:val="20"/>
                <w:color w:val="auto"/>
              </w:rPr>
            </w:pPr>
            <w:r>
              <w:rPr>
                <w:rFonts w:ascii="Arial" w:cs="Arial" w:eastAsia="Arial" w:hAnsi="Arial"/>
                <w:sz w:val="14"/>
                <w:szCs w:val="14"/>
                <w:b w:val="1"/>
                <w:bCs w:val="1"/>
                <w:color w:val="auto"/>
                <w:w w:val="99"/>
              </w:rPr>
              <w:t>Closed Portfolio of Mortgage Loans Under</w:t>
            </w:r>
          </w:p>
        </w:tc>
      </w:tr>
      <w:tr>
        <w:trPr>
          <w:trHeight w:val="196"/>
        </w:trPr>
        <w:tc>
          <w:tcPr>
            <w:tcW w:w="2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3360" w:type="dxa"/>
            <w:vAlign w:val="bottom"/>
            <w:tcBorders>
              <w:bottom w:val="single" w:sz="8" w:color="2C6937"/>
            </w:tcBorders>
            <w:gridSpan w:val="3"/>
          </w:tcPr>
          <w:p>
            <w:pPr>
              <w:jc w:val="center"/>
              <w:ind w:right="88"/>
              <w:spacing w:after="0"/>
              <w:rPr>
                <w:sz w:val="20"/>
                <w:szCs w:val="20"/>
                <w:color w:val="auto"/>
              </w:rPr>
            </w:pPr>
            <w:r>
              <w:rPr>
                <w:rFonts w:ascii="Arial" w:cs="Arial" w:eastAsia="Arial" w:hAnsi="Arial"/>
                <w:sz w:val="14"/>
                <w:szCs w:val="14"/>
                <w:b w:val="1"/>
                <w:bCs w:val="1"/>
                <w:color w:val="auto"/>
                <w:w w:val="98"/>
              </w:rPr>
              <w:t>Adjustments Included in the Carrying Amount</w:t>
            </w:r>
          </w:p>
        </w:tc>
        <w:tc>
          <w:tcPr>
            <w:tcW w:w="14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3040" w:type="dxa"/>
            <w:vAlign w:val="bottom"/>
            <w:tcBorders>
              <w:bottom w:val="single" w:sz="8" w:color="2C6937"/>
            </w:tcBorders>
            <w:gridSpan w:val="3"/>
          </w:tcPr>
          <w:p>
            <w:pPr>
              <w:jc w:val="right"/>
              <w:ind w:right="786"/>
              <w:spacing w:after="0"/>
              <w:rPr>
                <w:sz w:val="20"/>
                <w:szCs w:val="20"/>
                <w:color w:val="auto"/>
              </w:rPr>
            </w:pPr>
            <w:r>
              <w:rPr>
                <w:rFonts w:ascii="Arial" w:cs="Arial" w:eastAsia="Arial" w:hAnsi="Arial"/>
                <w:sz w:val="14"/>
                <w:szCs w:val="14"/>
                <w:b w:val="1"/>
                <w:bCs w:val="1"/>
                <w:color w:val="auto"/>
              </w:rPr>
              <w:t>Portfolio Layer Method</w:t>
            </w:r>
          </w:p>
        </w:tc>
      </w:tr>
      <w:tr>
        <w:trPr>
          <w:trHeight w:val="337"/>
        </w:trPr>
        <w:tc>
          <w:tcPr>
            <w:tcW w:w="2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jc w:val="center"/>
              <w:ind w:right="186"/>
              <w:spacing w:after="0"/>
              <w:rPr>
                <w:sz w:val="20"/>
                <w:szCs w:val="20"/>
                <w:color w:val="auto"/>
              </w:rPr>
            </w:pPr>
            <w:r>
              <w:rPr>
                <w:rFonts w:ascii="Arial" w:cs="Arial" w:eastAsia="Arial" w:hAnsi="Arial"/>
                <w:sz w:val="14"/>
                <w:szCs w:val="14"/>
                <w:b w:val="1"/>
                <w:bCs w:val="1"/>
                <w:color w:val="auto"/>
                <w:w w:val="97"/>
              </w:rPr>
              <w:t>Carrying Amount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center"/>
              <w:ind w:right="168"/>
              <w:spacing w:after="0"/>
              <w:rPr>
                <w:sz w:val="20"/>
                <w:szCs w:val="20"/>
                <w:color w:val="auto"/>
              </w:rPr>
            </w:pPr>
            <w:r>
              <w:rPr>
                <w:rFonts w:ascii="Arial" w:cs="Arial" w:eastAsia="Arial" w:hAnsi="Arial"/>
                <w:sz w:val="14"/>
                <w:szCs w:val="14"/>
                <w:b w:val="1"/>
                <w:bCs w:val="1"/>
                <w:color w:val="auto"/>
                <w:w w:val="96"/>
              </w:rPr>
              <w:t>Total Basis</w:t>
            </w:r>
          </w:p>
        </w:tc>
        <w:tc>
          <w:tcPr>
            <w:tcW w:w="20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8"/>
              </w:rPr>
              <w:t>Remaining Adjustments -</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5"/>
        </w:trPr>
        <w:tc>
          <w:tcPr>
            <w:tcW w:w="2760" w:type="dxa"/>
            <w:vAlign w:val="bottom"/>
          </w:tcPr>
          <w:p>
            <w:pPr>
              <w:spacing w:after="0"/>
              <w:rPr>
                <w:sz w:val="17"/>
                <w:szCs w:val="17"/>
                <w:color w:val="auto"/>
              </w:rPr>
            </w:pPr>
          </w:p>
        </w:tc>
        <w:tc>
          <w:tcPr>
            <w:tcW w:w="40" w:type="dxa"/>
            <w:vAlign w:val="bottom"/>
            <w:tcBorders>
              <w:bottom w:val="single" w:sz="8" w:color="2C6937"/>
            </w:tcBorders>
          </w:tcPr>
          <w:p>
            <w:pPr>
              <w:spacing w:after="0"/>
              <w:rPr>
                <w:sz w:val="17"/>
                <w:szCs w:val="17"/>
                <w:color w:val="auto"/>
              </w:rPr>
            </w:pPr>
          </w:p>
        </w:tc>
        <w:tc>
          <w:tcPr>
            <w:tcW w:w="1560" w:type="dxa"/>
            <w:vAlign w:val="bottom"/>
            <w:tcBorders>
              <w:bottom w:val="single" w:sz="8" w:color="2C6937"/>
            </w:tcBorders>
            <w:gridSpan w:val="2"/>
          </w:tcPr>
          <w:p>
            <w:pPr>
              <w:jc w:val="center"/>
              <w:ind w:right="106"/>
              <w:spacing w:after="0"/>
              <w:rPr>
                <w:sz w:val="20"/>
                <w:szCs w:val="20"/>
                <w:color w:val="auto"/>
              </w:rPr>
            </w:pPr>
            <w:r>
              <w:rPr>
                <w:rFonts w:ascii="Arial" w:cs="Arial" w:eastAsia="Arial" w:hAnsi="Arial"/>
                <w:sz w:val="14"/>
                <w:szCs w:val="14"/>
                <w:b w:val="1"/>
                <w:bCs w:val="1"/>
                <w:color w:val="auto"/>
                <w:w w:val="98"/>
              </w:rPr>
              <w:t>Assets (Liabilities)</w:t>
            </w:r>
          </w:p>
        </w:tc>
        <w:tc>
          <w:tcPr>
            <w:tcW w:w="2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440" w:type="dxa"/>
            <w:vAlign w:val="bottom"/>
            <w:tcBorders>
              <w:bottom w:val="single" w:sz="8" w:color="2C6937"/>
            </w:tcBorders>
          </w:tcPr>
          <w:p>
            <w:pPr>
              <w:jc w:val="center"/>
              <w:ind w:right="148"/>
              <w:spacing w:after="0"/>
              <w:rPr>
                <w:sz w:val="20"/>
                <w:szCs w:val="20"/>
                <w:color w:val="auto"/>
              </w:rPr>
            </w:pPr>
            <w:r>
              <w:rPr>
                <w:rFonts w:ascii="Arial" w:cs="Arial" w:eastAsia="Arial" w:hAnsi="Arial"/>
                <w:sz w:val="14"/>
                <w:szCs w:val="14"/>
                <w:b w:val="1"/>
                <w:bCs w:val="1"/>
                <w:color w:val="auto"/>
                <w:w w:val="94"/>
              </w:rPr>
              <w:t>Adjustments</w:t>
            </w:r>
            <w:r>
              <w:rPr>
                <w:rFonts w:ascii="Arial" w:cs="Arial" w:eastAsia="Arial" w:hAnsi="Arial"/>
                <w:sz w:val="17"/>
                <w:szCs w:val="17"/>
                <w:b w:val="1"/>
                <w:bCs w:val="1"/>
                <w:color w:val="auto"/>
                <w:w w:val="94"/>
                <w:vertAlign w:val="superscript"/>
              </w:rPr>
              <w:t>(1)(2)</w:t>
            </w:r>
          </w:p>
        </w:tc>
        <w:tc>
          <w:tcPr>
            <w:tcW w:w="200" w:type="dxa"/>
            <w:vAlign w:val="bottom"/>
            <w:tcBorders>
              <w:bottom w:val="single" w:sz="8" w:color="2C6937"/>
            </w:tcBorders>
          </w:tcPr>
          <w:p>
            <w:pPr>
              <w:spacing w:after="0"/>
              <w:rPr>
                <w:sz w:val="17"/>
                <w:szCs w:val="17"/>
                <w:color w:val="auto"/>
              </w:rPr>
            </w:pPr>
          </w:p>
        </w:tc>
        <w:tc>
          <w:tcPr>
            <w:tcW w:w="1860" w:type="dxa"/>
            <w:vAlign w:val="bottom"/>
            <w:tcBorders>
              <w:bottom w:val="single" w:sz="8" w:color="2C6937"/>
            </w:tcBorders>
            <w:gridSpan w:val="2"/>
          </w:tcPr>
          <w:p>
            <w:pPr>
              <w:jc w:val="center"/>
              <w:ind w:right="280"/>
              <w:spacing w:after="0"/>
              <w:rPr>
                <w:sz w:val="20"/>
                <w:szCs w:val="20"/>
                <w:color w:val="auto"/>
              </w:rPr>
            </w:pPr>
            <w:r>
              <w:rPr>
                <w:rFonts w:ascii="Arial" w:cs="Arial" w:eastAsia="Arial" w:hAnsi="Arial"/>
                <w:sz w:val="14"/>
                <w:szCs w:val="14"/>
                <w:b w:val="1"/>
                <w:bCs w:val="1"/>
                <w:color w:val="auto"/>
                <w:w w:val="98"/>
              </w:rPr>
              <w:t>Discontinued Hedge</w:t>
            </w:r>
          </w:p>
        </w:tc>
        <w:tc>
          <w:tcPr>
            <w:tcW w:w="1540" w:type="dxa"/>
            <w:vAlign w:val="bottom"/>
            <w:tcBorders>
              <w:bottom w:val="single" w:sz="8" w:color="2C6937"/>
            </w:tcBorders>
            <w:gridSpan w:val="2"/>
          </w:tcPr>
          <w:p>
            <w:pPr>
              <w:jc w:val="right"/>
              <w:ind w:right="7"/>
              <w:spacing w:after="0"/>
              <w:rPr>
                <w:sz w:val="20"/>
                <w:szCs w:val="20"/>
                <w:color w:val="auto"/>
              </w:rPr>
            </w:pPr>
            <w:r>
              <w:rPr>
                <w:rFonts w:ascii="Arial" w:cs="Arial" w:eastAsia="Arial" w:hAnsi="Arial"/>
                <w:sz w:val="14"/>
                <w:szCs w:val="14"/>
                <w:b w:val="1"/>
                <w:bCs w:val="1"/>
                <w:color w:val="auto"/>
              </w:rPr>
              <w:t>Total Amortized Cost</w:t>
            </w:r>
          </w:p>
        </w:tc>
        <w:tc>
          <w:tcPr>
            <w:tcW w:w="300" w:type="dxa"/>
            <w:vAlign w:val="bottom"/>
            <w:tcBorders>
              <w:bottom w:val="single" w:sz="8" w:color="2C6937"/>
            </w:tcBorders>
          </w:tcPr>
          <w:p>
            <w:pPr>
              <w:spacing w:after="0"/>
              <w:rPr>
                <w:sz w:val="17"/>
                <w:szCs w:val="17"/>
                <w:color w:val="auto"/>
              </w:rPr>
            </w:pPr>
          </w:p>
        </w:tc>
        <w:tc>
          <w:tcPr>
            <w:tcW w:w="1360" w:type="dxa"/>
            <w:vAlign w:val="bottom"/>
            <w:tcBorders>
              <w:bottom w:val="single" w:sz="8" w:color="2C6937"/>
            </w:tcBorders>
          </w:tcPr>
          <w:p>
            <w:pPr>
              <w:jc w:val="right"/>
              <w:ind w:right="146"/>
              <w:spacing w:after="0"/>
              <w:rPr>
                <w:sz w:val="20"/>
                <w:szCs w:val="20"/>
                <w:color w:val="auto"/>
              </w:rPr>
            </w:pPr>
            <w:r>
              <w:rPr>
                <w:rFonts w:ascii="Arial" w:cs="Arial" w:eastAsia="Arial" w:hAnsi="Arial"/>
                <w:sz w:val="14"/>
                <w:szCs w:val="14"/>
                <w:b w:val="1"/>
                <w:bCs w:val="1"/>
                <w:color w:val="auto"/>
              </w:rPr>
              <w:t>Designated UPB</w:t>
            </w:r>
          </w:p>
        </w:tc>
      </w:tr>
      <w:tr>
        <w:trPr>
          <w:trHeight w:val="185"/>
        </w:trPr>
        <w:tc>
          <w:tcPr>
            <w:tcW w:w="2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(Dollars in millions)</w:t>
            </w: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6"/>
        </w:trPr>
        <w:tc>
          <w:tcPr>
            <w:tcW w:w="2760" w:type="dxa"/>
            <w:vAlign w:val="bottom"/>
          </w:tcPr>
          <w:p>
            <w:pPr>
              <w:spacing w:after="0"/>
              <w:rPr>
                <w:sz w:val="20"/>
                <w:szCs w:val="20"/>
                <w:color w:val="auto"/>
              </w:rPr>
            </w:pPr>
            <w:r>
              <w:rPr>
                <w:rFonts w:ascii="Arial" w:cs="Arial" w:eastAsia="Arial" w:hAnsi="Arial"/>
                <w:sz w:val="15"/>
                <w:szCs w:val="15"/>
                <w:color w:val="auto"/>
              </w:rPr>
              <w:t>Mortgage loans HFI</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126"/>
              <w:spacing w:after="0"/>
              <w:rPr>
                <w:sz w:val="20"/>
                <w:szCs w:val="20"/>
                <w:color w:val="auto"/>
              </w:rPr>
            </w:pPr>
            <w:r>
              <w:rPr>
                <w:rFonts w:ascii="Arial" w:cs="Arial" w:eastAsia="Arial" w:hAnsi="Arial"/>
                <w:sz w:val="15"/>
                <w:szCs w:val="15"/>
                <w:color w:val="auto"/>
              </w:rPr>
              <w:t>856,849</w:t>
            </w:r>
          </w:p>
        </w:tc>
        <w:tc>
          <w:tcPr>
            <w:tcW w:w="160" w:type="dxa"/>
            <w:vAlign w:val="bottom"/>
            <w:gridSpan w:val="2"/>
          </w:tcPr>
          <w:p>
            <w:pPr>
              <w:jc w:val="right"/>
              <w:ind w:right="60"/>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68"/>
              <w:spacing w:after="0"/>
              <w:rPr>
                <w:sz w:val="20"/>
                <w:szCs w:val="20"/>
                <w:color w:val="auto"/>
              </w:rPr>
            </w:pPr>
            <w:r>
              <w:rPr>
                <w:rFonts w:ascii="Arial" w:cs="Arial" w:eastAsia="Arial" w:hAnsi="Arial"/>
                <w:sz w:val="15"/>
                <w:szCs w:val="15"/>
                <w:color w:val="auto"/>
              </w:rPr>
              <w:t>223</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1720" w:type="dxa"/>
            <w:vAlign w:val="bottom"/>
          </w:tcPr>
          <w:p>
            <w:pPr>
              <w:jc w:val="right"/>
              <w:ind w:right="8"/>
              <w:spacing w:after="0"/>
              <w:rPr>
                <w:sz w:val="20"/>
                <w:szCs w:val="20"/>
                <w:color w:val="auto"/>
              </w:rPr>
            </w:pPr>
            <w:r>
              <w:rPr>
                <w:rFonts w:ascii="Arial" w:cs="Arial" w:eastAsia="Arial" w:hAnsi="Arial"/>
                <w:sz w:val="15"/>
                <w:szCs w:val="15"/>
                <w:color w:val="auto"/>
              </w:rPr>
              <w:t>223</w:t>
            </w:r>
          </w:p>
        </w:tc>
        <w:tc>
          <w:tcPr>
            <w:tcW w:w="1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440,276</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18,435</w:t>
            </w:r>
          </w:p>
        </w:tc>
      </w:tr>
      <w:tr>
        <w:trPr>
          <w:trHeight w:val="232"/>
        </w:trPr>
        <w:tc>
          <w:tcPr>
            <w:tcW w:w="2760" w:type="dxa"/>
            <w:vAlign w:val="bottom"/>
          </w:tcPr>
          <w:p>
            <w:pPr>
              <w:spacing w:after="0"/>
              <w:rPr>
                <w:sz w:val="20"/>
                <w:szCs w:val="20"/>
                <w:color w:val="auto"/>
              </w:rPr>
            </w:pPr>
            <w:r>
              <w:rPr>
                <w:rFonts w:ascii="Arial" w:cs="Arial" w:eastAsia="Arial" w:hAnsi="Arial"/>
                <w:sz w:val="15"/>
                <w:szCs w:val="15"/>
                <w:color w:val="auto"/>
              </w:rPr>
              <w:t>Debt of Fannie Mae</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jc w:val="right"/>
              <w:ind w:right="86"/>
              <w:spacing w:after="0"/>
              <w:rPr>
                <w:sz w:val="20"/>
                <w:szCs w:val="20"/>
                <w:color w:val="auto"/>
              </w:rPr>
            </w:pPr>
            <w:r>
              <w:rPr>
                <w:rFonts w:ascii="Arial" w:cs="Arial" w:eastAsia="Arial" w:hAnsi="Arial"/>
                <w:sz w:val="15"/>
                <w:szCs w:val="15"/>
                <w:color w:val="auto"/>
              </w:rPr>
              <w:t>(50,473)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68"/>
              <w:spacing w:after="0"/>
              <w:rPr>
                <w:sz w:val="20"/>
                <w:szCs w:val="20"/>
                <w:color w:val="auto"/>
              </w:rPr>
            </w:pPr>
            <w:r>
              <w:rPr>
                <w:rFonts w:ascii="Arial" w:cs="Arial" w:eastAsia="Arial" w:hAnsi="Arial"/>
                <w:sz w:val="15"/>
                <w:szCs w:val="15"/>
                <w:color w:val="auto"/>
              </w:rPr>
              <w:t>3,161</w:t>
            </w:r>
          </w:p>
        </w:tc>
        <w:tc>
          <w:tcPr>
            <w:tcW w:w="200" w:type="dxa"/>
            <w:vAlign w:val="bottom"/>
          </w:tcPr>
          <w:p>
            <w:pPr>
              <w:spacing w:after="0"/>
              <w:rPr>
                <w:sz w:val="20"/>
                <w:szCs w:val="20"/>
                <w:color w:val="auto"/>
              </w:rPr>
            </w:pPr>
          </w:p>
        </w:tc>
        <w:tc>
          <w:tcPr>
            <w:tcW w:w="1720" w:type="dxa"/>
            <w:vAlign w:val="bottom"/>
          </w:tcPr>
          <w:p>
            <w:pPr>
              <w:jc w:val="right"/>
              <w:ind w:right="8"/>
              <w:spacing w:after="0"/>
              <w:rPr>
                <w:sz w:val="20"/>
                <w:szCs w:val="20"/>
                <w:color w:val="auto"/>
              </w:rPr>
            </w:pPr>
            <w:r>
              <w:rPr>
                <w:rFonts w:ascii="Arial" w:cs="Arial" w:eastAsia="Arial" w:hAnsi="Arial"/>
                <w:sz w:val="15"/>
                <w:szCs w:val="15"/>
                <w:color w:val="auto"/>
              </w:rPr>
              <w:t>3,161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27"/>
              <w:spacing w:after="0"/>
              <w:rPr>
                <w:sz w:val="20"/>
                <w:szCs w:val="20"/>
                <w:color w:val="auto"/>
              </w:rPr>
            </w:pPr>
            <w:r>
              <w:rPr>
                <w:rFonts w:ascii="Arial" w:cs="Arial" w:eastAsia="Arial" w:hAnsi="Arial"/>
                <w:sz w:val="15"/>
                <w:szCs w:val="15"/>
                <w:color w:val="auto"/>
              </w:rPr>
              <w:t>N/A</w:t>
            </w:r>
          </w:p>
        </w:tc>
        <w:tc>
          <w:tcPr>
            <w:tcW w:w="300" w:type="dxa"/>
            <w:vAlign w:val="bottom"/>
          </w:tcPr>
          <w:p>
            <w:pPr>
              <w:spacing w:after="0"/>
              <w:rPr>
                <w:sz w:val="20"/>
                <w:szCs w:val="20"/>
                <w:color w:val="auto"/>
              </w:rPr>
            </w:pPr>
          </w:p>
        </w:tc>
        <w:tc>
          <w:tcPr>
            <w:tcW w:w="1360" w:type="dxa"/>
            <w:vAlign w:val="bottom"/>
          </w:tcPr>
          <w:p>
            <w:pPr>
              <w:jc w:val="right"/>
              <w:ind w:right="6"/>
              <w:spacing w:after="0"/>
              <w:rPr>
                <w:sz w:val="20"/>
                <w:szCs w:val="20"/>
                <w:color w:val="auto"/>
              </w:rPr>
            </w:pPr>
            <w:r>
              <w:rPr>
                <w:rFonts w:ascii="Arial" w:cs="Arial" w:eastAsia="Arial" w:hAnsi="Arial"/>
                <w:sz w:val="15"/>
                <w:szCs w:val="15"/>
                <w:color w:val="auto"/>
              </w:rPr>
              <w:t>N/A</w:t>
            </w:r>
          </w:p>
        </w:tc>
      </w:tr>
      <w:tr>
        <w:trPr>
          <w:trHeight w:val="388"/>
        </w:trPr>
        <w:tc>
          <w:tcPr>
            <w:tcW w:w="2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146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1440" w:type="dxa"/>
            <w:vAlign w:val="bottom"/>
            <w:tcBorders>
              <w:bottom w:val="single" w:sz="8" w:color="2C6937"/>
            </w:tcBorders>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1860" w:type="dxa"/>
            <w:vAlign w:val="bottom"/>
            <w:tcBorders>
              <w:bottom w:val="single" w:sz="8" w:color="2C6937"/>
            </w:tcBorders>
            <w:gridSpan w:val="2"/>
          </w:tcPr>
          <w:p>
            <w:pPr>
              <w:jc w:val="center"/>
              <w:ind w:right="160"/>
              <w:spacing w:after="0"/>
              <w:rPr>
                <w:sz w:val="20"/>
                <w:szCs w:val="20"/>
                <w:color w:val="auto"/>
              </w:rPr>
            </w:pPr>
            <w:r>
              <w:rPr>
                <w:rFonts w:ascii="Arial" w:cs="Arial" w:eastAsia="Arial" w:hAnsi="Arial"/>
                <w:sz w:val="14"/>
                <w:szCs w:val="14"/>
                <w:b w:val="1"/>
                <w:bCs w:val="1"/>
                <w:color w:val="auto"/>
                <w:w w:val="98"/>
              </w:rPr>
              <w:t>As of December 31, 2023</w:t>
            </w:r>
          </w:p>
        </w:tc>
        <w:tc>
          <w:tcPr>
            <w:tcW w:w="160" w:type="dxa"/>
            <w:vAlign w:val="bottom"/>
            <w:tcBorders>
              <w:bottom w:val="single" w:sz="8" w:color="2C6937"/>
            </w:tcBorders>
          </w:tcPr>
          <w:p>
            <w:pPr>
              <w:spacing w:after="0"/>
              <w:rPr>
                <w:sz w:val="24"/>
                <w:szCs w:val="24"/>
                <w:color w:val="auto"/>
              </w:rPr>
            </w:pPr>
          </w:p>
        </w:tc>
        <w:tc>
          <w:tcPr>
            <w:tcW w:w="1380" w:type="dxa"/>
            <w:vAlign w:val="bottom"/>
            <w:tcBorders>
              <w:bottom w:val="single" w:sz="8" w:color="2C6937"/>
            </w:tcBorders>
          </w:tcPr>
          <w:p>
            <w:pPr>
              <w:spacing w:after="0"/>
              <w:rPr>
                <w:sz w:val="24"/>
                <w:szCs w:val="24"/>
                <w:color w:val="auto"/>
              </w:rPr>
            </w:pPr>
          </w:p>
        </w:tc>
        <w:tc>
          <w:tcPr>
            <w:tcW w:w="300" w:type="dxa"/>
            <w:vAlign w:val="bottom"/>
            <w:tcBorders>
              <w:bottom w:val="single" w:sz="8" w:color="2C6937"/>
            </w:tcBorders>
          </w:tcPr>
          <w:p>
            <w:pPr>
              <w:spacing w:after="0"/>
              <w:rPr>
                <w:sz w:val="24"/>
                <w:szCs w:val="24"/>
                <w:color w:val="auto"/>
              </w:rPr>
            </w:pPr>
          </w:p>
        </w:tc>
        <w:tc>
          <w:tcPr>
            <w:tcW w:w="1360" w:type="dxa"/>
            <w:vAlign w:val="bottom"/>
            <w:tcBorders>
              <w:bottom w:val="single" w:sz="8" w:color="2C6937"/>
            </w:tcBorders>
          </w:tcPr>
          <w:p>
            <w:pPr>
              <w:spacing w:after="0"/>
              <w:rPr>
                <w:sz w:val="24"/>
                <w:szCs w:val="24"/>
                <w:color w:val="auto"/>
              </w:rPr>
            </w:pPr>
          </w:p>
        </w:tc>
      </w:tr>
      <w:tr>
        <w:trPr>
          <w:trHeight w:val="332"/>
        </w:trPr>
        <w:tc>
          <w:tcPr>
            <w:tcW w:w="2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7"/>
              </w:rPr>
              <w:t>Cumulative Amount of Fair Value Hedging Basis</w:t>
            </w:r>
          </w:p>
        </w:tc>
        <w:tc>
          <w:tcPr>
            <w:tcW w:w="160" w:type="dxa"/>
            <w:vAlign w:val="bottom"/>
          </w:tcPr>
          <w:p>
            <w:pPr>
              <w:spacing w:after="0"/>
              <w:rPr>
                <w:sz w:val="24"/>
                <w:szCs w:val="24"/>
                <w:color w:val="auto"/>
              </w:rPr>
            </w:pPr>
          </w:p>
        </w:tc>
        <w:tc>
          <w:tcPr>
            <w:tcW w:w="3040" w:type="dxa"/>
            <w:vAlign w:val="bottom"/>
            <w:gridSpan w:val="3"/>
          </w:tcPr>
          <w:p>
            <w:pPr>
              <w:jc w:val="right"/>
              <w:ind w:right="146"/>
              <w:spacing w:after="0"/>
              <w:rPr>
                <w:sz w:val="20"/>
                <w:szCs w:val="20"/>
                <w:color w:val="auto"/>
              </w:rPr>
            </w:pPr>
            <w:r>
              <w:rPr>
                <w:rFonts w:ascii="Arial" w:cs="Arial" w:eastAsia="Arial" w:hAnsi="Arial"/>
                <w:sz w:val="14"/>
                <w:szCs w:val="14"/>
                <w:b w:val="1"/>
                <w:bCs w:val="1"/>
                <w:color w:val="auto"/>
                <w:w w:val="99"/>
              </w:rPr>
              <w:t>Closed Portfolio of Mortgage Loans Under</w:t>
            </w:r>
          </w:p>
        </w:tc>
      </w:tr>
      <w:tr>
        <w:trPr>
          <w:trHeight w:val="196"/>
        </w:trPr>
        <w:tc>
          <w:tcPr>
            <w:tcW w:w="2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3360" w:type="dxa"/>
            <w:vAlign w:val="bottom"/>
            <w:tcBorders>
              <w:bottom w:val="single" w:sz="8" w:color="2C6937"/>
            </w:tcBorders>
            <w:gridSpan w:val="3"/>
          </w:tcPr>
          <w:p>
            <w:pPr>
              <w:jc w:val="center"/>
              <w:ind w:right="48"/>
              <w:spacing w:after="0"/>
              <w:rPr>
                <w:sz w:val="20"/>
                <w:szCs w:val="20"/>
                <w:color w:val="auto"/>
              </w:rPr>
            </w:pPr>
            <w:r>
              <w:rPr>
                <w:rFonts w:ascii="Arial" w:cs="Arial" w:eastAsia="Arial" w:hAnsi="Arial"/>
                <w:sz w:val="14"/>
                <w:szCs w:val="14"/>
                <w:b w:val="1"/>
                <w:bCs w:val="1"/>
                <w:color w:val="auto"/>
                <w:w w:val="98"/>
              </w:rPr>
              <w:t>Adjustments Included in the Carrying Amount</w:t>
            </w:r>
          </w:p>
        </w:tc>
        <w:tc>
          <w:tcPr>
            <w:tcW w:w="14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3040" w:type="dxa"/>
            <w:vAlign w:val="bottom"/>
            <w:tcBorders>
              <w:bottom w:val="single" w:sz="8" w:color="2C6937"/>
            </w:tcBorders>
            <w:gridSpan w:val="3"/>
          </w:tcPr>
          <w:p>
            <w:pPr>
              <w:jc w:val="right"/>
              <w:ind w:right="766"/>
              <w:spacing w:after="0"/>
              <w:rPr>
                <w:sz w:val="20"/>
                <w:szCs w:val="20"/>
                <w:color w:val="auto"/>
              </w:rPr>
            </w:pPr>
            <w:r>
              <w:rPr>
                <w:rFonts w:ascii="Arial" w:cs="Arial" w:eastAsia="Arial" w:hAnsi="Arial"/>
                <w:sz w:val="14"/>
                <w:szCs w:val="14"/>
                <w:b w:val="1"/>
                <w:bCs w:val="1"/>
                <w:color w:val="auto"/>
              </w:rPr>
              <w:t>Portfolio Layer Method</w:t>
            </w:r>
          </w:p>
        </w:tc>
      </w:tr>
      <w:tr>
        <w:trPr>
          <w:trHeight w:val="337"/>
        </w:trPr>
        <w:tc>
          <w:tcPr>
            <w:tcW w:w="2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jc w:val="center"/>
              <w:ind w:right="146"/>
              <w:spacing w:after="0"/>
              <w:rPr>
                <w:sz w:val="20"/>
                <w:szCs w:val="20"/>
                <w:color w:val="auto"/>
              </w:rPr>
            </w:pPr>
            <w:r>
              <w:rPr>
                <w:rFonts w:ascii="Arial" w:cs="Arial" w:eastAsia="Arial" w:hAnsi="Arial"/>
                <w:sz w:val="14"/>
                <w:szCs w:val="14"/>
                <w:b w:val="1"/>
                <w:bCs w:val="1"/>
                <w:color w:val="auto"/>
                <w:w w:val="97"/>
              </w:rPr>
              <w:t>Carrying Amount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center"/>
              <w:ind w:right="128"/>
              <w:spacing w:after="0"/>
              <w:rPr>
                <w:sz w:val="20"/>
                <w:szCs w:val="20"/>
                <w:color w:val="auto"/>
              </w:rPr>
            </w:pPr>
            <w:r>
              <w:rPr>
                <w:rFonts w:ascii="Arial" w:cs="Arial" w:eastAsia="Arial" w:hAnsi="Arial"/>
                <w:sz w:val="14"/>
                <w:szCs w:val="14"/>
                <w:b w:val="1"/>
                <w:bCs w:val="1"/>
                <w:color w:val="auto"/>
                <w:w w:val="96"/>
              </w:rPr>
              <w:t>Total Basis</w:t>
            </w:r>
          </w:p>
        </w:tc>
        <w:tc>
          <w:tcPr>
            <w:tcW w:w="20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8"/>
              </w:rPr>
              <w:t>Remaining Adjustments -</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5"/>
        </w:trPr>
        <w:tc>
          <w:tcPr>
            <w:tcW w:w="2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460" w:type="dxa"/>
            <w:vAlign w:val="bottom"/>
            <w:tcBorders>
              <w:bottom w:val="single" w:sz="8" w:color="2C6937"/>
            </w:tcBorders>
          </w:tcPr>
          <w:p>
            <w:pPr>
              <w:jc w:val="center"/>
              <w:ind w:right="166"/>
              <w:spacing w:after="0"/>
              <w:rPr>
                <w:sz w:val="20"/>
                <w:szCs w:val="20"/>
                <w:color w:val="auto"/>
              </w:rPr>
            </w:pPr>
            <w:r>
              <w:rPr>
                <w:rFonts w:ascii="Arial" w:cs="Arial" w:eastAsia="Arial" w:hAnsi="Arial"/>
                <w:sz w:val="14"/>
                <w:szCs w:val="14"/>
                <w:b w:val="1"/>
                <w:bCs w:val="1"/>
                <w:color w:val="auto"/>
                <w:w w:val="98"/>
              </w:rPr>
              <w:t>Assets (Liabilities)</w:t>
            </w:r>
          </w:p>
        </w:tc>
        <w:tc>
          <w:tcPr>
            <w:tcW w:w="2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440" w:type="dxa"/>
            <w:vAlign w:val="bottom"/>
            <w:tcBorders>
              <w:bottom w:val="single" w:sz="8" w:color="2C6937"/>
            </w:tcBorders>
          </w:tcPr>
          <w:p>
            <w:pPr>
              <w:jc w:val="center"/>
              <w:ind w:right="128"/>
              <w:spacing w:after="0"/>
              <w:rPr>
                <w:sz w:val="20"/>
                <w:szCs w:val="20"/>
                <w:color w:val="auto"/>
              </w:rPr>
            </w:pPr>
            <w:r>
              <w:rPr>
                <w:rFonts w:ascii="Arial" w:cs="Arial" w:eastAsia="Arial" w:hAnsi="Arial"/>
                <w:sz w:val="14"/>
                <w:szCs w:val="14"/>
                <w:b w:val="1"/>
                <w:bCs w:val="1"/>
                <w:color w:val="auto"/>
                <w:w w:val="92"/>
              </w:rPr>
              <w:t>Adjustments</w:t>
            </w:r>
            <w:r>
              <w:rPr>
                <w:rFonts w:ascii="Arial" w:cs="Arial" w:eastAsia="Arial" w:hAnsi="Arial"/>
                <w:sz w:val="17"/>
                <w:szCs w:val="17"/>
                <w:b w:val="1"/>
                <w:bCs w:val="1"/>
                <w:color w:val="auto"/>
                <w:w w:val="92"/>
                <w:vertAlign w:val="superscript"/>
              </w:rPr>
              <w:t>(1)(2)</w:t>
            </w:r>
          </w:p>
        </w:tc>
        <w:tc>
          <w:tcPr>
            <w:tcW w:w="200" w:type="dxa"/>
            <w:vAlign w:val="bottom"/>
            <w:tcBorders>
              <w:bottom w:val="single" w:sz="8" w:color="2C6937"/>
            </w:tcBorders>
          </w:tcPr>
          <w:p>
            <w:pPr>
              <w:spacing w:after="0"/>
              <w:rPr>
                <w:sz w:val="17"/>
                <w:szCs w:val="17"/>
                <w:color w:val="auto"/>
              </w:rPr>
            </w:pPr>
          </w:p>
        </w:tc>
        <w:tc>
          <w:tcPr>
            <w:tcW w:w="1860" w:type="dxa"/>
            <w:vAlign w:val="bottom"/>
            <w:tcBorders>
              <w:bottom w:val="single" w:sz="8" w:color="2C6937"/>
            </w:tcBorders>
            <w:gridSpan w:val="2"/>
          </w:tcPr>
          <w:p>
            <w:pPr>
              <w:jc w:val="center"/>
              <w:ind w:right="260"/>
              <w:spacing w:after="0"/>
              <w:rPr>
                <w:sz w:val="20"/>
                <w:szCs w:val="20"/>
                <w:color w:val="auto"/>
              </w:rPr>
            </w:pPr>
            <w:r>
              <w:rPr>
                <w:rFonts w:ascii="Arial" w:cs="Arial" w:eastAsia="Arial" w:hAnsi="Arial"/>
                <w:sz w:val="14"/>
                <w:szCs w:val="14"/>
                <w:b w:val="1"/>
                <w:bCs w:val="1"/>
                <w:color w:val="auto"/>
                <w:w w:val="97"/>
              </w:rPr>
              <w:t>Discontinued Hedge</w:t>
            </w:r>
          </w:p>
        </w:tc>
        <w:tc>
          <w:tcPr>
            <w:tcW w:w="1540" w:type="dxa"/>
            <w:vAlign w:val="bottom"/>
            <w:tcBorders>
              <w:bottom w:val="single" w:sz="8" w:color="2C6937"/>
            </w:tcBorders>
            <w:gridSpan w:val="2"/>
          </w:tcPr>
          <w:p>
            <w:pPr>
              <w:jc w:val="right"/>
              <w:ind w:right="7"/>
              <w:spacing w:after="0"/>
              <w:rPr>
                <w:sz w:val="20"/>
                <w:szCs w:val="20"/>
                <w:color w:val="auto"/>
              </w:rPr>
            </w:pPr>
            <w:r>
              <w:rPr>
                <w:rFonts w:ascii="Arial" w:cs="Arial" w:eastAsia="Arial" w:hAnsi="Arial"/>
                <w:sz w:val="14"/>
                <w:szCs w:val="14"/>
                <w:b w:val="1"/>
                <w:bCs w:val="1"/>
                <w:color w:val="auto"/>
              </w:rPr>
              <w:t>Total Amortized Cost</w:t>
            </w:r>
          </w:p>
        </w:tc>
        <w:tc>
          <w:tcPr>
            <w:tcW w:w="300" w:type="dxa"/>
            <w:vAlign w:val="bottom"/>
            <w:tcBorders>
              <w:bottom w:val="single" w:sz="8" w:color="2C6937"/>
            </w:tcBorders>
          </w:tcPr>
          <w:p>
            <w:pPr>
              <w:spacing w:after="0"/>
              <w:rPr>
                <w:sz w:val="17"/>
                <w:szCs w:val="17"/>
                <w:color w:val="auto"/>
              </w:rPr>
            </w:pPr>
          </w:p>
        </w:tc>
        <w:tc>
          <w:tcPr>
            <w:tcW w:w="1360" w:type="dxa"/>
            <w:vAlign w:val="bottom"/>
            <w:tcBorders>
              <w:bottom w:val="single" w:sz="8" w:color="2C6937"/>
            </w:tcBorders>
          </w:tcPr>
          <w:p>
            <w:pPr>
              <w:jc w:val="right"/>
              <w:ind w:right="146"/>
              <w:spacing w:after="0"/>
              <w:rPr>
                <w:sz w:val="20"/>
                <w:szCs w:val="20"/>
                <w:color w:val="auto"/>
              </w:rPr>
            </w:pPr>
            <w:r>
              <w:rPr>
                <w:rFonts w:ascii="Arial" w:cs="Arial" w:eastAsia="Arial" w:hAnsi="Arial"/>
                <w:sz w:val="14"/>
                <w:szCs w:val="14"/>
                <w:b w:val="1"/>
                <w:bCs w:val="1"/>
                <w:color w:val="auto"/>
              </w:rPr>
              <w:t>Designated UPB</w:t>
            </w:r>
          </w:p>
        </w:tc>
      </w:tr>
      <w:tr>
        <w:trPr>
          <w:trHeight w:val="185"/>
        </w:trPr>
        <w:tc>
          <w:tcPr>
            <w:tcW w:w="2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(Dollars in millions)</w:t>
            </w: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6"/>
        </w:trPr>
        <w:tc>
          <w:tcPr>
            <w:tcW w:w="2760" w:type="dxa"/>
            <w:vAlign w:val="bottom"/>
          </w:tcPr>
          <w:p>
            <w:pPr>
              <w:spacing w:after="0"/>
              <w:rPr>
                <w:sz w:val="20"/>
                <w:szCs w:val="20"/>
                <w:color w:val="auto"/>
              </w:rPr>
            </w:pPr>
            <w:r>
              <w:rPr>
                <w:rFonts w:ascii="Arial" w:cs="Arial" w:eastAsia="Arial" w:hAnsi="Arial"/>
                <w:sz w:val="15"/>
                <w:szCs w:val="15"/>
                <w:color w:val="auto"/>
              </w:rPr>
              <w:t>Mortgage loans HFI</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126"/>
              <w:spacing w:after="0"/>
              <w:rPr>
                <w:sz w:val="20"/>
                <w:szCs w:val="20"/>
                <w:color w:val="auto"/>
              </w:rPr>
            </w:pPr>
            <w:r>
              <w:rPr>
                <w:rFonts w:ascii="Arial" w:cs="Arial" w:eastAsia="Arial" w:hAnsi="Arial"/>
                <w:sz w:val="15"/>
                <w:szCs w:val="15"/>
                <w:color w:val="auto"/>
              </w:rPr>
              <w:t>449,137</w:t>
            </w:r>
          </w:p>
        </w:tc>
        <w:tc>
          <w:tcPr>
            <w:tcW w:w="1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8"/>
              <w:spacing w:after="0"/>
              <w:rPr>
                <w:sz w:val="20"/>
                <w:szCs w:val="20"/>
                <w:color w:val="auto"/>
              </w:rPr>
            </w:pPr>
            <w:r>
              <w:rPr>
                <w:rFonts w:ascii="Arial" w:cs="Arial" w:eastAsia="Arial" w:hAnsi="Arial"/>
                <w:sz w:val="15"/>
                <w:szCs w:val="15"/>
                <w:color w:val="auto"/>
              </w:rPr>
              <w:t>(174)</w:t>
            </w:r>
          </w:p>
        </w:tc>
        <w:tc>
          <w:tcPr>
            <w:tcW w:w="200" w:type="dxa"/>
            <w:vAlign w:val="bottom"/>
          </w:tcPr>
          <w:p>
            <w:pPr>
              <w:jc w:val="center"/>
              <w:ind w:left="7"/>
              <w:spacing w:after="0"/>
              <w:rPr>
                <w:sz w:val="20"/>
                <w:szCs w:val="20"/>
                <w:color w:val="auto"/>
              </w:rPr>
            </w:pPr>
            <w:r>
              <w:rPr>
                <w:rFonts w:ascii="Arial" w:cs="Arial" w:eastAsia="Arial" w:hAnsi="Arial"/>
                <w:sz w:val="15"/>
                <w:szCs w:val="15"/>
                <w:color w:val="auto"/>
                <w:w w:val="95"/>
              </w:rPr>
              <w:t>$</w:t>
            </w:r>
          </w:p>
        </w:tc>
        <w:tc>
          <w:tcPr>
            <w:tcW w:w="1720" w:type="dxa"/>
            <w:vAlign w:val="bottom"/>
          </w:tcPr>
          <w:p>
            <w:pPr>
              <w:jc w:val="right"/>
              <w:spacing w:after="0"/>
              <w:rPr>
                <w:sz w:val="20"/>
                <w:szCs w:val="20"/>
                <w:color w:val="auto"/>
              </w:rPr>
            </w:pPr>
            <w:r>
              <w:rPr>
                <w:rFonts w:ascii="Arial" w:cs="Arial" w:eastAsia="Arial" w:hAnsi="Arial"/>
                <w:sz w:val="15"/>
                <w:szCs w:val="15"/>
                <w:color w:val="auto"/>
              </w:rPr>
              <w:t>(174)</w:t>
            </w:r>
          </w:p>
        </w:tc>
        <w:tc>
          <w:tcPr>
            <w:tcW w:w="1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218,419</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9,955</w:t>
            </w:r>
          </w:p>
        </w:tc>
      </w:tr>
      <w:tr>
        <w:trPr>
          <w:trHeight w:val="232"/>
        </w:trPr>
        <w:tc>
          <w:tcPr>
            <w:tcW w:w="2760" w:type="dxa"/>
            <w:vAlign w:val="bottom"/>
          </w:tcPr>
          <w:p>
            <w:pPr>
              <w:spacing w:after="0"/>
              <w:rPr>
                <w:sz w:val="20"/>
                <w:szCs w:val="20"/>
                <w:color w:val="auto"/>
              </w:rPr>
            </w:pPr>
            <w:r>
              <w:rPr>
                <w:rFonts w:ascii="Arial" w:cs="Arial" w:eastAsia="Arial" w:hAnsi="Arial"/>
                <w:sz w:val="15"/>
                <w:szCs w:val="15"/>
                <w:color w:val="auto"/>
              </w:rPr>
              <w:t>Debt of Fannie Mae</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jc w:val="right"/>
              <w:ind w:right="66"/>
              <w:spacing w:after="0"/>
              <w:rPr>
                <w:sz w:val="20"/>
                <w:szCs w:val="20"/>
                <w:color w:val="auto"/>
              </w:rPr>
            </w:pPr>
            <w:r>
              <w:rPr>
                <w:rFonts w:ascii="Arial" w:cs="Arial" w:eastAsia="Arial" w:hAnsi="Arial"/>
                <w:sz w:val="15"/>
                <w:szCs w:val="15"/>
                <w:color w:val="auto"/>
              </w:rPr>
              <w:t>(59,462)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48"/>
              <w:spacing w:after="0"/>
              <w:rPr>
                <w:sz w:val="20"/>
                <w:szCs w:val="20"/>
                <w:color w:val="auto"/>
              </w:rPr>
            </w:pPr>
            <w:r>
              <w:rPr>
                <w:rFonts w:ascii="Arial" w:cs="Arial" w:eastAsia="Arial" w:hAnsi="Arial"/>
                <w:sz w:val="15"/>
                <w:szCs w:val="15"/>
                <w:color w:val="auto"/>
              </w:rPr>
              <w:t>3,751</w:t>
            </w:r>
          </w:p>
        </w:tc>
        <w:tc>
          <w:tcPr>
            <w:tcW w:w="2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3,751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7"/>
              <w:spacing w:after="0"/>
              <w:rPr>
                <w:sz w:val="20"/>
                <w:szCs w:val="20"/>
                <w:color w:val="auto"/>
              </w:rPr>
            </w:pPr>
            <w:r>
              <w:rPr>
                <w:rFonts w:ascii="Arial" w:cs="Arial" w:eastAsia="Arial" w:hAnsi="Arial"/>
                <w:sz w:val="15"/>
                <w:szCs w:val="15"/>
                <w:color w:val="auto"/>
              </w:rPr>
              <w:t>N/A</w:t>
            </w:r>
          </w:p>
        </w:tc>
        <w:tc>
          <w:tcPr>
            <w:tcW w:w="300" w:type="dxa"/>
            <w:vAlign w:val="bottom"/>
          </w:tcPr>
          <w:p>
            <w:pPr>
              <w:spacing w:after="0"/>
              <w:rPr>
                <w:sz w:val="20"/>
                <w:szCs w:val="20"/>
                <w:color w:val="auto"/>
              </w:rPr>
            </w:pPr>
          </w:p>
        </w:tc>
        <w:tc>
          <w:tcPr>
            <w:tcW w:w="1360" w:type="dxa"/>
            <w:vAlign w:val="bottom"/>
          </w:tcPr>
          <w:p>
            <w:pPr>
              <w:jc w:val="right"/>
              <w:ind w:right="6"/>
              <w:spacing w:after="0"/>
              <w:rPr>
                <w:sz w:val="20"/>
                <w:szCs w:val="20"/>
                <w:color w:val="auto"/>
              </w:rPr>
            </w:pPr>
            <w:r>
              <w:rPr>
                <w:rFonts w:ascii="Arial" w:cs="Arial" w:eastAsia="Arial" w:hAnsi="Arial"/>
                <w:sz w:val="15"/>
                <w:szCs w:val="15"/>
                <w:color w:val="auto"/>
              </w:rPr>
              <w:t>N/A</w:t>
            </w:r>
          </w:p>
        </w:tc>
      </w:tr>
    </w:tbl>
    <w:p>
      <w:pPr>
        <w:spacing w:after="0" w:line="96" w:lineRule="exact"/>
        <w:rPr>
          <w:sz w:val="20"/>
          <w:szCs w:val="20"/>
          <w:color w:val="auto"/>
        </w:rPr>
      </w:pPr>
    </w:p>
    <w:p>
      <w:pPr>
        <w:ind w:left="220" w:hanging="217"/>
        <w:spacing w:after="0"/>
        <w:tabs>
          <w:tab w:leader="none" w:pos="220" w:val="left"/>
        </w:tabs>
        <w:numPr>
          <w:ilvl w:val="0"/>
          <w:numId w:val="89"/>
        </w:numPr>
        <w:rPr>
          <w:rFonts w:ascii="Arial" w:cs="Arial" w:eastAsia="Arial" w:hAnsi="Arial"/>
          <w:sz w:val="18"/>
          <w:szCs w:val="18"/>
          <w:color w:val="auto"/>
          <w:vertAlign w:val="superscript"/>
        </w:rPr>
      </w:pPr>
      <w:r>
        <w:rPr>
          <w:rFonts w:ascii="Arial" w:cs="Arial" w:eastAsia="Arial" w:hAnsi="Arial"/>
          <w:sz w:val="14"/>
          <w:szCs w:val="14"/>
          <w:color w:val="auto"/>
        </w:rPr>
        <w:t>No basis adjustment associated with open hedges, as all hedges are designated at the close of business with a one-day term.</w:t>
      </w:r>
    </w:p>
    <w:p>
      <w:pPr>
        <w:spacing w:after="0" w:line="25"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89"/>
        </w:numPr>
        <w:rPr>
          <w:rFonts w:ascii="Arial" w:cs="Arial" w:eastAsia="Arial" w:hAnsi="Arial"/>
          <w:sz w:val="9"/>
          <w:szCs w:val="9"/>
          <w:color w:val="auto"/>
        </w:rPr>
      </w:pPr>
      <w:r>
        <w:rPr>
          <w:rFonts w:ascii="Arial" w:cs="Arial" w:eastAsia="Arial" w:hAnsi="Arial"/>
          <w:sz w:val="14"/>
          <w:szCs w:val="14"/>
          <w:color w:val="auto"/>
        </w:rPr>
        <w:t>Based on the unamortized balance of the hedge-related cost basis.</w:t>
      </w:r>
    </w:p>
    <w:p>
      <w:pPr>
        <w:spacing w:after="0" w:line="155"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Derivative Counterparty Credit Exposure</w:t>
      </w:r>
    </w:p>
    <w:p>
      <w:pPr>
        <w:spacing w:after="0" w:line="81"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Our derivative counterparty credit exposure relates principally to interest-rate derivative contracts. We are exposed to the risk that a counterparty in a derivative transaction will default on payments due to us, which may require us to seek a replacement derivative from a different counterparty. This replacement may be at a higher cost, or we may be unable to find a suitable replacement. We manage our derivative counterparty credit exposure relating to our risk management derivative transactions mainly through enforceable master netting arrangements, which allow us to net derivative assets and liabilities with the same counterparty or clearing organization and clearing member. For our OTC derivative transactions, we require counterparties to post collateral, which may include cash, U.S. Treasury securities, agency debt and agency mortgage-related securities. See “Note 12, Netting Arrangements” for information on our rights to offset assets and liabilities as of September 30, 2024 and December 31, 2023.</w:t>
      </w:r>
    </w:p>
    <w:p>
      <w:pPr>
        <w:spacing w:after="0" w:line="4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For certain OTC derivatives, the amount of collateral we pledge to counterparties related to our derivative instruments is determined after considering our credit ratings. Currently, our long-term senior debt is rated AA+ or above by S&amp;P Global Ratings and Moody's Investors Service. If our long-term senior debt credit ratings were downgraded to established thresholds in our OTC derivative contracts, which range from A3/A- to Baa2/BBB or below, we would be required to provide additional collateral to certain counterparties. The aggregate fair value of our OTC derivative instruments with credit-risk-related contingent features that were in a net liability position was $1.2 billion and $1.8 billion, for which we posted collateral of $942 million and $1.6 billion as of September 30, 2024 and December 31, 2023, respectively. If our credit ratings were downgraded to Baa2/BBB or below, the maximum additional collateral we would have been required to post to our counterparties as of September 30, 2024 and December 31, 2023 would have been $647 million and $798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495300</wp:posOffset>
            </wp:positionV>
            <wp:extent cx="680593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01" w:name="page102"/>
    <w:bookmarkEnd w:id="101"/>
    <w:p>
      <w:pPr>
        <w:ind w:left="6420"/>
        <w:spacing w:after="0"/>
        <w:rPr>
          <w:sz w:val="20"/>
          <w:szCs w:val="20"/>
          <w:color w:val="auto"/>
        </w:rPr>
      </w:pPr>
      <w:r>
        <w:rPr>
          <w:rFonts w:ascii="Arial" w:cs="Arial" w:eastAsia="Arial" w:hAnsi="Arial"/>
          <w:sz w:val="14"/>
          <w:szCs w:val="14"/>
          <w:color w:val="05314D"/>
        </w:rPr>
        <w:t>Notes to Condensed Consolidated Financial Statements | Segment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10. Segment Reporting</w:t>
      </w:r>
    </w:p>
    <w:p>
      <w:pPr>
        <w:spacing w:after="0" w:line="80"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We have two reportable business segments, which are based on the type of business activities each perform: Single-Family and Multifamily. Results of our two business segments are intended to reflect each segment as if it were a stand-alone business. The sum of the results for our two business segments equals our condensed consolidated results of operations. For additional information related to our business segments, including basis of organization and other segment activities, see “Note 11, Segment Reporting” in our 2023 Form 10-K.</w:t>
      </w:r>
    </w:p>
    <w:p>
      <w:pPr>
        <w:spacing w:after="0" w:line="68"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Segment Allocations and Results</w:t>
      </w:r>
    </w:p>
    <w:p>
      <w:pPr>
        <w:spacing w:after="0" w:line="68"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majority of our revenues and expenses are directly associated with each respective business segment and are included in determining its operating results. Those revenues and expenses that are not directly attributable to a particular business segment are allocated based on the size of each segment’s guaranty book of business. As a result, the sum of each income statement line item for the two reportable segments is equal to that same income statement line item for the consolidated entity.</w:t>
      </w:r>
    </w:p>
    <w:p>
      <w:pPr>
        <w:spacing w:after="0" w:line="33"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 substantial majority of the gains and losses associated with our risk management derivatives, including the impact of hedge accounting, are allocated to our Single-Family business segment. In the current period, there were no significant changes to our segment allocation methodology.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342900</wp:posOffset>
            </wp:positionV>
            <wp:extent cx="680593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02" w:name="page103"/>
    <w:bookmarkEnd w:id="102"/>
    <w:p>
      <w:pPr>
        <w:ind w:left="6420"/>
        <w:spacing w:after="0"/>
        <w:rPr>
          <w:sz w:val="20"/>
          <w:szCs w:val="20"/>
          <w:color w:val="auto"/>
        </w:rPr>
      </w:pPr>
      <w:r>
        <w:rPr>
          <w:rFonts w:ascii="Arial" w:cs="Arial" w:eastAsia="Arial" w:hAnsi="Arial"/>
          <w:sz w:val="14"/>
          <w:szCs w:val="14"/>
          <w:color w:val="05314D"/>
        </w:rPr>
        <w:t>Notes to Condensed Consolidated Financial Statements | Segment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displays our segment results.</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2C6937"/>
            </w:tcBorders>
          </w:tcPr>
          <w:p>
            <w:pPr>
              <w:spacing w:after="0"/>
              <w:rPr>
                <w:sz w:val="17"/>
                <w:szCs w:val="17"/>
                <w:color w:val="auto"/>
              </w:rPr>
            </w:pPr>
          </w:p>
        </w:tc>
        <w:tc>
          <w:tcPr>
            <w:tcW w:w="72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4460" w:type="dxa"/>
            <w:vAlign w:val="bottom"/>
            <w:tcBorders>
              <w:bottom w:val="single" w:sz="8" w:color="2C6937"/>
            </w:tcBorders>
            <w:gridSpan w:val="11"/>
          </w:tcPr>
          <w:p>
            <w:pPr>
              <w:jc w:val="center"/>
              <w:ind w:right="320"/>
              <w:spacing w:after="0"/>
              <w:rPr>
                <w:sz w:val="20"/>
                <w:szCs w:val="20"/>
                <w:color w:val="auto"/>
              </w:rPr>
            </w:pPr>
            <w:r>
              <w:rPr>
                <w:rFonts w:ascii="Arial" w:cs="Arial" w:eastAsia="Arial" w:hAnsi="Arial"/>
                <w:sz w:val="15"/>
                <w:szCs w:val="15"/>
                <w:b w:val="1"/>
                <w:bCs w:val="1"/>
                <w:color w:val="auto"/>
                <w:w w:val="97"/>
              </w:rPr>
              <w:t>For the Three Months Ended September 30,</w:t>
            </w:r>
          </w:p>
        </w:tc>
        <w:tc>
          <w:tcPr>
            <w:tcW w:w="200" w:type="dxa"/>
            <w:vAlign w:val="bottom"/>
            <w:tcBorders>
              <w:bottom w:val="single" w:sz="8" w:color="2C6937"/>
            </w:tcBorders>
          </w:tcPr>
          <w:p>
            <w:pPr>
              <w:spacing w:after="0"/>
              <w:rPr>
                <w:sz w:val="17"/>
                <w:szCs w:val="17"/>
                <w:color w:val="auto"/>
              </w:rPr>
            </w:pPr>
          </w:p>
        </w:tc>
        <w:tc>
          <w:tcPr>
            <w:tcW w:w="720" w:type="dxa"/>
            <w:vAlign w:val="bottom"/>
            <w:tcBorders>
              <w:bottom w:val="single" w:sz="8" w:color="2C6937"/>
            </w:tcBorders>
          </w:tcPr>
          <w:p>
            <w:pPr>
              <w:spacing w:after="0"/>
              <w:rPr>
                <w:sz w:val="17"/>
                <w:szCs w:val="17"/>
                <w:color w:val="auto"/>
              </w:rPr>
            </w:pPr>
          </w:p>
        </w:tc>
      </w:tr>
      <w:tr>
        <w:trPr>
          <w:trHeight w:val="186"/>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ind w:right="367"/>
              <w:spacing w:after="0"/>
              <w:rPr>
                <w:sz w:val="20"/>
                <w:szCs w:val="20"/>
                <w:color w:val="auto"/>
              </w:rPr>
            </w:pPr>
            <w:r>
              <w:rPr>
                <w:rFonts w:ascii="Arial" w:cs="Arial" w:eastAsia="Arial" w:hAnsi="Arial"/>
                <w:sz w:val="15"/>
                <w:szCs w:val="15"/>
                <w:b w:val="1"/>
                <w:bCs w:val="1"/>
                <w:color w:val="auto"/>
              </w:rPr>
              <w:t>2024</w:t>
            </w:r>
          </w:p>
        </w:tc>
        <w:tc>
          <w:tcPr>
            <w:tcW w:w="120" w:type="dxa"/>
            <w:vAlign w:val="bottom"/>
            <w:tcBorders>
              <w:bottom w:val="single" w:sz="8" w:color="2C6937"/>
            </w:tcBorders>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ind w:right="387"/>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bottom w:val="single" w:sz="8" w:color="2C6937"/>
            </w:tcBorders>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spacing w:after="0"/>
              <w:rPr>
                <w:sz w:val="16"/>
                <w:szCs w:val="16"/>
                <w:color w:val="auto"/>
              </w:rPr>
            </w:pPr>
          </w:p>
        </w:tc>
      </w:tr>
      <w:tr>
        <w:trPr>
          <w:trHeight w:val="225"/>
        </w:trPr>
        <w:tc>
          <w:tcPr>
            <w:tcW w:w="4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Borders>
              <w:bottom w:val="single" w:sz="8" w:color="2C6937"/>
            </w:tcBorders>
            <w:gridSpan w:val="3"/>
          </w:tcPr>
          <w:p>
            <w:pPr>
              <w:ind w:left="20"/>
              <w:spacing w:after="0"/>
              <w:rPr>
                <w:sz w:val="20"/>
                <w:szCs w:val="20"/>
                <w:color w:val="auto"/>
              </w:rPr>
            </w:pPr>
            <w:r>
              <w:rPr>
                <w:rFonts w:ascii="Arial" w:cs="Arial" w:eastAsia="Arial" w:hAnsi="Arial"/>
                <w:sz w:val="15"/>
                <w:szCs w:val="15"/>
                <w:b w:val="1"/>
                <w:bCs w:val="1"/>
                <w:color w:val="auto"/>
              </w:rPr>
              <w:t>Single-Family</w:t>
            </w:r>
          </w:p>
        </w:tc>
        <w:tc>
          <w:tcPr>
            <w:tcW w:w="140" w:type="dxa"/>
            <w:vAlign w:val="bottom"/>
            <w:tcBorders>
              <w:bottom w:val="single" w:sz="8" w:color="2C6937"/>
            </w:tcBorders>
          </w:tcPr>
          <w:p>
            <w:pPr>
              <w:spacing w:after="0"/>
              <w:rPr>
                <w:sz w:val="19"/>
                <w:szCs w:val="19"/>
                <w:color w:val="auto"/>
              </w:rPr>
            </w:pPr>
          </w:p>
        </w:tc>
        <w:tc>
          <w:tcPr>
            <w:tcW w:w="1100" w:type="dxa"/>
            <w:vAlign w:val="bottom"/>
            <w:tcBorders>
              <w:bottom w:val="single" w:sz="8" w:color="2C6937"/>
            </w:tcBorders>
            <w:gridSpan w:val="2"/>
          </w:tcPr>
          <w:p>
            <w:pPr>
              <w:ind w:left="40"/>
              <w:spacing w:after="0"/>
              <w:rPr>
                <w:sz w:val="20"/>
                <w:szCs w:val="20"/>
                <w:color w:val="auto"/>
              </w:rPr>
            </w:pPr>
            <w:r>
              <w:rPr>
                <w:rFonts w:ascii="Arial" w:cs="Arial" w:eastAsia="Arial" w:hAnsi="Arial"/>
                <w:sz w:val="15"/>
                <w:szCs w:val="15"/>
                <w:b w:val="1"/>
                <w:bCs w:val="1"/>
                <w:color w:val="auto"/>
              </w:rPr>
              <w:t>Multifamily</w:t>
            </w:r>
          </w:p>
        </w:tc>
        <w:tc>
          <w:tcPr>
            <w:tcW w:w="180" w:type="dxa"/>
            <w:vAlign w:val="bottom"/>
            <w:tcBorders>
              <w:bottom w:val="single" w:sz="8" w:color="2C6937"/>
            </w:tcBorders>
          </w:tcPr>
          <w:p>
            <w:pPr>
              <w:spacing w:after="0"/>
              <w:rPr>
                <w:sz w:val="19"/>
                <w:szCs w:val="19"/>
                <w:color w:val="auto"/>
              </w:rPr>
            </w:pPr>
          </w:p>
        </w:tc>
        <w:tc>
          <w:tcPr>
            <w:tcW w:w="820" w:type="dxa"/>
            <w:vAlign w:val="bottom"/>
            <w:tcBorders>
              <w:bottom w:val="single" w:sz="8" w:color="2C6937"/>
            </w:tcBorders>
            <w:gridSpan w:val="2"/>
          </w:tcPr>
          <w:p>
            <w:pPr>
              <w:ind w:left="100"/>
              <w:spacing w:after="0"/>
              <w:rPr>
                <w:sz w:val="20"/>
                <w:szCs w:val="20"/>
                <w:color w:val="auto"/>
              </w:rPr>
            </w:pPr>
            <w:r>
              <w:rPr>
                <w:rFonts w:ascii="Arial" w:cs="Arial" w:eastAsia="Arial" w:hAnsi="Arial"/>
                <w:sz w:val="15"/>
                <w:szCs w:val="15"/>
                <w:b w:val="1"/>
                <w:bCs w:val="1"/>
                <w:color w:val="auto"/>
              </w:rPr>
              <w:t>Total</w:t>
            </w:r>
          </w:p>
        </w:tc>
        <w:tc>
          <w:tcPr>
            <w:tcW w:w="1140" w:type="dxa"/>
            <w:vAlign w:val="bottom"/>
            <w:tcBorders>
              <w:bottom w:val="single" w:sz="8" w:color="2C6937"/>
            </w:tcBorders>
            <w:gridSpan w:val="3"/>
          </w:tcPr>
          <w:p>
            <w:pPr>
              <w:ind w:left="40"/>
              <w:spacing w:after="0"/>
              <w:rPr>
                <w:sz w:val="20"/>
                <w:szCs w:val="20"/>
                <w:color w:val="auto"/>
              </w:rPr>
            </w:pPr>
            <w:r>
              <w:rPr>
                <w:rFonts w:ascii="Arial" w:cs="Arial" w:eastAsia="Arial" w:hAnsi="Arial"/>
                <w:sz w:val="15"/>
                <w:szCs w:val="15"/>
                <w:b w:val="1"/>
                <w:bCs w:val="1"/>
                <w:color w:val="auto"/>
              </w:rPr>
              <w:t>Single-Family</w:t>
            </w:r>
          </w:p>
        </w:tc>
        <w:tc>
          <w:tcPr>
            <w:tcW w:w="14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gridSpan w:val="2"/>
          </w:tcPr>
          <w:p>
            <w:pPr>
              <w:ind w:left="40"/>
              <w:spacing w:after="0"/>
              <w:rPr>
                <w:sz w:val="20"/>
                <w:szCs w:val="20"/>
                <w:color w:val="auto"/>
              </w:rPr>
            </w:pPr>
            <w:r>
              <w:rPr>
                <w:rFonts w:ascii="Arial" w:cs="Arial" w:eastAsia="Arial" w:hAnsi="Arial"/>
                <w:sz w:val="15"/>
                <w:szCs w:val="15"/>
                <w:b w:val="1"/>
                <w:bCs w:val="1"/>
                <w:color w:val="auto"/>
              </w:rPr>
              <w:t>Multifamily</w:t>
            </w:r>
          </w:p>
        </w:tc>
        <w:tc>
          <w:tcPr>
            <w:tcW w:w="200" w:type="dxa"/>
            <w:vAlign w:val="bottom"/>
            <w:tcBorders>
              <w:bottom w:val="single" w:sz="8" w:color="2C6937"/>
            </w:tcBorders>
          </w:tcPr>
          <w:p>
            <w:pPr>
              <w:spacing w:after="0"/>
              <w:rPr>
                <w:sz w:val="19"/>
                <w:szCs w:val="19"/>
                <w:color w:val="auto"/>
              </w:rPr>
            </w:pPr>
          </w:p>
        </w:tc>
        <w:tc>
          <w:tcPr>
            <w:tcW w:w="720" w:type="dxa"/>
            <w:vAlign w:val="bottom"/>
            <w:tcBorders>
              <w:bottom w:val="single" w:sz="8" w:color="2C6937"/>
            </w:tcBorders>
          </w:tcPr>
          <w:p>
            <w:pPr>
              <w:jc w:val="right"/>
              <w:ind w:right="227"/>
              <w:spacing w:after="0"/>
              <w:rPr>
                <w:sz w:val="20"/>
                <w:szCs w:val="20"/>
                <w:color w:val="auto"/>
              </w:rPr>
            </w:pPr>
            <w:r>
              <w:rPr>
                <w:rFonts w:ascii="Arial" w:cs="Arial" w:eastAsia="Arial" w:hAnsi="Arial"/>
                <w:sz w:val="15"/>
                <w:szCs w:val="15"/>
                <w:b w:val="1"/>
                <w:bCs w:val="1"/>
                <w:color w:val="auto"/>
              </w:rPr>
              <w:t>Total</w:t>
            </w:r>
          </w:p>
        </w:tc>
      </w:tr>
      <w:tr>
        <w:trPr>
          <w:trHeight w:val="193"/>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gridSpan w:val="5"/>
          </w:tcPr>
          <w:p>
            <w:pPr>
              <w:ind w:left="120"/>
              <w:spacing w:after="0"/>
              <w:rPr>
                <w:sz w:val="20"/>
                <w:szCs w:val="20"/>
                <w:color w:val="auto"/>
              </w:rPr>
            </w:pPr>
            <w:r>
              <w:rPr>
                <w:rFonts w:ascii="Arial" w:cs="Arial" w:eastAsia="Arial" w:hAnsi="Arial"/>
                <w:sz w:val="15"/>
                <w:szCs w:val="15"/>
                <w:b w:val="1"/>
                <w:bCs w:val="1"/>
                <w:color w:val="auto"/>
              </w:rPr>
              <w:t>(Dollars in millions)</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332"/>
        </w:trPr>
        <w:tc>
          <w:tcPr>
            <w:tcW w:w="4620" w:type="dxa"/>
            <w:vAlign w:val="bottom"/>
            <w:gridSpan w:val="2"/>
          </w:tcPr>
          <w:p>
            <w:pPr>
              <w:ind w:left="20"/>
              <w:spacing w:after="0"/>
              <w:rPr>
                <w:sz w:val="20"/>
                <w:szCs w:val="20"/>
                <w:color w:val="auto"/>
              </w:rPr>
            </w:pPr>
            <w:r>
              <w:rPr>
                <w:rFonts w:ascii="Arial" w:cs="Arial" w:eastAsia="Arial" w:hAnsi="Arial"/>
                <w:sz w:val="15"/>
                <w:szCs w:val="15"/>
                <w:color w:val="auto"/>
              </w:rPr>
              <w:t>Net interest income</w:t>
            </w:r>
            <w:r>
              <w:rPr>
                <w:rFonts w:ascii="Arial" w:cs="Arial" w:eastAsia="Arial" w:hAnsi="Arial"/>
                <w:sz w:val="18"/>
                <w:szCs w:val="18"/>
                <w:color w:val="auto"/>
                <w:vertAlign w:val="superscript"/>
              </w:rPr>
              <w:t>(1)</w:t>
            </w:r>
          </w:p>
        </w:tc>
        <w:tc>
          <w:tcPr>
            <w:tcW w:w="280" w:type="dxa"/>
            <w:vAlign w:val="bottom"/>
          </w:tcPr>
          <w:p>
            <w:pPr>
              <w:spacing w:after="0"/>
              <w:rPr>
                <w:sz w:val="20"/>
                <w:szCs w:val="20"/>
                <w:color w:val="auto"/>
              </w:rPr>
            </w:pPr>
            <w:r>
              <w:rPr>
                <w:rFonts w:ascii="Arial" w:cs="Arial" w:eastAsia="Arial" w:hAnsi="Arial"/>
                <w:sz w:val="15"/>
                <w:szCs w:val="15"/>
                <w:b w:val="1"/>
                <w:bCs w:val="1"/>
                <w:color w:val="auto"/>
              </w:rPr>
              <w:t>$</w:t>
            </w: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6,131</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1,144</w:t>
            </w:r>
          </w:p>
        </w:tc>
        <w:tc>
          <w:tcPr>
            <w:tcW w:w="120" w:type="dxa"/>
            <w:vAlign w:val="bottom"/>
          </w:tcPr>
          <w:p>
            <w:pPr>
              <w:spacing w:after="0"/>
              <w:rPr>
                <w:sz w:val="24"/>
                <w:szCs w:val="24"/>
                <w:color w:val="auto"/>
              </w:rPr>
            </w:pPr>
          </w:p>
        </w:tc>
        <w:tc>
          <w:tcPr>
            <w:tcW w:w="180" w:type="dxa"/>
            <w:vAlign w:val="bottom"/>
          </w:tcPr>
          <w:p>
            <w:pPr>
              <w:jc w:val="right"/>
              <w:ind w:right="7"/>
              <w:spacing w:after="0"/>
              <w:rPr>
                <w:sz w:val="20"/>
                <w:szCs w:val="20"/>
                <w:color w:val="auto"/>
              </w:rPr>
            </w:pPr>
            <w:r>
              <w:rPr>
                <w:rFonts w:ascii="Arial" w:cs="Arial" w:eastAsia="Arial" w:hAnsi="Arial"/>
                <w:sz w:val="15"/>
                <w:szCs w:val="15"/>
                <w:b w:val="1"/>
                <w:bCs w:val="1"/>
                <w:color w:val="auto"/>
                <w:w w:val="95"/>
              </w:rPr>
              <w:t>$</w:t>
            </w:r>
          </w:p>
        </w:tc>
        <w:tc>
          <w:tcPr>
            <w:tcW w:w="720" w:type="dxa"/>
            <w:vAlign w:val="bottom"/>
          </w:tcPr>
          <w:p>
            <w:pPr>
              <w:jc w:val="right"/>
              <w:ind w:right="7"/>
              <w:spacing w:after="0"/>
              <w:rPr>
                <w:sz w:val="20"/>
                <w:szCs w:val="20"/>
                <w:color w:val="auto"/>
              </w:rPr>
            </w:pPr>
            <w:r>
              <w:rPr>
                <w:rFonts w:ascii="Arial" w:cs="Arial" w:eastAsia="Arial" w:hAnsi="Arial"/>
                <w:sz w:val="15"/>
                <w:szCs w:val="15"/>
                <w:b w:val="1"/>
                <w:bCs w:val="1"/>
                <w:color w:val="auto"/>
              </w:rPr>
              <w:t>7,275</w:t>
            </w:r>
          </w:p>
        </w:tc>
        <w:tc>
          <w:tcPr>
            <w:tcW w:w="100" w:type="dxa"/>
            <w:vAlign w:val="bottom"/>
          </w:tcPr>
          <w:p>
            <w:pPr>
              <w:spacing w:after="0"/>
              <w:rPr>
                <w:sz w:val="24"/>
                <w:szCs w:val="24"/>
                <w:color w:val="auto"/>
              </w:rPr>
            </w:pPr>
          </w:p>
        </w:tc>
        <w:tc>
          <w:tcPr>
            <w:tcW w:w="300" w:type="dxa"/>
            <w:vAlign w:val="bottom"/>
          </w:tcPr>
          <w:p>
            <w:pPr>
              <w:jc w:val="right"/>
              <w:ind w:right="127"/>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6,074</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1,146</w:t>
            </w:r>
          </w:p>
        </w:tc>
        <w:tc>
          <w:tcPr>
            <w:tcW w:w="100" w:type="dxa"/>
            <w:vAlign w:val="bottom"/>
          </w:tcPr>
          <w:p>
            <w:pPr>
              <w:spacing w:after="0"/>
              <w:rPr>
                <w:sz w:val="24"/>
                <w:szCs w:val="24"/>
                <w:color w:val="auto"/>
              </w:rPr>
            </w:pPr>
          </w:p>
        </w:tc>
        <w:tc>
          <w:tcPr>
            <w:tcW w:w="200" w:type="dxa"/>
            <w:vAlign w:val="bottom"/>
          </w:tcPr>
          <w:p>
            <w:pPr>
              <w:jc w:val="right"/>
              <w:ind w:right="27"/>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7"/>
              <w:spacing w:after="0"/>
              <w:rPr>
                <w:sz w:val="20"/>
                <w:szCs w:val="20"/>
                <w:color w:val="auto"/>
              </w:rPr>
            </w:pPr>
            <w:r>
              <w:rPr>
                <w:rFonts w:ascii="Arial" w:cs="Arial" w:eastAsia="Arial" w:hAnsi="Arial"/>
                <w:sz w:val="15"/>
                <w:szCs w:val="15"/>
                <w:color w:val="auto"/>
              </w:rPr>
              <w:t>7,220</w:t>
            </w:r>
          </w:p>
        </w:tc>
      </w:tr>
      <w:tr>
        <w:trPr>
          <w:trHeight w:val="280"/>
        </w:trPr>
        <w:tc>
          <w:tcPr>
            <w:tcW w:w="4620" w:type="dxa"/>
            <w:vAlign w:val="bottom"/>
            <w:gridSpan w:val="2"/>
          </w:tcPr>
          <w:p>
            <w:pPr>
              <w:ind w:left="20"/>
              <w:spacing w:after="0"/>
              <w:rPr>
                <w:sz w:val="20"/>
                <w:szCs w:val="20"/>
                <w:color w:val="auto"/>
              </w:rPr>
            </w:pPr>
            <w:r>
              <w:rPr>
                <w:rFonts w:ascii="Arial" w:cs="Arial" w:eastAsia="Arial" w:hAnsi="Arial"/>
                <w:sz w:val="15"/>
                <w:szCs w:val="15"/>
                <w:color w:val="auto"/>
              </w:rPr>
              <w:t>Fee and other income</w:t>
            </w:r>
            <w:r>
              <w:rPr>
                <w:rFonts w:ascii="Arial" w:cs="Arial" w:eastAsia="Arial" w:hAnsi="Arial"/>
                <w:sz w:val="18"/>
                <w:szCs w:val="18"/>
                <w:color w:val="auto"/>
                <w:vertAlign w:val="superscript"/>
              </w:rPr>
              <w:t>(2)</w:t>
            </w: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48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7"/>
              <w:spacing w:after="0"/>
              <w:rPr>
                <w:sz w:val="20"/>
                <w:szCs w:val="20"/>
                <w:color w:val="auto"/>
              </w:rPr>
            </w:pPr>
            <w:r>
              <w:rPr>
                <w:rFonts w:ascii="Arial" w:cs="Arial" w:eastAsia="Arial" w:hAnsi="Arial"/>
                <w:sz w:val="15"/>
                <w:szCs w:val="15"/>
                <w:b w:val="1"/>
                <w:bCs w:val="1"/>
                <w:color w:val="auto"/>
              </w:rPr>
              <w:t>66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20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ind w:right="7"/>
              <w:spacing w:after="0"/>
              <w:rPr>
                <w:sz w:val="20"/>
                <w:szCs w:val="20"/>
                <w:color w:val="auto"/>
              </w:rPr>
            </w:pPr>
            <w:r>
              <w:rPr>
                <w:rFonts w:ascii="Arial" w:cs="Arial" w:eastAsia="Arial" w:hAnsi="Arial"/>
                <w:sz w:val="15"/>
                <w:szCs w:val="15"/>
                <w:color w:val="auto"/>
              </w:rPr>
              <w:t>76</w:t>
            </w:r>
          </w:p>
        </w:tc>
      </w:tr>
      <w:tr>
        <w:trPr>
          <w:trHeight w:val="193"/>
        </w:trPr>
        <w:tc>
          <w:tcPr>
            <w:tcW w:w="4500" w:type="dxa"/>
            <w:vAlign w:val="bottom"/>
            <w:tcBorders>
              <w:top w:val="single" w:sz="8" w:color="2C6937"/>
            </w:tcBorders>
          </w:tcPr>
          <w:p>
            <w:pPr>
              <w:ind w:left="160"/>
              <w:spacing w:after="0"/>
              <w:rPr>
                <w:sz w:val="20"/>
                <w:szCs w:val="20"/>
                <w:color w:val="auto"/>
              </w:rPr>
            </w:pPr>
            <w:r>
              <w:rPr>
                <w:rFonts w:ascii="Arial" w:cs="Arial" w:eastAsia="Arial" w:hAnsi="Arial"/>
                <w:sz w:val="15"/>
                <w:szCs w:val="15"/>
                <w:color w:val="auto"/>
              </w:rPr>
              <w:t>Net revenues</w:t>
            </w:r>
          </w:p>
        </w:tc>
        <w:tc>
          <w:tcPr>
            <w:tcW w:w="120" w:type="dxa"/>
            <w:vAlign w:val="bottom"/>
          </w:tcPr>
          <w:p>
            <w:pPr>
              <w:spacing w:after="0"/>
              <w:rPr>
                <w:sz w:val="16"/>
                <w:szCs w:val="16"/>
                <w:color w:val="auto"/>
              </w:rPr>
            </w:pPr>
          </w:p>
        </w:tc>
        <w:tc>
          <w:tcPr>
            <w:tcW w:w="280" w:type="dxa"/>
            <w:vAlign w:val="bottom"/>
            <w:tcBorders>
              <w:top w:val="single" w:sz="8" w:color="2C6937"/>
            </w:tcBorders>
          </w:tcPr>
          <w:p>
            <w:pPr>
              <w:spacing w:after="0"/>
              <w:rPr>
                <w:sz w:val="16"/>
                <w:szCs w:val="16"/>
                <w:color w:val="auto"/>
              </w:rPr>
            </w:pPr>
          </w:p>
        </w:tc>
        <w:tc>
          <w:tcPr>
            <w:tcW w:w="72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6,179</w:t>
            </w:r>
          </w:p>
        </w:tc>
        <w:tc>
          <w:tcPr>
            <w:tcW w:w="80" w:type="dxa"/>
            <w:vAlign w:val="bottom"/>
          </w:tcPr>
          <w:p>
            <w:pPr>
              <w:spacing w:after="0"/>
              <w:rPr>
                <w:sz w:val="16"/>
                <w:szCs w:val="16"/>
                <w:color w:val="auto"/>
              </w:rPr>
            </w:pPr>
          </w:p>
        </w:tc>
        <w:tc>
          <w:tcPr>
            <w:tcW w:w="140" w:type="dxa"/>
            <w:vAlign w:val="bottom"/>
            <w:tcBorders>
              <w:top w:val="single" w:sz="8" w:color="2C6937"/>
            </w:tcBorders>
          </w:tcPr>
          <w:p>
            <w:pPr>
              <w:spacing w:after="0"/>
              <w:rPr>
                <w:sz w:val="16"/>
                <w:szCs w:val="16"/>
                <w:color w:val="auto"/>
              </w:rPr>
            </w:pPr>
          </w:p>
        </w:tc>
        <w:tc>
          <w:tcPr>
            <w:tcW w:w="98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1,162</w:t>
            </w:r>
          </w:p>
        </w:tc>
        <w:tc>
          <w:tcPr>
            <w:tcW w:w="120" w:type="dxa"/>
            <w:vAlign w:val="bottom"/>
          </w:tcPr>
          <w:p>
            <w:pPr>
              <w:spacing w:after="0"/>
              <w:rPr>
                <w:sz w:val="16"/>
                <w:szCs w:val="16"/>
                <w:color w:val="auto"/>
              </w:rPr>
            </w:pPr>
          </w:p>
        </w:tc>
        <w:tc>
          <w:tcPr>
            <w:tcW w:w="180" w:type="dxa"/>
            <w:vAlign w:val="bottom"/>
            <w:tcBorders>
              <w:top w:val="single" w:sz="8" w:color="2C6937"/>
            </w:tcBorders>
          </w:tcPr>
          <w:p>
            <w:pPr>
              <w:spacing w:after="0"/>
              <w:rPr>
                <w:sz w:val="16"/>
                <w:szCs w:val="16"/>
                <w:color w:val="auto"/>
              </w:rPr>
            </w:pPr>
          </w:p>
        </w:tc>
        <w:tc>
          <w:tcPr>
            <w:tcW w:w="720" w:type="dxa"/>
            <w:vAlign w:val="bottom"/>
            <w:tcBorders>
              <w:top w:val="single" w:sz="8" w:color="2C6937"/>
            </w:tcBorders>
          </w:tcPr>
          <w:p>
            <w:pPr>
              <w:jc w:val="right"/>
              <w:ind w:right="7"/>
              <w:spacing w:after="0"/>
              <w:rPr>
                <w:sz w:val="20"/>
                <w:szCs w:val="20"/>
                <w:color w:val="auto"/>
              </w:rPr>
            </w:pPr>
            <w:r>
              <w:rPr>
                <w:rFonts w:ascii="Arial" w:cs="Arial" w:eastAsia="Arial" w:hAnsi="Arial"/>
                <w:sz w:val="15"/>
                <w:szCs w:val="15"/>
                <w:b w:val="1"/>
                <w:bCs w:val="1"/>
                <w:color w:val="auto"/>
              </w:rPr>
              <w:t>7,341</w:t>
            </w:r>
          </w:p>
        </w:tc>
        <w:tc>
          <w:tcPr>
            <w:tcW w:w="100" w:type="dxa"/>
            <w:vAlign w:val="bottom"/>
          </w:tcPr>
          <w:p>
            <w:pPr>
              <w:spacing w:after="0"/>
              <w:rPr>
                <w:sz w:val="16"/>
                <w:szCs w:val="16"/>
                <w:color w:val="auto"/>
              </w:rPr>
            </w:pPr>
          </w:p>
        </w:tc>
        <w:tc>
          <w:tcPr>
            <w:tcW w:w="300" w:type="dxa"/>
            <w:vAlign w:val="bottom"/>
            <w:tcBorders>
              <w:top w:val="single" w:sz="8" w:color="2C6937"/>
            </w:tcBorders>
          </w:tcPr>
          <w:p>
            <w:pPr>
              <w:spacing w:after="0"/>
              <w:rPr>
                <w:sz w:val="16"/>
                <w:szCs w:val="16"/>
                <w:color w:val="auto"/>
              </w:rPr>
            </w:pPr>
          </w:p>
        </w:tc>
        <w:tc>
          <w:tcPr>
            <w:tcW w:w="72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6,130</w:t>
            </w:r>
          </w:p>
        </w:tc>
        <w:tc>
          <w:tcPr>
            <w:tcW w:w="120" w:type="dxa"/>
            <w:vAlign w:val="bottom"/>
          </w:tcPr>
          <w:p>
            <w:pPr>
              <w:spacing w:after="0"/>
              <w:rPr>
                <w:sz w:val="16"/>
                <w:szCs w:val="16"/>
                <w:color w:val="auto"/>
              </w:rPr>
            </w:pPr>
          </w:p>
        </w:tc>
        <w:tc>
          <w:tcPr>
            <w:tcW w:w="140" w:type="dxa"/>
            <w:vAlign w:val="bottom"/>
            <w:tcBorders>
              <w:top w:val="single" w:sz="8" w:color="2C6937"/>
            </w:tcBorders>
          </w:tcPr>
          <w:p>
            <w:pPr>
              <w:spacing w:after="0"/>
              <w:rPr>
                <w:sz w:val="16"/>
                <w:szCs w:val="16"/>
                <w:color w:val="auto"/>
              </w:rPr>
            </w:pPr>
          </w:p>
        </w:tc>
        <w:tc>
          <w:tcPr>
            <w:tcW w:w="980" w:type="dxa"/>
            <w:vAlign w:val="bottom"/>
            <w:tcBorders>
              <w:top w:val="single" w:sz="8" w:color="2C6937"/>
            </w:tcBorders>
          </w:tcPr>
          <w:p>
            <w:pPr>
              <w:jc w:val="right"/>
              <w:ind w:right="7"/>
              <w:spacing w:after="0"/>
              <w:rPr>
                <w:sz w:val="20"/>
                <w:szCs w:val="20"/>
                <w:color w:val="auto"/>
              </w:rPr>
            </w:pPr>
            <w:r>
              <w:rPr>
                <w:rFonts w:ascii="Arial" w:cs="Arial" w:eastAsia="Arial" w:hAnsi="Arial"/>
                <w:sz w:val="15"/>
                <w:szCs w:val="15"/>
                <w:color w:val="auto"/>
              </w:rPr>
              <w:t>1,166</w:t>
            </w:r>
          </w:p>
        </w:tc>
        <w:tc>
          <w:tcPr>
            <w:tcW w:w="100" w:type="dxa"/>
            <w:vAlign w:val="bottom"/>
          </w:tcPr>
          <w:p>
            <w:pPr>
              <w:spacing w:after="0"/>
              <w:rPr>
                <w:sz w:val="16"/>
                <w:szCs w:val="16"/>
                <w:color w:val="auto"/>
              </w:rPr>
            </w:pPr>
          </w:p>
        </w:tc>
        <w:tc>
          <w:tcPr>
            <w:tcW w:w="200" w:type="dxa"/>
            <w:vAlign w:val="bottom"/>
            <w:tcBorders>
              <w:top w:val="single" w:sz="8" w:color="2C6937"/>
            </w:tcBorders>
          </w:tcPr>
          <w:p>
            <w:pPr>
              <w:spacing w:after="0"/>
              <w:rPr>
                <w:sz w:val="16"/>
                <w:szCs w:val="16"/>
                <w:color w:val="auto"/>
              </w:rPr>
            </w:pPr>
          </w:p>
        </w:tc>
        <w:tc>
          <w:tcPr>
            <w:tcW w:w="720" w:type="dxa"/>
            <w:vAlign w:val="bottom"/>
            <w:tcBorders>
              <w:top w:val="single" w:sz="8" w:color="2C6937"/>
            </w:tcBorders>
          </w:tcPr>
          <w:p>
            <w:pPr>
              <w:jc w:val="right"/>
              <w:ind w:right="7"/>
              <w:spacing w:after="0"/>
              <w:rPr>
                <w:sz w:val="20"/>
                <w:szCs w:val="20"/>
                <w:color w:val="auto"/>
              </w:rPr>
            </w:pPr>
            <w:r>
              <w:rPr>
                <w:rFonts w:ascii="Arial" w:cs="Arial" w:eastAsia="Arial" w:hAnsi="Arial"/>
                <w:sz w:val="15"/>
                <w:szCs w:val="15"/>
                <w:color w:val="auto"/>
              </w:rPr>
              <w:t>7,296</w:t>
            </w:r>
          </w:p>
        </w:tc>
      </w:tr>
      <w:tr>
        <w:trPr>
          <w:trHeight w:val="332"/>
        </w:trPr>
        <w:tc>
          <w:tcPr>
            <w:tcW w:w="4620" w:type="dxa"/>
            <w:vAlign w:val="bottom"/>
            <w:gridSpan w:val="2"/>
          </w:tcPr>
          <w:p>
            <w:pPr>
              <w:ind w:left="20"/>
              <w:spacing w:after="0"/>
              <w:rPr>
                <w:sz w:val="20"/>
                <w:szCs w:val="20"/>
                <w:color w:val="auto"/>
              </w:rPr>
            </w:pPr>
            <w:r>
              <w:rPr>
                <w:rFonts w:ascii="Arial" w:cs="Arial" w:eastAsia="Arial" w:hAnsi="Arial"/>
                <w:sz w:val="15"/>
                <w:szCs w:val="15"/>
                <w:color w:val="auto"/>
              </w:rPr>
              <w:t>Investment gains (losses), net</w:t>
            </w:r>
            <w:r>
              <w:rPr>
                <w:rFonts w:ascii="Arial" w:cs="Arial" w:eastAsia="Arial" w:hAnsi="Arial"/>
                <w:sz w:val="18"/>
                <w:szCs w:val="18"/>
                <w:color w:val="auto"/>
                <w:vertAlign w:val="superscript"/>
              </w:rPr>
              <w:t>(3)</w:t>
            </w: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7"/>
              <w:spacing w:after="0"/>
              <w:rPr>
                <w:sz w:val="20"/>
                <w:szCs w:val="20"/>
                <w:color w:val="auto"/>
              </w:rPr>
            </w:pPr>
            <w:r>
              <w:rPr>
                <w:rFonts w:ascii="Arial" w:cs="Arial" w:eastAsia="Arial" w:hAnsi="Arial"/>
                <w:sz w:val="15"/>
                <w:szCs w:val="15"/>
                <w:b w:val="1"/>
                <w:bCs w:val="1"/>
                <w:color w:val="auto"/>
              </w:rPr>
              <w:t>12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ind w:right="7"/>
              <w:spacing w:after="0"/>
              <w:rPr>
                <w:sz w:val="20"/>
                <w:szCs w:val="20"/>
                <w:color w:val="auto"/>
              </w:rPr>
            </w:pPr>
            <w:r>
              <w:rPr>
                <w:rFonts w:ascii="Arial" w:cs="Arial" w:eastAsia="Arial" w:hAnsi="Arial"/>
                <w:sz w:val="15"/>
                <w:szCs w:val="15"/>
                <w:color w:val="auto"/>
              </w:rPr>
              <w:t>8</w:t>
            </w:r>
          </w:p>
        </w:tc>
      </w:tr>
      <w:tr>
        <w:trPr>
          <w:trHeight w:val="275"/>
        </w:trPr>
        <w:tc>
          <w:tcPr>
            <w:tcW w:w="4620" w:type="dxa"/>
            <w:vAlign w:val="bottom"/>
            <w:gridSpan w:val="2"/>
          </w:tcPr>
          <w:p>
            <w:pPr>
              <w:ind w:left="20"/>
              <w:spacing w:after="0"/>
              <w:rPr>
                <w:sz w:val="20"/>
                <w:szCs w:val="20"/>
                <w:color w:val="auto"/>
              </w:rPr>
            </w:pPr>
            <w:r>
              <w:rPr>
                <w:rFonts w:ascii="Arial" w:cs="Arial" w:eastAsia="Arial" w:hAnsi="Arial"/>
                <w:sz w:val="15"/>
                <w:szCs w:val="15"/>
                <w:color w:val="auto"/>
              </w:rPr>
              <w:t>Fair value gains (losses), net</w:t>
            </w:r>
            <w:r>
              <w:rPr>
                <w:rFonts w:ascii="Arial" w:cs="Arial" w:eastAsia="Arial" w:hAnsi="Arial"/>
                <w:sz w:val="18"/>
                <w:szCs w:val="18"/>
                <w:color w:val="auto"/>
                <w:vertAlign w:val="superscript"/>
              </w:rPr>
              <w:t>(4)</w:t>
            </w:r>
          </w:p>
        </w:tc>
        <w:tc>
          <w:tcPr>
            <w:tcW w:w="2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(8)</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60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7"/>
              <w:spacing w:after="0"/>
              <w:rPr>
                <w:sz w:val="20"/>
                <w:szCs w:val="20"/>
                <w:color w:val="auto"/>
              </w:rPr>
            </w:pPr>
            <w:r>
              <w:rPr>
                <w:rFonts w:ascii="Arial" w:cs="Arial" w:eastAsia="Arial" w:hAnsi="Arial"/>
                <w:sz w:val="15"/>
                <w:szCs w:val="15"/>
                <w:b w:val="1"/>
                <w:bCs w:val="1"/>
                <w:color w:val="auto"/>
              </w:rPr>
              <w:t>52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742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53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7"/>
              <w:spacing w:after="0"/>
              <w:rPr>
                <w:sz w:val="20"/>
                <w:szCs w:val="20"/>
                <w:color w:val="auto"/>
              </w:rPr>
            </w:pPr>
            <w:r>
              <w:rPr>
                <w:rFonts w:ascii="Arial" w:cs="Arial" w:eastAsia="Arial" w:hAnsi="Arial"/>
                <w:sz w:val="15"/>
                <w:szCs w:val="15"/>
                <w:color w:val="auto"/>
              </w:rPr>
              <w:t>795</w:t>
            </w:r>
          </w:p>
        </w:tc>
      </w:tr>
      <w:tr>
        <w:trPr>
          <w:trHeight w:val="193"/>
        </w:trPr>
        <w:tc>
          <w:tcPr>
            <w:tcW w:w="4620" w:type="dxa"/>
            <w:vAlign w:val="bottom"/>
            <w:gridSpan w:val="2"/>
          </w:tcPr>
          <w:p>
            <w:pPr>
              <w:ind w:left="20"/>
              <w:spacing w:after="0"/>
              <w:rPr>
                <w:sz w:val="20"/>
                <w:szCs w:val="20"/>
                <w:color w:val="auto"/>
              </w:rPr>
            </w:pPr>
            <w:r>
              <w:rPr>
                <w:rFonts w:ascii="Arial" w:cs="Arial" w:eastAsia="Arial" w:hAnsi="Arial"/>
                <w:sz w:val="15"/>
                <w:szCs w:val="15"/>
                <w:color w:val="auto"/>
              </w:rPr>
              <w:t>Administrative expenses</w:t>
            </w:r>
          </w:p>
        </w:tc>
        <w:tc>
          <w:tcPr>
            <w:tcW w:w="2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(766)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(159)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(925)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(745)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(152)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(897)</w:t>
            </w:r>
          </w:p>
        </w:tc>
      </w:tr>
      <w:tr>
        <w:trPr>
          <w:trHeight w:val="253"/>
        </w:trPr>
        <w:tc>
          <w:tcPr>
            <w:tcW w:w="4620" w:type="dxa"/>
            <w:vAlign w:val="bottom"/>
            <w:gridSpan w:val="2"/>
          </w:tcPr>
          <w:p>
            <w:pPr>
              <w:ind w:left="20"/>
              <w:spacing w:after="0"/>
              <w:rPr>
                <w:sz w:val="20"/>
                <w:szCs w:val="20"/>
                <w:color w:val="auto"/>
              </w:rPr>
            </w:pPr>
            <w:r>
              <w:rPr>
                <w:rFonts w:ascii="Arial" w:cs="Arial" w:eastAsia="Arial" w:hAnsi="Arial"/>
                <w:sz w:val="15"/>
                <w:szCs w:val="15"/>
                <w:color w:val="auto"/>
              </w:rPr>
              <w:t>Benefit (provision) for credit losses</w:t>
            </w:r>
            <w:r>
              <w:rPr>
                <w:rFonts w:ascii="Arial" w:cs="Arial" w:eastAsia="Arial" w:hAnsi="Arial"/>
                <w:sz w:val="18"/>
                <w:szCs w:val="18"/>
                <w:color w:val="auto"/>
                <w:vertAlign w:val="superscript"/>
              </w:rPr>
              <w:t>(5)</w:t>
            </w:r>
          </w:p>
        </w:tc>
        <w:tc>
          <w:tcPr>
            <w:tcW w:w="2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451</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(424)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7"/>
              <w:spacing w:after="0"/>
              <w:rPr>
                <w:sz w:val="20"/>
                <w:szCs w:val="20"/>
                <w:color w:val="auto"/>
              </w:rPr>
            </w:pPr>
            <w:r>
              <w:rPr>
                <w:rFonts w:ascii="Arial" w:cs="Arial" w:eastAsia="Arial" w:hAnsi="Arial"/>
                <w:sz w:val="15"/>
                <w:szCs w:val="15"/>
                <w:b w:val="1"/>
                <w:bCs w:val="1"/>
                <w:color w:val="auto"/>
              </w:rPr>
              <w:t>27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736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(84)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7"/>
              <w:spacing w:after="0"/>
              <w:rPr>
                <w:sz w:val="20"/>
                <w:szCs w:val="20"/>
                <w:color w:val="auto"/>
              </w:rPr>
            </w:pPr>
            <w:r>
              <w:rPr>
                <w:rFonts w:ascii="Arial" w:cs="Arial" w:eastAsia="Arial" w:hAnsi="Arial"/>
                <w:sz w:val="15"/>
                <w:szCs w:val="15"/>
                <w:color w:val="auto"/>
              </w:rPr>
              <w:t>652</w:t>
            </w:r>
          </w:p>
        </w:tc>
      </w:tr>
      <w:tr>
        <w:trPr>
          <w:trHeight w:val="284"/>
        </w:trPr>
        <w:tc>
          <w:tcPr>
            <w:tcW w:w="4620" w:type="dxa"/>
            <w:vAlign w:val="bottom"/>
            <w:gridSpan w:val="2"/>
          </w:tcPr>
          <w:p>
            <w:pPr>
              <w:ind w:left="20"/>
              <w:spacing w:after="0"/>
              <w:rPr>
                <w:sz w:val="20"/>
                <w:szCs w:val="20"/>
                <w:color w:val="auto"/>
              </w:rPr>
            </w:pPr>
            <w:r>
              <w:rPr>
                <w:rFonts w:ascii="Arial" w:cs="Arial" w:eastAsia="Arial" w:hAnsi="Arial"/>
                <w:sz w:val="15"/>
                <w:szCs w:val="15"/>
                <w:color w:val="auto"/>
              </w:rPr>
              <w:t>TCCA fees</w:t>
            </w:r>
            <w:r>
              <w:rPr>
                <w:rFonts w:ascii="Arial" w:cs="Arial" w:eastAsia="Arial" w:hAnsi="Arial"/>
                <w:sz w:val="18"/>
                <w:szCs w:val="18"/>
                <w:color w:val="auto"/>
                <w:vertAlign w:val="superscript"/>
              </w:rPr>
              <w:t>(6)</w:t>
            </w: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(862)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(862)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(860)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(860)</w:t>
            </w:r>
          </w:p>
        </w:tc>
      </w:tr>
      <w:tr>
        <w:trPr>
          <w:trHeight w:val="309"/>
        </w:trPr>
        <w:tc>
          <w:tcPr>
            <w:tcW w:w="4620" w:type="dxa"/>
            <w:vAlign w:val="bottom"/>
            <w:gridSpan w:val="2"/>
          </w:tcPr>
          <w:p>
            <w:pPr>
              <w:ind w:left="20"/>
              <w:spacing w:after="0"/>
              <w:rPr>
                <w:sz w:val="20"/>
                <w:szCs w:val="20"/>
                <w:color w:val="auto"/>
              </w:rPr>
            </w:pPr>
            <w:r>
              <w:rPr>
                <w:rFonts w:ascii="Arial" w:cs="Arial" w:eastAsia="Arial" w:hAnsi="Arial"/>
                <w:sz w:val="15"/>
                <w:szCs w:val="15"/>
                <w:color w:val="auto"/>
              </w:rPr>
              <w:t>Credit enhancement expense</w:t>
            </w:r>
            <w:r>
              <w:rPr>
                <w:rFonts w:ascii="Arial" w:cs="Arial" w:eastAsia="Arial" w:hAnsi="Arial"/>
                <w:sz w:val="18"/>
                <w:szCs w:val="18"/>
                <w:color w:val="auto"/>
                <w:vertAlign w:val="superscript"/>
              </w:rPr>
              <w:t>(7)</w:t>
            </w: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(336)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(75)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(411)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(335)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(390)</w:t>
            </w:r>
          </w:p>
        </w:tc>
      </w:tr>
      <w:tr>
        <w:trPr>
          <w:trHeight w:val="275"/>
        </w:trPr>
        <w:tc>
          <w:tcPr>
            <w:tcW w:w="4620" w:type="dxa"/>
            <w:vAlign w:val="bottom"/>
            <w:gridSpan w:val="2"/>
          </w:tcPr>
          <w:p>
            <w:pPr>
              <w:ind w:left="20"/>
              <w:spacing w:after="0"/>
              <w:rPr>
                <w:sz w:val="20"/>
                <w:szCs w:val="20"/>
                <w:color w:val="auto"/>
              </w:rPr>
            </w:pPr>
            <w:r>
              <w:rPr>
                <w:rFonts w:ascii="Arial" w:cs="Arial" w:eastAsia="Arial" w:hAnsi="Arial"/>
                <w:sz w:val="15"/>
                <w:szCs w:val="15"/>
                <w:color w:val="auto"/>
              </w:rPr>
              <w:t>Change in expected credit enhancement recoveries</w:t>
            </w:r>
            <w:r>
              <w:rPr>
                <w:rFonts w:ascii="Arial" w:cs="Arial" w:eastAsia="Arial" w:hAnsi="Arial"/>
                <w:sz w:val="18"/>
                <w:szCs w:val="18"/>
                <w:color w:val="auto"/>
                <w:vertAlign w:val="superscript"/>
              </w:rPr>
              <w:t>(8)</w:t>
            </w:r>
          </w:p>
        </w:tc>
        <w:tc>
          <w:tcPr>
            <w:tcW w:w="2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(45)</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134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7"/>
              <w:spacing w:after="0"/>
              <w:rPr>
                <w:sz w:val="20"/>
                <w:szCs w:val="20"/>
                <w:color w:val="auto"/>
              </w:rPr>
            </w:pPr>
            <w:r>
              <w:rPr>
                <w:rFonts w:ascii="Arial" w:cs="Arial" w:eastAsia="Arial" w:hAnsi="Arial"/>
                <w:sz w:val="15"/>
                <w:szCs w:val="15"/>
                <w:b w:val="1"/>
                <w:bCs w:val="1"/>
                <w:color w:val="auto"/>
              </w:rPr>
              <w:t>89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(170)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42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(128)</w:t>
            </w:r>
          </w:p>
        </w:tc>
      </w:tr>
      <w:tr>
        <w:trPr>
          <w:trHeight w:val="198"/>
        </w:trPr>
        <w:tc>
          <w:tcPr>
            <w:tcW w:w="4620" w:type="dxa"/>
            <w:vAlign w:val="bottom"/>
            <w:gridSpan w:val="2"/>
          </w:tcPr>
          <w:p>
            <w:pPr>
              <w:ind w:left="20"/>
              <w:spacing w:after="0" w:line="198" w:lineRule="exact"/>
              <w:rPr>
                <w:sz w:val="20"/>
                <w:szCs w:val="20"/>
                <w:color w:val="auto"/>
              </w:rPr>
            </w:pPr>
            <w:r>
              <w:rPr>
                <w:rFonts w:ascii="Arial" w:cs="Arial" w:eastAsia="Arial" w:hAnsi="Arial"/>
                <w:sz w:val="15"/>
                <w:szCs w:val="15"/>
                <w:color w:val="auto"/>
              </w:rPr>
              <w:t>Other expenses, net</w:t>
            </w:r>
            <w:r>
              <w:rPr>
                <w:rFonts w:ascii="Arial" w:cs="Arial" w:eastAsia="Arial" w:hAnsi="Arial"/>
                <w:sz w:val="18"/>
                <w:szCs w:val="18"/>
                <w:color w:val="auto"/>
                <w:vertAlign w:val="superscript"/>
              </w:rPr>
              <w:t>(9)</w:t>
            </w:r>
          </w:p>
        </w:tc>
        <w:tc>
          <w:tcPr>
            <w:tcW w:w="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(218)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(52)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(270)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(411)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(124)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(535)</w:t>
            </w:r>
          </w:p>
        </w:tc>
      </w:tr>
      <w:tr>
        <w:trPr>
          <w:trHeight w:val="182"/>
        </w:trPr>
        <w:tc>
          <w:tcPr>
            <w:tcW w:w="4500" w:type="dxa"/>
            <w:vAlign w:val="bottom"/>
            <w:tcBorders>
              <w:top w:val="single" w:sz="8" w:color="2C6937"/>
            </w:tcBorders>
          </w:tcPr>
          <w:p>
            <w:pPr>
              <w:ind w:left="20"/>
              <w:spacing w:after="0"/>
              <w:rPr>
                <w:sz w:val="20"/>
                <w:szCs w:val="20"/>
                <w:color w:val="auto"/>
              </w:rPr>
            </w:pPr>
            <w:r>
              <w:rPr>
                <w:rFonts w:ascii="Arial" w:cs="Arial" w:eastAsia="Arial" w:hAnsi="Arial"/>
                <w:sz w:val="15"/>
                <w:szCs w:val="15"/>
                <w:color w:val="auto"/>
              </w:rPr>
              <w:t>Income before federal income taxes</w:t>
            </w:r>
          </w:p>
        </w:tc>
        <w:tc>
          <w:tcPr>
            <w:tcW w:w="120" w:type="dxa"/>
            <w:vAlign w:val="bottom"/>
          </w:tcPr>
          <w:p>
            <w:pPr>
              <w:spacing w:after="0"/>
              <w:rPr>
                <w:sz w:val="15"/>
                <w:szCs w:val="15"/>
                <w:color w:val="auto"/>
              </w:rPr>
            </w:pPr>
          </w:p>
        </w:tc>
        <w:tc>
          <w:tcPr>
            <w:tcW w:w="280" w:type="dxa"/>
            <w:vAlign w:val="bottom"/>
            <w:tcBorders>
              <w:top w:val="single" w:sz="8" w:color="2C6937"/>
            </w:tcBorders>
          </w:tcPr>
          <w:p>
            <w:pPr>
              <w:spacing w:after="0"/>
              <w:rPr>
                <w:sz w:val="15"/>
                <w:szCs w:val="15"/>
                <w:color w:val="auto"/>
              </w:rPr>
            </w:pPr>
          </w:p>
        </w:tc>
        <w:tc>
          <w:tcPr>
            <w:tcW w:w="72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4,404</w:t>
            </w:r>
          </w:p>
        </w:tc>
        <w:tc>
          <w:tcPr>
            <w:tcW w:w="80" w:type="dxa"/>
            <w:vAlign w:val="bottom"/>
          </w:tcPr>
          <w:p>
            <w:pPr>
              <w:spacing w:after="0"/>
              <w:rPr>
                <w:sz w:val="15"/>
                <w:szCs w:val="15"/>
                <w:color w:val="auto"/>
              </w:rPr>
            </w:pPr>
          </w:p>
        </w:tc>
        <w:tc>
          <w:tcPr>
            <w:tcW w:w="140" w:type="dxa"/>
            <w:vAlign w:val="bottom"/>
            <w:tcBorders>
              <w:top w:val="single" w:sz="8" w:color="2C6937"/>
            </w:tcBorders>
          </w:tcPr>
          <w:p>
            <w:pPr>
              <w:spacing w:after="0"/>
              <w:rPr>
                <w:sz w:val="15"/>
                <w:szCs w:val="15"/>
                <w:color w:val="auto"/>
              </w:rPr>
            </w:pPr>
          </w:p>
        </w:tc>
        <w:tc>
          <w:tcPr>
            <w:tcW w:w="98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649</w:t>
            </w:r>
          </w:p>
        </w:tc>
        <w:tc>
          <w:tcPr>
            <w:tcW w:w="120" w:type="dxa"/>
            <w:vAlign w:val="bottom"/>
          </w:tcPr>
          <w:p>
            <w:pPr>
              <w:spacing w:after="0"/>
              <w:rPr>
                <w:sz w:val="15"/>
                <w:szCs w:val="15"/>
                <w:color w:val="auto"/>
              </w:rPr>
            </w:pPr>
          </w:p>
        </w:tc>
        <w:tc>
          <w:tcPr>
            <w:tcW w:w="180" w:type="dxa"/>
            <w:vAlign w:val="bottom"/>
            <w:tcBorders>
              <w:top w:val="single" w:sz="8" w:color="2C6937"/>
            </w:tcBorders>
          </w:tcPr>
          <w:p>
            <w:pPr>
              <w:spacing w:after="0"/>
              <w:rPr>
                <w:sz w:val="15"/>
                <w:szCs w:val="15"/>
                <w:color w:val="auto"/>
              </w:rPr>
            </w:pPr>
          </w:p>
        </w:tc>
        <w:tc>
          <w:tcPr>
            <w:tcW w:w="720" w:type="dxa"/>
            <w:vAlign w:val="bottom"/>
            <w:tcBorders>
              <w:top w:val="single" w:sz="8" w:color="2C6937"/>
            </w:tcBorders>
          </w:tcPr>
          <w:p>
            <w:pPr>
              <w:jc w:val="right"/>
              <w:ind w:right="7"/>
              <w:spacing w:after="0"/>
              <w:rPr>
                <w:sz w:val="20"/>
                <w:szCs w:val="20"/>
                <w:color w:val="auto"/>
              </w:rPr>
            </w:pPr>
            <w:r>
              <w:rPr>
                <w:rFonts w:ascii="Arial" w:cs="Arial" w:eastAsia="Arial" w:hAnsi="Arial"/>
                <w:sz w:val="15"/>
                <w:szCs w:val="15"/>
                <w:b w:val="1"/>
                <w:bCs w:val="1"/>
                <w:color w:val="auto"/>
              </w:rPr>
              <w:t>5,053</w:t>
            </w:r>
          </w:p>
        </w:tc>
        <w:tc>
          <w:tcPr>
            <w:tcW w:w="100" w:type="dxa"/>
            <w:vAlign w:val="bottom"/>
          </w:tcPr>
          <w:p>
            <w:pPr>
              <w:spacing w:after="0"/>
              <w:rPr>
                <w:sz w:val="15"/>
                <w:szCs w:val="15"/>
                <w:color w:val="auto"/>
              </w:rPr>
            </w:pPr>
          </w:p>
        </w:tc>
        <w:tc>
          <w:tcPr>
            <w:tcW w:w="300" w:type="dxa"/>
            <w:vAlign w:val="bottom"/>
            <w:tcBorders>
              <w:top w:val="single" w:sz="8" w:color="2C6937"/>
            </w:tcBorders>
          </w:tcPr>
          <w:p>
            <w:pPr>
              <w:spacing w:after="0"/>
              <w:rPr>
                <w:sz w:val="15"/>
                <w:szCs w:val="15"/>
                <w:color w:val="auto"/>
              </w:rPr>
            </w:pPr>
          </w:p>
        </w:tc>
        <w:tc>
          <w:tcPr>
            <w:tcW w:w="72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5,096</w:t>
            </w:r>
          </w:p>
        </w:tc>
        <w:tc>
          <w:tcPr>
            <w:tcW w:w="120" w:type="dxa"/>
            <w:vAlign w:val="bottom"/>
          </w:tcPr>
          <w:p>
            <w:pPr>
              <w:spacing w:after="0"/>
              <w:rPr>
                <w:sz w:val="15"/>
                <w:szCs w:val="15"/>
                <w:color w:val="auto"/>
              </w:rPr>
            </w:pPr>
          </w:p>
        </w:tc>
        <w:tc>
          <w:tcPr>
            <w:tcW w:w="140" w:type="dxa"/>
            <w:vAlign w:val="bottom"/>
            <w:tcBorders>
              <w:top w:val="single" w:sz="8" w:color="2C6937"/>
            </w:tcBorders>
          </w:tcPr>
          <w:p>
            <w:pPr>
              <w:spacing w:after="0"/>
              <w:rPr>
                <w:sz w:val="15"/>
                <w:szCs w:val="15"/>
                <w:color w:val="auto"/>
              </w:rPr>
            </w:pPr>
          </w:p>
        </w:tc>
        <w:tc>
          <w:tcPr>
            <w:tcW w:w="980" w:type="dxa"/>
            <w:vAlign w:val="bottom"/>
            <w:tcBorders>
              <w:top w:val="single" w:sz="8" w:color="2C6937"/>
            </w:tcBorders>
          </w:tcPr>
          <w:p>
            <w:pPr>
              <w:jc w:val="right"/>
              <w:ind w:right="7"/>
              <w:spacing w:after="0"/>
              <w:rPr>
                <w:sz w:val="20"/>
                <w:szCs w:val="20"/>
                <w:color w:val="auto"/>
              </w:rPr>
            </w:pPr>
            <w:r>
              <w:rPr>
                <w:rFonts w:ascii="Arial" w:cs="Arial" w:eastAsia="Arial" w:hAnsi="Arial"/>
                <w:sz w:val="15"/>
                <w:szCs w:val="15"/>
                <w:color w:val="auto"/>
              </w:rPr>
              <w:t>845</w:t>
            </w:r>
          </w:p>
        </w:tc>
        <w:tc>
          <w:tcPr>
            <w:tcW w:w="100" w:type="dxa"/>
            <w:vAlign w:val="bottom"/>
          </w:tcPr>
          <w:p>
            <w:pPr>
              <w:spacing w:after="0"/>
              <w:rPr>
                <w:sz w:val="15"/>
                <w:szCs w:val="15"/>
                <w:color w:val="auto"/>
              </w:rPr>
            </w:pPr>
          </w:p>
        </w:tc>
        <w:tc>
          <w:tcPr>
            <w:tcW w:w="200" w:type="dxa"/>
            <w:vAlign w:val="bottom"/>
            <w:tcBorders>
              <w:top w:val="single" w:sz="8" w:color="2C6937"/>
            </w:tcBorders>
          </w:tcPr>
          <w:p>
            <w:pPr>
              <w:spacing w:after="0"/>
              <w:rPr>
                <w:sz w:val="15"/>
                <w:szCs w:val="15"/>
                <w:color w:val="auto"/>
              </w:rPr>
            </w:pPr>
          </w:p>
        </w:tc>
        <w:tc>
          <w:tcPr>
            <w:tcW w:w="720" w:type="dxa"/>
            <w:vAlign w:val="bottom"/>
            <w:tcBorders>
              <w:top w:val="single" w:sz="8" w:color="2C6937"/>
            </w:tcBorders>
          </w:tcPr>
          <w:p>
            <w:pPr>
              <w:jc w:val="right"/>
              <w:ind w:right="7"/>
              <w:spacing w:after="0"/>
              <w:rPr>
                <w:sz w:val="20"/>
                <w:szCs w:val="20"/>
                <w:color w:val="auto"/>
              </w:rPr>
            </w:pPr>
            <w:r>
              <w:rPr>
                <w:rFonts w:ascii="Arial" w:cs="Arial" w:eastAsia="Arial" w:hAnsi="Arial"/>
                <w:sz w:val="15"/>
                <w:szCs w:val="15"/>
                <w:color w:val="auto"/>
              </w:rPr>
              <w:t>5,941</w:t>
            </w:r>
          </w:p>
        </w:tc>
      </w:tr>
      <w:tr>
        <w:trPr>
          <w:trHeight w:val="198"/>
        </w:trPr>
        <w:tc>
          <w:tcPr>
            <w:tcW w:w="4620" w:type="dxa"/>
            <w:vAlign w:val="bottom"/>
            <w:gridSpan w:val="2"/>
          </w:tcPr>
          <w:p>
            <w:pPr>
              <w:ind w:left="20"/>
              <w:spacing w:after="0"/>
              <w:rPr>
                <w:sz w:val="20"/>
                <w:szCs w:val="20"/>
                <w:color w:val="auto"/>
              </w:rPr>
            </w:pPr>
            <w:r>
              <w:rPr>
                <w:rFonts w:ascii="Arial" w:cs="Arial" w:eastAsia="Arial" w:hAnsi="Arial"/>
                <w:sz w:val="15"/>
                <w:szCs w:val="15"/>
                <w:color w:val="auto"/>
              </w:rPr>
              <w:t>Provision for federal income taxes</w:t>
            </w:r>
          </w:p>
        </w:tc>
        <w:tc>
          <w:tcPr>
            <w:tcW w:w="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(890)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(119)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(1,009)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(1,071)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(171)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(1,242)</w:t>
            </w:r>
          </w:p>
        </w:tc>
      </w:tr>
      <w:tr>
        <w:trPr>
          <w:trHeight w:val="186"/>
        </w:trPr>
        <w:tc>
          <w:tcPr>
            <w:tcW w:w="4500" w:type="dxa"/>
            <w:vAlign w:val="bottom"/>
            <w:tcBorders>
              <w:top w:val="single" w:sz="8" w:color="2C6937"/>
              <w:bottom w:val="single" w:sz="8" w:color="2C6937"/>
            </w:tcBorders>
          </w:tcPr>
          <w:p>
            <w:pPr>
              <w:ind w:left="160"/>
              <w:spacing w:after="0"/>
              <w:rPr>
                <w:sz w:val="20"/>
                <w:szCs w:val="20"/>
                <w:color w:val="auto"/>
              </w:rPr>
            </w:pPr>
            <w:r>
              <w:rPr>
                <w:rFonts w:ascii="Arial" w:cs="Arial" w:eastAsia="Arial" w:hAnsi="Arial"/>
                <w:sz w:val="15"/>
                <w:szCs w:val="15"/>
                <w:color w:val="auto"/>
              </w:rPr>
              <w:t>Net income</w:t>
            </w:r>
          </w:p>
        </w:tc>
        <w:tc>
          <w:tcPr>
            <w:tcW w:w="120" w:type="dxa"/>
            <w:vAlign w:val="bottom"/>
          </w:tcPr>
          <w:p>
            <w:pPr>
              <w:spacing w:after="0"/>
              <w:rPr>
                <w:sz w:val="16"/>
                <w:szCs w:val="16"/>
                <w:color w:val="auto"/>
              </w:rPr>
            </w:pPr>
          </w:p>
        </w:tc>
        <w:tc>
          <w:tcPr>
            <w:tcW w:w="280" w:type="dxa"/>
            <w:vAlign w:val="bottom"/>
            <w:tcBorders>
              <w:top w:val="single" w:sz="8" w:color="2C6937"/>
              <w:bottom w:val="single" w:sz="8" w:color="2C6937"/>
            </w:tcBorders>
          </w:tcPr>
          <w:p>
            <w:pPr>
              <w:spacing w:after="0"/>
              <w:rPr>
                <w:sz w:val="20"/>
                <w:szCs w:val="20"/>
                <w:color w:val="auto"/>
              </w:rPr>
            </w:pPr>
            <w:r>
              <w:rPr>
                <w:rFonts w:ascii="Arial" w:cs="Arial" w:eastAsia="Arial" w:hAnsi="Arial"/>
                <w:sz w:val="15"/>
                <w:szCs w:val="15"/>
                <w:b w:val="1"/>
                <w:bCs w:val="1"/>
                <w:color w:val="auto"/>
              </w:rPr>
              <w:t>$</w:t>
            </w:r>
          </w:p>
        </w:tc>
        <w:tc>
          <w:tcPr>
            <w:tcW w:w="7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3,514</w:t>
            </w:r>
          </w:p>
        </w:tc>
        <w:tc>
          <w:tcPr>
            <w:tcW w:w="80" w:type="dxa"/>
            <w:vAlign w:val="bottom"/>
          </w:tcPr>
          <w:p>
            <w:pPr>
              <w:spacing w:after="0"/>
              <w:rPr>
                <w:sz w:val="16"/>
                <w:szCs w:val="16"/>
                <w:color w:val="auto"/>
              </w:rPr>
            </w:pPr>
          </w:p>
        </w:tc>
        <w:tc>
          <w:tcPr>
            <w:tcW w:w="1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9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530</w:t>
            </w:r>
          </w:p>
        </w:tc>
        <w:tc>
          <w:tcPr>
            <w:tcW w:w="120" w:type="dxa"/>
            <w:vAlign w:val="bottom"/>
          </w:tcPr>
          <w:p>
            <w:pPr>
              <w:spacing w:after="0"/>
              <w:rPr>
                <w:sz w:val="16"/>
                <w:szCs w:val="16"/>
                <w:color w:val="auto"/>
              </w:rPr>
            </w:pPr>
          </w:p>
        </w:tc>
        <w:tc>
          <w:tcPr>
            <w:tcW w:w="180" w:type="dxa"/>
            <w:vAlign w:val="bottom"/>
            <w:tcBorders>
              <w:top w:val="single" w:sz="8" w:color="2C6937"/>
              <w:bottom w:val="single" w:sz="8" w:color="2C6937"/>
            </w:tcBorders>
          </w:tcPr>
          <w:p>
            <w:pPr>
              <w:jc w:val="right"/>
              <w:ind w:right="7"/>
              <w:spacing w:after="0"/>
              <w:rPr>
                <w:sz w:val="20"/>
                <w:szCs w:val="20"/>
                <w:color w:val="auto"/>
              </w:rPr>
            </w:pPr>
            <w:r>
              <w:rPr>
                <w:rFonts w:ascii="Arial" w:cs="Arial" w:eastAsia="Arial" w:hAnsi="Arial"/>
                <w:sz w:val="15"/>
                <w:szCs w:val="15"/>
                <w:b w:val="1"/>
                <w:bCs w:val="1"/>
                <w:color w:val="auto"/>
                <w:w w:val="95"/>
              </w:rPr>
              <w:t>$</w:t>
            </w:r>
          </w:p>
        </w:tc>
        <w:tc>
          <w:tcPr>
            <w:tcW w:w="720" w:type="dxa"/>
            <w:vAlign w:val="bottom"/>
            <w:tcBorders>
              <w:top w:val="single" w:sz="8" w:color="2C6937"/>
              <w:bottom w:val="single" w:sz="8" w:color="2C6937"/>
            </w:tcBorders>
          </w:tcPr>
          <w:p>
            <w:pPr>
              <w:jc w:val="right"/>
              <w:ind w:right="7"/>
              <w:spacing w:after="0"/>
              <w:rPr>
                <w:sz w:val="20"/>
                <w:szCs w:val="20"/>
                <w:color w:val="auto"/>
              </w:rPr>
            </w:pPr>
            <w:r>
              <w:rPr>
                <w:rFonts w:ascii="Arial" w:cs="Arial" w:eastAsia="Arial" w:hAnsi="Arial"/>
                <w:sz w:val="15"/>
                <w:szCs w:val="15"/>
                <w:b w:val="1"/>
                <w:bCs w:val="1"/>
                <w:color w:val="auto"/>
              </w:rPr>
              <w:t>4,044</w:t>
            </w:r>
          </w:p>
        </w:tc>
        <w:tc>
          <w:tcPr>
            <w:tcW w:w="100" w:type="dxa"/>
            <w:vAlign w:val="bottom"/>
          </w:tcPr>
          <w:p>
            <w:pPr>
              <w:spacing w:after="0"/>
              <w:rPr>
                <w:sz w:val="16"/>
                <w:szCs w:val="16"/>
                <w:color w:val="auto"/>
              </w:rPr>
            </w:pPr>
          </w:p>
        </w:tc>
        <w:tc>
          <w:tcPr>
            <w:tcW w:w="300" w:type="dxa"/>
            <w:vAlign w:val="bottom"/>
            <w:tcBorders>
              <w:top w:val="single" w:sz="8" w:color="2C6937"/>
              <w:bottom w:val="single" w:sz="8" w:color="2C6937"/>
            </w:tcBorders>
          </w:tcPr>
          <w:p>
            <w:pPr>
              <w:jc w:val="right"/>
              <w:ind w:right="127"/>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4,025</w:t>
            </w:r>
          </w:p>
        </w:tc>
        <w:tc>
          <w:tcPr>
            <w:tcW w:w="120" w:type="dxa"/>
            <w:vAlign w:val="bottom"/>
          </w:tcPr>
          <w:p>
            <w:pPr>
              <w:spacing w:after="0"/>
              <w:rPr>
                <w:sz w:val="16"/>
                <w:szCs w:val="16"/>
                <w:color w:val="auto"/>
              </w:rPr>
            </w:pPr>
          </w:p>
        </w:tc>
        <w:tc>
          <w:tcPr>
            <w:tcW w:w="1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2C6937"/>
              <w:bottom w:val="single" w:sz="8" w:color="2C6937"/>
            </w:tcBorders>
          </w:tcPr>
          <w:p>
            <w:pPr>
              <w:jc w:val="right"/>
              <w:ind w:right="7"/>
              <w:spacing w:after="0"/>
              <w:rPr>
                <w:sz w:val="20"/>
                <w:szCs w:val="20"/>
                <w:color w:val="auto"/>
              </w:rPr>
            </w:pPr>
            <w:r>
              <w:rPr>
                <w:rFonts w:ascii="Arial" w:cs="Arial" w:eastAsia="Arial" w:hAnsi="Arial"/>
                <w:sz w:val="15"/>
                <w:szCs w:val="15"/>
                <w:color w:val="auto"/>
              </w:rPr>
              <w:t>674</w:t>
            </w:r>
          </w:p>
        </w:tc>
        <w:tc>
          <w:tcPr>
            <w:tcW w:w="100" w:type="dxa"/>
            <w:vAlign w:val="bottom"/>
          </w:tcPr>
          <w:p>
            <w:pPr>
              <w:spacing w:after="0"/>
              <w:rPr>
                <w:sz w:val="16"/>
                <w:szCs w:val="16"/>
                <w:color w:val="auto"/>
              </w:rPr>
            </w:pPr>
          </w:p>
        </w:tc>
        <w:tc>
          <w:tcPr>
            <w:tcW w:w="200" w:type="dxa"/>
            <w:vAlign w:val="bottom"/>
            <w:tcBorders>
              <w:top w:val="single" w:sz="8" w:color="2C6937"/>
              <w:bottom w:val="single" w:sz="8" w:color="2C6937"/>
            </w:tcBorders>
          </w:tcPr>
          <w:p>
            <w:pPr>
              <w:jc w:val="right"/>
              <w:ind w:right="27"/>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2C6937"/>
              <w:bottom w:val="single" w:sz="8" w:color="2C6937"/>
            </w:tcBorders>
          </w:tcPr>
          <w:p>
            <w:pPr>
              <w:jc w:val="right"/>
              <w:ind w:right="7"/>
              <w:spacing w:after="0"/>
              <w:rPr>
                <w:sz w:val="20"/>
                <w:szCs w:val="20"/>
                <w:color w:val="auto"/>
              </w:rPr>
            </w:pPr>
            <w:r>
              <w:rPr>
                <w:rFonts w:ascii="Arial" w:cs="Arial" w:eastAsia="Arial" w:hAnsi="Arial"/>
                <w:sz w:val="15"/>
                <w:szCs w:val="15"/>
                <w:color w:val="auto"/>
              </w:rPr>
              <w:t>4,699</w:t>
            </w:r>
          </w:p>
        </w:tc>
      </w:tr>
      <w:tr>
        <w:trPr>
          <w:trHeight w:val="20"/>
        </w:trPr>
        <w:tc>
          <w:tcPr>
            <w:tcW w:w="450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98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2C6937"/>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2C6937"/>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2C6937"/>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r>
      <w:tr>
        <w:trPr>
          <w:trHeight w:val="572"/>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2C6937"/>
            </w:tcBorders>
          </w:tcPr>
          <w:p>
            <w:pPr>
              <w:spacing w:after="0"/>
              <w:rPr>
                <w:sz w:val="24"/>
                <w:szCs w:val="24"/>
                <w:color w:val="auto"/>
              </w:rPr>
            </w:pPr>
          </w:p>
        </w:tc>
        <w:tc>
          <w:tcPr>
            <w:tcW w:w="72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4460" w:type="dxa"/>
            <w:vAlign w:val="bottom"/>
            <w:tcBorders>
              <w:bottom w:val="single" w:sz="8" w:color="2C6937"/>
            </w:tcBorders>
            <w:gridSpan w:val="11"/>
          </w:tcPr>
          <w:p>
            <w:pPr>
              <w:jc w:val="center"/>
              <w:ind w:right="320"/>
              <w:spacing w:after="0"/>
              <w:rPr>
                <w:sz w:val="20"/>
                <w:szCs w:val="20"/>
                <w:color w:val="auto"/>
              </w:rPr>
            </w:pPr>
            <w:r>
              <w:rPr>
                <w:rFonts w:ascii="Arial" w:cs="Arial" w:eastAsia="Arial" w:hAnsi="Arial"/>
                <w:sz w:val="15"/>
                <w:szCs w:val="15"/>
                <w:b w:val="1"/>
                <w:bCs w:val="1"/>
                <w:color w:val="auto"/>
                <w:w w:val="97"/>
              </w:rPr>
              <w:t>For the Nine Months Ended September 30,</w:t>
            </w:r>
          </w:p>
        </w:tc>
        <w:tc>
          <w:tcPr>
            <w:tcW w:w="200" w:type="dxa"/>
            <w:vAlign w:val="bottom"/>
            <w:tcBorders>
              <w:bottom w:val="single" w:sz="8" w:color="2C6937"/>
            </w:tcBorders>
          </w:tcPr>
          <w:p>
            <w:pPr>
              <w:spacing w:after="0"/>
              <w:rPr>
                <w:sz w:val="24"/>
                <w:szCs w:val="24"/>
                <w:color w:val="auto"/>
              </w:rPr>
            </w:pPr>
          </w:p>
        </w:tc>
        <w:tc>
          <w:tcPr>
            <w:tcW w:w="720" w:type="dxa"/>
            <w:vAlign w:val="bottom"/>
            <w:tcBorders>
              <w:bottom w:val="single" w:sz="8" w:color="2C6937"/>
            </w:tcBorders>
          </w:tcPr>
          <w:p>
            <w:pPr>
              <w:spacing w:after="0"/>
              <w:rPr>
                <w:sz w:val="24"/>
                <w:szCs w:val="24"/>
                <w:color w:val="auto"/>
              </w:rPr>
            </w:pPr>
          </w:p>
        </w:tc>
      </w:tr>
      <w:tr>
        <w:trPr>
          <w:trHeight w:val="186"/>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ind w:right="367"/>
              <w:spacing w:after="0"/>
              <w:rPr>
                <w:sz w:val="20"/>
                <w:szCs w:val="20"/>
                <w:color w:val="auto"/>
              </w:rPr>
            </w:pPr>
            <w:r>
              <w:rPr>
                <w:rFonts w:ascii="Arial" w:cs="Arial" w:eastAsia="Arial" w:hAnsi="Arial"/>
                <w:sz w:val="15"/>
                <w:szCs w:val="15"/>
                <w:b w:val="1"/>
                <w:bCs w:val="1"/>
                <w:color w:val="auto"/>
              </w:rPr>
              <w:t>2024</w:t>
            </w:r>
          </w:p>
        </w:tc>
        <w:tc>
          <w:tcPr>
            <w:tcW w:w="120" w:type="dxa"/>
            <w:vAlign w:val="bottom"/>
            <w:tcBorders>
              <w:bottom w:val="single" w:sz="8" w:color="2C6937"/>
            </w:tcBorders>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ind w:right="387"/>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bottom w:val="single" w:sz="8" w:color="2C6937"/>
            </w:tcBorders>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spacing w:after="0"/>
              <w:rPr>
                <w:sz w:val="16"/>
                <w:szCs w:val="16"/>
                <w:color w:val="auto"/>
              </w:rPr>
            </w:pPr>
          </w:p>
        </w:tc>
      </w:tr>
      <w:tr>
        <w:trPr>
          <w:trHeight w:val="225"/>
        </w:trPr>
        <w:tc>
          <w:tcPr>
            <w:tcW w:w="4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Borders>
              <w:bottom w:val="single" w:sz="8" w:color="2C6937"/>
            </w:tcBorders>
            <w:gridSpan w:val="3"/>
          </w:tcPr>
          <w:p>
            <w:pPr>
              <w:ind w:left="20"/>
              <w:spacing w:after="0"/>
              <w:rPr>
                <w:sz w:val="20"/>
                <w:szCs w:val="20"/>
                <w:color w:val="auto"/>
              </w:rPr>
            </w:pPr>
            <w:r>
              <w:rPr>
                <w:rFonts w:ascii="Arial" w:cs="Arial" w:eastAsia="Arial" w:hAnsi="Arial"/>
                <w:sz w:val="15"/>
                <w:szCs w:val="15"/>
                <w:b w:val="1"/>
                <w:bCs w:val="1"/>
                <w:color w:val="auto"/>
              </w:rPr>
              <w:t>Single-Family</w:t>
            </w:r>
          </w:p>
        </w:tc>
        <w:tc>
          <w:tcPr>
            <w:tcW w:w="140" w:type="dxa"/>
            <w:vAlign w:val="bottom"/>
            <w:tcBorders>
              <w:bottom w:val="single" w:sz="8" w:color="2C6937"/>
            </w:tcBorders>
          </w:tcPr>
          <w:p>
            <w:pPr>
              <w:spacing w:after="0"/>
              <w:rPr>
                <w:sz w:val="19"/>
                <w:szCs w:val="19"/>
                <w:color w:val="auto"/>
              </w:rPr>
            </w:pPr>
          </w:p>
        </w:tc>
        <w:tc>
          <w:tcPr>
            <w:tcW w:w="1100" w:type="dxa"/>
            <w:vAlign w:val="bottom"/>
            <w:tcBorders>
              <w:bottom w:val="single" w:sz="8" w:color="2C6937"/>
            </w:tcBorders>
            <w:gridSpan w:val="2"/>
          </w:tcPr>
          <w:p>
            <w:pPr>
              <w:ind w:left="40"/>
              <w:spacing w:after="0"/>
              <w:rPr>
                <w:sz w:val="20"/>
                <w:szCs w:val="20"/>
                <w:color w:val="auto"/>
              </w:rPr>
            </w:pPr>
            <w:r>
              <w:rPr>
                <w:rFonts w:ascii="Arial" w:cs="Arial" w:eastAsia="Arial" w:hAnsi="Arial"/>
                <w:sz w:val="15"/>
                <w:szCs w:val="15"/>
                <w:b w:val="1"/>
                <w:bCs w:val="1"/>
                <w:color w:val="auto"/>
              </w:rPr>
              <w:t>Multifamily</w:t>
            </w:r>
          </w:p>
        </w:tc>
        <w:tc>
          <w:tcPr>
            <w:tcW w:w="180" w:type="dxa"/>
            <w:vAlign w:val="bottom"/>
            <w:tcBorders>
              <w:bottom w:val="single" w:sz="8" w:color="2C6937"/>
            </w:tcBorders>
          </w:tcPr>
          <w:p>
            <w:pPr>
              <w:spacing w:after="0"/>
              <w:rPr>
                <w:sz w:val="19"/>
                <w:szCs w:val="19"/>
                <w:color w:val="auto"/>
              </w:rPr>
            </w:pPr>
          </w:p>
        </w:tc>
        <w:tc>
          <w:tcPr>
            <w:tcW w:w="820" w:type="dxa"/>
            <w:vAlign w:val="bottom"/>
            <w:tcBorders>
              <w:bottom w:val="single" w:sz="8" w:color="2C6937"/>
            </w:tcBorders>
            <w:gridSpan w:val="2"/>
          </w:tcPr>
          <w:p>
            <w:pPr>
              <w:ind w:left="100"/>
              <w:spacing w:after="0"/>
              <w:rPr>
                <w:sz w:val="20"/>
                <w:szCs w:val="20"/>
                <w:color w:val="auto"/>
              </w:rPr>
            </w:pPr>
            <w:r>
              <w:rPr>
                <w:rFonts w:ascii="Arial" w:cs="Arial" w:eastAsia="Arial" w:hAnsi="Arial"/>
                <w:sz w:val="15"/>
                <w:szCs w:val="15"/>
                <w:b w:val="1"/>
                <w:bCs w:val="1"/>
                <w:color w:val="auto"/>
              </w:rPr>
              <w:t>Total</w:t>
            </w:r>
          </w:p>
        </w:tc>
        <w:tc>
          <w:tcPr>
            <w:tcW w:w="1140" w:type="dxa"/>
            <w:vAlign w:val="bottom"/>
            <w:tcBorders>
              <w:bottom w:val="single" w:sz="8" w:color="2C6937"/>
            </w:tcBorders>
            <w:gridSpan w:val="3"/>
          </w:tcPr>
          <w:p>
            <w:pPr>
              <w:ind w:left="40"/>
              <w:spacing w:after="0"/>
              <w:rPr>
                <w:sz w:val="20"/>
                <w:szCs w:val="20"/>
                <w:color w:val="auto"/>
              </w:rPr>
            </w:pPr>
            <w:r>
              <w:rPr>
                <w:rFonts w:ascii="Arial" w:cs="Arial" w:eastAsia="Arial" w:hAnsi="Arial"/>
                <w:sz w:val="15"/>
                <w:szCs w:val="15"/>
                <w:b w:val="1"/>
                <w:bCs w:val="1"/>
                <w:color w:val="auto"/>
              </w:rPr>
              <w:t>Single-Family</w:t>
            </w:r>
          </w:p>
        </w:tc>
        <w:tc>
          <w:tcPr>
            <w:tcW w:w="14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gridSpan w:val="2"/>
          </w:tcPr>
          <w:p>
            <w:pPr>
              <w:ind w:left="40"/>
              <w:spacing w:after="0"/>
              <w:rPr>
                <w:sz w:val="20"/>
                <w:szCs w:val="20"/>
                <w:color w:val="auto"/>
              </w:rPr>
            </w:pPr>
            <w:r>
              <w:rPr>
                <w:rFonts w:ascii="Arial" w:cs="Arial" w:eastAsia="Arial" w:hAnsi="Arial"/>
                <w:sz w:val="15"/>
                <w:szCs w:val="15"/>
                <w:b w:val="1"/>
                <w:bCs w:val="1"/>
                <w:color w:val="auto"/>
              </w:rPr>
              <w:t>Multifamily</w:t>
            </w:r>
          </w:p>
        </w:tc>
        <w:tc>
          <w:tcPr>
            <w:tcW w:w="200" w:type="dxa"/>
            <w:vAlign w:val="bottom"/>
            <w:tcBorders>
              <w:bottom w:val="single" w:sz="8" w:color="2C6937"/>
            </w:tcBorders>
          </w:tcPr>
          <w:p>
            <w:pPr>
              <w:spacing w:after="0"/>
              <w:rPr>
                <w:sz w:val="19"/>
                <w:szCs w:val="19"/>
                <w:color w:val="auto"/>
              </w:rPr>
            </w:pPr>
          </w:p>
        </w:tc>
        <w:tc>
          <w:tcPr>
            <w:tcW w:w="720" w:type="dxa"/>
            <w:vAlign w:val="bottom"/>
            <w:tcBorders>
              <w:bottom w:val="single" w:sz="8" w:color="2C6937"/>
            </w:tcBorders>
          </w:tcPr>
          <w:p>
            <w:pPr>
              <w:jc w:val="right"/>
              <w:ind w:right="227"/>
              <w:spacing w:after="0"/>
              <w:rPr>
                <w:sz w:val="20"/>
                <w:szCs w:val="20"/>
                <w:color w:val="auto"/>
              </w:rPr>
            </w:pPr>
            <w:r>
              <w:rPr>
                <w:rFonts w:ascii="Arial" w:cs="Arial" w:eastAsia="Arial" w:hAnsi="Arial"/>
                <w:sz w:val="15"/>
                <w:szCs w:val="15"/>
                <w:b w:val="1"/>
                <w:bCs w:val="1"/>
                <w:color w:val="auto"/>
              </w:rPr>
              <w:t>Total</w:t>
            </w:r>
          </w:p>
        </w:tc>
      </w:tr>
      <w:tr>
        <w:trPr>
          <w:trHeight w:val="193"/>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gridSpan w:val="5"/>
          </w:tcPr>
          <w:p>
            <w:pPr>
              <w:ind w:left="120"/>
              <w:spacing w:after="0"/>
              <w:rPr>
                <w:sz w:val="20"/>
                <w:szCs w:val="20"/>
                <w:color w:val="auto"/>
              </w:rPr>
            </w:pPr>
            <w:r>
              <w:rPr>
                <w:rFonts w:ascii="Arial" w:cs="Arial" w:eastAsia="Arial" w:hAnsi="Arial"/>
                <w:sz w:val="15"/>
                <w:szCs w:val="15"/>
                <w:b w:val="1"/>
                <w:bCs w:val="1"/>
                <w:color w:val="auto"/>
              </w:rPr>
              <w:t>(Dollars in millions)</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332"/>
        </w:trPr>
        <w:tc>
          <w:tcPr>
            <w:tcW w:w="4620" w:type="dxa"/>
            <w:vAlign w:val="bottom"/>
            <w:gridSpan w:val="2"/>
          </w:tcPr>
          <w:p>
            <w:pPr>
              <w:ind w:left="20"/>
              <w:spacing w:after="0"/>
              <w:rPr>
                <w:sz w:val="20"/>
                <w:szCs w:val="20"/>
                <w:color w:val="auto"/>
              </w:rPr>
            </w:pPr>
            <w:r>
              <w:rPr>
                <w:rFonts w:ascii="Arial" w:cs="Arial" w:eastAsia="Arial" w:hAnsi="Arial"/>
                <w:sz w:val="15"/>
                <w:szCs w:val="15"/>
                <w:color w:val="auto"/>
              </w:rPr>
              <w:t>Net interest income</w:t>
            </w:r>
            <w:r>
              <w:rPr>
                <w:rFonts w:ascii="Arial" w:cs="Arial" w:eastAsia="Arial" w:hAnsi="Arial"/>
                <w:sz w:val="18"/>
                <w:szCs w:val="18"/>
                <w:color w:val="auto"/>
                <w:vertAlign w:val="superscript"/>
              </w:rPr>
              <w:t>(1)</w:t>
            </w:r>
          </w:p>
        </w:tc>
        <w:tc>
          <w:tcPr>
            <w:tcW w:w="280" w:type="dxa"/>
            <w:vAlign w:val="bottom"/>
          </w:tcPr>
          <w:p>
            <w:pPr>
              <w:spacing w:after="0"/>
              <w:rPr>
                <w:sz w:val="20"/>
                <w:szCs w:val="20"/>
                <w:color w:val="auto"/>
              </w:rPr>
            </w:pPr>
            <w:r>
              <w:rPr>
                <w:rFonts w:ascii="Arial" w:cs="Arial" w:eastAsia="Arial" w:hAnsi="Arial"/>
                <w:sz w:val="15"/>
                <w:szCs w:val="15"/>
                <w:b w:val="1"/>
                <w:bCs w:val="1"/>
                <w:color w:val="auto"/>
              </w:rPr>
              <w:t>$</w:t>
            </w: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18,101</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3,465</w:t>
            </w:r>
          </w:p>
        </w:tc>
        <w:tc>
          <w:tcPr>
            <w:tcW w:w="120" w:type="dxa"/>
            <w:vAlign w:val="bottom"/>
          </w:tcPr>
          <w:p>
            <w:pPr>
              <w:spacing w:after="0"/>
              <w:rPr>
                <w:sz w:val="24"/>
                <w:szCs w:val="24"/>
                <w:color w:val="auto"/>
              </w:rPr>
            </w:pPr>
          </w:p>
        </w:tc>
        <w:tc>
          <w:tcPr>
            <w:tcW w:w="180" w:type="dxa"/>
            <w:vAlign w:val="bottom"/>
          </w:tcPr>
          <w:p>
            <w:pPr>
              <w:jc w:val="right"/>
              <w:ind w:right="7"/>
              <w:spacing w:after="0"/>
              <w:rPr>
                <w:sz w:val="20"/>
                <w:szCs w:val="20"/>
                <w:color w:val="auto"/>
              </w:rPr>
            </w:pPr>
            <w:r>
              <w:rPr>
                <w:rFonts w:ascii="Arial" w:cs="Arial" w:eastAsia="Arial" w:hAnsi="Arial"/>
                <w:sz w:val="15"/>
                <w:szCs w:val="15"/>
                <w:b w:val="1"/>
                <w:bCs w:val="1"/>
                <w:color w:val="auto"/>
                <w:w w:val="95"/>
              </w:rPr>
              <w:t>$</w:t>
            </w:r>
          </w:p>
        </w:tc>
        <w:tc>
          <w:tcPr>
            <w:tcW w:w="720" w:type="dxa"/>
            <w:vAlign w:val="bottom"/>
          </w:tcPr>
          <w:p>
            <w:pPr>
              <w:jc w:val="right"/>
              <w:ind w:right="7"/>
              <w:spacing w:after="0"/>
              <w:rPr>
                <w:sz w:val="20"/>
                <w:szCs w:val="20"/>
                <w:color w:val="auto"/>
              </w:rPr>
            </w:pPr>
            <w:r>
              <w:rPr>
                <w:rFonts w:ascii="Arial" w:cs="Arial" w:eastAsia="Arial" w:hAnsi="Arial"/>
                <w:sz w:val="15"/>
                <w:szCs w:val="15"/>
                <w:b w:val="1"/>
                <w:bCs w:val="1"/>
                <w:color w:val="auto"/>
              </w:rPr>
              <w:t>21,566</w:t>
            </w:r>
          </w:p>
        </w:tc>
        <w:tc>
          <w:tcPr>
            <w:tcW w:w="100" w:type="dxa"/>
            <w:vAlign w:val="bottom"/>
          </w:tcPr>
          <w:p>
            <w:pPr>
              <w:spacing w:after="0"/>
              <w:rPr>
                <w:sz w:val="24"/>
                <w:szCs w:val="24"/>
                <w:color w:val="auto"/>
              </w:rPr>
            </w:pPr>
          </w:p>
        </w:tc>
        <w:tc>
          <w:tcPr>
            <w:tcW w:w="300" w:type="dxa"/>
            <w:vAlign w:val="bottom"/>
          </w:tcPr>
          <w:p>
            <w:pPr>
              <w:jc w:val="right"/>
              <w:ind w:right="127"/>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17,663</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3,378</w:t>
            </w:r>
          </w:p>
        </w:tc>
        <w:tc>
          <w:tcPr>
            <w:tcW w:w="100" w:type="dxa"/>
            <w:vAlign w:val="bottom"/>
          </w:tcPr>
          <w:p>
            <w:pPr>
              <w:spacing w:after="0"/>
              <w:rPr>
                <w:sz w:val="24"/>
                <w:szCs w:val="24"/>
                <w:color w:val="auto"/>
              </w:rPr>
            </w:pPr>
          </w:p>
        </w:tc>
        <w:tc>
          <w:tcPr>
            <w:tcW w:w="200" w:type="dxa"/>
            <w:vAlign w:val="bottom"/>
          </w:tcPr>
          <w:p>
            <w:pPr>
              <w:jc w:val="right"/>
              <w:ind w:right="27"/>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7"/>
              <w:spacing w:after="0"/>
              <w:rPr>
                <w:sz w:val="20"/>
                <w:szCs w:val="20"/>
                <w:color w:val="auto"/>
              </w:rPr>
            </w:pPr>
            <w:r>
              <w:rPr>
                <w:rFonts w:ascii="Arial" w:cs="Arial" w:eastAsia="Arial" w:hAnsi="Arial"/>
                <w:sz w:val="15"/>
                <w:szCs w:val="15"/>
                <w:color w:val="auto"/>
              </w:rPr>
              <w:t>21,041</w:t>
            </w:r>
          </w:p>
        </w:tc>
      </w:tr>
      <w:tr>
        <w:trPr>
          <w:trHeight w:val="280"/>
        </w:trPr>
        <w:tc>
          <w:tcPr>
            <w:tcW w:w="4620" w:type="dxa"/>
            <w:vAlign w:val="bottom"/>
            <w:gridSpan w:val="2"/>
          </w:tcPr>
          <w:p>
            <w:pPr>
              <w:ind w:left="20"/>
              <w:spacing w:after="0"/>
              <w:rPr>
                <w:sz w:val="20"/>
                <w:szCs w:val="20"/>
                <w:color w:val="auto"/>
              </w:rPr>
            </w:pPr>
            <w:r>
              <w:rPr>
                <w:rFonts w:ascii="Arial" w:cs="Arial" w:eastAsia="Arial" w:hAnsi="Arial"/>
                <w:sz w:val="15"/>
                <w:szCs w:val="15"/>
                <w:color w:val="auto"/>
              </w:rPr>
              <w:t>Fee and other income</w:t>
            </w:r>
            <w:r>
              <w:rPr>
                <w:rFonts w:ascii="Arial" w:cs="Arial" w:eastAsia="Arial" w:hAnsi="Arial"/>
                <w:sz w:val="18"/>
                <w:szCs w:val="18"/>
                <w:color w:val="auto"/>
                <w:vertAlign w:val="superscript"/>
              </w:rPr>
              <w:t>(2)</w:t>
            </w: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154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52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7"/>
              <w:spacing w:after="0"/>
              <w:rPr>
                <w:sz w:val="20"/>
                <w:szCs w:val="20"/>
                <w:color w:val="auto"/>
              </w:rPr>
            </w:pPr>
            <w:r>
              <w:rPr>
                <w:rFonts w:ascii="Arial" w:cs="Arial" w:eastAsia="Arial" w:hAnsi="Arial"/>
                <w:sz w:val="15"/>
                <w:szCs w:val="15"/>
                <w:b w:val="1"/>
                <w:bCs w:val="1"/>
                <w:color w:val="auto"/>
              </w:rPr>
              <w:t>206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156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53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ind w:right="7"/>
              <w:spacing w:after="0"/>
              <w:rPr>
                <w:sz w:val="20"/>
                <w:szCs w:val="20"/>
                <w:color w:val="auto"/>
              </w:rPr>
            </w:pPr>
            <w:r>
              <w:rPr>
                <w:rFonts w:ascii="Arial" w:cs="Arial" w:eastAsia="Arial" w:hAnsi="Arial"/>
                <w:sz w:val="15"/>
                <w:szCs w:val="15"/>
                <w:color w:val="auto"/>
              </w:rPr>
              <w:t>209</w:t>
            </w:r>
          </w:p>
        </w:tc>
      </w:tr>
      <w:tr>
        <w:trPr>
          <w:trHeight w:val="193"/>
        </w:trPr>
        <w:tc>
          <w:tcPr>
            <w:tcW w:w="4500" w:type="dxa"/>
            <w:vAlign w:val="bottom"/>
            <w:tcBorders>
              <w:top w:val="single" w:sz="8" w:color="2C6937"/>
            </w:tcBorders>
          </w:tcPr>
          <w:p>
            <w:pPr>
              <w:ind w:left="160"/>
              <w:spacing w:after="0"/>
              <w:rPr>
                <w:sz w:val="20"/>
                <w:szCs w:val="20"/>
                <w:color w:val="auto"/>
              </w:rPr>
            </w:pPr>
            <w:r>
              <w:rPr>
                <w:rFonts w:ascii="Arial" w:cs="Arial" w:eastAsia="Arial" w:hAnsi="Arial"/>
                <w:sz w:val="15"/>
                <w:szCs w:val="15"/>
                <w:color w:val="auto"/>
              </w:rPr>
              <w:t>Net revenues</w:t>
            </w:r>
          </w:p>
        </w:tc>
        <w:tc>
          <w:tcPr>
            <w:tcW w:w="120" w:type="dxa"/>
            <w:vAlign w:val="bottom"/>
          </w:tcPr>
          <w:p>
            <w:pPr>
              <w:spacing w:after="0"/>
              <w:rPr>
                <w:sz w:val="16"/>
                <w:szCs w:val="16"/>
                <w:color w:val="auto"/>
              </w:rPr>
            </w:pPr>
          </w:p>
        </w:tc>
        <w:tc>
          <w:tcPr>
            <w:tcW w:w="280" w:type="dxa"/>
            <w:vAlign w:val="bottom"/>
            <w:tcBorders>
              <w:top w:val="single" w:sz="8" w:color="2C6937"/>
            </w:tcBorders>
          </w:tcPr>
          <w:p>
            <w:pPr>
              <w:spacing w:after="0"/>
              <w:rPr>
                <w:sz w:val="16"/>
                <w:szCs w:val="16"/>
                <w:color w:val="auto"/>
              </w:rPr>
            </w:pPr>
          </w:p>
        </w:tc>
        <w:tc>
          <w:tcPr>
            <w:tcW w:w="72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18,255</w:t>
            </w:r>
          </w:p>
        </w:tc>
        <w:tc>
          <w:tcPr>
            <w:tcW w:w="80" w:type="dxa"/>
            <w:vAlign w:val="bottom"/>
          </w:tcPr>
          <w:p>
            <w:pPr>
              <w:spacing w:after="0"/>
              <w:rPr>
                <w:sz w:val="16"/>
                <w:szCs w:val="16"/>
                <w:color w:val="auto"/>
              </w:rPr>
            </w:pPr>
          </w:p>
        </w:tc>
        <w:tc>
          <w:tcPr>
            <w:tcW w:w="140" w:type="dxa"/>
            <w:vAlign w:val="bottom"/>
            <w:tcBorders>
              <w:top w:val="single" w:sz="8" w:color="2C6937"/>
            </w:tcBorders>
          </w:tcPr>
          <w:p>
            <w:pPr>
              <w:spacing w:after="0"/>
              <w:rPr>
                <w:sz w:val="16"/>
                <w:szCs w:val="16"/>
                <w:color w:val="auto"/>
              </w:rPr>
            </w:pPr>
          </w:p>
        </w:tc>
        <w:tc>
          <w:tcPr>
            <w:tcW w:w="98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3,517</w:t>
            </w:r>
          </w:p>
        </w:tc>
        <w:tc>
          <w:tcPr>
            <w:tcW w:w="120" w:type="dxa"/>
            <w:vAlign w:val="bottom"/>
          </w:tcPr>
          <w:p>
            <w:pPr>
              <w:spacing w:after="0"/>
              <w:rPr>
                <w:sz w:val="16"/>
                <w:szCs w:val="16"/>
                <w:color w:val="auto"/>
              </w:rPr>
            </w:pPr>
          </w:p>
        </w:tc>
        <w:tc>
          <w:tcPr>
            <w:tcW w:w="180" w:type="dxa"/>
            <w:vAlign w:val="bottom"/>
            <w:tcBorders>
              <w:top w:val="single" w:sz="8" w:color="2C6937"/>
            </w:tcBorders>
          </w:tcPr>
          <w:p>
            <w:pPr>
              <w:spacing w:after="0"/>
              <w:rPr>
                <w:sz w:val="16"/>
                <w:szCs w:val="16"/>
                <w:color w:val="auto"/>
              </w:rPr>
            </w:pPr>
          </w:p>
        </w:tc>
        <w:tc>
          <w:tcPr>
            <w:tcW w:w="720" w:type="dxa"/>
            <w:vAlign w:val="bottom"/>
            <w:tcBorders>
              <w:top w:val="single" w:sz="8" w:color="2C6937"/>
            </w:tcBorders>
          </w:tcPr>
          <w:p>
            <w:pPr>
              <w:jc w:val="right"/>
              <w:ind w:right="7"/>
              <w:spacing w:after="0"/>
              <w:rPr>
                <w:sz w:val="20"/>
                <w:szCs w:val="20"/>
                <w:color w:val="auto"/>
              </w:rPr>
            </w:pPr>
            <w:r>
              <w:rPr>
                <w:rFonts w:ascii="Arial" w:cs="Arial" w:eastAsia="Arial" w:hAnsi="Arial"/>
                <w:sz w:val="15"/>
                <w:szCs w:val="15"/>
                <w:b w:val="1"/>
                <w:bCs w:val="1"/>
                <w:color w:val="auto"/>
              </w:rPr>
              <w:t>21,772</w:t>
            </w:r>
          </w:p>
        </w:tc>
        <w:tc>
          <w:tcPr>
            <w:tcW w:w="100" w:type="dxa"/>
            <w:vAlign w:val="bottom"/>
          </w:tcPr>
          <w:p>
            <w:pPr>
              <w:spacing w:after="0"/>
              <w:rPr>
                <w:sz w:val="16"/>
                <w:szCs w:val="16"/>
                <w:color w:val="auto"/>
              </w:rPr>
            </w:pPr>
          </w:p>
        </w:tc>
        <w:tc>
          <w:tcPr>
            <w:tcW w:w="300" w:type="dxa"/>
            <w:vAlign w:val="bottom"/>
            <w:tcBorders>
              <w:top w:val="single" w:sz="8" w:color="2C6937"/>
            </w:tcBorders>
          </w:tcPr>
          <w:p>
            <w:pPr>
              <w:spacing w:after="0"/>
              <w:rPr>
                <w:sz w:val="16"/>
                <w:szCs w:val="16"/>
                <w:color w:val="auto"/>
              </w:rPr>
            </w:pPr>
          </w:p>
        </w:tc>
        <w:tc>
          <w:tcPr>
            <w:tcW w:w="72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17,819</w:t>
            </w:r>
          </w:p>
        </w:tc>
        <w:tc>
          <w:tcPr>
            <w:tcW w:w="120" w:type="dxa"/>
            <w:vAlign w:val="bottom"/>
          </w:tcPr>
          <w:p>
            <w:pPr>
              <w:spacing w:after="0"/>
              <w:rPr>
                <w:sz w:val="16"/>
                <w:szCs w:val="16"/>
                <w:color w:val="auto"/>
              </w:rPr>
            </w:pPr>
          </w:p>
        </w:tc>
        <w:tc>
          <w:tcPr>
            <w:tcW w:w="140" w:type="dxa"/>
            <w:vAlign w:val="bottom"/>
            <w:tcBorders>
              <w:top w:val="single" w:sz="8" w:color="2C6937"/>
            </w:tcBorders>
          </w:tcPr>
          <w:p>
            <w:pPr>
              <w:spacing w:after="0"/>
              <w:rPr>
                <w:sz w:val="16"/>
                <w:szCs w:val="16"/>
                <w:color w:val="auto"/>
              </w:rPr>
            </w:pPr>
          </w:p>
        </w:tc>
        <w:tc>
          <w:tcPr>
            <w:tcW w:w="980" w:type="dxa"/>
            <w:vAlign w:val="bottom"/>
            <w:tcBorders>
              <w:top w:val="single" w:sz="8" w:color="2C6937"/>
            </w:tcBorders>
          </w:tcPr>
          <w:p>
            <w:pPr>
              <w:jc w:val="right"/>
              <w:ind w:right="7"/>
              <w:spacing w:after="0"/>
              <w:rPr>
                <w:sz w:val="20"/>
                <w:szCs w:val="20"/>
                <w:color w:val="auto"/>
              </w:rPr>
            </w:pPr>
            <w:r>
              <w:rPr>
                <w:rFonts w:ascii="Arial" w:cs="Arial" w:eastAsia="Arial" w:hAnsi="Arial"/>
                <w:sz w:val="15"/>
                <w:szCs w:val="15"/>
                <w:color w:val="auto"/>
              </w:rPr>
              <w:t>3,431</w:t>
            </w:r>
          </w:p>
        </w:tc>
        <w:tc>
          <w:tcPr>
            <w:tcW w:w="100" w:type="dxa"/>
            <w:vAlign w:val="bottom"/>
          </w:tcPr>
          <w:p>
            <w:pPr>
              <w:spacing w:after="0"/>
              <w:rPr>
                <w:sz w:val="16"/>
                <w:szCs w:val="16"/>
                <w:color w:val="auto"/>
              </w:rPr>
            </w:pPr>
          </w:p>
        </w:tc>
        <w:tc>
          <w:tcPr>
            <w:tcW w:w="200" w:type="dxa"/>
            <w:vAlign w:val="bottom"/>
            <w:tcBorders>
              <w:top w:val="single" w:sz="8" w:color="2C6937"/>
            </w:tcBorders>
          </w:tcPr>
          <w:p>
            <w:pPr>
              <w:spacing w:after="0"/>
              <w:rPr>
                <w:sz w:val="16"/>
                <w:szCs w:val="16"/>
                <w:color w:val="auto"/>
              </w:rPr>
            </w:pPr>
          </w:p>
        </w:tc>
        <w:tc>
          <w:tcPr>
            <w:tcW w:w="720" w:type="dxa"/>
            <w:vAlign w:val="bottom"/>
            <w:tcBorders>
              <w:top w:val="single" w:sz="8" w:color="2C6937"/>
            </w:tcBorders>
          </w:tcPr>
          <w:p>
            <w:pPr>
              <w:jc w:val="right"/>
              <w:ind w:right="7"/>
              <w:spacing w:after="0"/>
              <w:rPr>
                <w:sz w:val="20"/>
                <w:szCs w:val="20"/>
                <w:color w:val="auto"/>
              </w:rPr>
            </w:pPr>
            <w:r>
              <w:rPr>
                <w:rFonts w:ascii="Arial" w:cs="Arial" w:eastAsia="Arial" w:hAnsi="Arial"/>
                <w:sz w:val="15"/>
                <w:szCs w:val="15"/>
                <w:color w:val="auto"/>
              </w:rPr>
              <w:t>21,250</w:t>
            </w:r>
          </w:p>
        </w:tc>
      </w:tr>
      <w:tr>
        <w:trPr>
          <w:trHeight w:val="332"/>
        </w:trPr>
        <w:tc>
          <w:tcPr>
            <w:tcW w:w="4620" w:type="dxa"/>
            <w:vAlign w:val="bottom"/>
            <w:gridSpan w:val="2"/>
          </w:tcPr>
          <w:p>
            <w:pPr>
              <w:ind w:left="20"/>
              <w:spacing w:after="0"/>
              <w:rPr>
                <w:sz w:val="20"/>
                <w:szCs w:val="20"/>
                <w:color w:val="auto"/>
              </w:rPr>
            </w:pPr>
            <w:r>
              <w:rPr>
                <w:rFonts w:ascii="Arial" w:cs="Arial" w:eastAsia="Arial" w:hAnsi="Arial"/>
                <w:sz w:val="15"/>
                <w:szCs w:val="15"/>
                <w:color w:val="auto"/>
              </w:rPr>
              <w:t>Investment gains (losses), net</w:t>
            </w:r>
            <w:r>
              <w:rPr>
                <w:rFonts w:ascii="Arial" w:cs="Arial" w:eastAsia="Arial" w:hAnsi="Arial"/>
                <w:sz w:val="18"/>
                <w:szCs w:val="18"/>
                <w:color w:val="auto"/>
                <w:vertAlign w:val="superscript"/>
              </w:rPr>
              <w:t>(3)</w:t>
            </w: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(48)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20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(28)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(34)</w:t>
            </w:r>
          </w:p>
        </w:tc>
      </w:tr>
      <w:tr>
        <w:trPr>
          <w:trHeight w:val="275"/>
        </w:trPr>
        <w:tc>
          <w:tcPr>
            <w:tcW w:w="4620" w:type="dxa"/>
            <w:vAlign w:val="bottom"/>
            <w:gridSpan w:val="2"/>
          </w:tcPr>
          <w:p>
            <w:pPr>
              <w:ind w:left="20"/>
              <w:spacing w:after="0"/>
              <w:rPr>
                <w:sz w:val="20"/>
                <w:szCs w:val="20"/>
                <w:color w:val="auto"/>
              </w:rPr>
            </w:pPr>
            <w:r>
              <w:rPr>
                <w:rFonts w:ascii="Arial" w:cs="Arial" w:eastAsia="Arial" w:hAnsi="Arial"/>
                <w:sz w:val="15"/>
                <w:szCs w:val="15"/>
                <w:color w:val="auto"/>
              </w:rPr>
              <w:t>Fair value gains (losses), net</w:t>
            </w:r>
            <w:r>
              <w:rPr>
                <w:rFonts w:ascii="Arial" w:cs="Arial" w:eastAsia="Arial" w:hAnsi="Arial"/>
                <w:sz w:val="18"/>
                <w:szCs w:val="18"/>
                <w:color w:val="auto"/>
                <w:vertAlign w:val="superscript"/>
              </w:rPr>
              <w:t>(4)</w:t>
            </w:r>
          </w:p>
        </w:tc>
        <w:tc>
          <w:tcPr>
            <w:tcW w:w="2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930</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49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7"/>
              <w:spacing w:after="0"/>
              <w:rPr>
                <w:sz w:val="20"/>
                <w:szCs w:val="20"/>
                <w:color w:val="auto"/>
              </w:rPr>
            </w:pPr>
            <w:r>
              <w:rPr>
                <w:rFonts w:ascii="Arial" w:cs="Arial" w:eastAsia="Arial" w:hAnsi="Arial"/>
                <w:sz w:val="15"/>
                <w:szCs w:val="15"/>
                <w:b w:val="1"/>
                <w:bCs w:val="1"/>
                <w:color w:val="auto"/>
              </w:rPr>
              <w:t>979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1,368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35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7"/>
              <w:spacing w:after="0"/>
              <w:rPr>
                <w:sz w:val="20"/>
                <w:szCs w:val="20"/>
                <w:color w:val="auto"/>
              </w:rPr>
            </w:pPr>
            <w:r>
              <w:rPr>
                <w:rFonts w:ascii="Arial" w:cs="Arial" w:eastAsia="Arial" w:hAnsi="Arial"/>
                <w:sz w:val="15"/>
                <w:szCs w:val="15"/>
                <w:color w:val="auto"/>
              </w:rPr>
              <w:t>1,403</w:t>
            </w:r>
          </w:p>
        </w:tc>
      </w:tr>
      <w:tr>
        <w:trPr>
          <w:trHeight w:val="193"/>
        </w:trPr>
        <w:tc>
          <w:tcPr>
            <w:tcW w:w="4620" w:type="dxa"/>
            <w:vAlign w:val="bottom"/>
            <w:gridSpan w:val="2"/>
          </w:tcPr>
          <w:p>
            <w:pPr>
              <w:ind w:left="20"/>
              <w:spacing w:after="0"/>
              <w:rPr>
                <w:sz w:val="20"/>
                <w:szCs w:val="20"/>
                <w:color w:val="auto"/>
              </w:rPr>
            </w:pPr>
            <w:r>
              <w:rPr>
                <w:rFonts w:ascii="Arial" w:cs="Arial" w:eastAsia="Arial" w:hAnsi="Arial"/>
                <w:sz w:val="15"/>
                <w:szCs w:val="15"/>
                <w:color w:val="auto"/>
              </w:rPr>
              <w:t>Administrative expenses</w:t>
            </w:r>
          </w:p>
        </w:tc>
        <w:tc>
          <w:tcPr>
            <w:tcW w:w="2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(2,327)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(466)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(2,793)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(2,183)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(446)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(2,629)</w:t>
            </w:r>
          </w:p>
        </w:tc>
      </w:tr>
      <w:tr>
        <w:trPr>
          <w:trHeight w:val="253"/>
        </w:trPr>
        <w:tc>
          <w:tcPr>
            <w:tcW w:w="4620" w:type="dxa"/>
            <w:vAlign w:val="bottom"/>
            <w:gridSpan w:val="2"/>
          </w:tcPr>
          <w:p>
            <w:pPr>
              <w:ind w:left="20"/>
              <w:spacing w:after="0"/>
              <w:rPr>
                <w:sz w:val="20"/>
                <w:szCs w:val="20"/>
                <w:color w:val="auto"/>
              </w:rPr>
            </w:pPr>
            <w:r>
              <w:rPr>
                <w:rFonts w:ascii="Arial" w:cs="Arial" w:eastAsia="Arial" w:hAnsi="Arial"/>
                <w:sz w:val="15"/>
                <w:szCs w:val="15"/>
                <w:color w:val="auto"/>
              </w:rPr>
              <w:t>Benefit (provision) for credit losses</w:t>
            </w:r>
            <w:r>
              <w:rPr>
                <w:rFonts w:ascii="Arial" w:cs="Arial" w:eastAsia="Arial" w:hAnsi="Arial"/>
                <w:sz w:val="18"/>
                <w:szCs w:val="18"/>
                <w:color w:val="auto"/>
                <w:vertAlign w:val="superscript"/>
              </w:rPr>
              <w:t>(5)</w:t>
            </w:r>
          </w:p>
        </w:tc>
        <w:tc>
          <w:tcPr>
            <w:tcW w:w="2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1,334</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(827)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7"/>
              <w:spacing w:after="0"/>
              <w:rPr>
                <w:sz w:val="20"/>
                <w:szCs w:val="20"/>
                <w:color w:val="auto"/>
              </w:rPr>
            </w:pPr>
            <w:r>
              <w:rPr>
                <w:rFonts w:ascii="Arial" w:cs="Arial" w:eastAsia="Arial" w:hAnsi="Arial"/>
                <w:sz w:val="15"/>
                <w:szCs w:val="15"/>
                <w:b w:val="1"/>
                <w:bCs w:val="1"/>
                <w:color w:val="auto"/>
              </w:rPr>
              <w:t>507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2,201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(415)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7"/>
              <w:spacing w:after="0"/>
              <w:rPr>
                <w:sz w:val="20"/>
                <w:szCs w:val="20"/>
                <w:color w:val="auto"/>
              </w:rPr>
            </w:pPr>
            <w:r>
              <w:rPr>
                <w:rFonts w:ascii="Arial" w:cs="Arial" w:eastAsia="Arial" w:hAnsi="Arial"/>
                <w:sz w:val="15"/>
                <w:szCs w:val="15"/>
                <w:color w:val="auto"/>
              </w:rPr>
              <w:t>1,786</w:t>
            </w:r>
          </w:p>
        </w:tc>
      </w:tr>
      <w:tr>
        <w:trPr>
          <w:trHeight w:val="284"/>
        </w:trPr>
        <w:tc>
          <w:tcPr>
            <w:tcW w:w="4620" w:type="dxa"/>
            <w:vAlign w:val="bottom"/>
            <w:gridSpan w:val="2"/>
          </w:tcPr>
          <w:p>
            <w:pPr>
              <w:ind w:left="20"/>
              <w:spacing w:after="0"/>
              <w:rPr>
                <w:sz w:val="20"/>
                <w:szCs w:val="20"/>
                <w:color w:val="auto"/>
              </w:rPr>
            </w:pPr>
            <w:r>
              <w:rPr>
                <w:rFonts w:ascii="Arial" w:cs="Arial" w:eastAsia="Arial" w:hAnsi="Arial"/>
                <w:sz w:val="15"/>
                <w:szCs w:val="15"/>
                <w:color w:val="auto"/>
              </w:rPr>
              <w:t>TCCA fees</w:t>
            </w:r>
            <w:r>
              <w:rPr>
                <w:rFonts w:ascii="Arial" w:cs="Arial" w:eastAsia="Arial" w:hAnsi="Arial"/>
                <w:sz w:val="18"/>
                <w:szCs w:val="18"/>
                <w:color w:val="auto"/>
                <w:vertAlign w:val="superscript"/>
              </w:rPr>
              <w:t>(6)</w:t>
            </w: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(2,581)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(2,581)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(2,571)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(2,571)</w:t>
            </w:r>
          </w:p>
        </w:tc>
      </w:tr>
      <w:tr>
        <w:trPr>
          <w:trHeight w:val="309"/>
        </w:trPr>
        <w:tc>
          <w:tcPr>
            <w:tcW w:w="4620" w:type="dxa"/>
            <w:vAlign w:val="bottom"/>
            <w:gridSpan w:val="2"/>
          </w:tcPr>
          <w:p>
            <w:pPr>
              <w:ind w:left="20"/>
              <w:spacing w:after="0"/>
              <w:rPr>
                <w:sz w:val="20"/>
                <w:szCs w:val="20"/>
                <w:color w:val="auto"/>
              </w:rPr>
            </w:pPr>
            <w:r>
              <w:rPr>
                <w:rFonts w:ascii="Arial" w:cs="Arial" w:eastAsia="Arial" w:hAnsi="Arial"/>
                <w:sz w:val="15"/>
                <w:szCs w:val="15"/>
                <w:color w:val="auto"/>
              </w:rPr>
              <w:t>Credit enhancement expense</w:t>
            </w:r>
            <w:r>
              <w:rPr>
                <w:rFonts w:ascii="Arial" w:cs="Arial" w:eastAsia="Arial" w:hAnsi="Arial"/>
                <w:sz w:val="18"/>
                <w:szCs w:val="18"/>
                <w:color w:val="auto"/>
                <w:vertAlign w:val="superscript"/>
              </w:rPr>
              <w:t>(7)</w:t>
            </w: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(1,022)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(213)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(1,235)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(949)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(166)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(1,115)</w:t>
            </w:r>
          </w:p>
        </w:tc>
      </w:tr>
      <w:tr>
        <w:trPr>
          <w:trHeight w:val="275"/>
        </w:trPr>
        <w:tc>
          <w:tcPr>
            <w:tcW w:w="4620" w:type="dxa"/>
            <w:vAlign w:val="bottom"/>
            <w:gridSpan w:val="2"/>
          </w:tcPr>
          <w:p>
            <w:pPr>
              <w:ind w:left="20"/>
              <w:spacing w:after="0"/>
              <w:rPr>
                <w:sz w:val="20"/>
                <w:szCs w:val="20"/>
                <w:color w:val="auto"/>
              </w:rPr>
            </w:pPr>
            <w:r>
              <w:rPr>
                <w:rFonts w:ascii="Arial" w:cs="Arial" w:eastAsia="Arial" w:hAnsi="Arial"/>
                <w:sz w:val="15"/>
                <w:szCs w:val="15"/>
                <w:color w:val="auto"/>
              </w:rPr>
              <w:t>Change in expected credit enhancement recoveries</w:t>
            </w:r>
            <w:r>
              <w:rPr>
                <w:rFonts w:ascii="Arial" w:cs="Arial" w:eastAsia="Arial" w:hAnsi="Arial"/>
                <w:sz w:val="18"/>
                <w:szCs w:val="18"/>
                <w:color w:val="auto"/>
                <w:vertAlign w:val="superscript"/>
              </w:rPr>
              <w:t>(8)</w:t>
            </w:r>
          </w:p>
        </w:tc>
        <w:tc>
          <w:tcPr>
            <w:tcW w:w="2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(134)</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323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7"/>
              <w:spacing w:after="0"/>
              <w:rPr>
                <w:sz w:val="20"/>
                <w:szCs w:val="20"/>
                <w:color w:val="auto"/>
              </w:rPr>
            </w:pPr>
            <w:r>
              <w:rPr>
                <w:rFonts w:ascii="Arial" w:cs="Arial" w:eastAsia="Arial" w:hAnsi="Arial"/>
                <w:sz w:val="15"/>
                <w:szCs w:val="15"/>
                <w:b w:val="1"/>
                <w:bCs w:val="1"/>
                <w:color w:val="auto"/>
              </w:rPr>
              <w:t>189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(298)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130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(168)</w:t>
            </w:r>
          </w:p>
        </w:tc>
      </w:tr>
      <w:tr>
        <w:trPr>
          <w:trHeight w:val="198"/>
        </w:trPr>
        <w:tc>
          <w:tcPr>
            <w:tcW w:w="4620" w:type="dxa"/>
            <w:vAlign w:val="bottom"/>
            <w:gridSpan w:val="2"/>
          </w:tcPr>
          <w:p>
            <w:pPr>
              <w:ind w:left="20"/>
              <w:spacing w:after="0" w:line="198" w:lineRule="exact"/>
              <w:rPr>
                <w:sz w:val="20"/>
                <w:szCs w:val="20"/>
                <w:color w:val="auto"/>
              </w:rPr>
            </w:pPr>
            <w:r>
              <w:rPr>
                <w:rFonts w:ascii="Arial" w:cs="Arial" w:eastAsia="Arial" w:hAnsi="Arial"/>
                <w:sz w:val="15"/>
                <w:szCs w:val="15"/>
                <w:color w:val="auto"/>
              </w:rPr>
              <w:t>Other expenses, net</w:t>
            </w:r>
            <w:r>
              <w:rPr>
                <w:rFonts w:ascii="Arial" w:cs="Arial" w:eastAsia="Arial" w:hAnsi="Arial"/>
                <w:sz w:val="18"/>
                <w:szCs w:val="18"/>
                <w:color w:val="auto"/>
                <w:vertAlign w:val="superscript"/>
              </w:rPr>
              <w:t>(9)</w:t>
            </w:r>
          </w:p>
        </w:tc>
        <w:tc>
          <w:tcPr>
            <w:tcW w:w="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(612)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(108)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(720)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(730)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(192)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(922)</w:t>
            </w:r>
          </w:p>
        </w:tc>
      </w:tr>
      <w:tr>
        <w:trPr>
          <w:trHeight w:val="182"/>
        </w:trPr>
        <w:tc>
          <w:tcPr>
            <w:tcW w:w="4500" w:type="dxa"/>
            <w:vAlign w:val="bottom"/>
            <w:tcBorders>
              <w:top w:val="single" w:sz="8" w:color="2C6937"/>
            </w:tcBorders>
          </w:tcPr>
          <w:p>
            <w:pPr>
              <w:ind w:left="20"/>
              <w:spacing w:after="0"/>
              <w:rPr>
                <w:sz w:val="20"/>
                <w:szCs w:val="20"/>
                <w:color w:val="auto"/>
              </w:rPr>
            </w:pPr>
            <w:r>
              <w:rPr>
                <w:rFonts w:ascii="Arial" w:cs="Arial" w:eastAsia="Arial" w:hAnsi="Arial"/>
                <w:sz w:val="15"/>
                <w:szCs w:val="15"/>
                <w:color w:val="auto"/>
              </w:rPr>
              <w:t>Income before federal income taxes</w:t>
            </w:r>
          </w:p>
        </w:tc>
        <w:tc>
          <w:tcPr>
            <w:tcW w:w="120" w:type="dxa"/>
            <w:vAlign w:val="bottom"/>
          </w:tcPr>
          <w:p>
            <w:pPr>
              <w:spacing w:after="0"/>
              <w:rPr>
                <w:sz w:val="15"/>
                <w:szCs w:val="15"/>
                <w:color w:val="auto"/>
              </w:rPr>
            </w:pPr>
          </w:p>
        </w:tc>
        <w:tc>
          <w:tcPr>
            <w:tcW w:w="280" w:type="dxa"/>
            <w:vAlign w:val="bottom"/>
            <w:tcBorders>
              <w:top w:val="single" w:sz="8" w:color="2C6937"/>
            </w:tcBorders>
          </w:tcPr>
          <w:p>
            <w:pPr>
              <w:spacing w:after="0"/>
              <w:rPr>
                <w:sz w:val="15"/>
                <w:szCs w:val="15"/>
                <w:color w:val="auto"/>
              </w:rPr>
            </w:pPr>
          </w:p>
        </w:tc>
        <w:tc>
          <w:tcPr>
            <w:tcW w:w="72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13,795</w:t>
            </w:r>
          </w:p>
        </w:tc>
        <w:tc>
          <w:tcPr>
            <w:tcW w:w="80" w:type="dxa"/>
            <w:vAlign w:val="bottom"/>
          </w:tcPr>
          <w:p>
            <w:pPr>
              <w:spacing w:after="0"/>
              <w:rPr>
                <w:sz w:val="15"/>
                <w:szCs w:val="15"/>
                <w:color w:val="auto"/>
              </w:rPr>
            </w:pPr>
          </w:p>
        </w:tc>
        <w:tc>
          <w:tcPr>
            <w:tcW w:w="140" w:type="dxa"/>
            <w:vAlign w:val="bottom"/>
            <w:tcBorders>
              <w:top w:val="single" w:sz="8" w:color="2C6937"/>
            </w:tcBorders>
          </w:tcPr>
          <w:p>
            <w:pPr>
              <w:spacing w:after="0"/>
              <w:rPr>
                <w:sz w:val="15"/>
                <w:szCs w:val="15"/>
                <w:color w:val="auto"/>
              </w:rPr>
            </w:pPr>
          </w:p>
        </w:tc>
        <w:tc>
          <w:tcPr>
            <w:tcW w:w="98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2,295</w:t>
            </w:r>
          </w:p>
        </w:tc>
        <w:tc>
          <w:tcPr>
            <w:tcW w:w="120" w:type="dxa"/>
            <w:vAlign w:val="bottom"/>
          </w:tcPr>
          <w:p>
            <w:pPr>
              <w:spacing w:after="0"/>
              <w:rPr>
                <w:sz w:val="15"/>
                <w:szCs w:val="15"/>
                <w:color w:val="auto"/>
              </w:rPr>
            </w:pPr>
          </w:p>
        </w:tc>
        <w:tc>
          <w:tcPr>
            <w:tcW w:w="180" w:type="dxa"/>
            <w:vAlign w:val="bottom"/>
            <w:tcBorders>
              <w:top w:val="single" w:sz="8" w:color="2C6937"/>
            </w:tcBorders>
          </w:tcPr>
          <w:p>
            <w:pPr>
              <w:spacing w:after="0"/>
              <w:rPr>
                <w:sz w:val="15"/>
                <w:szCs w:val="15"/>
                <w:color w:val="auto"/>
              </w:rPr>
            </w:pPr>
          </w:p>
        </w:tc>
        <w:tc>
          <w:tcPr>
            <w:tcW w:w="720" w:type="dxa"/>
            <w:vAlign w:val="bottom"/>
            <w:tcBorders>
              <w:top w:val="single" w:sz="8" w:color="2C6937"/>
            </w:tcBorders>
          </w:tcPr>
          <w:p>
            <w:pPr>
              <w:jc w:val="right"/>
              <w:ind w:right="7"/>
              <w:spacing w:after="0"/>
              <w:rPr>
                <w:sz w:val="20"/>
                <w:szCs w:val="20"/>
                <w:color w:val="auto"/>
              </w:rPr>
            </w:pPr>
            <w:r>
              <w:rPr>
                <w:rFonts w:ascii="Arial" w:cs="Arial" w:eastAsia="Arial" w:hAnsi="Arial"/>
                <w:sz w:val="15"/>
                <w:szCs w:val="15"/>
                <w:b w:val="1"/>
                <w:bCs w:val="1"/>
                <w:color w:val="auto"/>
              </w:rPr>
              <w:t>16,090</w:t>
            </w:r>
          </w:p>
        </w:tc>
        <w:tc>
          <w:tcPr>
            <w:tcW w:w="100" w:type="dxa"/>
            <w:vAlign w:val="bottom"/>
          </w:tcPr>
          <w:p>
            <w:pPr>
              <w:spacing w:after="0"/>
              <w:rPr>
                <w:sz w:val="15"/>
                <w:szCs w:val="15"/>
                <w:color w:val="auto"/>
              </w:rPr>
            </w:pPr>
          </w:p>
        </w:tc>
        <w:tc>
          <w:tcPr>
            <w:tcW w:w="300" w:type="dxa"/>
            <w:vAlign w:val="bottom"/>
            <w:tcBorders>
              <w:top w:val="single" w:sz="8" w:color="2C6937"/>
            </w:tcBorders>
          </w:tcPr>
          <w:p>
            <w:pPr>
              <w:spacing w:after="0"/>
              <w:rPr>
                <w:sz w:val="15"/>
                <w:szCs w:val="15"/>
                <w:color w:val="auto"/>
              </w:rPr>
            </w:pPr>
          </w:p>
        </w:tc>
        <w:tc>
          <w:tcPr>
            <w:tcW w:w="72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14,622</w:t>
            </w:r>
          </w:p>
        </w:tc>
        <w:tc>
          <w:tcPr>
            <w:tcW w:w="120" w:type="dxa"/>
            <w:vAlign w:val="bottom"/>
          </w:tcPr>
          <w:p>
            <w:pPr>
              <w:spacing w:after="0"/>
              <w:rPr>
                <w:sz w:val="15"/>
                <w:szCs w:val="15"/>
                <w:color w:val="auto"/>
              </w:rPr>
            </w:pPr>
          </w:p>
        </w:tc>
        <w:tc>
          <w:tcPr>
            <w:tcW w:w="140" w:type="dxa"/>
            <w:vAlign w:val="bottom"/>
            <w:tcBorders>
              <w:top w:val="single" w:sz="8" w:color="2C6937"/>
            </w:tcBorders>
          </w:tcPr>
          <w:p>
            <w:pPr>
              <w:spacing w:after="0"/>
              <w:rPr>
                <w:sz w:val="15"/>
                <w:szCs w:val="15"/>
                <w:color w:val="auto"/>
              </w:rPr>
            </w:pPr>
          </w:p>
        </w:tc>
        <w:tc>
          <w:tcPr>
            <w:tcW w:w="980" w:type="dxa"/>
            <w:vAlign w:val="bottom"/>
            <w:tcBorders>
              <w:top w:val="single" w:sz="8" w:color="2C6937"/>
            </w:tcBorders>
          </w:tcPr>
          <w:p>
            <w:pPr>
              <w:jc w:val="right"/>
              <w:ind w:right="7"/>
              <w:spacing w:after="0"/>
              <w:rPr>
                <w:sz w:val="20"/>
                <w:szCs w:val="20"/>
                <w:color w:val="auto"/>
              </w:rPr>
            </w:pPr>
            <w:r>
              <w:rPr>
                <w:rFonts w:ascii="Arial" w:cs="Arial" w:eastAsia="Arial" w:hAnsi="Arial"/>
                <w:sz w:val="15"/>
                <w:szCs w:val="15"/>
                <w:color w:val="auto"/>
              </w:rPr>
              <w:t>2,378</w:t>
            </w:r>
          </w:p>
        </w:tc>
        <w:tc>
          <w:tcPr>
            <w:tcW w:w="100" w:type="dxa"/>
            <w:vAlign w:val="bottom"/>
          </w:tcPr>
          <w:p>
            <w:pPr>
              <w:spacing w:after="0"/>
              <w:rPr>
                <w:sz w:val="15"/>
                <w:szCs w:val="15"/>
                <w:color w:val="auto"/>
              </w:rPr>
            </w:pPr>
          </w:p>
        </w:tc>
        <w:tc>
          <w:tcPr>
            <w:tcW w:w="200" w:type="dxa"/>
            <w:vAlign w:val="bottom"/>
            <w:tcBorders>
              <w:top w:val="single" w:sz="8" w:color="2C6937"/>
            </w:tcBorders>
          </w:tcPr>
          <w:p>
            <w:pPr>
              <w:spacing w:after="0"/>
              <w:rPr>
                <w:sz w:val="15"/>
                <w:szCs w:val="15"/>
                <w:color w:val="auto"/>
              </w:rPr>
            </w:pPr>
          </w:p>
        </w:tc>
        <w:tc>
          <w:tcPr>
            <w:tcW w:w="720" w:type="dxa"/>
            <w:vAlign w:val="bottom"/>
            <w:tcBorders>
              <w:top w:val="single" w:sz="8" w:color="2C6937"/>
            </w:tcBorders>
          </w:tcPr>
          <w:p>
            <w:pPr>
              <w:jc w:val="right"/>
              <w:ind w:right="7"/>
              <w:spacing w:after="0"/>
              <w:rPr>
                <w:sz w:val="20"/>
                <w:szCs w:val="20"/>
                <w:color w:val="auto"/>
              </w:rPr>
            </w:pPr>
            <w:r>
              <w:rPr>
                <w:rFonts w:ascii="Arial" w:cs="Arial" w:eastAsia="Arial" w:hAnsi="Arial"/>
                <w:sz w:val="15"/>
                <w:szCs w:val="15"/>
                <w:color w:val="auto"/>
              </w:rPr>
              <w:t>17,000</w:t>
            </w:r>
          </w:p>
        </w:tc>
      </w:tr>
      <w:tr>
        <w:trPr>
          <w:trHeight w:val="198"/>
        </w:trPr>
        <w:tc>
          <w:tcPr>
            <w:tcW w:w="4620" w:type="dxa"/>
            <w:vAlign w:val="bottom"/>
            <w:gridSpan w:val="2"/>
          </w:tcPr>
          <w:p>
            <w:pPr>
              <w:ind w:left="20"/>
              <w:spacing w:after="0"/>
              <w:rPr>
                <w:sz w:val="20"/>
                <w:szCs w:val="20"/>
                <w:color w:val="auto"/>
              </w:rPr>
            </w:pPr>
            <w:r>
              <w:rPr>
                <w:rFonts w:ascii="Arial" w:cs="Arial" w:eastAsia="Arial" w:hAnsi="Arial"/>
                <w:sz w:val="15"/>
                <w:szCs w:val="15"/>
                <w:color w:val="auto"/>
              </w:rPr>
              <w:t>Provision for federal income taxes</w:t>
            </w:r>
          </w:p>
        </w:tc>
        <w:tc>
          <w:tcPr>
            <w:tcW w:w="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(2,819)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(423)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(3,242)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(3,071)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(464)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(3,535)</w:t>
            </w:r>
          </w:p>
        </w:tc>
      </w:tr>
      <w:tr>
        <w:trPr>
          <w:trHeight w:val="186"/>
        </w:trPr>
        <w:tc>
          <w:tcPr>
            <w:tcW w:w="4500" w:type="dxa"/>
            <w:vAlign w:val="bottom"/>
            <w:tcBorders>
              <w:top w:val="single" w:sz="8" w:color="2C6937"/>
              <w:bottom w:val="single" w:sz="8" w:color="2C6937"/>
            </w:tcBorders>
          </w:tcPr>
          <w:p>
            <w:pPr>
              <w:ind w:left="160"/>
              <w:spacing w:after="0"/>
              <w:rPr>
                <w:sz w:val="20"/>
                <w:szCs w:val="20"/>
                <w:color w:val="auto"/>
              </w:rPr>
            </w:pPr>
            <w:r>
              <w:rPr>
                <w:rFonts w:ascii="Arial" w:cs="Arial" w:eastAsia="Arial" w:hAnsi="Arial"/>
                <w:sz w:val="15"/>
                <w:szCs w:val="15"/>
                <w:color w:val="auto"/>
              </w:rPr>
              <w:t>Net income</w:t>
            </w:r>
          </w:p>
        </w:tc>
        <w:tc>
          <w:tcPr>
            <w:tcW w:w="120" w:type="dxa"/>
            <w:vAlign w:val="bottom"/>
          </w:tcPr>
          <w:p>
            <w:pPr>
              <w:spacing w:after="0"/>
              <w:rPr>
                <w:sz w:val="16"/>
                <w:szCs w:val="16"/>
                <w:color w:val="auto"/>
              </w:rPr>
            </w:pPr>
          </w:p>
        </w:tc>
        <w:tc>
          <w:tcPr>
            <w:tcW w:w="280" w:type="dxa"/>
            <w:vAlign w:val="bottom"/>
            <w:tcBorders>
              <w:top w:val="single" w:sz="8" w:color="2C6937"/>
              <w:bottom w:val="single" w:sz="8" w:color="2C6937"/>
            </w:tcBorders>
          </w:tcPr>
          <w:p>
            <w:pPr>
              <w:spacing w:after="0"/>
              <w:rPr>
                <w:sz w:val="20"/>
                <w:szCs w:val="20"/>
                <w:color w:val="auto"/>
              </w:rPr>
            </w:pPr>
            <w:r>
              <w:rPr>
                <w:rFonts w:ascii="Arial" w:cs="Arial" w:eastAsia="Arial" w:hAnsi="Arial"/>
                <w:sz w:val="15"/>
                <w:szCs w:val="15"/>
                <w:b w:val="1"/>
                <w:bCs w:val="1"/>
                <w:color w:val="auto"/>
              </w:rPr>
              <w:t>$</w:t>
            </w:r>
          </w:p>
        </w:tc>
        <w:tc>
          <w:tcPr>
            <w:tcW w:w="7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10,976</w:t>
            </w:r>
          </w:p>
        </w:tc>
        <w:tc>
          <w:tcPr>
            <w:tcW w:w="80" w:type="dxa"/>
            <w:vAlign w:val="bottom"/>
          </w:tcPr>
          <w:p>
            <w:pPr>
              <w:spacing w:after="0"/>
              <w:rPr>
                <w:sz w:val="16"/>
                <w:szCs w:val="16"/>
                <w:color w:val="auto"/>
              </w:rPr>
            </w:pPr>
          </w:p>
        </w:tc>
        <w:tc>
          <w:tcPr>
            <w:tcW w:w="1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9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1,872</w:t>
            </w:r>
          </w:p>
        </w:tc>
        <w:tc>
          <w:tcPr>
            <w:tcW w:w="120" w:type="dxa"/>
            <w:vAlign w:val="bottom"/>
          </w:tcPr>
          <w:p>
            <w:pPr>
              <w:spacing w:after="0"/>
              <w:rPr>
                <w:sz w:val="16"/>
                <w:szCs w:val="16"/>
                <w:color w:val="auto"/>
              </w:rPr>
            </w:pPr>
          </w:p>
        </w:tc>
        <w:tc>
          <w:tcPr>
            <w:tcW w:w="180" w:type="dxa"/>
            <w:vAlign w:val="bottom"/>
            <w:tcBorders>
              <w:top w:val="single" w:sz="8" w:color="2C6937"/>
              <w:bottom w:val="single" w:sz="8" w:color="2C6937"/>
            </w:tcBorders>
          </w:tcPr>
          <w:p>
            <w:pPr>
              <w:jc w:val="right"/>
              <w:ind w:right="7"/>
              <w:spacing w:after="0"/>
              <w:rPr>
                <w:sz w:val="20"/>
                <w:szCs w:val="20"/>
                <w:color w:val="auto"/>
              </w:rPr>
            </w:pPr>
            <w:r>
              <w:rPr>
                <w:rFonts w:ascii="Arial" w:cs="Arial" w:eastAsia="Arial" w:hAnsi="Arial"/>
                <w:sz w:val="15"/>
                <w:szCs w:val="15"/>
                <w:b w:val="1"/>
                <w:bCs w:val="1"/>
                <w:color w:val="auto"/>
                <w:w w:val="95"/>
              </w:rPr>
              <w:t>$</w:t>
            </w:r>
          </w:p>
        </w:tc>
        <w:tc>
          <w:tcPr>
            <w:tcW w:w="720" w:type="dxa"/>
            <w:vAlign w:val="bottom"/>
            <w:tcBorders>
              <w:top w:val="single" w:sz="8" w:color="2C6937"/>
              <w:bottom w:val="single" w:sz="8" w:color="2C6937"/>
            </w:tcBorders>
          </w:tcPr>
          <w:p>
            <w:pPr>
              <w:jc w:val="right"/>
              <w:ind w:right="7"/>
              <w:spacing w:after="0"/>
              <w:rPr>
                <w:sz w:val="20"/>
                <w:szCs w:val="20"/>
                <w:color w:val="auto"/>
              </w:rPr>
            </w:pPr>
            <w:r>
              <w:rPr>
                <w:rFonts w:ascii="Arial" w:cs="Arial" w:eastAsia="Arial" w:hAnsi="Arial"/>
                <w:sz w:val="15"/>
                <w:szCs w:val="15"/>
                <w:b w:val="1"/>
                <w:bCs w:val="1"/>
                <w:color w:val="auto"/>
              </w:rPr>
              <w:t>12,848</w:t>
            </w:r>
          </w:p>
        </w:tc>
        <w:tc>
          <w:tcPr>
            <w:tcW w:w="100" w:type="dxa"/>
            <w:vAlign w:val="bottom"/>
          </w:tcPr>
          <w:p>
            <w:pPr>
              <w:spacing w:after="0"/>
              <w:rPr>
                <w:sz w:val="16"/>
                <w:szCs w:val="16"/>
                <w:color w:val="auto"/>
              </w:rPr>
            </w:pPr>
          </w:p>
        </w:tc>
        <w:tc>
          <w:tcPr>
            <w:tcW w:w="300" w:type="dxa"/>
            <w:vAlign w:val="bottom"/>
            <w:tcBorders>
              <w:top w:val="single" w:sz="8" w:color="2C6937"/>
              <w:bottom w:val="single" w:sz="8" w:color="2C6937"/>
            </w:tcBorders>
          </w:tcPr>
          <w:p>
            <w:pPr>
              <w:jc w:val="right"/>
              <w:ind w:right="127"/>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11,551</w:t>
            </w:r>
          </w:p>
        </w:tc>
        <w:tc>
          <w:tcPr>
            <w:tcW w:w="120" w:type="dxa"/>
            <w:vAlign w:val="bottom"/>
          </w:tcPr>
          <w:p>
            <w:pPr>
              <w:spacing w:after="0"/>
              <w:rPr>
                <w:sz w:val="16"/>
                <w:szCs w:val="16"/>
                <w:color w:val="auto"/>
              </w:rPr>
            </w:pPr>
          </w:p>
        </w:tc>
        <w:tc>
          <w:tcPr>
            <w:tcW w:w="1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2C6937"/>
              <w:bottom w:val="single" w:sz="8" w:color="2C6937"/>
            </w:tcBorders>
          </w:tcPr>
          <w:p>
            <w:pPr>
              <w:jc w:val="right"/>
              <w:ind w:right="7"/>
              <w:spacing w:after="0"/>
              <w:rPr>
                <w:sz w:val="20"/>
                <w:szCs w:val="20"/>
                <w:color w:val="auto"/>
              </w:rPr>
            </w:pPr>
            <w:r>
              <w:rPr>
                <w:rFonts w:ascii="Arial" w:cs="Arial" w:eastAsia="Arial" w:hAnsi="Arial"/>
                <w:sz w:val="15"/>
                <w:szCs w:val="15"/>
                <w:color w:val="auto"/>
              </w:rPr>
              <w:t>1,914</w:t>
            </w:r>
          </w:p>
        </w:tc>
        <w:tc>
          <w:tcPr>
            <w:tcW w:w="100" w:type="dxa"/>
            <w:vAlign w:val="bottom"/>
          </w:tcPr>
          <w:p>
            <w:pPr>
              <w:spacing w:after="0"/>
              <w:rPr>
                <w:sz w:val="16"/>
                <w:szCs w:val="16"/>
                <w:color w:val="auto"/>
              </w:rPr>
            </w:pPr>
          </w:p>
        </w:tc>
        <w:tc>
          <w:tcPr>
            <w:tcW w:w="200" w:type="dxa"/>
            <w:vAlign w:val="bottom"/>
            <w:tcBorders>
              <w:top w:val="single" w:sz="8" w:color="2C6937"/>
              <w:bottom w:val="single" w:sz="8" w:color="2C6937"/>
            </w:tcBorders>
          </w:tcPr>
          <w:p>
            <w:pPr>
              <w:jc w:val="right"/>
              <w:ind w:right="27"/>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2C6937"/>
              <w:bottom w:val="single" w:sz="8" w:color="2C6937"/>
            </w:tcBorders>
          </w:tcPr>
          <w:p>
            <w:pPr>
              <w:jc w:val="right"/>
              <w:ind w:right="7"/>
              <w:spacing w:after="0"/>
              <w:rPr>
                <w:sz w:val="20"/>
                <w:szCs w:val="20"/>
                <w:color w:val="auto"/>
              </w:rPr>
            </w:pPr>
            <w:r>
              <w:rPr>
                <w:rFonts w:ascii="Arial" w:cs="Arial" w:eastAsia="Arial" w:hAnsi="Arial"/>
                <w:sz w:val="15"/>
                <w:szCs w:val="15"/>
                <w:color w:val="auto"/>
              </w:rPr>
              <w:t>13,465</w:t>
            </w:r>
          </w:p>
        </w:tc>
      </w:tr>
      <w:tr>
        <w:trPr>
          <w:trHeight w:val="20"/>
        </w:trPr>
        <w:tc>
          <w:tcPr>
            <w:tcW w:w="450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98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9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r>
    </w:tbl>
    <w:p>
      <w:pPr>
        <w:spacing w:after="0" w:line="121" w:lineRule="exact"/>
        <w:rPr>
          <w:sz w:val="20"/>
          <w:szCs w:val="20"/>
          <w:color w:val="auto"/>
        </w:rPr>
      </w:pPr>
    </w:p>
    <w:p>
      <w:pPr>
        <w:ind w:left="240" w:right="20" w:hanging="237"/>
        <w:spacing w:after="0" w:line="236" w:lineRule="auto"/>
        <w:tabs>
          <w:tab w:leader="none" w:pos="233" w:val="left"/>
        </w:tabs>
        <w:numPr>
          <w:ilvl w:val="0"/>
          <w:numId w:val="90"/>
        </w:numPr>
        <w:rPr>
          <w:rFonts w:ascii="Arial" w:cs="Arial" w:eastAsia="Arial" w:hAnsi="Arial"/>
          <w:sz w:val="18"/>
          <w:szCs w:val="18"/>
          <w:color w:val="auto"/>
          <w:vertAlign w:val="superscript"/>
        </w:rPr>
      </w:pPr>
      <w:r>
        <w:rPr>
          <w:rFonts w:ascii="Arial" w:cs="Arial" w:eastAsia="Arial" w:hAnsi="Arial"/>
          <w:sz w:val="14"/>
          <w:szCs w:val="14"/>
          <w:color w:val="auto"/>
        </w:rPr>
        <w:t>Net interest income primarily consists of guaranty fees received as compensation for assuming the credit risk on loans underlying Fannie Mae MBS held by third parties for the respective business segment, and the difference between the interest income earned on the respective business segment’s assets in our retained mortgage portfolio and our corporate liquidity portfolio and the interest expense associated with the debt funding those assets. Revenues from single-family guaranty fees include revenues generated by the 10 basis point increase in guaranty fees pursuant to the TCCA, the incremental revenue from which is paid to Treasury and not retained by us. Also includes yield maintenance revenue we recognized on the prepayment of multifamily loans.</w:t>
      </w:r>
    </w:p>
    <w:p>
      <w:pPr>
        <w:spacing w:after="0" w:line="26" w:lineRule="exact"/>
        <w:rPr>
          <w:rFonts w:ascii="Arial" w:cs="Arial" w:eastAsia="Arial" w:hAnsi="Arial"/>
          <w:sz w:val="18"/>
          <w:szCs w:val="18"/>
          <w:color w:val="auto"/>
          <w:vertAlign w:val="superscript"/>
        </w:rPr>
      </w:pPr>
    </w:p>
    <w:p>
      <w:pPr>
        <w:ind w:left="240" w:right="160" w:hanging="237"/>
        <w:spacing w:after="0" w:line="226" w:lineRule="auto"/>
        <w:tabs>
          <w:tab w:leader="none" w:pos="233" w:val="left"/>
        </w:tabs>
        <w:numPr>
          <w:ilvl w:val="0"/>
          <w:numId w:val="90"/>
        </w:numPr>
        <w:rPr>
          <w:rFonts w:ascii="Arial" w:cs="Arial" w:eastAsia="Arial" w:hAnsi="Arial"/>
          <w:sz w:val="18"/>
          <w:szCs w:val="18"/>
          <w:color w:val="auto"/>
          <w:vertAlign w:val="superscript"/>
        </w:rPr>
      </w:pPr>
      <w:r>
        <w:rPr>
          <w:rFonts w:ascii="Arial" w:cs="Arial" w:eastAsia="Arial" w:hAnsi="Arial"/>
          <w:sz w:val="14"/>
          <w:szCs w:val="14"/>
          <w:color w:val="auto"/>
        </w:rPr>
        <w:t>Single-family fee and other income primarily consists of compensation for engaging in structured transactions and providing other lender services. Multifamily fee and other income consists of fees associated with certain Multifamily business activities, such as credit enhancements for tax-exempt multifamily housing revenue bonds.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365760</wp:posOffset>
            </wp:positionV>
            <wp:extent cx="680593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03" w:name="page104"/>
    <w:bookmarkEnd w:id="103"/>
    <w:p>
      <w:pPr>
        <w:ind w:left="6420"/>
        <w:spacing w:after="0"/>
        <w:rPr>
          <w:sz w:val="20"/>
          <w:szCs w:val="20"/>
          <w:color w:val="auto"/>
        </w:rPr>
      </w:pPr>
      <w:r>
        <w:rPr>
          <w:rFonts w:ascii="Arial" w:cs="Arial" w:eastAsia="Arial" w:hAnsi="Arial"/>
          <w:sz w:val="14"/>
          <w:szCs w:val="14"/>
          <w:color w:val="05314D"/>
        </w:rPr>
        <w:t>Notes to Condensed Consolidated Financial Statements | Segment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40" w:hanging="237"/>
        <w:spacing w:after="0" w:line="226" w:lineRule="auto"/>
        <w:tabs>
          <w:tab w:leader="none" w:pos="233" w:val="left"/>
        </w:tabs>
        <w:numPr>
          <w:ilvl w:val="0"/>
          <w:numId w:val="91"/>
        </w:numPr>
        <w:rPr>
          <w:rFonts w:ascii="Arial" w:cs="Arial" w:eastAsia="Arial" w:hAnsi="Arial"/>
          <w:sz w:val="18"/>
          <w:szCs w:val="18"/>
          <w:color w:val="auto"/>
          <w:vertAlign w:val="superscript"/>
        </w:rPr>
      </w:pPr>
      <w:r>
        <w:rPr>
          <w:rFonts w:ascii="Arial" w:cs="Arial" w:eastAsia="Arial" w:hAnsi="Arial"/>
          <w:sz w:val="14"/>
          <w:szCs w:val="14"/>
          <w:color w:val="auto"/>
        </w:rPr>
        <w:t>Single-family investment gains and losses primarily consist of gains and losses on the sale of mortgage assets. Multifamily investment gains and losses primarily consist of gains and losses on resecuritization activity.</w:t>
      </w:r>
    </w:p>
    <w:p>
      <w:pPr>
        <w:spacing w:after="0" w:line="27" w:lineRule="exact"/>
        <w:rPr>
          <w:rFonts w:ascii="Arial" w:cs="Arial" w:eastAsia="Arial" w:hAnsi="Arial"/>
          <w:sz w:val="18"/>
          <w:szCs w:val="18"/>
          <w:color w:val="auto"/>
          <w:vertAlign w:val="superscript"/>
        </w:rPr>
      </w:pPr>
    </w:p>
    <w:p>
      <w:pPr>
        <w:ind w:left="240" w:right="200" w:hanging="237"/>
        <w:spacing w:after="0" w:line="228" w:lineRule="auto"/>
        <w:tabs>
          <w:tab w:leader="none" w:pos="233" w:val="left"/>
        </w:tabs>
        <w:numPr>
          <w:ilvl w:val="0"/>
          <w:numId w:val="91"/>
        </w:numPr>
        <w:rPr>
          <w:rFonts w:ascii="Arial" w:cs="Arial" w:eastAsia="Arial" w:hAnsi="Arial"/>
          <w:sz w:val="18"/>
          <w:szCs w:val="18"/>
          <w:color w:val="auto"/>
          <w:vertAlign w:val="superscript"/>
        </w:rPr>
      </w:pPr>
      <w:r>
        <w:rPr>
          <w:rFonts w:ascii="Arial" w:cs="Arial" w:eastAsia="Arial" w:hAnsi="Arial"/>
          <w:sz w:val="14"/>
          <w:szCs w:val="14"/>
          <w:color w:val="auto"/>
        </w:rPr>
        <w:t>Single-family fair value gains and losses primarily consist of fair value gains and losses on risk management and mortgage commitment derivatives, trading securities, fair value option debt, and other financial instruments associated with our single-family guaranty book of business. Multifamily fair value gains and losses primarily consist of fair value gains and losses on MBS commitment derivatives, trading securities and other financial instruments associated with our multifamily guaranty book of business.</w:t>
      </w:r>
    </w:p>
    <w:p>
      <w:pPr>
        <w:ind w:left="220" w:hanging="217"/>
        <w:spacing w:after="0"/>
        <w:tabs>
          <w:tab w:leader="none" w:pos="220" w:val="left"/>
        </w:tabs>
        <w:numPr>
          <w:ilvl w:val="0"/>
          <w:numId w:val="91"/>
        </w:numPr>
        <w:rPr>
          <w:rFonts w:ascii="Arial" w:cs="Arial" w:eastAsia="Arial" w:hAnsi="Arial"/>
          <w:sz w:val="18"/>
          <w:szCs w:val="18"/>
          <w:color w:val="auto"/>
          <w:vertAlign w:val="superscript"/>
        </w:rPr>
      </w:pPr>
      <w:r>
        <w:rPr>
          <w:rFonts w:ascii="Arial" w:cs="Arial" w:eastAsia="Arial" w:hAnsi="Arial"/>
          <w:sz w:val="14"/>
          <w:szCs w:val="14"/>
          <w:color w:val="auto"/>
        </w:rPr>
        <w:t>Benefit (provision) for credit losses is based on loans underlying the segment’s guaranty book of business.</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91"/>
        </w:numPr>
        <w:rPr>
          <w:rFonts w:ascii="Arial" w:cs="Arial" w:eastAsia="Arial" w:hAnsi="Arial"/>
          <w:sz w:val="18"/>
          <w:szCs w:val="18"/>
          <w:color w:val="auto"/>
          <w:vertAlign w:val="superscript"/>
        </w:rPr>
      </w:pPr>
      <w:r>
        <w:rPr>
          <w:rFonts w:ascii="Arial" w:cs="Arial" w:eastAsia="Arial" w:hAnsi="Arial"/>
          <w:sz w:val="14"/>
          <w:szCs w:val="14"/>
          <w:color w:val="auto"/>
        </w:rPr>
        <w:t>Consists of the portion of our single-family guaranty fees that is paid to Treasury pursuant to the TCCA.</w:t>
      </w:r>
    </w:p>
    <w:p>
      <w:pPr>
        <w:spacing w:after="0" w:line="38" w:lineRule="exact"/>
        <w:rPr>
          <w:rFonts w:ascii="Arial" w:cs="Arial" w:eastAsia="Arial" w:hAnsi="Arial"/>
          <w:sz w:val="18"/>
          <w:szCs w:val="18"/>
          <w:color w:val="auto"/>
          <w:vertAlign w:val="superscript"/>
        </w:rPr>
      </w:pPr>
    </w:p>
    <w:p>
      <w:pPr>
        <w:ind w:left="240" w:right="80" w:hanging="237"/>
        <w:spacing w:after="0" w:line="218" w:lineRule="auto"/>
        <w:tabs>
          <w:tab w:leader="none" w:pos="233" w:val="left"/>
        </w:tabs>
        <w:numPr>
          <w:ilvl w:val="0"/>
          <w:numId w:val="91"/>
        </w:numPr>
        <w:rPr>
          <w:rFonts w:ascii="Arial" w:cs="Arial" w:eastAsia="Arial" w:hAnsi="Arial"/>
          <w:sz w:val="18"/>
          <w:szCs w:val="18"/>
          <w:color w:val="auto"/>
          <w:vertAlign w:val="superscript"/>
        </w:rPr>
      </w:pPr>
      <w:r>
        <w:rPr>
          <w:rFonts w:ascii="Arial" w:cs="Arial" w:eastAsia="Arial" w:hAnsi="Arial"/>
          <w:sz w:val="14"/>
          <w:szCs w:val="14"/>
          <w:color w:val="auto"/>
        </w:rPr>
        <w:t>Single-family credit enhancement expense consists of costs associated with our freestanding credit enhancements, which include primarily costs associated with our Credit Insurance Risk Transfer</w:t>
      </w:r>
      <w:r>
        <w:rPr>
          <w:rFonts w:ascii="Arial" w:cs="Arial" w:eastAsia="Arial" w:hAnsi="Arial"/>
          <w:sz w:val="17"/>
          <w:szCs w:val="17"/>
          <w:color w:val="auto"/>
          <w:vertAlign w:val="superscript"/>
        </w:rPr>
        <w:t>TM</w:t>
      </w:r>
      <w:r>
        <w:rPr>
          <w:rFonts w:ascii="Arial" w:cs="Arial" w:eastAsia="Arial" w:hAnsi="Arial"/>
          <w:sz w:val="14"/>
          <w:szCs w:val="14"/>
          <w:color w:val="auto"/>
        </w:rPr>
        <w:t xml:space="preserve"> (“CIRT</w:t>
      </w:r>
      <w:r>
        <w:rPr>
          <w:rFonts w:ascii="Arial" w:cs="Arial" w:eastAsia="Arial" w:hAnsi="Arial"/>
          <w:sz w:val="17"/>
          <w:szCs w:val="17"/>
          <w:color w:val="auto"/>
          <w:vertAlign w:val="superscript"/>
        </w:rPr>
        <w:t>TM</w:t>
      </w:r>
      <w:r>
        <w:rPr>
          <w:rFonts w:ascii="Arial" w:cs="Arial" w:eastAsia="Arial" w:hAnsi="Arial"/>
          <w:sz w:val="14"/>
          <w:szCs w:val="14"/>
          <w:color w:val="auto"/>
        </w:rPr>
        <w:t>”), Connecticut Avenue Securities</w:t>
      </w:r>
      <w:r>
        <w:rPr>
          <w:rFonts w:ascii="Arial" w:cs="Arial" w:eastAsia="Arial" w:hAnsi="Arial"/>
          <w:sz w:val="17"/>
          <w:szCs w:val="17"/>
          <w:color w:val="auto"/>
          <w:vertAlign w:val="superscript"/>
        </w:rPr>
        <w:t>®</w:t>
      </w:r>
      <w:r>
        <w:rPr>
          <w:rFonts w:ascii="Arial" w:cs="Arial" w:eastAsia="Arial" w:hAnsi="Arial"/>
          <w:sz w:val="14"/>
          <w:szCs w:val="14"/>
          <w:color w:val="auto"/>
        </w:rPr>
        <w:t xml:space="preserve"> (“CAS”) and enterprise-paid mortgage insurance programs. Multifamily credit enhancement expense primarily consists of costs associated with our Multifamily CIRT</w:t>
      </w:r>
      <w:r>
        <w:rPr>
          <w:rFonts w:ascii="Arial" w:cs="Arial" w:eastAsia="Arial" w:hAnsi="Arial"/>
          <w:sz w:val="8"/>
          <w:szCs w:val="8"/>
          <w:color w:val="auto"/>
        </w:rPr>
        <w:t>TM</w:t>
      </w:r>
      <w:r>
        <w:rPr>
          <w:rFonts w:ascii="Arial" w:cs="Arial" w:eastAsia="Arial" w:hAnsi="Arial"/>
          <w:sz w:val="14"/>
          <w:szCs w:val="14"/>
          <w:color w:val="auto"/>
        </w:rPr>
        <w:t xml:space="preserve"> (“MCIRT</w:t>
      </w:r>
      <w:r>
        <w:rPr>
          <w:rFonts w:ascii="Arial" w:cs="Arial" w:eastAsia="Arial" w:hAnsi="Arial"/>
          <w:sz w:val="8"/>
          <w:szCs w:val="8"/>
          <w:color w:val="auto"/>
        </w:rPr>
        <w:t>TM</w:t>
      </w:r>
      <w:r>
        <w:rPr>
          <w:rFonts w:ascii="Arial" w:cs="Arial" w:eastAsia="Arial" w:hAnsi="Arial"/>
          <w:sz w:val="14"/>
          <w:szCs w:val="14"/>
          <w:color w:val="auto"/>
        </w:rPr>
        <w:t>”) and Multifamily CAS (“MCAS</w:t>
      </w:r>
      <w:r>
        <w:rPr>
          <w:rFonts w:ascii="Arial" w:cs="Arial" w:eastAsia="Arial" w:hAnsi="Arial"/>
          <w:sz w:val="8"/>
          <w:szCs w:val="8"/>
          <w:color w:val="auto"/>
        </w:rPr>
        <w:t>TM</w:t>
      </w:r>
      <w:r>
        <w:rPr>
          <w:rFonts w:ascii="Arial" w:cs="Arial" w:eastAsia="Arial" w:hAnsi="Arial"/>
          <w:sz w:val="14"/>
          <w:szCs w:val="14"/>
          <w:color w:val="auto"/>
        </w:rPr>
        <w:t>”) programs as well as amortization expense for certain lender risk-sharing programs. Excludes CAS transactions accounted for as debt instruments and credit risk transfer programs accounted for as derivative instruments.</w:t>
      </w:r>
    </w:p>
    <w:p>
      <w:pPr>
        <w:spacing w:after="0" w:line="26" w:lineRule="exact"/>
        <w:rPr>
          <w:rFonts w:ascii="Arial" w:cs="Arial" w:eastAsia="Arial" w:hAnsi="Arial"/>
          <w:sz w:val="18"/>
          <w:szCs w:val="18"/>
          <w:color w:val="auto"/>
          <w:vertAlign w:val="superscript"/>
        </w:rPr>
      </w:pPr>
    </w:p>
    <w:p>
      <w:pPr>
        <w:ind w:left="240" w:right="840" w:hanging="237"/>
        <w:spacing w:after="0" w:line="230" w:lineRule="auto"/>
        <w:tabs>
          <w:tab w:leader="none" w:pos="233" w:val="left"/>
        </w:tabs>
        <w:numPr>
          <w:ilvl w:val="0"/>
          <w:numId w:val="91"/>
        </w:numPr>
        <w:rPr>
          <w:rFonts w:ascii="Arial" w:cs="Arial" w:eastAsia="Arial" w:hAnsi="Arial"/>
          <w:sz w:val="18"/>
          <w:szCs w:val="18"/>
          <w:color w:val="auto"/>
          <w:vertAlign w:val="superscript"/>
        </w:rPr>
      </w:pPr>
      <w:r>
        <w:rPr>
          <w:rFonts w:ascii="Arial" w:cs="Arial" w:eastAsia="Arial" w:hAnsi="Arial"/>
          <w:sz w:val="14"/>
          <w:szCs w:val="14"/>
          <w:color w:val="auto"/>
        </w:rPr>
        <w:t>Consists of change in benefits recognized from our freestanding credit enhancements, primarily from our CAS and CIRT programs as well as certain lender risk-sharing arrangements, including our multifamily Delegated Underwriting and Servicing (“DUS</w:t>
      </w:r>
      <w:r>
        <w:rPr>
          <w:rFonts w:ascii="Arial" w:cs="Arial" w:eastAsia="Arial" w:hAnsi="Arial"/>
          <w:sz w:val="17"/>
          <w:szCs w:val="17"/>
          <w:color w:val="auto"/>
          <w:vertAlign w:val="superscript"/>
        </w:rPr>
        <w:t>®</w:t>
      </w:r>
      <w:r>
        <w:rPr>
          <w:rFonts w:ascii="Arial" w:cs="Arial" w:eastAsia="Arial" w:hAnsi="Arial"/>
          <w:sz w:val="14"/>
          <w:szCs w:val="14"/>
          <w:color w:val="auto"/>
        </w:rPr>
        <w:t>”) program.</w:t>
      </w:r>
    </w:p>
    <w:p>
      <w:pPr>
        <w:ind w:left="240" w:right="440" w:hanging="237"/>
        <w:spacing w:after="0" w:line="210" w:lineRule="auto"/>
        <w:tabs>
          <w:tab w:leader="none" w:pos="233" w:val="left"/>
        </w:tabs>
        <w:numPr>
          <w:ilvl w:val="0"/>
          <w:numId w:val="91"/>
        </w:numPr>
        <w:rPr>
          <w:rFonts w:ascii="Arial" w:cs="Arial" w:eastAsia="Arial" w:hAnsi="Arial"/>
          <w:sz w:val="18"/>
          <w:szCs w:val="18"/>
          <w:color w:val="auto"/>
          <w:vertAlign w:val="superscript"/>
        </w:rPr>
      </w:pPr>
      <w:r>
        <w:rPr>
          <w:rFonts w:ascii="Arial" w:cs="Arial" w:eastAsia="Arial" w:hAnsi="Arial"/>
          <w:sz w:val="14"/>
          <w:szCs w:val="14"/>
          <w:color w:val="auto"/>
        </w:rPr>
        <w:t>Includes debt extinguishment gains and losses, expenses associated with legal claims, foreclosed property income (expense), gains and losses from partnership investments, housing trust fund expenses, loan subservicing costs, and servicer fees paid in connection with certain loss mitigation activities.</w:t>
      </w:r>
    </w:p>
    <w:p>
      <w:pPr>
        <w:spacing w:after="0" w:line="148"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11. Concentrations of Credit Risk</w:t>
      </w:r>
    </w:p>
    <w:p>
      <w:pPr>
        <w:spacing w:after="0" w:line="126"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Risk Characteristics of our Guaranty Book of Business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One of the measures by which management gauges our credit risk is the delinquency status of the mortgage loans in our guaranty book of business.</w:t>
      </w:r>
    </w:p>
    <w:p>
      <w:pPr>
        <w:spacing w:after="0" w:line="100"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color w:val="auto"/>
        </w:rPr>
        <w:t>For single-family and multifamily loans, management uses this information, in conjunction with housing market data, other economic data, our capital requirements and our mission objectives, to help inform changes to our pricing and our eligibility and underwriting criteria. Management also uses this data together with other credit risk measures to identify key trends that guide the development of our loss mitigation strategies.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report the delinquency status of our single-family and multifamily guaranty book of business below.</w:t>
      </w:r>
    </w:p>
    <w:p>
      <w:pPr>
        <w:spacing w:after="0" w:line="133" w:lineRule="exact"/>
        <w:rPr>
          <w:sz w:val="20"/>
          <w:szCs w:val="20"/>
          <w:color w:val="auto"/>
        </w:rPr>
      </w:pPr>
    </w:p>
    <w:p>
      <w:pPr>
        <w:spacing w:after="0"/>
        <w:rPr>
          <w:sz w:val="20"/>
          <w:szCs w:val="20"/>
          <w:color w:val="auto"/>
        </w:rPr>
      </w:pPr>
      <w:r>
        <w:rPr>
          <w:rFonts w:ascii="Georgia" w:cs="Georgia" w:eastAsia="Georgia" w:hAnsi="Georgia"/>
          <w:sz w:val="21"/>
          <w:szCs w:val="21"/>
          <w:i w:val="1"/>
          <w:iCs w:val="1"/>
          <w:color w:val="05314D"/>
        </w:rPr>
        <w:t>Single-Family Credit Risk Characteristics</w:t>
      </w:r>
    </w:p>
    <w:p>
      <w:pPr>
        <w:spacing w:after="0" w:line="76"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For single-family loans, management monitors the serious delinquency rate, which is the percentage of single-family loans, based on number of loans, that are 90 days or more past due or in the foreclosure process, and loans that have higher risk characteristics, such as high mark-to-market LTV ratios.</w:t>
      </w:r>
    </w:p>
    <w:p>
      <w:pPr>
        <w:spacing w:after="0" w:line="15"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The following tables display the delinquency status and serious delinquency rates for specified loan categories of our single-family conventional guaranty book of business.</w:t>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80" w:hanging="154"/>
        <w:spacing w:after="0" w:line="295" w:lineRule="auto"/>
        <w:rPr>
          <w:sz w:val="20"/>
          <w:szCs w:val="20"/>
          <w:color w:val="auto"/>
        </w:rPr>
      </w:pPr>
      <w:r>
        <w:rPr>
          <w:rFonts w:ascii="Arial" w:cs="Arial" w:eastAsia="Arial" w:hAnsi="Arial"/>
          <w:sz w:val="15"/>
          <w:szCs w:val="15"/>
          <w:color w:val="auto"/>
        </w:rPr>
        <w:t>Percentage of single-family conventional guaranty book of business based on UPB</w:t>
      </w:r>
    </w:p>
    <w:p>
      <w:pPr>
        <w:spacing w:after="0" w:line="1" w:lineRule="exact"/>
        <w:rPr>
          <w:sz w:val="20"/>
          <w:szCs w:val="20"/>
          <w:color w:val="auto"/>
        </w:rPr>
      </w:pPr>
    </w:p>
    <w:p>
      <w:pPr>
        <w:ind w:left="180" w:right="220" w:hanging="154"/>
        <w:spacing w:after="0" w:line="312" w:lineRule="auto"/>
        <w:rPr>
          <w:sz w:val="20"/>
          <w:szCs w:val="20"/>
          <w:color w:val="auto"/>
        </w:rPr>
      </w:pPr>
      <w:r>
        <w:rPr>
          <w:rFonts w:ascii="Arial" w:cs="Arial" w:eastAsia="Arial" w:hAnsi="Arial"/>
          <w:sz w:val="15"/>
          <w:szCs w:val="15"/>
          <w:color w:val="auto"/>
        </w:rPr>
        <w:t>Percentage of single-family conventional loans based on loan count</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487108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4871085" cy="8255"/>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140" w:type="dxa"/>
            <w:vAlign w:val="bottom"/>
            <w:tcBorders>
              <w:bottom w:val="single" w:sz="8" w:color="2C6937"/>
            </w:tcBorders>
          </w:tcPr>
          <w:p>
            <w:pPr>
              <w:spacing w:after="0"/>
              <w:rPr>
                <w:sz w:val="17"/>
                <w:szCs w:val="17"/>
                <w:color w:val="auto"/>
              </w:rPr>
            </w:pPr>
          </w:p>
        </w:tc>
        <w:tc>
          <w:tcPr>
            <w:tcW w:w="1480" w:type="dxa"/>
            <w:vAlign w:val="bottom"/>
            <w:tcBorders>
              <w:bottom w:val="single" w:sz="8" w:color="2C6937"/>
            </w:tcBorders>
            <w:gridSpan w:val="4"/>
          </w:tcPr>
          <w:p>
            <w:pPr>
              <w:ind w:left="100"/>
              <w:spacing w:after="0"/>
              <w:rPr>
                <w:sz w:val="20"/>
                <w:szCs w:val="20"/>
                <w:color w:val="auto"/>
              </w:rPr>
            </w:pPr>
            <w:r>
              <w:rPr>
                <w:rFonts w:ascii="Arial" w:cs="Arial" w:eastAsia="Arial" w:hAnsi="Arial"/>
                <w:sz w:val="14"/>
                <w:szCs w:val="14"/>
                <w:b w:val="1"/>
                <w:bCs w:val="1"/>
                <w:color w:val="auto"/>
              </w:rPr>
              <w:t>September 30, 2024</w:t>
            </w:r>
          </w:p>
        </w:tc>
        <w:tc>
          <w:tcPr>
            <w:tcW w:w="114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260" w:type="dxa"/>
            <w:vAlign w:val="bottom"/>
            <w:tcBorders>
              <w:bottom w:val="single" w:sz="8" w:color="2C6937"/>
            </w:tcBorders>
            <w:gridSpan w:val="2"/>
          </w:tcPr>
          <w:p>
            <w:pPr>
              <w:ind w:left="20"/>
              <w:spacing w:after="0"/>
              <w:rPr>
                <w:sz w:val="20"/>
                <w:szCs w:val="20"/>
                <w:color w:val="auto"/>
              </w:rPr>
            </w:pPr>
            <w:r>
              <w:rPr>
                <w:rFonts w:ascii="Arial" w:cs="Arial" w:eastAsia="Arial" w:hAnsi="Arial"/>
                <w:sz w:val="14"/>
                <w:szCs w:val="14"/>
                <w:b w:val="1"/>
                <w:bCs w:val="1"/>
                <w:color w:val="auto"/>
                <w:w w:val="96"/>
              </w:rPr>
              <w:t>December 31, 2023</w:t>
            </w:r>
          </w:p>
        </w:tc>
        <w:tc>
          <w:tcPr>
            <w:tcW w:w="1280" w:type="dxa"/>
            <w:vAlign w:val="bottom"/>
            <w:tcBorders>
              <w:bottom w:val="single" w:sz="8" w:color="2C6937"/>
            </w:tcBorders>
          </w:tcPr>
          <w:p>
            <w:pPr>
              <w:spacing w:after="0"/>
              <w:rPr>
                <w:sz w:val="17"/>
                <w:szCs w:val="17"/>
                <w:color w:val="auto"/>
              </w:rPr>
            </w:pPr>
          </w:p>
        </w:tc>
      </w:tr>
      <w:tr>
        <w:trPr>
          <w:trHeight w:val="182"/>
        </w:trPr>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8"/>
              </w:rPr>
              <w:t>30 Days</w:t>
            </w:r>
          </w:p>
        </w:tc>
        <w:tc>
          <w:tcPr>
            <w:tcW w:w="100" w:type="dxa"/>
            <w:vAlign w:val="bottom"/>
          </w:tcPr>
          <w:p>
            <w:pPr>
              <w:spacing w:after="0"/>
              <w:rPr>
                <w:sz w:val="15"/>
                <w:szCs w:val="15"/>
                <w:color w:val="auto"/>
              </w:rPr>
            </w:pPr>
          </w:p>
        </w:tc>
        <w:tc>
          <w:tcPr>
            <w:tcW w:w="13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8"/>
              </w:rPr>
              <w:t>60 Days</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Seriously</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30 Days</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60 Days</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8"/>
              </w:rPr>
              <w:t>Seriously</w:t>
            </w:r>
          </w:p>
        </w:tc>
      </w:tr>
      <w:tr>
        <w:trPr>
          <w:trHeight w:val="205"/>
        </w:trPr>
        <w:tc>
          <w:tcPr>
            <w:tcW w:w="114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6"/>
              </w:rPr>
              <w:t>Delinquent</w:t>
            </w:r>
          </w:p>
        </w:tc>
        <w:tc>
          <w:tcPr>
            <w:tcW w:w="100" w:type="dxa"/>
            <w:vAlign w:val="bottom"/>
          </w:tcPr>
          <w:p>
            <w:pPr>
              <w:spacing w:after="0"/>
              <w:rPr>
                <w:sz w:val="17"/>
                <w:szCs w:val="17"/>
                <w:color w:val="auto"/>
              </w:rPr>
            </w:pPr>
          </w:p>
        </w:tc>
        <w:tc>
          <w:tcPr>
            <w:tcW w:w="11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9"/>
              </w:rPr>
              <w:t>Delinquent</w:t>
            </w:r>
          </w:p>
        </w:tc>
        <w:tc>
          <w:tcPr>
            <w:tcW w:w="100" w:type="dxa"/>
            <w:vAlign w:val="bottom"/>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140" w:type="dxa"/>
            <w:vAlign w:val="bottom"/>
            <w:tcBorders>
              <w:bottom w:val="single" w:sz="8" w:color="2C6937"/>
            </w:tcBorders>
          </w:tcPr>
          <w:p>
            <w:pPr>
              <w:jc w:val="center"/>
              <w:ind w:right="47"/>
              <w:spacing w:after="0"/>
              <w:rPr>
                <w:sz w:val="20"/>
                <w:szCs w:val="20"/>
                <w:color w:val="auto"/>
              </w:rPr>
            </w:pPr>
            <w:r>
              <w:rPr>
                <w:rFonts w:ascii="Arial" w:cs="Arial" w:eastAsia="Arial" w:hAnsi="Arial"/>
                <w:sz w:val="14"/>
                <w:szCs w:val="14"/>
                <w:b w:val="1"/>
                <w:bCs w:val="1"/>
                <w:color w:val="auto"/>
                <w:w w:val="95"/>
              </w:rPr>
              <w:t>Delinquent</w:t>
            </w:r>
            <w:r>
              <w:rPr>
                <w:rFonts w:ascii="Arial" w:cs="Arial" w:eastAsia="Arial" w:hAnsi="Arial"/>
                <w:sz w:val="17"/>
                <w:szCs w:val="17"/>
                <w:b w:val="1"/>
                <w:bCs w:val="1"/>
                <w:color w:val="auto"/>
                <w:w w:val="95"/>
                <w:vertAlign w:val="superscript"/>
              </w:rPr>
              <w:t>(1)</w:t>
            </w:r>
          </w:p>
        </w:tc>
        <w:tc>
          <w:tcPr>
            <w:tcW w:w="100" w:type="dxa"/>
            <w:vAlign w:val="bottom"/>
          </w:tcPr>
          <w:p>
            <w:pPr>
              <w:spacing w:after="0"/>
              <w:rPr>
                <w:sz w:val="17"/>
                <w:szCs w:val="17"/>
                <w:color w:val="auto"/>
              </w:rPr>
            </w:pPr>
          </w:p>
        </w:tc>
        <w:tc>
          <w:tcPr>
            <w:tcW w:w="11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9"/>
              </w:rPr>
              <w:t>Delinquent</w:t>
            </w:r>
          </w:p>
        </w:tc>
        <w:tc>
          <w:tcPr>
            <w:tcW w:w="100" w:type="dxa"/>
            <w:vAlign w:val="bottom"/>
          </w:tcPr>
          <w:p>
            <w:pPr>
              <w:spacing w:after="0"/>
              <w:rPr>
                <w:sz w:val="17"/>
                <w:szCs w:val="17"/>
                <w:color w:val="auto"/>
              </w:rPr>
            </w:pPr>
          </w:p>
        </w:tc>
        <w:tc>
          <w:tcPr>
            <w:tcW w:w="11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6"/>
              </w:rPr>
              <w:t>Delinquent</w:t>
            </w:r>
          </w:p>
        </w:tc>
        <w:tc>
          <w:tcPr>
            <w:tcW w:w="100" w:type="dxa"/>
            <w:vAlign w:val="bottom"/>
          </w:tcPr>
          <w:p>
            <w:pPr>
              <w:spacing w:after="0"/>
              <w:rPr>
                <w:sz w:val="17"/>
                <w:szCs w:val="17"/>
                <w:color w:val="auto"/>
              </w:rPr>
            </w:pPr>
          </w:p>
        </w:tc>
        <w:tc>
          <w:tcPr>
            <w:tcW w:w="128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5"/>
              </w:rPr>
              <w:t>Delinquent</w:t>
            </w:r>
            <w:r>
              <w:rPr>
                <w:rFonts w:ascii="Arial" w:cs="Arial" w:eastAsia="Arial" w:hAnsi="Arial"/>
                <w:sz w:val="17"/>
                <w:szCs w:val="17"/>
                <w:b w:val="1"/>
                <w:bCs w:val="1"/>
                <w:color w:val="auto"/>
                <w:w w:val="95"/>
                <w:vertAlign w:val="superscript"/>
              </w:rPr>
              <w:t>(1)</w:t>
            </w:r>
          </w:p>
        </w:tc>
      </w:tr>
      <w:tr>
        <w:trPr>
          <w:trHeight w:val="412"/>
        </w:trPr>
        <w:tc>
          <w:tcPr>
            <w:tcW w:w="1140" w:type="dxa"/>
            <w:vAlign w:val="bottom"/>
          </w:tcPr>
          <w:p>
            <w:pPr>
              <w:ind w:left="640"/>
              <w:spacing w:after="0"/>
              <w:rPr>
                <w:sz w:val="20"/>
                <w:szCs w:val="20"/>
                <w:color w:val="auto"/>
              </w:rPr>
            </w:pPr>
            <w:r>
              <w:rPr>
                <w:rFonts w:ascii="Arial" w:cs="Arial" w:eastAsia="Arial" w:hAnsi="Arial"/>
                <w:sz w:val="15"/>
                <w:szCs w:val="15"/>
                <w:b w:val="1"/>
                <w:bCs w:val="1"/>
                <w:color w:val="auto"/>
              </w:rPr>
              <w:t>0.96 %</w:t>
            </w:r>
          </w:p>
        </w:tc>
        <w:tc>
          <w:tcPr>
            <w:tcW w:w="1260" w:type="dxa"/>
            <w:vAlign w:val="bottom"/>
            <w:gridSpan w:val="2"/>
          </w:tcPr>
          <w:p>
            <w:pPr>
              <w:ind w:left="760"/>
              <w:spacing w:after="0"/>
              <w:rPr>
                <w:sz w:val="20"/>
                <w:szCs w:val="20"/>
                <w:color w:val="auto"/>
              </w:rPr>
            </w:pPr>
            <w:r>
              <w:rPr>
                <w:rFonts w:ascii="Arial" w:cs="Arial" w:eastAsia="Arial" w:hAnsi="Arial"/>
                <w:sz w:val="15"/>
                <w:szCs w:val="15"/>
                <w:b w:val="1"/>
                <w:bCs w:val="1"/>
                <w:color w:val="auto"/>
              </w:rPr>
              <w:t>0.25 %</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ind w:left="640"/>
              <w:spacing w:after="0"/>
              <w:rPr>
                <w:sz w:val="20"/>
                <w:szCs w:val="20"/>
                <w:color w:val="auto"/>
              </w:rPr>
            </w:pPr>
            <w:r>
              <w:rPr>
                <w:rFonts w:ascii="Arial" w:cs="Arial" w:eastAsia="Arial" w:hAnsi="Arial"/>
                <w:sz w:val="15"/>
                <w:szCs w:val="15"/>
                <w:b w:val="1"/>
                <w:bCs w:val="1"/>
                <w:color w:val="auto"/>
              </w:rPr>
              <w:t>0.54 %</w:t>
            </w:r>
          </w:p>
        </w:tc>
        <w:tc>
          <w:tcPr>
            <w:tcW w:w="100" w:type="dxa"/>
            <w:vAlign w:val="bottom"/>
          </w:tcPr>
          <w:p>
            <w:pPr>
              <w:spacing w:after="0"/>
              <w:rPr>
                <w:sz w:val="24"/>
                <w:szCs w:val="24"/>
                <w:color w:val="auto"/>
              </w:rPr>
            </w:pPr>
          </w:p>
        </w:tc>
        <w:tc>
          <w:tcPr>
            <w:tcW w:w="1160" w:type="dxa"/>
            <w:vAlign w:val="bottom"/>
          </w:tcPr>
          <w:p>
            <w:pPr>
              <w:ind w:left="660"/>
              <w:spacing w:after="0"/>
              <w:rPr>
                <w:sz w:val="20"/>
                <w:szCs w:val="20"/>
                <w:color w:val="auto"/>
              </w:rPr>
            </w:pPr>
            <w:r>
              <w:rPr>
                <w:rFonts w:ascii="Arial" w:cs="Arial" w:eastAsia="Arial" w:hAnsi="Arial"/>
                <w:sz w:val="15"/>
                <w:szCs w:val="15"/>
                <w:color w:val="auto"/>
              </w:rPr>
              <w:t>0.98 %</w:t>
            </w:r>
          </w:p>
        </w:tc>
        <w:tc>
          <w:tcPr>
            <w:tcW w:w="100" w:type="dxa"/>
            <w:vAlign w:val="bottom"/>
          </w:tcPr>
          <w:p>
            <w:pPr>
              <w:spacing w:after="0"/>
              <w:rPr>
                <w:sz w:val="24"/>
                <w:szCs w:val="24"/>
                <w:color w:val="auto"/>
              </w:rPr>
            </w:pPr>
          </w:p>
        </w:tc>
        <w:tc>
          <w:tcPr>
            <w:tcW w:w="1160" w:type="dxa"/>
            <w:vAlign w:val="bottom"/>
          </w:tcPr>
          <w:p>
            <w:pPr>
              <w:ind w:left="660"/>
              <w:spacing w:after="0"/>
              <w:rPr>
                <w:sz w:val="20"/>
                <w:szCs w:val="20"/>
                <w:color w:val="auto"/>
              </w:rPr>
            </w:pPr>
            <w:r>
              <w:rPr>
                <w:rFonts w:ascii="Arial" w:cs="Arial" w:eastAsia="Arial" w:hAnsi="Arial"/>
                <w:sz w:val="15"/>
                <w:szCs w:val="15"/>
                <w:color w:val="auto"/>
              </w:rPr>
              <w:t>0.24 %</w:t>
            </w:r>
          </w:p>
        </w:tc>
        <w:tc>
          <w:tcPr>
            <w:tcW w:w="100" w:type="dxa"/>
            <w:vAlign w:val="bottom"/>
          </w:tcPr>
          <w:p>
            <w:pPr>
              <w:spacing w:after="0"/>
              <w:rPr>
                <w:sz w:val="24"/>
                <w:szCs w:val="24"/>
                <w:color w:val="auto"/>
              </w:rPr>
            </w:pPr>
          </w:p>
        </w:tc>
        <w:tc>
          <w:tcPr>
            <w:tcW w:w="1280" w:type="dxa"/>
            <w:vAlign w:val="bottom"/>
          </w:tcPr>
          <w:p>
            <w:pPr>
              <w:ind w:left="780"/>
              <w:spacing w:after="0"/>
              <w:rPr>
                <w:sz w:val="20"/>
                <w:szCs w:val="20"/>
                <w:color w:val="auto"/>
              </w:rPr>
            </w:pPr>
            <w:r>
              <w:rPr>
                <w:rFonts w:ascii="Arial" w:cs="Arial" w:eastAsia="Arial" w:hAnsi="Arial"/>
                <w:sz w:val="15"/>
                <w:szCs w:val="15"/>
                <w:color w:val="auto"/>
              </w:rPr>
              <w:t>0.56 %</w:t>
            </w:r>
          </w:p>
        </w:tc>
      </w:tr>
      <w:tr>
        <w:trPr>
          <w:trHeight w:val="425"/>
        </w:trPr>
        <w:tc>
          <w:tcPr>
            <w:tcW w:w="1140" w:type="dxa"/>
            <w:vAlign w:val="bottom"/>
          </w:tcPr>
          <w:p>
            <w:pPr>
              <w:ind w:left="640"/>
              <w:spacing w:after="0"/>
              <w:rPr>
                <w:sz w:val="20"/>
                <w:szCs w:val="20"/>
                <w:color w:val="auto"/>
              </w:rPr>
            </w:pPr>
            <w:r>
              <w:rPr>
                <w:rFonts w:ascii="Arial" w:cs="Arial" w:eastAsia="Arial" w:hAnsi="Arial"/>
                <w:sz w:val="15"/>
                <w:szCs w:val="15"/>
                <w:b w:val="1"/>
                <w:bCs w:val="1"/>
                <w:color w:val="auto"/>
              </w:rPr>
              <w:t>1.02</w:t>
            </w:r>
          </w:p>
        </w:tc>
        <w:tc>
          <w:tcPr>
            <w:tcW w:w="1260" w:type="dxa"/>
            <w:vAlign w:val="bottom"/>
            <w:gridSpan w:val="2"/>
          </w:tcPr>
          <w:p>
            <w:pPr>
              <w:ind w:left="760"/>
              <w:spacing w:after="0"/>
              <w:rPr>
                <w:sz w:val="20"/>
                <w:szCs w:val="20"/>
                <w:color w:val="auto"/>
              </w:rPr>
            </w:pPr>
            <w:r>
              <w:rPr>
                <w:rFonts w:ascii="Arial" w:cs="Arial" w:eastAsia="Arial" w:hAnsi="Arial"/>
                <w:sz w:val="15"/>
                <w:szCs w:val="15"/>
                <w:b w:val="1"/>
                <w:bCs w:val="1"/>
                <w:color w:val="auto"/>
              </w:rPr>
              <w:t>0.26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ind w:left="640"/>
              <w:spacing w:after="0"/>
              <w:rPr>
                <w:sz w:val="20"/>
                <w:szCs w:val="20"/>
                <w:color w:val="auto"/>
              </w:rPr>
            </w:pPr>
            <w:r>
              <w:rPr>
                <w:rFonts w:ascii="Arial" w:cs="Arial" w:eastAsia="Arial" w:hAnsi="Arial"/>
                <w:sz w:val="15"/>
                <w:szCs w:val="15"/>
                <w:b w:val="1"/>
                <w:bCs w:val="1"/>
                <w:color w:val="auto"/>
              </w:rPr>
              <w:t>0.52</w:t>
            </w:r>
          </w:p>
        </w:tc>
        <w:tc>
          <w:tcPr>
            <w:tcW w:w="100" w:type="dxa"/>
            <w:vAlign w:val="bottom"/>
          </w:tcPr>
          <w:p>
            <w:pPr>
              <w:spacing w:after="0"/>
              <w:rPr>
                <w:sz w:val="24"/>
                <w:szCs w:val="24"/>
                <w:color w:val="auto"/>
              </w:rPr>
            </w:pPr>
          </w:p>
        </w:tc>
        <w:tc>
          <w:tcPr>
            <w:tcW w:w="1160" w:type="dxa"/>
            <w:vAlign w:val="bottom"/>
          </w:tcPr>
          <w:p>
            <w:pPr>
              <w:ind w:left="660"/>
              <w:spacing w:after="0"/>
              <w:rPr>
                <w:sz w:val="20"/>
                <w:szCs w:val="20"/>
                <w:color w:val="auto"/>
              </w:rPr>
            </w:pPr>
            <w:r>
              <w:rPr>
                <w:rFonts w:ascii="Arial" w:cs="Arial" w:eastAsia="Arial" w:hAnsi="Arial"/>
                <w:sz w:val="15"/>
                <w:szCs w:val="15"/>
                <w:color w:val="auto"/>
              </w:rPr>
              <w:t>1.06</w:t>
            </w:r>
          </w:p>
        </w:tc>
        <w:tc>
          <w:tcPr>
            <w:tcW w:w="100" w:type="dxa"/>
            <w:vAlign w:val="bottom"/>
          </w:tcPr>
          <w:p>
            <w:pPr>
              <w:spacing w:after="0"/>
              <w:rPr>
                <w:sz w:val="24"/>
                <w:szCs w:val="24"/>
                <w:color w:val="auto"/>
              </w:rPr>
            </w:pPr>
          </w:p>
        </w:tc>
        <w:tc>
          <w:tcPr>
            <w:tcW w:w="1160" w:type="dxa"/>
            <w:vAlign w:val="bottom"/>
          </w:tcPr>
          <w:p>
            <w:pPr>
              <w:ind w:left="660"/>
              <w:spacing w:after="0"/>
              <w:rPr>
                <w:sz w:val="20"/>
                <w:szCs w:val="20"/>
                <w:color w:val="auto"/>
              </w:rPr>
            </w:pPr>
            <w:r>
              <w:rPr>
                <w:rFonts w:ascii="Arial" w:cs="Arial" w:eastAsia="Arial" w:hAnsi="Arial"/>
                <w:sz w:val="15"/>
                <w:szCs w:val="15"/>
                <w:color w:val="auto"/>
              </w:rPr>
              <w:t>0.26</w:t>
            </w:r>
          </w:p>
        </w:tc>
        <w:tc>
          <w:tcPr>
            <w:tcW w:w="100" w:type="dxa"/>
            <w:vAlign w:val="bottom"/>
          </w:tcPr>
          <w:p>
            <w:pPr>
              <w:spacing w:after="0"/>
              <w:rPr>
                <w:sz w:val="24"/>
                <w:szCs w:val="24"/>
                <w:color w:val="auto"/>
              </w:rPr>
            </w:pPr>
          </w:p>
        </w:tc>
        <w:tc>
          <w:tcPr>
            <w:tcW w:w="1280" w:type="dxa"/>
            <w:vAlign w:val="bottom"/>
          </w:tcPr>
          <w:p>
            <w:pPr>
              <w:ind w:left="780"/>
              <w:spacing w:after="0"/>
              <w:rPr>
                <w:sz w:val="20"/>
                <w:szCs w:val="20"/>
                <w:color w:val="auto"/>
              </w:rPr>
            </w:pPr>
            <w:r>
              <w:rPr>
                <w:rFonts w:ascii="Arial" w:cs="Arial" w:eastAsia="Arial" w:hAnsi="Arial"/>
                <w:sz w:val="15"/>
                <w:szCs w:val="15"/>
                <w:color w:val="auto"/>
              </w:rPr>
              <w:t>0.55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-1852295</wp:posOffset>
            </wp:positionH>
            <wp:positionV relativeFrom="paragraph">
              <wp:posOffset>421640</wp:posOffset>
            </wp:positionV>
            <wp:extent cx="680593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30" w:lineRule="exact"/>
        <w:rPr>
          <w:sz w:val="20"/>
          <w:szCs w:val="20"/>
          <w:color w:val="auto"/>
        </w:rPr>
      </w:pPr>
    </w:p>
    <w:p>
      <w:pPr>
        <w:sectPr>
          <w:pgSz w:w="11900" w:h="16838" w:orient="portrait"/>
          <w:cols w:equalWidth="0" w:num="2">
            <w:col w:w="3440" w:space="100"/>
            <w:col w:w="7700"/>
          </w:cols>
          <w:pgMar w:left="320" w:top="248" w:right="339" w:bottom="1440" w:gutter="0" w:footer="0" w:header="0"/>
          <w:type w:val="continuous"/>
        </w:sectPr>
      </w:pPr>
    </w:p>
    <w:p>
      <w:pPr>
        <w:spacing w:after="0" w:line="200" w:lineRule="exact"/>
        <w:rPr>
          <w:sz w:val="20"/>
          <w:szCs w:val="20"/>
          <w:color w:val="auto"/>
        </w:rPr>
      </w:pPr>
    </w:p>
    <w:p>
      <w:pPr>
        <w:spacing w:after="0" w:line="252" w:lineRule="exact"/>
        <w:rPr>
          <w:sz w:val="20"/>
          <w:szCs w:val="20"/>
          <w:color w:val="auto"/>
        </w:rPr>
      </w:pPr>
    </w:p>
    <w:p>
      <w:pPr>
        <w:ind w:left="640"/>
        <w:spacing w:after="0"/>
        <w:rPr>
          <w:sz w:val="20"/>
          <w:szCs w:val="20"/>
          <w:color w:val="auto"/>
        </w:rPr>
      </w:pPr>
      <w:r>
        <w:rPr>
          <w:rFonts w:ascii="Arial" w:cs="Arial" w:eastAsia="Arial" w:hAnsi="Arial"/>
          <w:sz w:val="13"/>
          <w:szCs w:val="13"/>
          <w:color w:val="05314D"/>
        </w:rPr>
        <w:t>Fannie Mae (In conservatorship)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167005</wp:posOffset>
            </wp:positionV>
            <wp:extent cx="7164070" cy="4191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104" w:name="page105"/>
    <w:bookmarkEnd w:id="104"/>
    <w:p>
      <w:pPr>
        <w:ind w:left="5820"/>
        <w:spacing w:after="0"/>
        <w:rPr>
          <w:sz w:val="20"/>
          <w:szCs w:val="20"/>
          <w:color w:val="auto"/>
        </w:rPr>
      </w:pPr>
      <w:r>
        <w:rPr>
          <w:rFonts w:ascii="Arial" w:cs="Arial" w:eastAsia="Arial" w:hAnsi="Arial"/>
          <w:sz w:val="14"/>
          <w:szCs w:val="14"/>
          <w:color w:val="05314D"/>
        </w:rPr>
        <w:t>Notes to Condensed Consolidated Financial Statements | Concentrations of Credit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7520"/>
        <w:spacing w:after="0"/>
        <w:rPr>
          <w:sz w:val="20"/>
          <w:szCs w:val="20"/>
          <w:color w:val="auto"/>
        </w:rPr>
      </w:pPr>
      <w:r>
        <w:rPr>
          <w:rFonts w:ascii="Arial" w:cs="Arial" w:eastAsia="Arial" w:hAnsi="Arial"/>
          <w:sz w:val="14"/>
          <w:szCs w:val="14"/>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26670</wp:posOffset>
            </wp:positionV>
            <wp:extent cx="450278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4502785" cy="8255"/>
                    </a:xfrm>
                    <a:prstGeom prst="rect">
                      <a:avLst/>
                    </a:prstGeom>
                    <a:noFill/>
                  </pic:spPr>
                </pic:pic>
              </a:graphicData>
            </a:graphic>
          </wp:anchor>
        </w:drawing>
      </w:r>
    </w:p>
    <w:p>
      <w:pPr>
        <w:spacing w:after="0" w:line="51"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4140" w:type="dxa"/>
            <w:vAlign w:val="bottom"/>
          </w:tcPr>
          <w:p>
            <w:pPr>
              <w:spacing w:after="0"/>
              <w:rPr>
                <w:sz w:val="17"/>
                <w:szCs w:val="17"/>
                <w:color w:val="auto"/>
              </w:rPr>
            </w:pPr>
          </w:p>
        </w:tc>
        <w:tc>
          <w:tcPr>
            <w:tcW w:w="3580" w:type="dxa"/>
            <w:vAlign w:val="bottom"/>
            <w:gridSpan w:val="4"/>
          </w:tcPr>
          <w:p>
            <w:pPr>
              <w:ind w:left="1100"/>
              <w:spacing w:after="0"/>
              <w:rPr>
                <w:sz w:val="20"/>
                <w:szCs w:val="20"/>
                <w:color w:val="auto"/>
              </w:rPr>
            </w:pPr>
            <w:r>
              <w:rPr>
                <w:rFonts w:ascii="Arial" w:cs="Arial" w:eastAsia="Arial" w:hAnsi="Arial"/>
                <w:sz w:val="14"/>
                <w:szCs w:val="14"/>
                <w:b w:val="1"/>
                <w:bCs w:val="1"/>
                <w:color w:val="auto"/>
              </w:rPr>
              <w:t>September 30, 2024</w:t>
            </w:r>
          </w:p>
        </w:tc>
        <w:tc>
          <w:tcPr>
            <w:tcW w:w="3500" w:type="dxa"/>
            <w:vAlign w:val="bottom"/>
            <w:gridSpan w:val="3"/>
          </w:tcPr>
          <w:p>
            <w:pPr>
              <w:ind w:left="1140"/>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1940" w:type="dxa"/>
            <w:vAlign w:val="bottom"/>
            <w:tcBorders>
              <w:top w:val="single" w:sz="8" w:color="2C6937"/>
            </w:tcBorders>
            <w:gridSpan w:val="2"/>
          </w:tcPr>
          <w:p>
            <w:pPr>
              <w:jc w:val="center"/>
              <w:ind w:right="100"/>
              <w:spacing w:after="0"/>
              <w:rPr>
                <w:sz w:val="20"/>
                <w:szCs w:val="20"/>
                <w:color w:val="auto"/>
              </w:rPr>
            </w:pPr>
            <w:r>
              <w:rPr>
                <w:rFonts w:ascii="Arial" w:cs="Arial" w:eastAsia="Arial" w:hAnsi="Arial"/>
                <w:sz w:val="14"/>
                <w:szCs w:val="14"/>
                <w:b w:val="1"/>
                <w:bCs w:val="1"/>
                <w:color w:val="auto"/>
                <w:w w:val="99"/>
              </w:rPr>
              <w:t>Percentage of</w:t>
            </w:r>
          </w:p>
        </w:tc>
        <w:tc>
          <w:tcPr>
            <w:tcW w:w="1540" w:type="dxa"/>
            <w:vAlign w:val="bottom"/>
            <w:tcBorders>
              <w:top w:val="single" w:sz="8" w:color="2C6937"/>
            </w:tcBorders>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Borders>
              <w:top w:val="single" w:sz="8" w:color="2C6937"/>
            </w:tcBorders>
            <w:gridSpan w:val="2"/>
          </w:tcPr>
          <w:p>
            <w:pPr>
              <w:jc w:val="center"/>
              <w:ind w:right="100"/>
              <w:spacing w:after="0"/>
              <w:rPr>
                <w:sz w:val="20"/>
                <w:szCs w:val="20"/>
                <w:color w:val="auto"/>
              </w:rPr>
            </w:pPr>
            <w:r>
              <w:rPr>
                <w:rFonts w:ascii="Arial" w:cs="Arial" w:eastAsia="Arial" w:hAnsi="Arial"/>
                <w:sz w:val="14"/>
                <w:szCs w:val="14"/>
                <w:b w:val="1"/>
                <w:bCs w:val="1"/>
                <w:color w:val="auto"/>
                <w:w w:val="97"/>
              </w:rPr>
              <w:t>Percentage of</w:t>
            </w:r>
          </w:p>
        </w:tc>
        <w:tc>
          <w:tcPr>
            <w:tcW w:w="1540" w:type="dxa"/>
            <w:vAlign w:val="bottom"/>
            <w:tcBorders>
              <w:top w:val="single" w:sz="8" w:color="2C6937"/>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194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8"/>
              </w:rPr>
              <w:t>Single-Family</w:t>
            </w: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8"/>
              </w:rPr>
              <w:t>Single-Family</w:t>
            </w: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140" w:type="dxa"/>
            <w:vAlign w:val="bottom"/>
          </w:tcPr>
          <w:p>
            <w:pPr>
              <w:spacing w:after="0"/>
              <w:rPr>
                <w:sz w:val="12"/>
                <w:szCs w:val="12"/>
                <w:color w:val="auto"/>
              </w:rPr>
            </w:pPr>
          </w:p>
        </w:tc>
        <w:tc>
          <w:tcPr>
            <w:tcW w:w="194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9"/>
              </w:rPr>
              <w:t>Conventional</w:t>
            </w:r>
          </w:p>
        </w:tc>
        <w:tc>
          <w:tcPr>
            <w:tcW w:w="16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Serious Delinquency</w:t>
            </w:r>
          </w:p>
        </w:tc>
        <w:tc>
          <w:tcPr>
            <w:tcW w:w="196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6"/>
              </w:rPr>
              <w:t>Conventional</w:t>
            </w:r>
          </w:p>
        </w:tc>
        <w:tc>
          <w:tcPr>
            <w:tcW w:w="15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Serious Delinquency</w:t>
            </w:r>
          </w:p>
        </w:tc>
        <w:tc>
          <w:tcPr>
            <w:tcW w:w="0" w:type="dxa"/>
            <w:vAlign w:val="bottom"/>
          </w:tcPr>
          <w:p>
            <w:pPr>
              <w:spacing w:after="0"/>
              <w:rPr>
                <w:sz w:val="1"/>
                <w:szCs w:val="1"/>
                <w:color w:val="auto"/>
              </w:rPr>
            </w:pPr>
          </w:p>
        </w:tc>
      </w:tr>
      <w:tr>
        <w:trPr>
          <w:trHeight w:val="143"/>
        </w:trPr>
        <w:tc>
          <w:tcPr>
            <w:tcW w:w="4140" w:type="dxa"/>
            <w:vAlign w:val="bottom"/>
          </w:tcPr>
          <w:p>
            <w:pPr>
              <w:spacing w:after="0"/>
              <w:rPr>
                <w:sz w:val="12"/>
                <w:szCs w:val="12"/>
                <w:color w:val="auto"/>
              </w:rPr>
            </w:pPr>
          </w:p>
        </w:tc>
        <w:tc>
          <w:tcPr>
            <w:tcW w:w="194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w w:val="98"/>
              </w:rPr>
              <w:t>Guaranty Book of Business</w:t>
            </w:r>
          </w:p>
        </w:tc>
        <w:tc>
          <w:tcPr>
            <w:tcW w:w="1640" w:type="dxa"/>
            <w:vAlign w:val="bottom"/>
            <w:gridSpan w:val="2"/>
            <w:vMerge w:val="continue"/>
          </w:tcPr>
          <w:p>
            <w:pPr>
              <w:spacing w:after="0"/>
              <w:rPr>
                <w:sz w:val="12"/>
                <w:szCs w:val="12"/>
                <w:color w:val="auto"/>
              </w:rPr>
            </w:pPr>
          </w:p>
        </w:tc>
        <w:tc>
          <w:tcPr>
            <w:tcW w:w="1960" w:type="dxa"/>
            <w:vAlign w:val="bottom"/>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w w:val="98"/>
              </w:rPr>
              <w:t>Guaranty Book of Business</w:t>
            </w: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4140" w:type="dxa"/>
            <w:vAlign w:val="bottom"/>
          </w:tcPr>
          <w:p>
            <w:pPr>
              <w:spacing w:after="0"/>
              <w:rPr>
                <w:sz w:val="17"/>
                <w:szCs w:val="17"/>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Based on UPB</w:t>
            </w:r>
          </w:p>
        </w:tc>
        <w:tc>
          <w:tcPr>
            <w:tcW w:w="1640" w:type="dxa"/>
            <w:vAlign w:val="bottom"/>
            <w:gridSpan w:val="2"/>
          </w:tcPr>
          <w:p>
            <w:pPr>
              <w:ind w:left="560"/>
              <w:spacing w:after="0"/>
              <w:rPr>
                <w:sz w:val="20"/>
                <w:szCs w:val="20"/>
                <w:color w:val="auto"/>
              </w:rPr>
            </w:pPr>
            <w:r>
              <w:rPr>
                <w:rFonts w:ascii="Arial" w:cs="Arial" w:eastAsia="Arial" w:hAnsi="Arial"/>
                <w:sz w:val="14"/>
                <w:szCs w:val="14"/>
                <w:b w:val="1"/>
                <w:bCs w:val="1"/>
                <w:color w:val="auto"/>
              </w:rPr>
              <w:t>Rate</w:t>
            </w:r>
            <w:r>
              <w:rPr>
                <w:rFonts w:ascii="Arial" w:cs="Arial" w:eastAsia="Arial" w:hAnsi="Arial"/>
                <w:sz w:val="17"/>
                <w:szCs w:val="17"/>
                <w:b w:val="1"/>
                <w:bCs w:val="1"/>
                <w:color w:val="auto"/>
                <w:vertAlign w:val="superscript"/>
              </w:rPr>
              <w:t>(1)</w:t>
            </w: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Based on UPB</w:t>
            </w:r>
          </w:p>
        </w:tc>
        <w:tc>
          <w:tcPr>
            <w:tcW w:w="1540" w:type="dxa"/>
            <w:vAlign w:val="bottom"/>
          </w:tcPr>
          <w:p>
            <w:pPr>
              <w:ind w:left="560"/>
              <w:spacing w:after="0"/>
              <w:rPr>
                <w:sz w:val="20"/>
                <w:szCs w:val="20"/>
                <w:color w:val="auto"/>
              </w:rPr>
            </w:pPr>
            <w:r>
              <w:rPr>
                <w:rFonts w:ascii="Arial" w:cs="Arial" w:eastAsia="Arial" w:hAnsi="Arial"/>
                <w:sz w:val="14"/>
                <w:szCs w:val="14"/>
                <w:b w:val="1"/>
                <w:bCs w:val="1"/>
                <w:color w:val="auto"/>
              </w:rPr>
              <w:t>Rate</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206"/>
        </w:trPr>
        <w:tc>
          <w:tcPr>
            <w:tcW w:w="4140" w:type="dxa"/>
            <w:vAlign w:val="bottom"/>
          </w:tcPr>
          <w:p>
            <w:pPr>
              <w:spacing w:after="0"/>
              <w:rPr>
                <w:sz w:val="20"/>
                <w:szCs w:val="20"/>
                <w:color w:val="auto"/>
              </w:rPr>
            </w:pPr>
            <w:r>
              <w:rPr>
                <w:rFonts w:ascii="Arial" w:cs="Arial" w:eastAsia="Arial" w:hAnsi="Arial"/>
                <w:sz w:val="15"/>
                <w:szCs w:val="15"/>
                <w:b w:val="1"/>
                <w:bCs w:val="1"/>
                <w:color w:val="auto"/>
              </w:rPr>
              <w:t>Estimated mark-to-market LTV ratio:</w:t>
            </w:r>
          </w:p>
        </w:tc>
        <w:tc>
          <w:tcPr>
            <w:tcW w:w="184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top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4140" w:type="dxa"/>
            <w:vAlign w:val="bottom"/>
          </w:tcPr>
          <w:p>
            <w:pPr>
              <w:ind w:left="160"/>
              <w:spacing w:after="0"/>
              <w:rPr>
                <w:sz w:val="20"/>
                <w:szCs w:val="20"/>
                <w:color w:val="auto"/>
              </w:rPr>
            </w:pPr>
            <w:r>
              <w:rPr>
                <w:rFonts w:ascii="Arial" w:cs="Arial" w:eastAsia="Arial" w:hAnsi="Arial"/>
                <w:sz w:val="15"/>
                <w:szCs w:val="15"/>
                <w:color w:val="auto"/>
              </w:rPr>
              <w:t>80.01% to 90%</w:t>
            </w:r>
          </w:p>
        </w:tc>
        <w:tc>
          <w:tcPr>
            <w:tcW w:w="1840" w:type="dxa"/>
            <w:vAlign w:val="bottom"/>
          </w:tcPr>
          <w:p>
            <w:pPr>
              <w:jc w:val="right"/>
              <w:spacing w:after="0"/>
              <w:rPr>
                <w:sz w:val="20"/>
                <w:szCs w:val="20"/>
                <w:color w:val="auto"/>
              </w:rPr>
            </w:pPr>
            <w:r>
              <w:rPr>
                <w:rFonts w:ascii="Arial" w:cs="Arial" w:eastAsia="Arial" w:hAnsi="Arial"/>
                <w:sz w:val="15"/>
                <w:szCs w:val="15"/>
                <w:b w:val="1"/>
                <w:bCs w:val="1"/>
                <w:color w:val="auto"/>
              </w:rPr>
              <w:t>5 %</w:t>
            </w:r>
          </w:p>
        </w:tc>
        <w:tc>
          <w:tcPr>
            <w:tcW w:w="100" w:type="dxa"/>
            <w:vAlign w:val="bottom"/>
          </w:tcPr>
          <w:p>
            <w:pPr>
              <w:spacing w:after="0"/>
              <w:rPr>
                <w:sz w:val="21"/>
                <w:szCs w:val="21"/>
                <w:color w:val="auto"/>
              </w:rPr>
            </w:pPr>
          </w:p>
        </w:tc>
        <w:tc>
          <w:tcPr>
            <w:tcW w:w="1540" w:type="dxa"/>
            <w:vAlign w:val="bottom"/>
          </w:tcPr>
          <w:p>
            <w:pPr>
              <w:ind w:left="1040"/>
              <w:spacing w:after="0"/>
              <w:rPr>
                <w:sz w:val="20"/>
                <w:szCs w:val="20"/>
                <w:color w:val="auto"/>
              </w:rPr>
            </w:pPr>
            <w:r>
              <w:rPr>
                <w:rFonts w:ascii="Arial" w:cs="Arial" w:eastAsia="Arial" w:hAnsi="Arial"/>
                <w:sz w:val="15"/>
                <w:szCs w:val="15"/>
                <w:b w:val="1"/>
                <w:bCs w:val="1"/>
                <w:color w:val="auto"/>
              </w:rPr>
              <w:t>0.85 %</w:t>
            </w:r>
          </w:p>
        </w:tc>
        <w:tc>
          <w:tcPr>
            <w:tcW w:w="1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5"/>
                <w:szCs w:val="15"/>
                <w:color w:val="auto"/>
              </w:rPr>
              <w:t>5 %</w:t>
            </w:r>
          </w:p>
        </w:tc>
        <w:tc>
          <w:tcPr>
            <w:tcW w:w="100" w:type="dxa"/>
            <w:vAlign w:val="bottom"/>
          </w:tcPr>
          <w:p>
            <w:pPr>
              <w:spacing w:after="0"/>
              <w:rPr>
                <w:sz w:val="21"/>
                <w:szCs w:val="21"/>
                <w:color w:val="auto"/>
              </w:rPr>
            </w:pPr>
          </w:p>
        </w:tc>
        <w:tc>
          <w:tcPr>
            <w:tcW w:w="1540" w:type="dxa"/>
            <w:vAlign w:val="bottom"/>
          </w:tcPr>
          <w:p>
            <w:pPr>
              <w:ind w:left="1040"/>
              <w:spacing w:after="0"/>
              <w:rPr>
                <w:sz w:val="20"/>
                <w:szCs w:val="20"/>
                <w:color w:val="auto"/>
              </w:rPr>
            </w:pPr>
            <w:r>
              <w:rPr>
                <w:rFonts w:ascii="Arial" w:cs="Arial" w:eastAsia="Arial" w:hAnsi="Arial"/>
                <w:sz w:val="15"/>
                <w:szCs w:val="15"/>
                <w:color w:val="auto"/>
              </w:rPr>
              <w:t>0.81 %</w:t>
            </w:r>
          </w:p>
        </w:tc>
        <w:tc>
          <w:tcPr>
            <w:tcW w:w="0" w:type="dxa"/>
            <w:vAlign w:val="bottom"/>
          </w:tcPr>
          <w:p>
            <w:pPr>
              <w:spacing w:after="0"/>
              <w:rPr>
                <w:sz w:val="1"/>
                <w:szCs w:val="1"/>
                <w:color w:val="auto"/>
              </w:rPr>
            </w:pPr>
          </w:p>
        </w:tc>
      </w:tr>
      <w:tr>
        <w:trPr>
          <w:trHeight w:val="232"/>
        </w:trPr>
        <w:tc>
          <w:tcPr>
            <w:tcW w:w="4140" w:type="dxa"/>
            <w:vAlign w:val="bottom"/>
          </w:tcPr>
          <w:p>
            <w:pPr>
              <w:ind w:left="160"/>
              <w:spacing w:after="0"/>
              <w:rPr>
                <w:sz w:val="20"/>
                <w:szCs w:val="20"/>
                <w:color w:val="auto"/>
              </w:rPr>
            </w:pPr>
            <w:r>
              <w:rPr>
                <w:rFonts w:ascii="Arial" w:cs="Arial" w:eastAsia="Arial" w:hAnsi="Arial"/>
                <w:sz w:val="15"/>
                <w:szCs w:val="15"/>
                <w:color w:val="auto"/>
              </w:rPr>
              <w:t>90.01% to 100%</w:t>
            </w:r>
          </w:p>
        </w:tc>
        <w:tc>
          <w:tcPr>
            <w:tcW w:w="1840" w:type="dxa"/>
            <w:vAlign w:val="bottom"/>
          </w:tcPr>
          <w:p>
            <w:pPr>
              <w:jc w:val="right"/>
              <w:ind w:right="126"/>
              <w:spacing w:after="0"/>
              <w:rPr>
                <w:sz w:val="20"/>
                <w:szCs w:val="20"/>
                <w:color w:val="auto"/>
              </w:rPr>
            </w:pPr>
            <w:r>
              <w:rPr>
                <w:rFonts w:ascii="Arial" w:cs="Arial" w:eastAsia="Arial" w:hAnsi="Arial"/>
                <w:sz w:val="15"/>
                <w:szCs w:val="15"/>
                <w:b w:val="1"/>
                <w:bCs w:val="1"/>
                <w:color w:val="auto"/>
              </w:rPr>
              <w:t>3</w:t>
            </w:r>
          </w:p>
        </w:tc>
        <w:tc>
          <w:tcPr>
            <w:tcW w:w="100" w:type="dxa"/>
            <w:vAlign w:val="bottom"/>
          </w:tcPr>
          <w:p>
            <w:pPr>
              <w:spacing w:after="0"/>
              <w:rPr>
                <w:sz w:val="20"/>
                <w:szCs w:val="20"/>
                <w:color w:val="auto"/>
              </w:rPr>
            </w:pPr>
          </w:p>
        </w:tc>
        <w:tc>
          <w:tcPr>
            <w:tcW w:w="1540" w:type="dxa"/>
            <w:vAlign w:val="bottom"/>
          </w:tcPr>
          <w:p>
            <w:pPr>
              <w:ind w:left="1040"/>
              <w:spacing w:after="0"/>
              <w:rPr>
                <w:sz w:val="20"/>
                <w:szCs w:val="20"/>
                <w:color w:val="auto"/>
              </w:rPr>
            </w:pPr>
            <w:r>
              <w:rPr>
                <w:rFonts w:ascii="Arial" w:cs="Arial" w:eastAsia="Arial" w:hAnsi="Arial"/>
                <w:sz w:val="15"/>
                <w:szCs w:val="15"/>
                <w:b w:val="1"/>
                <w:bCs w:val="1"/>
                <w:color w:val="auto"/>
              </w:rPr>
              <w:t>0.62</w:t>
            </w:r>
          </w:p>
        </w:tc>
        <w:tc>
          <w:tcPr>
            <w:tcW w:w="100" w:type="dxa"/>
            <w:vAlign w:val="bottom"/>
          </w:tcPr>
          <w:p>
            <w:pPr>
              <w:spacing w:after="0"/>
              <w:rPr>
                <w:sz w:val="20"/>
                <w:szCs w:val="20"/>
                <w:color w:val="auto"/>
              </w:rPr>
            </w:pPr>
          </w:p>
        </w:tc>
        <w:tc>
          <w:tcPr>
            <w:tcW w:w="1860" w:type="dxa"/>
            <w:vAlign w:val="bottom"/>
          </w:tcPr>
          <w:p>
            <w:pPr>
              <w:jc w:val="right"/>
              <w:ind w:right="126"/>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20"/>
                <w:szCs w:val="20"/>
                <w:color w:val="auto"/>
              </w:rPr>
            </w:pPr>
          </w:p>
        </w:tc>
        <w:tc>
          <w:tcPr>
            <w:tcW w:w="1540" w:type="dxa"/>
            <w:vAlign w:val="bottom"/>
          </w:tcPr>
          <w:p>
            <w:pPr>
              <w:ind w:left="1040"/>
              <w:spacing w:after="0"/>
              <w:rPr>
                <w:sz w:val="20"/>
                <w:szCs w:val="20"/>
                <w:color w:val="auto"/>
              </w:rPr>
            </w:pPr>
            <w:r>
              <w:rPr>
                <w:rFonts w:ascii="Arial" w:cs="Arial" w:eastAsia="Arial" w:hAnsi="Arial"/>
                <w:sz w:val="15"/>
                <w:szCs w:val="15"/>
                <w:color w:val="auto"/>
              </w:rPr>
              <w:t>0.59</w:t>
            </w:r>
          </w:p>
        </w:tc>
        <w:tc>
          <w:tcPr>
            <w:tcW w:w="0" w:type="dxa"/>
            <w:vAlign w:val="bottom"/>
          </w:tcPr>
          <w:p>
            <w:pPr>
              <w:spacing w:after="0"/>
              <w:rPr>
                <w:sz w:val="1"/>
                <w:szCs w:val="1"/>
                <w:color w:val="auto"/>
              </w:rPr>
            </w:pPr>
          </w:p>
        </w:tc>
      </w:tr>
      <w:tr>
        <w:trPr>
          <w:trHeight w:val="232"/>
        </w:trPr>
        <w:tc>
          <w:tcPr>
            <w:tcW w:w="4140" w:type="dxa"/>
            <w:vAlign w:val="bottom"/>
          </w:tcPr>
          <w:p>
            <w:pPr>
              <w:ind w:left="160"/>
              <w:spacing w:after="0"/>
              <w:rPr>
                <w:sz w:val="20"/>
                <w:szCs w:val="20"/>
                <w:color w:val="auto"/>
              </w:rPr>
            </w:pPr>
            <w:r>
              <w:rPr>
                <w:rFonts w:ascii="Arial" w:cs="Arial" w:eastAsia="Arial" w:hAnsi="Arial"/>
                <w:sz w:val="15"/>
                <w:szCs w:val="15"/>
                <w:color w:val="auto"/>
              </w:rPr>
              <w:t>Greater than 100%</w:t>
            </w:r>
          </w:p>
        </w:tc>
        <w:tc>
          <w:tcPr>
            <w:tcW w:w="1840" w:type="dxa"/>
            <w:vAlign w:val="bottom"/>
          </w:tcPr>
          <w:p>
            <w:pPr>
              <w:jc w:val="right"/>
              <w:ind w:right="146"/>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0"/>
                <w:szCs w:val="20"/>
                <w:color w:val="auto"/>
              </w:rPr>
            </w:pPr>
          </w:p>
        </w:tc>
        <w:tc>
          <w:tcPr>
            <w:tcW w:w="1540" w:type="dxa"/>
            <w:vAlign w:val="bottom"/>
          </w:tcPr>
          <w:p>
            <w:pPr>
              <w:ind w:left="1040"/>
              <w:spacing w:after="0"/>
              <w:rPr>
                <w:sz w:val="20"/>
                <w:szCs w:val="20"/>
                <w:color w:val="auto"/>
              </w:rPr>
            </w:pPr>
            <w:r>
              <w:rPr>
                <w:rFonts w:ascii="Arial" w:cs="Arial" w:eastAsia="Arial" w:hAnsi="Arial"/>
                <w:sz w:val="15"/>
                <w:szCs w:val="15"/>
                <w:b w:val="1"/>
                <w:bCs w:val="1"/>
                <w:color w:val="auto"/>
              </w:rPr>
              <w:t>3.43</w:t>
            </w:r>
          </w:p>
        </w:tc>
        <w:tc>
          <w:tcPr>
            <w:tcW w:w="100" w:type="dxa"/>
            <w:vAlign w:val="bottom"/>
          </w:tcPr>
          <w:p>
            <w:pPr>
              <w:spacing w:after="0"/>
              <w:rPr>
                <w:sz w:val="20"/>
                <w:szCs w:val="20"/>
                <w:color w:val="auto"/>
              </w:rPr>
            </w:pPr>
          </w:p>
        </w:tc>
        <w:tc>
          <w:tcPr>
            <w:tcW w:w="186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540" w:type="dxa"/>
            <w:vAlign w:val="bottom"/>
          </w:tcPr>
          <w:p>
            <w:pPr>
              <w:ind w:left="1040"/>
              <w:spacing w:after="0"/>
              <w:rPr>
                <w:sz w:val="20"/>
                <w:szCs w:val="20"/>
                <w:color w:val="auto"/>
              </w:rPr>
            </w:pPr>
            <w:r>
              <w:rPr>
                <w:rFonts w:ascii="Arial" w:cs="Arial" w:eastAsia="Arial" w:hAnsi="Arial"/>
                <w:sz w:val="15"/>
                <w:szCs w:val="15"/>
                <w:color w:val="auto"/>
              </w:rPr>
              <w:t>2.05</w:t>
            </w:r>
          </w:p>
        </w:tc>
        <w:tc>
          <w:tcPr>
            <w:tcW w:w="0" w:type="dxa"/>
            <w:vAlign w:val="bottom"/>
          </w:tcPr>
          <w:p>
            <w:pPr>
              <w:spacing w:after="0"/>
              <w:rPr>
                <w:sz w:val="1"/>
                <w:szCs w:val="1"/>
                <w:color w:val="auto"/>
              </w:rPr>
            </w:pPr>
          </w:p>
        </w:tc>
      </w:tr>
      <w:tr>
        <w:trPr>
          <w:trHeight w:val="219"/>
        </w:trPr>
        <w:tc>
          <w:tcPr>
            <w:tcW w:w="4140" w:type="dxa"/>
            <w:vAlign w:val="bottom"/>
          </w:tcPr>
          <w:p>
            <w:pPr>
              <w:spacing w:after="0"/>
              <w:rPr>
                <w:sz w:val="20"/>
                <w:szCs w:val="20"/>
                <w:color w:val="auto"/>
              </w:rPr>
            </w:pPr>
            <w:r>
              <w:rPr>
                <w:rFonts w:ascii="Arial" w:cs="Arial" w:eastAsia="Arial" w:hAnsi="Arial"/>
                <w:sz w:val="15"/>
                <w:szCs w:val="15"/>
                <w:b w:val="1"/>
                <w:bCs w:val="1"/>
                <w:color w:val="auto"/>
              </w:rPr>
              <w:t>Geographical distribution:</w:t>
            </w: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140" w:type="dxa"/>
            <w:vAlign w:val="bottom"/>
          </w:tcPr>
          <w:p>
            <w:pPr>
              <w:ind w:left="160"/>
              <w:spacing w:after="0"/>
              <w:rPr>
                <w:sz w:val="20"/>
                <w:szCs w:val="20"/>
                <w:color w:val="auto"/>
              </w:rPr>
            </w:pPr>
            <w:r>
              <w:rPr>
                <w:rFonts w:ascii="Arial" w:cs="Arial" w:eastAsia="Arial" w:hAnsi="Arial"/>
                <w:sz w:val="15"/>
                <w:szCs w:val="15"/>
                <w:color w:val="auto"/>
              </w:rPr>
              <w:t>California</w:t>
            </w:r>
          </w:p>
        </w:tc>
        <w:tc>
          <w:tcPr>
            <w:tcW w:w="1840" w:type="dxa"/>
            <w:vAlign w:val="bottom"/>
          </w:tcPr>
          <w:p>
            <w:pPr>
              <w:jc w:val="right"/>
              <w:ind w:right="126"/>
              <w:spacing w:after="0"/>
              <w:rPr>
                <w:sz w:val="20"/>
                <w:szCs w:val="20"/>
                <w:color w:val="auto"/>
              </w:rPr>
            </w:pPr>
            <w:r>
              <w:rPr>
                <w:rFonts w:ascii="Arial" w:cs="Arial" w:eastAsia="Arial" w:hAnsi="Arial"/>
                <w:sz w:val="15"/>
                <w:szCs w:val="15"/>
                <w:b w:val="1"/>
                <w:bCs w:val="1"/>
                <w:color w:val="auto"/>
              </w:rPr>
              <w:t>19</w:t>
            </w:r>
          </w:p>
        </w:tc>
        <w:tc>
          <w:tcPr>
            <w:tcW w:w="100" w:type="dxa"/>
            <w:vAlign w:val="bottom"/>
          </w:tcPr>
          <w:p>
            <w:pPr>
              <w:spacing w:after="0"/>
              <w:rPr>
                <w:sz w:val="21"/>
                <w:szCs w:val="21"/>
                <w:color w:val="auto"/>
              </w:rPr>
            </w:pPr>
          </w:p>
        </w:tc>
        <w:tc>
          <w:tcPr>
            <w:tcW w:w="1540" w:type="dxa"/>
            <w:vAlign w:val="bottom"/>
          </w:tcPr>
          <w:p>
            <w:pPr>
              <w:ind w:left="1040"/>
              <w:spacing w:after="0"/>
              <w:rPr>
                <w:sz w:val="20"/>
                <w:szCs w:val="20"/>
                <w:color w:val="auto"/>
              </w:rPr>
            </w:pPr>
            <w:r>
              <w:rPr>
                <w:rFonts w:ascii="Arial" w:cs="Arial" w:eastAsia="Arial" w:hAnsi="Arial"/>
                <w:sz w:val="15"/>
                <w:szCs w:val="15"/>
                <w:b w:val="1"/>
                <w:bCs w:val="1"/>
                <w:color w:val="auto"/>
              </w:rPr>
              <w:t>0.39</w:t>
            </w:r>
          </w:p>
        </w:tc>
        <w:tc>
          <w:tcPr>
            <w:tcW w:w="100" w:type="dxa"/>
            <w:vAlign w:val="bottom"/>
          </w:tcPr>
          <w:p>
            <w:pPr>
              <w:spacing w:after="0"/>
              <w:rPr>
                <w:sz w:val="21"/>
                <w:szCs w:val="21"/>
                <w:color w:val="auto"/>
              </w:rPr>
            </w:pPr>
          </w:p>
        </w:tc>
        <w:tc>
          <w:tcPr>
            <w:tcW w:w="1860" w:type="dxa"/>
            <w:vAlign w:val="bottom"/>
          </w:tcPr>
          <w:p>
            <w:pPr>
              <w:jc w:val="right"/>
              <w:ind w:right="126"/>
              <w:spacing w:after="0"/>
              <w:rPr>
                <w:sz w:val="20"/>
                <w:szCs w:val="20"/>
                <w:color w:val="auto"/>
              </w:rPr>
            </w:pPr>
            <w:r>
              <w:rPr>
                <w:rFonts w:ascii="Arial" w:cs="Arial" w:eastAsia="Arial" w:hAnsi="Arial"/>
                <w:sz w:val="15"/>
                <w:szCs w:val="15"/>
                <w:color w:val="auto"/>
              </w:rPr>
              <w:t>19</w:t>
            </w:r>
          </w:p>
        </w:tc>
        <w:tc>
          <w:tcPr>
            <w:tcW w:w="100" w:type="dxa"/>
            <w:vAlign w:val="bottom"/>
          </w:tcPr>
          <w:p>
            <w:pPr>
              <w:spacing w:after="0"/>
              <w:rPr>
                <w:sz w:val="21"/>
                <w:szCs w:val="21"/>
                <w:color w:val="auto"/>
              </w:rPr>
            </w:pPr>
          </w:p>
        </w:tc>
        <w:tc>
          <w:tcPr>
            <w:tcW w:w="1540" w:type="dxa"/>
            <w:vAlign w:val="bottom"/>
          </w:tcPr>
          <w:p>
            <w:pPr>
              <w:ind w:left="1040"/>
              <w:spacing w:after="0"/>
              <w:rPr>
                <w:sz w:val="20"/>
                <w:szCs w:val="20"/>
                <w:color w:val="auto"/>
              </w:rPr>
            </w:pPr>
            <w:r>
              <w:rPr>
                <w:rFonts w:ascii="Arial" w:cs="Arial" w:eastAsia="Arial" w:hAnsi="Arial"/>
                <w:sz w:val="15"/>
                <w:szCs w:val="15"/>
                <w:color w:val="auto"/>
              </w:rPr>
              <w:t>0.42</w:t>
            </w:r>
          </w:p>
        </w:tc>
        <w:tc>
          <w:tcPr>
            <w:tcW w:w="0" w:type="dxa"/>
            <w:vAlign w:val="bottom"/>
          </w:tcPr>
          <w:p>
            <w:pPr>
              <w:spacing w:after="0"/>
              <w:rPr>
                <w:sz w:val="1"/>
                <w:szCs w:val="1"/>
                <w:color w:val="auto"/>
              </w:rPr>
            </w:pPr>
          </w:p>
        </w:tc>
      </w:tr>
      <w:tr>
        <w:trPr>
          <w:trHeight w:val="232"/>
        </w:trPr>
        <w:tc>
          <w:tcPr>
            <w:tcW w:w="4140" w:type="dxa"/>
            <w:vAlign w:val="bottom"/>
          </w:tcPr>
          <w:p>
            <w:pPr>
              <w:ind w:left="160"/>
              <w:spacing w:after="0"/>
              <w:rPr>
                <w:sz w:val="20"/>
                <w:szCs w:val="20"/>
                <w:color w:val="auto"/>
              </w:rPr>
            </w:pPr>
            <w:r>
              <w:rPr>
                <w:rFonts w:ascii="Arial" w:cs="Arial" w:eastAsia="Arial" w:hAnsi="Arial"/>
                <w:sz w:val="15"/>
                <w:szCs w:val="15"/>
                <w:color w:val="auto"/>
              </w:rPr>
              <w:t>Florida</w:t>
            </w:r>
          </w:p>
        </w:tc>
        <w:tc>
          <w:tcPr>
            <w:tcW w:w="1840" w:type="dxa"/>
            <w:vAlign w:val="bottom"/>
          </w:tcPr>
          <w:p>
            <w:pPr>
              <w:jc w:val="right"/>
              <w:ind w:right="126"/>
              <w:spacing w:after="0"/>
              <w:rPr>
                <w:sz w:val="20"/>
                <w:szCs w:val="20"/>
                <w:color w:val="auto"/>
              </w:rPr>
            </w:pPr>
            <w:r>
              <w:rPr>
                <w:rFonts w:ascii="Arial" w:cs="Arial" w:eastAsia="Arial" w:hAnsi="Arial"/>
                <w:sz w:val="15"/>
                <w:szCs w:val="15"/>
                <w:b w:val="1"/>
                <w:bCs w:val="1"/>
                <w:color w:val="auto"/>
              </w:rPr>
              <w:t>6</w:t>
            </w:r>
          </w:p>
        </w:tc>
        <w:tc>
          <w:tcPr>
            <w:tcW w:w="100" w:type="dxa"/>
            <w:vAlign w:val="bottom"/>
          </w:tcPr>
          <w:p>
            <w:pPr>
              <w:spacing w:after="0"/>
              <w:rPr>
                <w:sz w:val="20"/>
                <w:szCs w:val="20"/>
                <w:color w:val="auto"/>
              </w:rPr>
            </w:pPr>
          </w:p>
        </w:tc>
        <w:tc>
          <w:tcPr>
            <w:tcW w:w="1540" w:type="dxa"/>
            <w:vAlign w:val="bottom"/>
          </w:tcPr>
          <w:p>
            <w:pPr>
              <w:ind w:left="1040"/>
              <w:spacing w:after="0"/>
              <w:rPr>
                <w:sz w:val="20"/>
                <w:szCs w:val="20"/>
                <w:color w:val="auto"/>
              </w:rPr>
            </w:pPr>
            <w:r>
              <w:rPr>
                <w:rFonts w:ascii="Arial" w:cs="Arial" w:eastAsia="Arial" w:hAnsi="Arial"/>
                <w:sz w:val="15"/>
                <w:szCs w:val="15"/>
                <w:b w:val="1"/>
                <w:bCs w:val="1"/>
                <w:color w:val="auto"/>
              </w:rPr>
              <w:t>0.68</w:t>
            </w:r>
          </w:p>
        </w:tc>
        <w:tc>
          <w:tcPr>
            <w:tcW w:w="100" w:type="dxa"/>
            <w:vAlign w:val="bottom"/>
          </w:tcPr>
          <w:p>
            <w:pPr>
              <w:spacing w:after="0"/>
              <w:rPr>
                <w:sz w:val="20"/>
                <w:szCs w:val="20"/>
                <w:color w:val="auto"/>
              </w:rPr>
            </w:pPr>
          </w:p>
        </w:tc>
        <w:tc>
          <w:tcPr>
            <w:tcW w:w="1860" w:type="dxa"/>
            <w:vAlign w:val="bottom"/>
          </w:tcPr>
          <w:p>
            <w:pPr>
              <w:jc w:val="right"/>
              <w:ind w:right="126"/>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20"/>
                <w:szCs w:val="20"/>
                <w:color w:val="auto"/>
              </w:rPr>
            </w:pPr>
          </w:p>
        </w:tc>
        <w:tc>
          <w:tcPr>
            <w:tcW w:w="1540" w:type="dxa"/>
            <w:vAlign w:val="bottom"/>
          </w:tcPr>
          <w:p>
            <w:pPr>
              <w:ind w:left="1040"/>
              <w:spacing w:after="0"/>
              <w:rPr>
                <w:sz w:val="20"/>
                <w:szCs w:val="20"/>
                <w:color w:val="auto"/>
              </w:rPr>
            </w:pPr>
            <w:r>
              <w:rPr>
                <w:rFonts w:ascii="Arial" w:cs="Arial" w:eastAsia="Arial" w:hAnsi="Arial"/>
                <w:sz w:val="15"/>
                <w:szCs w:val="15"/>
                <w:color w:val="auto"/>
              </w:rPr>
              <w:t>0.73</w:t>
            </w:r>
          </w:p>
        </w:tc>
        <w:tc>
          <w:tcPr>
            <w:tcW w:w="0" w:type="dxa"/>
            <w:vAlign w:val="bottom"/>
          </w:tcPr>
          <w:p>
            <w:pPr>
              <w:spacing w:after="0"/>
              <w:rPr>
                <w:sz w:val="1"/>
                <w:szCs w:val="1"/>
                <w:color w:val="auto"/>
              </w:rPr>
            </w:pPr>
          </w:p>
        </w:tc>
      </w:tr>
      <w:tr>
        <w:trPr>
          <w:trHeight w:val="232"/>
        </w:trPr>
        <w:tc>
          <w:tcPr>
            <w:tcW w:w="4140" w:type="dxa"/>
            <w:vAlign w:val="bottom"/>
          </w:tcPr>
          <w:p>
            <w:pPr>
              <w:ind w:left="160"/>
              <w:spacing w:after="0"/>
              <w:rPr>
                <w:sz w:val="20"/>
                <w:szCs w:val="20"/>
                <w:color w:val="auto"/>
              </w:rPr>
            </w:pPr>
            <w:r>
              <w:rPr>
                <w:rFonts w:ascii="Arial" w:cs="Arial" w:eastAsia="Arial" w:hAnsi="Arial"/>
                <w:sz w:val="15"/>
                <w:szCs w:val="15"/>
                <w:color w:val="auto"/>
              </w:rPr>
              <w:t>Illinois</w:t>
            </w:r>
          </w:p>
        </w:tc>
        <w:tc>
          <w:tcPr>
            <w:tcW w:w="1840" w:type="dxa"/>
            <w:vAlign w:val="bottom"/>
          </w:tcPr>
          <w:p>
            <w:pPr>
              <w:jc w:val="right"/>
              <w:ind w:right="126"/>
              <w:spacing w:after="0"/>
              <w:rPr>
                <w:sz w:val="20"/>
                <w:szCs w:val="20"/>
                <w:color w:val="auto"/>
              </w:rPr>
            </w:pPr>
            <w:r>
              <w:rPr>
                <w:rFonts w:ascii="Arial" w:cs="Arial" w:eastAsia="Arial" w:hAnsi="Arial"/>
                <w:sz w:val="15"/>
                <w:szCs w:val="15"/>
                <w:b w:val="1"/>
                <w:bCs w:val="1"/>
                <w:color w:val="auto"/>
              </w:rPr>
              <w:t>3</w:t>
            </w:r>
          </w:p>
        </w:tc>
        <w:tc>
          <w:tcPr>
            <w:tcW w:w="100" w:type="dxa"/>
            <w:vAlign w:val="bottom"/>
          </w:tcPr>
          <w:p>
            <w:pPr>
              <w:spacing w:after="0"/>
              <w:rPr>
                <w:sz w:val="20"/>
                <w:szCs w:val="20"/>
                <w:color w:val="auto"/>
              </w:rPr>
            </w:pPr>
          </w:p>
        </w:tc>
        <w:tc>
          <w:tcPr>
            <w:tcW w:w="1540" w:type="dxa"/>
            <w:vAlign w:val="bottom"/>
          </w:tcPr>
          <w:p>
            <w:pPr>
              <w:ind w:left="1040"/>
              <w:spacing w:after="0"/>
              <w:rPr>
                <w:sz w:val="20"/>
                <w:szCs w:val="20"/>
                <w:color w:val="auto"/>
              </w:rPr>
            </w:pPr>
            <w:r>
              <w:rPr>
                <w:rFonts w:ascii="Arial" w:cs="Arial" w:eastAsia="Arial" w:hAnsi="Arial"/>
                <w:sz w:val="15"/>
                <w:szCs w:val="15"/>
                <w:b w:val="1"/>
                <w:bCs w:val="1"/>
                <w:color w:val="auto"/>
              </w:rPr>
              <w:t>0.66</w:t>
            </w:r>
          </w:p>
        </w:tc>
        <w:tc>
          <w:tcPr>
            <w:tcW w:w="100" w:type="dxa"/>
            <w:vAlign w:val="bottom"/>
          </w:tcPr>
          <w:p>
            <w:pPr>
              <w:spacing w:after="0"/>
              <w:rPr>
                <w:sz w:val="20"/>
                <w:szCs w:val="20"/>
                <w:color w:val="auto"/>
              </w:rPr>
            </w:pPr>
          </w:p>
        </w:tc>
        <w:tc>
          <w:tcPr>
            <w:tcW w:w="1860" w:type="dxa"/>
            <w:vAlign w:val="bottom"/>
          </w:tcPr>
          <w:p>
            <w:pPr>
              <w:jc w:val="right"/>
              <w:ind w:right="126"/>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20"/>
                <w:szCs w:val="20"/>
                <w:color w:val="auto"/>
              </w:rPr>
            </w:pPr>
          </w:p>
        </w:tc>
        <w:tc>
          <w:tcPr>
            <w:tcW w:w="1540" w:type="dxa"/>
            <w:vAlign w:val="bottom"/>
          </w:tcPr>
          <w:p>
            <w:pPr>
              <w:ind w:left="1040"/>
              <w:spacing w:after="0"/>
              <w:rPr>
                <w:sz w:val="20"/>
                <w:szCs w:val="20"/>
                <w:color w:val="auto"/>
              </w:rPr>
            </w:pPr>
            <w:r>
              <w:rPr>
                <w:rFonts w:ascii="Arial" w:cs="Arial" w:eastAsia="Arial" w:hAnsi="Arial"/>
                <w:sz w:val="15"/>
                <w:szCs w:val="15"/>
                <w:color w:val="auto"/>
              </w:rPr>
              <w:t>0.70</w:t>
            </w:r>
          </w:p>
        </w:tc>
        <w:tc>
          <w:tcPr>
            <w:tcW w:w="0" w:type="dxa"/>
            <w:vAlign w:val="bottom"/>
          </w:tcPr>
          <w:p>
            <w:pPr>
              <w:spacing w:after="0"/>
              <w:rPr>
                <w:sz w:val="1"/>
                <w:szCs w:val="1"/>
                <w:color w:val="auto"/>
              </w:rPr>
            </w:pPr>
          </w:p>
        </w:tc>
      </w:tr>
      <w:tr>
        <w:trPr>
          <w:trHeight w:val="232"/>
        </w:trPr>
        <w:tc>
          <w:tcPr>
            <w:tcW w:w="4140" w:type="dxa"/>
            <w:vAlign w:val="bottom"/>
          </w:tcPr>
          <w:p>
            <w:pPr>
              <w:ind w:left="160"/>
              <w:spacing w:after="0"/>
              <w:rPr>
                <w:sz w:val="20"/>
                <w:szCs w:val="20"/>
                <w:color w:val="auto"/>
              </w:rPr>
            </w:pPr>
            <w:r>
              <w:rPr>
                <w:rFonts w:ascii="Arial" w:cs="Arial" w:eastAsia="Arial" w:hAnsi="Arial"/>
                <w:sz w:val="15"/>
                <w:szCs w:val="15"/>
                <w:color w:val="auto"/>
              </w:rPr>
              <w:t>New York</w:t>
            </w:r>
          </w:p>
        </w:tc>
        <w:tc>
          <w:tcPr>
            <w:tcW w:w="1840" w:type="dxa"/>
            <w:vAlign w:val="bottom"/>
          </w:tcPr>
          <w:p>
            <w:pPr>
              <w:jc w:val="right"/>
              <w:ind w:right="126"/>
              <w:spacing w:after="0"/>
              <w:rPr>
                <w:sz w:val="20"/>
                <w:szCs w:val="20"/>
                <w:color w:val="auto"/>
              </w:rPr>
            </w:pPr>
            <w:r>
              <w:rPr>
                <w:rFonts w:ascii="Arial" w:cs="Arial" w:eastAsia="Arial" w:hAnsi="Arial"/>
                <w:sz w:val="15"/>
                <w:szCs w:val="15"/>
                <w:b w:val="1"/>
                <w:bCs w:val="1"/>
                <w:color w:val="auto"/>
              </w:rPr>
              <w:t>4</w:t>
            </w:r>
          </w:p>
        </w:tc>
        <w:tc>
          <w:tcPr>
            <w:tcW w:w="100" w:type="dxa"/>
            <w:vAlign w:val="bottom"/>
          </w:tcPr>
          <w:p>
            <w:pPr>
              <w:spacing w:after="0"/>
              <w:rPr>
                <w:sz w:val="20"/>
                <w:szCs w:val="20"/>
                <w:color w:val="auto"/>
              </w:rPr>
            </w:pPr>
          </w:p>
        </w:tc>
        <w:tc>
          <w:tcPr>
            <w:tcW w:w="1540" w:type="dxa"/>
            <w:vAlign w:val="bottom"/>
          </w:tcPr>
          <w:p>
            <w:pPr>
              <w:ind w:left="1040"/>
              <w:spacing w:after="0"/>
              <w:rPr>
                <w:sz w:val="20"/>
                <w:szCs w:val="20"/>
                <w:color w:val="auto"/>
              </w:rPr>
            </w:pPr>
            <w:r>
              <w:rPr>
                <w:rFonts w:ascii="Arial" w:cs="Arial" w:eastAsia="Arial" w:hAnsi="Arial"/>
                <w:sz w:val="15"/>
                <w:szCs w:val="15"/>
                <w:b w:val="1"/>
                <w:bCs w:val="1"/>
                <w:color w:val="auto"/>
              </w:rPr>
              <w:t>0.80</w:t>
            </w:r>
          </w:p>
        </w:tc>
        <w:tc>
          <w:tcPr>
            <w:tcW w:w="100" w:type="dxa"/>
            <w:vAlign w:val="bottom"/>
          </w:tcPr>
          <w:p>
            <w:pPr>
              <w:spacing w:after="0"/>
              <w:rPr>
                <w:sz w:val="20"/>
                <w:szCs w:val="20"/>
                <w:color w:val="auto"/>
              </w:rPr>
            </w:pPr>
          </w:p>
        </w:tc>
        <w:tc>
          <w:tcPr>
            <w:tcW w:w="1860" w:type="dxa"/>
            <w:vAlign w:val="bottom"/>
          </w:tcPr>
          <w:p>
            <w:pPr>
              <w:jc w:val="right"/>
              <w:ind w:right="126"/>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20"/>
                <w:szCs w:val="20"/>
                <w:color w:val="auto"/>
              </w:rPr>
            </w:pPr>
          </w:p>
        </w:tc>
        <w:tc>
          <w:tcPr>
            <w:tcW w:w="1540" w:type="dxa"/>
            <w:vAlign w:val="bottom"/>
          </w:tcPr>
          <w:p>
            <w:pPr>
              <w:ind w:left="1040"/>
              <w:spacing w:after="0"/>
              <w:rPr>
                <w:sz w:val="20"/>
                <w:szCs w:val="20"/>
                <w:color w:val="auto"/>
              </w:rPr>
            </w:pPr>
            <w:r>
              <w:rPr>
                <w:rFonts w:ascii="Arial" w:cs="Arial" w:eastAsia="Arial" w:hAnsi="Arial"/>
                <w:sz w:val="15"/>
                <w:szCs w:val="15"/>
                <w:color w:val="auto"/>
              </w:rPr>
              <w:t>0.92</w:t>
            </w:r>
          </w:p>
        </w:tc>
        <w:tc>
          <w:tcPr>
            <w:tcW w:w="0" w:type="dxa"/>
            <w:vAlign w:val="bottom"/>
          </w:tcPr>
          <w:p>
            <w:pPr>
              <w:spacing w:after="0"/>
              <w:rPr>
                <w:sz w:val="1"/>
                <w:szCs w:val="1"/>
                <w:color w:val="auto"/>
              </w:rPr>
            </w:pPr>
          </w:p>
        </w:tc>
      </w:tr>
      <w:tr>
        <w:trPr>
          <w:trHeight w:val="232"/>
        </w:trPr>
        <w:tc>
          <w:tcPr>
            <w:tcW w:w="4140" w:type="dxa"/>
            <w:vAlign w:val="bottom"/>
          </w:tcPr>
          <w:p>
            <w:pPr>
              <w:ind w:left="160"/>
              <w:spacing w:after="0"/>
              <w:rPr>
                <w:sz w:val="20"/>
                <w:szCs w:val="20"/>
                <w:color w:val="auto"/>
              </w:rPr>
            </w:pPr>
            <w:r>
              <w:rPr>
                <w:rFonts w:ascii="Arial" w:cs="Arial" w:eastAsia="Arial" w:hAnsi="Arial"/>
                <w:sz w:val="15"/>
                <w:szCs w:val="15"/>
                <w:color w:val="auto"/>
              </w:rPr>
              <w:t>Texas</w:t>
            </w:r>
          </w:p>
        </w:tc>
        <w:tc>
          <w:tcPr>
            <w:tcW w:w="1840" w:type="dxa"/>
            <w:vAlign w:val="bottom"/>
          </w:tcPr>
          <w:p>
            <w:pPr>
              <w:jc w:val="right"/>
              <w:ind w:right="126"/>
              <w:spacing w:after="0"/>
              <w:rPr>
                <w:sz w:val="20"/>
                <w:szCs w:val="20"/>
                <w:color w:val="auto"/>
              </w:rPr>
            </w:pPr>
            <w:r>
              <w:rPr>
                <w:rFonts w:ascii="Arial" w:cs="Arial" w:eastAsia="Arial" w:hAnsi="Arial"/>
                <w:sz w:val="15"/>
                <w:szCs w:val="15"/>
                <w:b w:val="1"/>
                <w:bCs w:val="1"/>
                <w:color w:val="auto"/>
              </w:rPr>
              <w:t>7</w:t>
            </w:r>
          </w:p>
        </w:tc>
        <w:tc>
          <w:tcPr>
            <w:tcW w:w="100" w:type="dxa"/>
            <w:vAlign w:val="bottom"/>
          </w:tcPr>
          <w:p>
            <w:pPr>
              <w:spacing w:after="0"/>
              <w:rPr>
                <w:sz w:val="20"/>
                <w:szCs w:val="20"/>
                <w:color w:val="auto"/>
              </w:rPr>
            </w:pPr>
          </w:p>
        </w:tc>
        <w:tc>
          <w:tcPr>
            <w:tcW w:w="1540" w:type="dxa"/>
            <w:vAlign w:val="bottom"/>
          </w:tcPr>
          <w:p>
            <w:pPr>
              <w:ind w:left="1040"/>
              <w:spacing w:after="0"/>
              <w:rPr>
                <w:sz w:val="20"/>
                <w:szCs w:val="20"/>
                <w:color w:val="auto"/>
              </w:rPr>
            </w:pPr>
            <w:r>
              <w:rPr>
                <w:rFonts w:ascii="Arial" w:cs="Arial" w:eastAsia="Arial" w:hAnsi="Arial"/>
                <w:sz w:val="15"/>
                <w:szCs w:val="15"/>
                <w:b w:val="1"/>
                <w:bCs w:val="1"/>
                <w:color w:val="auto"/>
              </w:rPr>
              <w:t>0.69</w:t>
            </w:r>
          </w:p>
        </w:tc>
        <w:tc>
          <w:tcPr>
            <w:tcW w:w="100" w:type="dxa"/>
            <w:vAlign w:val="bottom"/>
          </w:tcPr>
          <w:p>
            <w:pPr>
              <w:spacing w:after="0"/>
              <w:rPr>
                <w:sz w:val="20"/>
                <w:szCs w:val="20"/>
                <w:color w:val="auto"/>
              </w:rPr>
            </w:pPr>
          </w:p>
        </w:tc>
        <w:tc>
          <w:tcPr>
            <w:tcW w:w="1860" w:type="dxa"/>
            <w:vAlign w:val="bottom"/>
          </w:tcPr>
          <w:p>
            <w:pPr>
              <w:jc w:val="right"/>
              <w:ind w:right="126"/>
              <w:spacing w:after="0"/>
              <w:rPr>
                <w:sz w:val="20"/>
                <w:szCs w:val="20"/>
                <w:color w:val="auto"/>
              </w:rPr>
            </w:pPr>
            <w:r>
              <w:rPr>
                <w:rFonts w:ascii="Arial" w:cs="Arial" w:eastAsia="Arial" w:hAnsi="Arial"/>
                <w:sz w:val="15"/>
                <w:szCs w:val="15"/>
                <w:color w:val="auto"/>
              </w:rPr>
              <w:t>7</w:t>
            </w:r>
          </w:p>
        </w:tc>
        <w:tc>
          <w:tcPr>
            <w:tcW w:w="100" w:type="dxa"/>
            <w:vAlign w:val="bottom"/>
          </w:tcPr>
          <w:p>
            <w:pPr>
              <w:spacing w:after="0"/>
              <w:rPr>
                <w:sz w:val="20"/>
                <w:szCs w:val="20"/>
                <w:color w:val="auto"/>
              </w:rPr>
            </w:pPr>
          </w:p>
        </w:tc>
        <w:tc>
          <w:tcPr>
            <w:tcW w:w="1540" w:type="dxa"/>
            <w:vAlign w:val="bottom"/>
          </w:tcPr>
          <w:p>
            <w:pPr>
              <w:ind w:left="1040"/>
              <w:spacing w:after="0"/>
              <w:rPr>
                <w:sz w:val="20"/>
                <w:szCs w:val="20"/>
                <w:color w:val="auto"/>
              </w:rPr>
            </w:pPr>
            <w:r>
              <w:rPr>
                <w:rFonts w:ascii="Arial" w:cs="Arial" w:eastAsia="Arial" w:hAnsi="Arial"/>
                <w:sz w:val="15"/>
                <w:szCs w:val="15"/>
                <w:color w:val="auto"/>
              </w:rPr>
              <w:t>0.64</w:t>
            </w:r>
          </w:p>
        </w:tc>
        <w:tc>
          <w:tcPr>
            <w:tcW w:w="0" w:type="dxa"/>
            <w:vAlign w:val="bottom"/>
          </w:tcPr>
          <w:p>
            <w:pPr>
              <w:spacing w:after="0"/>
              <w:rPr>
                <w:sz w:val="1"/>
                <w:szCs w:val="1"/>
                <w:color w:val="auto"/>
              </w:rPr>
            </w:pPr>
          </w:p>
        </w:tc>
      </w:tr>
      <w:tr>
        <w:trPr>
          <w:trHeight w:val="232"/>
        </w:trPr>
        <w:tc>
          <w:tcPr>
            <w:tcW w:w="4140" w:type="dxa"/>
            <w:vAlign w:val="bottom"/>
          </w:tcPr>
          <w:p>
            <w:pPr>
              <w:ind w:left="160"/>
              <w:spacing w:after="0"/>
              <w:rPr>
                <w:sz w:val="20"/>
                <w:szCs w:val="20"/>
                <w:color w:val="auto"/>
              </w:rPr>
            </w:pPr>
            <w:r>
              <w:rPr>
                <w:rFonts w:ascii="Arial" w:cs="Arial" w:eastAsia="Arial" w:hAnsi="Arial"/>
                <w:sz w:val="15"/>
                <w:szCs w:val="15"/>
                <w:color w:val="auto"/>
              </w:rPr>
              <w:t>All other states</w:t>
            </w:r>
          </w:p>
        </w:tc>
        <w:tc>
          <w:tcPr>
            <w:tcW w:w="1840" w:type="dxa"/>
            <w:vAlign w:val="bottom"/>
          </w:tcPr>
          <w:p>
            <w:pPr>
              <w:jc w:val="right"/>
              <w:ind w:right="126"/>
              <w:spacing w:after="0"/>
              <w:rPr>
                <w:sz w:val="20"/>
                <w:szCs w:val="20"/>
                <w:color w:val="auto"/>
              </w:rPr>
            </w:pPr>
            <w:r>
              <w:rPr>
                <w:rFonts w:ascii="Arial" w:cs="Arial" w:eastAsia="Arial" w:hAnsi="Arial"/>
                <w:sz w:val="15"/>
                <w:szCs w:val="15"/>
                <w:b w:val="1"/>
                <w:bCs w:val="1"/>
                <w:color w:val="auto"/>
              </w:rPr>
              <w:t>61</w:t>
            </w:r>
          </w:p>
        </w:tc>
        <w:tc>
          <w:tcPr>
            <w:tcW w:w="100" w:type="dxa"/>
            <w:vAlign w:val="bottom"/>
          </w:tcPr>
          <w:p>
            <w:pPr>
              <w:spacing w:after="0"/>
              <w:rPr>
                <w:sz w:val="20"/>
                <w:szCs w:val="20"/>
                <w:color w:val="auto"/>
              </w:rPr>
            </w:pPr>
          </w:p>
        </w:tc>
        <w:tc>
          <w:tcPr>
            <w:tcW w:w="1540" w:type="dxa"/>
            <w:vAlign w:val="bottom"/>
          </w:tcPr>
          <w:p>
            <w:pPr>
              <w:ind w:left="1040"/>
              <w:spacing w:after="0"/>
              <w:rPr>
                <w:sz w:val="20"/>
                <w:szCs w:val="20"/>
                <w:color w:val="auto"/>
              </w:rPr>
            </w:pPr>
            <w:r>
              <w:rPr>
                <w:rFonts w:ascii="Arial" w:cs="Arial" w:eastAsia="Arial" w:hAnsi="Arial"/>
                <w:sz w:val="15"/>
                <w:szCs w:val="15"/>
                <w:b w:val="1"/>
                <w:bCs w:val="1"/>
                <w:color w:val="auto"/>
              </w:rPr>
              <w:t>0.48</w:t>
            </w:r>
          </w:p>
        </w:tc>
        <w:tc>
          <w:tcPr>
            <w:tcW w:w="100" w:type="dxa"/>
            <w:vAlign w:val="bottom"/>
          </w:tcPr>
          <w:p>
            <w:pPr>
              <w:spacing w:after="0"/>
              <w:rPr>
                <w:sz w:val="20"/>
                <w:szCs w:val="20"/>
                <w:color w:val="auto"/>
              </w:rPr>
            </w:pPr>
          </w:p>
        </w:tc>
        <w:tc>
          <w:tcPr>
            <w:tcW w:w="1860" w:type="dxa"/>
            <w:vAlign w:val="bottom"/>
          </w:tcPr>
          <w:p>
            <w:pPr>
              <w:jc w:val="right"/>
              <w:ind w:right="126"/>
              <w:spacing w:after="0"/>
              <w:rPr>
                <w:sz w:val="20"/>
                <w:szCs w:val="20"/>
                <w:color w:val="auto"/>
              </w:rPr>
            </w:pPr>
            <w:r>
              <w:rPr>
                <w:rFonts w:ascii="Arial" w:cs="Arial" w:eastAsia="Arial" w:hAnsi="Arial"/>
                <w:sz w:val="15"/>
                <w:szCs w:val="15"/>
                <w:color w:val="auto"/>
              </w:rPr>
              <w:t>60</w:t>
            </w:r>
          </w:p>
        </w:tc>
        <w:tc>
          <w:tcPr>
            <w:tcW w:w="100" w:type="dxa"/>
            <w:vAlign w:val="bottom"/>
          </w:tcPr>
          <w:p>
            <w:pPr>
              <w:spacing w:after="0"/>
              <w:rPr>
                <w:sz w:val="20"/>
                <w:szCs w:val="20"/>
                <w:color w:val="auto"/>
              </w:rPr>
            </w:pPr>
          </w:p>
        </w:tc>
        <w:tc>
          <w:tcPr>
            <w:tcW w:w="1540" w:type="dxa"/>
            <w:vAlign w:val="bottom"/>
          </w:tcPr>
          <w:p>
            <w:pPr>
              <w:ind w:left="1040"/>
              <w:spacing w:after="0"/>
              <w:rPr>
                <w:sz w:val="20"/>
                <w:szCs w:val="20"/>
                <w:color w:val="auto"/>
              </w:rPr>
            </w:pPr>
            <w:r>
              <w:rPr>
                <w:rFonts w:ascii="Arial" w:cs="Arial" w:eastAsia="Arial" w:hAnsi="Arial"/>
                <w:sz w:val="15"/>
                <w:szCs w:val="15"/>
                <w:color w:val="auto"/>
              </w:rPr>
              <w:t>0.52</w:t>
            </w:r>
          </w:p>
        </w:tc>
        <w:tc>
          <w:tcPr>
            <w:tcW w:w="0" w:type="dxa"/>
            <w:vAlign w:val="bottom"/>
          </w:tcPr>
          <w:p>
            <w:pPr>
              <w:spacing w:after="0"/>
              <w:rPr>
                <w:sz w:val="1"/>
                <w:szCs w:val="1"/>
                <w:color w:val="auto"/>
              </w:rPr>
            </w:pPr>
          </w:p>
        </w:tc>
      </w:tr>
      <w:tr>
        <w:trPr>
          <w:trHeight w:val="219"/>
        </w:trPr>
        <w:tc>
          <w:tcPr>
            <w:tcW w:w="4140" w:type="dxa"/>
            <w:vAlign w:val="bottom"/>
          </w:tcPr>
          <w:p>
            <w:pPr>
              <w:spacing w:after="0"/>
              <w:rPr>
                <w:sz w:val="20"/>
                <w:szCs w:val="20"/>
                <w:color w:val="auto"/>
              </w:rPr>
            </w:pPr>
            <w:r>
              <w:rPr>
                <w:rFonts w:ascii="Arial" w:cs="Arial" w:eastAsia="Arial" w:hAnsi="Arial"/>
                <w:sz w:val="15"/>
                <w:szCs w:val="15"/>
                <w:b w:val="1"/>
                <w:bCs w:val="1"/>
                <w:color w:val="auto"/>
              </w:rPr>
              <w:t>Vintages:</w:t>
            </w: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140" w:type="dxa"/>
            <w:vAlign w:val="bottom"/>
          </w:tcPr>
          <w:p>
            <w:pPr>
              <w:ind w:left="160"/>
              <w:spacing w:after="0"/>
              <w:rPr>
                <w:sz w:val="20"/>
                <w:szCs w:val="20"/>
                <w:color w:val="auto"/>
              </w:rPr>
            </w:pPr>
            <w:r>
              <w:rPr>
                <w:rFonts w:ascii="Arial" w:cs="Arial" w:eastAsia="Arial" w:hAnsi="Arial"/>
                <w:sz w:val="15"/>
                <w:szCs w:val="15"/>
                <w:color w:val="auto"/>
              </w:rPr>
              <w:t>2008 and prior</w:t>
            </w:r>
          </w:p>
        </w:tc>
        <w:tc>
          <w:tcPr>
            <w:tcW w:w="1840" w:type="dxa"/>
            <w:vAlign w:val="bottom"/>
          </w:tcPr>
          <w:p>
            <w:pPr>
              <w:jc w:val="right"/>
              <w:ind w:right="126"/>
              <w:spacing w:after="0"/>
              <w:rPr>
                <w:sz w:val="20"/>
                <w:szCs w:val="20"/>
                <w:color w:val="auto"/>
              </w:rPr>
            </w:pPr>
            <w:r>
              <w:rPr>
                <w:rFonts w:ascii="Arial" w:cs="Arial" w:eastAsia="Arial" w:hAnsi="Arial"/>
                <w:sz w:val="15"/>
                <w:szCs w:val="15"/>
                <w:b w:val="1"/>
                <w:bCs w:val="1"/>
                <w:color w:val="auto"/>
              </w:rPr>
              <w:t>2</w:t>
            </w:r>
          </w:p>
        </w:tc>
        <w:tc>
          <w:tcPr>
            <w:tcW w:w="100" w:type="dxa"/>
            <w:vAlign w:val="bottom"/>
          </w:tcPr>
          <w:p>
            <w:pPr>
              <w:spacing w:after="0"/>
              <w:rPr>
                <w:sz w:val="18"/>
                <w:szCs w:val="18"/>
                <w:color w:val="auto"/>
              </w:rPr>
            </w:pPr>
          </w:p>
        </w:tc>
        <w:tc>
          <w:tcPr>
            <w:tcW w:w="1540" w:type="dxa"/>
            <w:vAlign w:val="bottom"/>
          </w:tcPr>
          <w:p>
            <w:pPr>
              <w:ind w:left="1040"/>
              <w:spacing w:after="0"/>
              <w:rPr>
                <w:sz w:val="20"/>
                <w:szCs w:val="20"/>
                <w:color w:val="auto"/>
              </w:rPr>
            </w:pPr>
            <w:r>
              <w:rPr>
                <w:rFonts w:ascii="Arial" w:cs="Arial" w:eastAsia="Arial" w:hAnsi="Arial"/>
                <w:sz w:val="15"/>
                <w:szCs w:val="15"/>
                <w:b w:val="1"/>
                <w:bCs w:val="1"/>
                <w:color w:val="auto"/>
              </w:rPr>
              <w:t>1.79</w:t>
            </w:r>
          </w:p>
        </w:tc>
        <w:tc>
          <w:tcPr>
            <w:tcW w:w="100" w:type="dxa"/>
            <w:vAlign w:val="bottom"/>
          </w:tcPr>
          <w:p>
            <w:pPr>
              <w:spacing w:after="0"/>
              <w:rPr>
                <w:sz w:val="18"/>
                <w:szCs w:val="18"/>
                <w:color w:val="auto"/>
              </w:rPr>
            </w:pPr>
          </w:p>
        </w:tc>
        <w:tc>
          <w:tcPr>
            <w:tcW w:w="1860" w:type="dxa"/>
            <w:vAlign w:val="bottom"/>
          </w:tcPr>
          <w:p>
            <w:pPr>
              <w:jc w:val="right"/>
              <w:ind w:right="126"/>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1540" w:type="dxa"/>
            <w:vAlign w:val="bottom"/>
          </w:tcPr>
          <w:p>
            <w:pPr>
              <w:ind w:left="1040"/>
              <w:spacing w:after="0"/>
              <w:rPr>
                <w:sz w:val="20"/>
                <w:szCs w:val="20"/>
                <w:color w:val="auto"/>
              </w:rPr>
            </w:pPr>
            <w:r>
              <w:rPr>
                <w:rFonts w:ascii="Arial" w:cs="Arial" w:eastAsia="Arial" w:hAnsi="Arial"/>
                <w:sz w:val="15"/>
                <w:szCs w:val="15"/>
                <w:color w:val="auto"/>
              </w:rPr>
              <w:t>2.07</w:t>
            </w:r>
          </w:p>
        </w:tc>
        <w:tc>
          <w:tcPr>
            <w:tcW w:w="0" w:type="dxa"/>
            <w:vAlign w:val="bottom"/>
          </w:tcPr>
          <w:p>
            <w:pPr>
              <w:spacing w:after="0"/>
              <w:rPr>
                <w:sz w:val="1"/>
                <w:szCs w:val="1"/>
                <w:color w:val="auto"/>
              </w:rPr>
            </w:pPr>
          </w:p>
        </w:tc>
      </w:tr>
      <w:tr>
        <w:trPr>
          <w:trHeight w:val="214"/>
        </w:trPr>
        <w:tc>
          <w:tcPr>
            <w:tcW w:w="4140" w:type="dxa"/>
            <w:vAlign w:val="bottom"/>
          </w:tcPr>
          <w:p>
            <w:pPr>
              <w:ind w:left="160"/>
              <w:spacing w:after="0"/>
              <w:rPr>
                <w:sz w:val="20"/>
                <w:szCs w:val="20"/>
                <w:color w:val="auto"/>
              </w:rPr>
            </w:pPr>
            <w:r>
              <w:rPr>
                <w:rFonts w:ascii="Arial" w:cs="Arial" w:eastAsia="Arial" w:hAnsi="Arial"/>
                <w:sz w:val="15"/>
                <w:szCs w:val="15"/>
                <w:color w:val="auto"/>
              </w:rPr>
              <w:t>2009-2024</w:t>
            </w:r>
          </w:p>
        </w:tc>
        <w:tc>
          <w:tcPr>
            <w:tcW w:w="1840" w:type="dxa"/>
            <w:vAlign w:val="bottom"/>
          </w:tcPr>
          <w:p>
            <w:pPr>
              <w:jc w:val="right"/>
              <w:ind w:right="126"/>
              <w:spacing w:after="0"/>
              <w:rPr>
                <w:sz w:val="20"/>
                <w:szCs w:val="20"/>
                <w:color w:val="auto"/>
              </w:rPr>
            </w:pPr>
            <w:r>
              <w:rPr>
                <w:rFonts w:ascii="Arial" w:cs="Arial" w:eastAsia="Arial" w:hAnsi="Arial"/>
                <w:sz w:val="15"/>
                <w:szCs w:val="15"/>
                <w:b w:val="1"/>
                <w:bCs w:val="1"/>
                <w:color w:val="auto"/>
              </w:rPr>
              <w:t>98</w:t>
            </w:r>
          </w:p>
        </w:tc>
        <w:tc>
          <w:tcPr>
            <w:tcW w:w="100" w:type="dxa"/>
            <w:vAlign w:val="bottom"/>
          </w:tcPr>
          <w:p>
            <w:pPr>
              <w:spacing w:after="0"/>
              <w:rPr>
                <w:sz w:val="18"/>
                <w:szCs w:val="18"/>
                <w:color w:val="auto"/>
              </w:rPr>
            </w:pPr>
          </w:p>
        </w:tc>
        <w:tc>
          <w:tcPr>
            <w:tcW w:w="1540" w:type="dxa"/>
            <w:vAlign w:val="bottom"/>
          </w:tcPr>
          <w:p>
            <w:pPr>
              <w:ind w:left="1040"/>
              <w:spacing w:after="0"/>
              <w:rPr>
                <w:sz w:val="20"/>
                <w:szCs w:val="20"/>
                <w:color w:val="auto"/>
              </w:rPr>
            </w:pPr>
            <w:r>
              <w:rPr>
                <w:rFonts w:ascii="Arial" w:cs="Arial" w:eastAsia="Arial" w:hAnsi="Arial"/>
                <w:sz w:val="15"/>
                <w:szCs w:val="15"/>
                <w:b w:val="1"/>
                <w:bCs w:val="1"/>
                <w:color w:val="auto"/>
              </w:rPr>
              <w:t>0.46</w:t>
            </w:r>
          </w:p>
        </w:tc>
        <w:tc>
          <w:tcPr>
            <w:tcW w:w="100" w:type="dxa"/>
            <w:vAlign w:val="bottom"/>
          </w:tcPr>
          <w:p>
            <w:pPr>
              <w:spacing w:after="0"/>
              <w:rPr>
                <w:sz w:val="18"/>
                <w:szCs w:val="18"/>
                <w:color w:val="auto"/>
              </w:rPr>
            </w:pPr>
          </w:p>
        </w:tc>
        <w:tc>
          <w:tcPr>
            <w:tcW w:w="1860" w:type="dxa"/>
            <w:vAlign w:val="bottom"/>
          </w:tcPr>
          <w:p>
            <w:pPr>
              <w:jc w:val="right"/>
              <w:ind w:right="126"/>
              <w:spacing w:after="0"/>
              <w:rPr>
                <w:sz w:val="20"/>
                <w:szCs w:val="20"/>
                <w:color w:val="auto"/>
              </w:rPr>
            </w:pPr>
            <w:r>
              <w:rPr>
                <w:rFonts w:ascii="Arial" w:cs="Arial" w:eastAsia="Arial" w:hAnsi="Arial"/>
                <w:sz w:val="15"/>
                <w:szCs w:val="15"/>
                <w:color w:val="auto"/>
              </w:rPr>
              <w:t>98</w:t>
            </w:r>
          </w:p>
        </w:tc>
        <w:tc>
          <w:tcPr>
            <w:tcW w:w="100" w:type="dxa"/>
            <w:vAlign w:val="bottom"/>
          </w:tcPr>
          <w:p>
            <w:pPr>
              <w:spacing w:after="0"/>
              <w:rPr>
                <w:sz w:val="18"/>
                <w:szCs w:val="18"/>
                <w:color w:val="auto"/>
              </w:rPr>
            </w:pPr>
          </w:p>
        </w:tc>
        <w:tc>
          <w:tcPr>
            <w:tcW w:w="1540" w:type="dxa"/>
            <w:vAlign w:val="bottom"/>
          </w:tcPr>
          <w:p>
            <w:pPr>
              <w:ind w:left="1040"/>
              <w:spacing w:after="0"/>
              <w:rPr>
                <w:sz w:val="20"/>
                <w:szCs w:val="20"/>
                <w:color w:val="auto"/>
              </w:rPr>
            </w:pPr>
            <w:r>
              <w:rPr>
                <w:rFonts w:ascii="Arial" w:cs="Arial" w:eastAsia="Arial" w:hAnsi="Arial"/>
                <w:sz w:val="15"/>
                <w:szCs w:val="15"/>
                <w:color w:val="auto"/>
              </w:rPr>
              <w:t>0.47</w:t>
            </w: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200" w:hanging="197"/>
        <w:spacing w:after="0"/>
        <w:tabs>
          <w:tab w:leader="none" w:pos="200" w:val="left"/>
        </w:tabs>
        <w:numPr>
          <w:ilvl w:val="0"/>
          <w:numId w:val="92"/>
        </w:numPr>
        <w:rPr>
          <w:rFonts w:ascii="Arial" w:cs="Arial" w:eastAsia="Arial" w:hAnsi="Arial"/>
          <w:sz w:val="14"/>
          <w:szCs w:val="14"/>
          <w:color w:val="auto"/>
        </w:rPr>
      </w:pPr>
      <w:r>
        <w:rPr>
          <w:rFonts w:ascii="Arial" w:cs="Arial" w:eastAsia="Arial" w:hAnsi="Arial"/>
          <w:sz w:val="14"/>
          <w:szCs w:val="14"/>
          <w:color w:val="auto"/>
        </w:rPr>
        <w:t>Represents less than 0.5% of single-family conventional guaranty book of business.</w:t>
      </w:r>
    </w:p>
    <w:p>
      <w:pPr>
        <w:spacing w:after="0" w:line="30" w:lineRule="exact"/>
        <w:rPr>
          <w:sz w:val="20"/>
          <w:szCs w:val="20"/>
          <w:color w:val="auto"/>
        </w:rPr>
      </w:pPr>
    </w:p>
    <w:p>
      <w:pPr>
        <w:ind w:left="220" w:hanging="217"/>
        <w:spacing w:after="0"/>
        <w:tabs>
          <w:tab w:leader="none" w:pos="220" w:val="left"/>
        </w:tabs>
        <w:numPr>
          <w:ilvl w:val="0"/>
          <w:numId w:val="93"/>
        </w:numPr>
        <w:rPr>
          <w:rFonts w:ascii="Arial" w:cs="Arial" w:eastAsia="Arial" w:hAnsi="Arial"/>
          <w:sz w:val="17"/>
          <w:szCs w:val="17"/>
          <w:color w:val="auto"/>
          <w:vertAlign w:val="superscript"/>
        </w:rPr>
      </w:pPr>
      <w:r>
        <w:rPr>
          <w:rFonts w:ascii="Arial" w:cs="Arial" w:eastAsia="Arial" w:hAnsi="Arial"/>
          <w:sz w:val="13"/>
          <w:szCs w:val="13"/>
          <w:color w:val="auto"/>
        </w:rPr>
        <w:t>Based on loan count, consists of single-family conventional loans that were 90 days or more past due or in the foreclosure process as of September 30, 2024 or December 31, 2023.</w:t>
      </w:r>
    </w:p>
    <w:p>
      <w:pPr>
        <w:spacing w:after="0" w:line="97" w:lineRule="exact"/>
        <w:rPr>
          <w:sz w:val="20"/>
          <w:szCs w:val="20"/>
          <w:color w:val="auto"/>
        </w:rPr>
      </w:pPr>
    </w:p>
    <w:p>
      <w:pPr>
        <w:spacing w:after="0"/>
        <w:rPr>
          <w:sz w:val="20"/>
          <w:szCs w:val="20"/>
          <w:color w:val="auto"/>
        </w:rPr>
      </w:pPr>
      <w:r>
        <w:rPr>
          <w:rFonts w:ascii="Georgia" w:cs="Georgia" w:eastAsia="Georgia" w:hAnsi="Georgia"/>
          <w:sz w:val="21"/>
          <w:szCs w:val="21"/>
          <w:i w:val="1"/>
          <w:iCs w:val="1"/>
          <w:color w:val="05314D"/>
        </w:rPr>
        <w:t>Multifamily Credit Risk Characteristics</w:t>
      </w:r>
    </w:p>
    <w:p>
      <w:pPr>
        <w:spacing w:after="0" w:line="63"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For multifamily loans, management monitors the serious delinquency rate, which is the percentage of multifamily loans, based on unpaid principal balance, that are 60 days or more past due, and loans with other higher risk characteristics to determine the overall credit quality of our multifamily book of business. Higher risk characteristics include, but are not limited to, current debt service coverage ratio (“DSCR”) below 1.0 and original LTV ratio greater than 80%. We stratify multifamily loans into different internal risk categories based on the credit risk inherent in each individual loan.</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display the delinquency status and serious delinquency rates for specified loan categories of our multifamily guaranty book of business.</w:t>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15"/>
          <w:szCs w:val="15"/>
          <w:color w:val="auto"/>
        </w:rPr>
        <w:t>Percentage of multifamily guaranty book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Original LTV ratio:</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Greater than 80%</w:t>
      </w:r>
    </w:p>
    <w:p>
      <w:pPr>
        <w:spacing w:after="0" w:line="6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Less than or equal to 80%</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Current DSCR below 1.0</w:t>
      </w:r>
      <w:r>
        <w:rPr>
          <w:rFonts w:ascii="Arial" w:cs="Arial" w:eastAsia="Arial" w:hAnsi="Arial"/>
          <w:sz w:val="20"/>
          <w:szCs w:val="20"/>
          <w:b w:val="1"/>
          <w:bCs w:val="1"/>
          <w:color w:val="auto"/>
          <w:vertAlign w:val="superscript"/>
        </w:rPr>
        <w:t>(4)</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3120"/>
        <w:spacing w:after="0"/>
        <w:rPr>
          <w:sz w:val="20"/>
          <w:szCs w:val="20"/>
          <w:color w:val="auto"/>
        </w:rPr>
      </w:pPr>
      <w:r>
        <w:rPr>
          <w:rFonts w:ascii="Arial" w:cs="Arial" w:eastAsia="Arial" w:hAnsi="Arial"/>
          <w:sz w:val="14"/>
          <w:szCs w:val="14"/>
          <w:b w:val="1"/>
          <w:bCs w:val="1"/>
          <w:color w:val="auto"/>
        </w:rPr>
        <w:t>As of</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240" w:type="dxa"/>
            <w:vAlign w:val="bottom"/>
            <w:tcBorders>
              <w:top w:val="single" w:sz="8" w:color="2C6937"/>
              <w:bottom w:val="single" w:sz="8" w:color="2C6937"/>
            </w:tcBorders>
            <w:gridSpan w:val="4"/>
          </w:tcPr>
          <w:p>
            <w:pPr>
              <w:jc w:val="center"/>
              <w:spacing w:after="0"/>
              <w:rPr>
                <w:sz w:val="20"/>
                <w:szCs w:val="20"/>
                <w:color w:val="auto"/>
              </w:rPr>
            </w:pPr>
            <w:r>
              <w:rPr>
                <w:rFonts w:ascii="Arial" w:cs="Arial" w:eastAsia="Arial" w:hAnsi="Arial"/>
                <w:sz w:val="14"/>
                <w:szCs w:val="14"/>
                <w:b w:val="1"/>
                <w:bCs w:val="1"/>
                <w:color w:val="auto"/>
                <w:w w:val="95"/>
              </w:rPr>
              <w:t>September 30, 2024</w:t>
            </w:r>
            <w:r>
              <w:rPr>
                <w:rFonts w:ascii="Arial" w:cs="Arial" w:eastAsia="Arial" w:hAnsi="Arial"/>
                <w:sz w:val="17"/>
                <w:szCs w:val="17"/>
                <w:b w:val="1"/>
                <w:bCs w:val="1"/>
                <w:color w:val="auto"/>
                <w:w w:val="95"/>
                <w:vertAlign w:val="superscript"/>
              </w:rPr>
              <w:t>(1)</w:t>
            </w:r>
          </w:p>
        </w:tc>
        <w:tc>
          <w:tcPr>
            <w:tcW w:w="100" w:type="dxa"/>
            <w:vAlign w:val="bottom"/>
            <w:tcBorders>
              <w:top w:val="single" w:sz="8" w:color="2C6937"/>
            </w:tcBorders>
          </w:tcPr>
          <w:p>
            <w:pPr>
              <w:spacing w:after="0"/>
              <w:rPr>
                <w:sz w:val="17"/>
                <w:szCs w:val="17"/>
                <w:color w:val="auto"/>
              </w:rPr>
            </w:pPr>
          </w:p>
        </w:tc>
        <w:tc>
          <w:tcPr>
            <w:tcW w:w="3240" w:type="dxa"/>
            <w:vAlign w:val="bottom"/>
            <w:tcBorders>
              <w:top w:val="single" w:sz="8" w:color="2C6937"/>
              <w:bottom w:val="single" w:sz="8" w:color="2C6937"/>
            </w:tcBorders>
            <w:gridSpan w:val="3"/>
          </w:tcPr>
          <w:p>
            <w:pPr>
              <w:jc w:val="center"/>
              <w:spacing w:after="0"/>
              <w:rPr>
                <w:sz w:val="20"/>
                <w:szCs w:val="20"/>
                <w:color w:val="auto"/>
              </w:rPr>
            </w:pPr>
            <w:r>
              <w:rPr>
                <w:rFonts w:ascii="Arial" w:cs="Arial" w:eastAsia="Arial" w:hAnsi="Arial"/>
                <w:sz w:val="14"/>
                <w:szCs w:val="14"/>
                <w:b w:val="1"/>
                <w:bCs w:val="1"/>
                <w:color w:val="auto"/>
                <w:w w:val="95"/>
              </w:rPr>
              <w:t>December 31, 2023</w:t>
            </w:r>
            <w:r>
              <w:rPr>
                <w:rFonts w:ascii="Arial" w:cs="Arial" w:eastAsia="Arial" w:hAnsi="Arial"/>
                <w:sz w:val="17"/>
                <w:szCs w:val="17"/>
                <w:b w:val="1"/>
                <w:bCs w:val="1"/>
                <w:color w:val="auto"/>
                <w:w w:val="95"/>
                <w:vertAlign w:val="superscript"/>
              </w:rPr>
              <w:t>(1)</w:t>
            </w:r>
          </w:p>
        </w:tc>
        <w:tc>
          <w:tcPr>
            <w:tcW w:w="0" w:type="dxa"/>
            <w:vAlign w:val="bottom"/>
          </w:tcPr>
          <w:p>
            <w:pPr>
              <w:spacing w:after="0"/>
              <w:rPr>
                <w:sz w:val="1"/>
                <w:szCs w:val="1"/>
                <w:color w:val="auto"/>
              </w:rPr>
            </w:pPr>
          </w:p>
        </w:tc>
      </w:tr>
      <w:tr>
        <w:trPr>
          <w:trHeight w:val="212"/>
        </w:trPr>
        <w:tc>
          <w:tcPr>
            <w:tcW w:w="16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30 Days Delinquent</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Seriously Delinquent</w:t>
            </w:r>
            <w:r>
              <w:rPr>
                <w:rFonts w:ascii="Arial" w:cs="Arial" w:eastAsia="Arial" w:hAnsi="Arial"/>
                <w:sz w:val="17"/>
                <w:szCs w:val="17"/>
                <w:b w:val="1"/>
                <w:bCs w:val="1"/>
                <w:color w:val="auto"/>
                <w:w w:val="96"/>
                <w:vertAlign w:val="superscript"/>
              </w:rPr>
              <w:t>(2)</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30 Days Delinquent</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6"/>
              </w:rPr>
              <w:t>Seriously Delinquent</w:t>
            </w:r>
            <w:r>
              <w:rPr>
                <w:rFonts w:ascii="Arial" w:cs="Arial" w:eastAsia="Arial" w:hAnsi="Arial"/>
                <w:sz w:val="17"/>
                <w:szCs w:val="17"/>
                <w:b w:val="1"/>
                <w:bCs w:val="1"/>
                <w:color w:val="auto"/>
                <w:w w:val="96"/>
                <w:vertAlign w:val="superscript"/>
              </w:rPr>
              <w:t>(2)</w:t>
            </w:r>
          </w:p>
        </w:tc>
        <w:tc>
          <w:tcPr>
            <w:tcW w:w="0" w:type="dxa"/>
            <w:vAlign w:val="bottom"/>
          </w:tcPr>
          <w:p>
            <w:pPr>
              <w:spacing w:after="0"/>
              <w:rPr>
                <w:sz w:val="1"/>
                <w:szCs w:val="1"/>
                <w:color w:val="auto"/>
              </w:rPr>
            </w:pPr>
          </w:p>
        </w:tc>
      </w:tr>
      <w:tr>
        <w:trPr>
          <w:trHeight w:val="218"/>
        </w:trPr>
        <w:tc>
          <w:tcPr>
            <w:tcW w:w="156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0.12 %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tcBorders>
              <w:top w:val="single" w:sz="8" w:color="2C6937"/>
            </w:tcBorders>
          </w:tcPr>
          <w:p>
            <w:pPr>
              <w:ind w:left="1060"/>
              <w:spacing w:after="0"/>
              <w:rPr>
                <w:sz w:val="20"/>
                <w:szCs w:val="20"/>
                <w:color w:val="auto"/>
              </w:rPr>
            </w:pPr>
            <w:r>
              <w:rPr>
                <w:rFonts w:ascii="Arial" w:cs="Arial" w:eastAsia="Arial" w:hAnsi="Arial"/>
                <w:sz w:val="15"/>
                <w:szCs w:val="15"/>
                <w:b w:val="1"/>
                <w:bCs w:val="1"/>
                <w:color w:val="auto"/>
              </w:rPr>
              <w:t>0.56 %</w:t>
            </w:r>
          </w:p>
        </w:tc>
        <w:tc>
          <w:tcPr>
            <w:tcW w:w="100" w:type="dxa"/>
            <w:vAlign w:val="bottom"/>
          </w:tcPr>
          <w:p>
            <w:pPr>
              <w:spacing w:after="0"/>
              <w:rPr>
                <w:sz w:val="18"/>
                <w:szCs w:val="18"/>
                <w:color w:val="auto"/>
              </w:rPr>
            </w:pPr>
          </w:p>
        </w:tc>
        <w:tc>
          <w:tcPr>
            <w:tcW w:w="156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0.10 %</w:t>
            </w:r>
          </w:p>
        </w:tc>
        <w:tc>
          <w:tcPr>
            <w:tcW w:w="120" w:type="dxa"/>
            <w:vAlign w:val="bottom"/>
          </w:tcPr>
          <w:p>
            <w:pPr>
              <w:spacing w:after="0"/>
              <w:rPr>
                <w:sz w:val="18"/>
                <w:szCs w:val="18"/>
                <w:color w:val="auto"/>
              </w:rPr>
            </w:pPr>
          </w:p>
        </w:tc>
        <w:tc>
          <w:tcPr>
            <w:tcW w:w="1560" w:type="dxa"/>
            <w:vAlign w:val="bottom"/>
            <w:tcBorders>
              <w:top w:val="single" w:sz="8" w:color="2C6937"/>
            </w:tcBorders>
          </w:tcPr>
          <w:p>
            <w:pPr>
              <w:ind w:left="1060"/>
              <w:spacing w:after="0"/>
              <w:rPr>
                <w:sz w:val="20"/>
                <w:szCs w:val="20"/>
                <w:color w:val="auto"/>
              </w:rPr>
            </w:pPr>
            <w:r>
              <w:rPr>
                <w:rFonts w:ascii="Arial" w:cs="Arial" w:eastAsia="Arial" w:hAnsi="Arial"/>
                <w:sz w:val="15"/>
                <w:szCs w:val="15"/>
                <w:color w:val="auto"/>
              </w:rPr>
              <w:t>0.46 %</w:t>
            </w:r>
          </w:p>
        </w:tc>
        <w:tc>
          <w:tcPr>
            <w:tcW w:w="0" w:type="dxa"/>
            <w:vAlign w:val="bottom"/>
          </w:tcPr>
          <w:p>
            <w:pPr>
              <w:spacing w:after="0"/>
              <w:rPr>
                <w:sz w:val="1"/>
                <w:szCs w:val="1"/>
                <w:color w:val="auto"/>
              </w:rPr>
            </w:pPr>
          </w:p>
        </w:tc>
      </w:tr>
      <w:tr>
        <w:trPr>
          <w:trHeight w:val="386"/>
        </w:trPr>
        <w:tc>
          <w:tcPr>
            <w:tcW w:w="156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3340" w:type="dxa"/>
            <w:vAlign w:val="bottom"/>
            <w:tcBorders>
              <w:bottom w:val="single" w:sz="8" w:color="2C6937"/>
            </w:tcBorders>
            <w:gridSpan w:val="4"/>
          </w:tcPr>
          <w:p>
            <w:pPr>
              <w:ind w:left="1440"/>
              <w:spacing w:after="0"/>
              <w:rPr>
                <w:sz w:val="20"/>
                <w:szCs w:val="20"/>
                <w:color w:val="auto"/>
              </w:rPr>
            </w:pPr>
            <w:r>
              <w:rPr>
                <w:rFonts w:ascii="Arial" w:cs="Arial" w:eastAsia="Arial" w:hAnsi="Arial"/>
                <w:sz w:val="14"/>
                <w:szCs w:val="14"/>
                <w:b w:val="1"/>
                <w:bCs w:val="1"/>
                <w:color w:val="auto"/>
              </w:rPr>
              <w:t>As of</w:t>
            </w:r>
          </w:p>
        </w:tc>
        <w:tc>
          <w:tcPr>
            <w:tcW w:w="156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3240" w:type="dxa"/>
            <w:vAlign w:val="bottom"/>
            <w:tcBorders>
              <w:bottom w:val="single" w:sz="8" w:color="2C6937"/>
            </w:tcBorders>
            <w:gridSpan w:val="4"/>
          </w:tcPr>
          <w:p>
            <w:pPr>
              <w:jc w:val="center"/>
              <w:spacing w:after="0"/>
              <w:rPr>
                <w:sz w:val="20"/>
                <w:szCs w:val="20"/>
                <w:color w:val="auto"/>
              </w:rPr>
            </w:pPr>
            <w:r>
              <w:rPr>
                <w:rFonts w:ascii="Arial" w:cs="Arial" w:eastAsia="Arial" w:hAnsi="Arial"/>
                <w:sz w:val="14"/>
                <w:szCs w:val="14"/>
                <w:b w:val="1"/>
                <w:bCs w:val="1"/>
                <w:color w:val="auto"/>
                <w:w w:val="97"/>
              </w:rPr>
              <w:t>September 30, 2024</w:t>
            </w:r>
          </w:p>
        </w:tc>
        <w:tc>
          <w:tcPr>
            <w:tcW w:w="100" w:type="dxa"/>
            <w:vAlign w:val="bottom"/>
          </w:tcPr>
          <w:p>
            <w:pPr>
              <w:spacing w:after="0"/>
              <w:rPr>
                <w:sz w:val="16"/>
                <w:szCs w:val="16"/>
                <w:color w:val="auto"/>
              </w:rPr>
            </w:pPr>
          </w:p>
        </w:tc>
        <w:tc>
          <w:tcPr>
            <w:tcW w:w="3240" w:type="dxa"/>
            <w:vAlign w:val="bottom"/>
            <w:tcBorders>
              <w:bottom w:val="single" w:sz="8" w:color="2C6937"/>
            </w:tcBorders>
            <w:gridSpan w:val="3"/>
          </w:tcPr>
          <w:p>
            <w:pPr>
              <w:jc w:val="center"/>
              <w:spacing w:after="0"/>
              <w:rPr>
                <w:sz w:val="20"/>
                <w:szCs w:val="20"/>
                <w:color w:val="auto"/>
              </w:rPr>
            </w:pPr>
            <w:r>
              <w:rPr>
                <w:rFonts w:ascii="Arial" w:cs="Arial" w:eastAsia="Arial" w:hAnsi="Arial"/>
                <w:sz w:val="14"/>
                <w:szCs w:val="14"/>
                <w:b w:val="1"/>
                <w:bCs w:val="1"/>
                <w:color w:val="auto"/>
                <w:w w:val="98"/>
              </w:rPr>
              <w:t>December 31, 2023</w:t>
            </w:r>
          </w:p>
        </w:tc>
        <w:tc>
          <w:tcPr>
            <w:tcW w:w="0" w:type="dxa"/>
            <w:vAlign w:val="bottom"/>
          </w:tcPr>
          <w:p>
            <w:pPr>
              <w:spacing w:after="0"/>
              <w:rPr>
                <w:sz w:val="1"/>
                <w:szCs w:val="1"/>
                <w:color w:val="auto"/>
              </w:rPr>
            </w:pPr>
          </w:p>
        </w:tc>
      </w:tr>
      <w:tr>
        <w:trPr>
          <w:trHeight w:val="178"/>
        </w:trPr>
        <w:tc>
          <w:tcPr>
            <w:tcW w:w="16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9"/>
              </w:rPr>
              <w:t>Percentage of</w:t>
            </w:r>
          </w:p>
        </w:tc>
        <w:tc>
          <w:tcPr>
            <w:tcW w:w="16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8"/>
              </w:rPr>
              <w:t>Serious Delinquency</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Percentage of</w:t>
            </w: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Serious Delinquency</w:t>
            </w:r>
          </w:p>
        </w:tc>
        <w:tc>
          <w:tcPr>
            <w:tcW w:w="0" w:type="dxa"/>
            <w:vAlign w:val="bottom"/>
          </w:tcPr>
          <w:p>
            <w:pPr>
              <w:spacing w:after="0"/>
              <w:rPr>
                <w:sz w:val="1"/>
                <w:szCs w:val="1"/>
                <w:color w:val="auto"/>
              </w:rPr>
            </w:pPr>
          </w:p>
        </w:tc>
      </w:tr>
      <w:tr>
        <w:trPr>
          <w:trHeight w:val="155"/>
        </w:trPr>
        <w:tc>
          <w:tcPr>
            <w:tcW w:w="1680" w:type="dxa"/>
            <w:vAlign w:val="bottom"/>
            <w:gridSpan w:val="3"/>
          </w:tcPr>
          <w:p>
            <w:pPr>
              <w:jc w:val="center"/>
              <w:ind w:right="120"/>
              <w:spacing w:after="0" w:line="155" w:lineRule="exact"/>
              <w:rPr>
                <w:sz w:val="20"/>
                <w:szCs w:val="20"/>
                <w:color w:val="auto"/>
              </w:rPr>
            </w:pPr>
            <w:r>
              <w:rPr>
                <w:rFonts w:ascii="Arial" w:cs="Arial" w:eastAsia="Arial" w:hAnsi="Arial"/>
                <w:sz w:val="14"/>
                <w:szCs w:val="14"/>
                <w:b w:val="1"/>
                <w:bCs w:val="1"/>
                <w:color w:val="auto"/>
                <w:w w:val="98"/>
              </w:rPr>
              <w:t>Multifamily Guaranty</w:t>
            </w:r>
          </w:p>
        </w:tc>
        <w:tc>
          <w:tcPr>
            <w:tcW w:w="1660" w:type="dxa"/>
            <w:vAlign w:val="bottom"/>
            <w:gridSpan w:val="2"/>
            <w:vMerge w:val="continue"/>
          </w:tcPr>
          <w:p>
            <w:pPr>
              <w:spacing w:after="0"/>
              <w:rPr>
                <w:sz w:val="13"/>
                <w:szCs w:val="13"/>
                <w:color w:val="auto"/>
              </w:rPr>
            </w:pPr>
          </w:p>
        </w:tc>
        <w:tc>
          <w:tcPr>
            <w:tcW w:w="1680" w:type="dxa"/>
            <w:vAlign w:val="bottom"/>
            <w:gridSpan w:val="2"/>
          </w:tcPr>
          <w:p>
            <w:pPr>
              <w:jc w:val="center"/>
              <w:ind w:right="120"/>
              <w:spacing w:after="0" w:line="155" w:lineRule="exact"/>
              <w:rPr>
                <w:sz w:val="20"/>
                <w:szCs w:val="20"/>
                <w:color w:val="auto"/>
              </w:rPr>
            </w:pPr>
            <w:r>
              <w:rPr>
                <w:rFonts w:ascii="Arial" w:cs="Arial" w:eastAsia="Arial" w:hAnsi="Arial"/>
                <w:sz w:val="14"/>
                <w:szCs w:val="14"/>
                <w:b w:val="1"/>
                <w:bCs w:val="1"/>
                <w:color w:val="auto"/>
                <w:w w:val="98"/>
              </w:rPr>
              <w:t>Multifamily Guaranty</w:t>
            </w:r>
          </w:p>
        </w:tc>
        <w:tc>
          <w:tcPr>
            <w:tcW w:w="1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6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Book of Business</w:t>
            </w:r>
            <w:r>
              <w:rPr>
                <w:rFonts w:ascii="Arial" w:cs="Arial" w:eastAsia="Arial" w:hAnsi="Arial"/>
                <w:sz w:val="17"/>
                <w:szCs w:val="17"/>
                <w:b w:val="1"/>
                <w:bCs w:val="1"/>
                <w:color w:val="auto"/>
                <w:w w:val="96"/>
                <w:vertAlign w:val="superscript"/>
              </w:rPr>
              <w:t>(1)</w:t>
            </w:r>
          </w:p>
        </w:tc>
        <w:tc>
          <w:tcPr>
            <w:tcW w:w="1660" w:type="dxa"/>
            <w:vAlign w:val="bottom"/>
            <w:gridSpan w:val="2"/>
          </w:tcPr>
          <w:p>
            <w:pPr>
              <w:jc w:val="center"/>
              <w:ind w:right="140"/>
              <w:spacing w:after="0" w:line="203" w:lineRule="exact"/>
              <w:rPr>
                <w:sz w:val="20"/>
                <w:szCs w:val="20"/>
                <w:color w:val="auto"/>
              </w:rPr>
            </w:pPr>
            <w:r>
              <w:rPr>
                <w:rFonts w:ascii="Arial" w:cs="Arial" w:eastAsia="Arial" w:hAnsi="Arial"/>
                <w:sz w:val="23"/>
                <w:szCs w:val="23"/>
                <w:b w:val="1"/>
                <w:bCs w:val="1"/>
                <w:color w:val="auto"/>
                <w:w w:val="98"/>
                <w:vertAlign w:val="subscript"/>
              </w:rPr>
              <w:t>Rate</w:t>
            </w:r>
            <w:r>
              <w:rPr>
                <w:rFonts w:ascii="Arial" w:cs="Arial" w:eastAsia="Arial" w:hAnsi="Arial"/>
                <w:sz w:val="8"/>
                <w:szCs w:val="8"/>
                <w:b w:val="1"/>
                <w:bCs w:val="1"/>
                <w:color w:val="auto"/>
                <w:w w:val="98"/>
              </w:rPr>
              <w:t>(2)(3)</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Book of Business</w:t>
            </w:r>
            <w:r>
              <w:rPr>
                <w:rFonts w:ascii="Arial" w:cs="Arial" w:eastAsia="Arial" w:hAnsi="Arial"/>
                <w:sz w:val="17"/>
                <w:szCs w:val="17"/>
                <w:b w:val="1"/>
                <w:bCs w:val="1"/>
                <w:color w:val="auto"/>
                <w:w w:val="96"/>
                <w:vertAlign w:val="superscript"/>
              </w:rPr>
              <w:t>(1)</w:t>
            </w:r>
          </w:p>
        </w:tc>
        <w:tc>
          <w:tcPr>
            <w:tcW w:w="1560" w:type="dxa"/>
            <w:vAlign w:val="bottom"/>
          </w:tcPr>
          <w:p>
            <w:pPr>
              <w:jc w:val="center"/>
              <w:spacing w:after="0" w:line="203" w:lineRule="exact"/>
              <w:rPr>
                <w:sz w:val="20"/>
                <w:szCs w:val="20"/>
                <w:color w:val="auto"/>
              </w:rPr>
            </w:pPr>
            <w:r>
              <w:rPr>
                <w:rFonts w:ascii="Arial" w:cs="Arial" w:eastAsia="Arial" w:hAnsi="Arial"/>
                <w:sz w:val="23"/>
                <w:szCs w:val="23"/>
                <w:b w:val="1"/>
                <w:bCs w:val="1"/>
                <w:color w:val="auto"/>
                <w:w w:val="98"/>
                <w:vertAlign w:val="subscript"/>
              </w:rPr>
              <w:t>Rate</w:t>
            </w:r>
            <w:r>
              <w:rPr>
                <w:rFonts w:ascii="Arial" w:cs="Arial" w:eastAsia="Arial" w:hAnsi="Arial"/>
                <w:sz w:val="8"/>
                <w:szCs w:val="8"/>
                <w:b w:val="1"/>
                <w:bCs w:val="1"/>
                <w:color w:val="auto"/>
                <w:w w:val="98"/>
              </w:rPr>
              <w:t>(2)(3)</w:t>
            </w:r>
          </w:p>
        </w:tc>
        <w:tc>
          <w:tcPr>
            <w:tcW w:w="0" w:type="dxa"/>
            <w:vAlign w:val="bottom"/>
          </w:tcPr>
          <w:p>
            <w:pPr>
              <w:spacing w:after="0"/>
              <w:rPr>
                <w:sz w:val="1"/>
                <w:szCs w:val="1"/>
                <w:color w:val="auto"/>
              </w:rPr>
            </w:pPr>
          </w:p>
        </w:tc>
      </w:tr>
      <w:tr>
        <w:trPr>
          <w:trHeight w:val="451"/>
        </w:trPr>
        <w:tc>
          <w:tcPr>
            <w:tcW w:w="156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1 %</w:t>
            </w:r>
          </w:p>
        </w:tc>
        <w:tc>
          <w:tcPr>
            <w:tcW w:w="100" w:type="dxa"/>
            <w:vAlign w:val="bottom"/>
          </w:tcPr>
          <w:p>
            <w:pPr>
              <w:spacing w:after="0"/>
              <w:rPr>
                <w:sz w:val="24"/>
                <w:szCs w:val="24"/>
                <w:color w:val="auto"/>
              </w:rPr>
            </w:pPr>
          </w:p>
        </w:tc>
        <w:tc>
          <w:tcPr>
            <w:tcW w:w="20" w:type="dxa"/>
            <w:vAlign w:val="bottom"/>
            <w:tcBorders>
              <w:top w:val="single" w:sz="8" w:color="2C6937"/>
            </w:tcBorders>
          </w:tcPr>
          <w:p>
            <w:pPr>
              <w:spacing w:after="0"/>
              <w:rPr>
                <w:sz w:val="24"/>
                <w:szCs w:val="24"/>
                <w:color w:val="auto"/>
              </w:rPr>
            </w:pPr>
          </w:p>
        </w:tc>
        <w:tc>
          <w:tcPr>
            <w:tcW w:w="1560" w:type="dxa"/>
            <w:vAlign w:val="bottom"/>
            <w:tcBorders>
              <w:top w:val="single" w:sz="8" w:color="2C6937"/>
            </w:tcBorders>
          </w:tcPr>
          <w:p>
            <w:pPr>
              <w:ind w:left="1060"/>
              <w:spacing w:after="0"/>
              <w:rPr>
                <w:sz w:val="20"/>
                <w:szCs w:val="20"/>
                <w:color w:val="auto"/>
              </w:rPr>
            </w:pPr>
            <w:r>
              <w:rPr>
                <w:rFonts w:ascii="Arial" w:cs="Arial" w:eastAsia="Arial" w:hAnsi="Arial"/>
                <w:sz w:val="15"/>
                <w:szCs w:val="15"/>
                <w:b w:val="1"/>
                <w:bCs w:val="1"/>
                <w:color w:val="auto"/>
              </w:rPr>
              <w:t>0.12 %</w:t>
            </w:r>
          </w:p>
        </w:tc>
        <w:tc>
          <w:tcPr>
            <w:tcW w:w="100" w:type="dxa"/>
            <w:vAlign w:val="bottom"/>
          </w:tcPr>
          <w:p>
            <w:pPr>
              <w:spacing w:after="0"/>
              <w:rPr>
                <w:sz w:val="24"/>
                <w:szCs w:val="24"/>
                <w:color w:val="auto"/>
              </w:rPr>
            </w:pPr>
          </w:p>
        </w:tc>
        <w:tc>
          <w:tcPr>
            <w:tcW w:w="156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1 %</w:t>
            </w:r>
          </w:p>
        </w:tc>
        <w:tc>
          <w:tcPr>
            <w:tcW w:w="120" w:type="dxa"/>
            <w:vAlign w:val="bottom"/>
          </w:tcPr>
          <w:p>
            <w:pPr>
              <w:spacing w:after="0"/>
              <w:rPr>
                <w:sz w:val="24"/>
                <w:szCs w:val="24"/>
                <w:color w:val="auto"/>
              </w:rPr>
            </w:pPr>
          </w:p>
        </w:tc>
        <w:tc>
          <w:tcPr>
            <w:tcW w:w="1560" w:type="dxa"/>
            <w:vAlign w:val="bottom"/>
            <w:tcBorders>
              <w:top w:val="single" w:sz="8" w:color="2C6937"/>
            </w:tcBorders>
          </w:tcPr>
          <w:p>
            <w:pPr>
              <w:ind w:left="1060"/>
              <w:spacing w:after="0"/>
              <w:rPr>
                <w:sz w:val="20"/>
                <w:szCs w:val="20"/>
                <w:color w:val="auto"/>
              </w:rPr>
            </w:pPr>
            <w:r>
              <w:rPr>
                <w:rFonts w:ascii="Arial" w:cs="Arial" w:eastAsia="Arial" w:hAnsi="Arial"/>
                <w:sz w:val="15"/>
                <w:szCs w:val="15"/>
                <w:color w:val="auto"/>
              </w:rPr>
              <w:t>0.13 %</w:t>
            </w:r>
          </w:p>
        </w:tc>
        <w:tc>
          <w:tcPr>
            <w:tcW w:w="0" w:type="dxa"/>
            <w:vAlign w:val="bottom"/>
          </w:tcPr>
          <w:p>
            <w:pPr>
              <w:spacing w:after="0"/>
              <w:rPr>
                <w:sz w:val="1"/>
                <w:szCs w:val="1"/>
                <w:color w:val="auto"/>
              </w:rPr>
            </w:pPr>
          </w:p>
        </w:tc>
      </w:tr>
      <w:tr>
        <w:trPr>
          <w:trHeight w:val="232"/>
        </w:trPr>
        <w:tc>
          <w:tcPr>
            <w:tcW w:w="1560" w:type="dxa"/>
            <w:vAlign w:val="bottom"/>
          </w:tcPr>
          <w:p>
            <w:pPr>
              <w:jc w:val="right"/>
              <w:ind w:right="128"/>
              <w:spacing w:after="0"/>
              <w:rPr>
                <w:sz w:val="20"/>
                <w:szCs w:val="20"/>
                <w:color w:val="auto"/>
              </w:rPr>
            </w:pPr>
            <w:r>
              <w:rPr>
                <w:rFonts w:ascii="Arial" w:cs="Arial" w:eastAsia="Arial" w:hAnsi="Arial"/>
                <w:sz w:val="15"/>
                <w:szCs w:val="15"/>
                <w:b w:val="1"/>
                <w:bCs w:val="1"/>
                <w:color w:val="auto"/>
              </w:rPr>
              <w:t>99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tcPr>
          <w:p>
            <w:pPr>
              <w:ind w:left="1060"/>
              <w:spacing w:after="0"/>
              <w:rPr>
                <w:sz w:val="20"/>
                <w:szCs w:val="20"/>
                <w:color w:val="auto"/>
              </w:rPr>
            </w:pPr>
            <w:r>
              <w:rPr>
                <w:rFonts w:ascii="Arial" w:cs="Arial" w:eastAsia="Arial" w:hAnsi="Arial"/>
                <w:sz w:val="15"/>
                <w:szCs w:val="15"/>
                <w:b w:val="1"/>
                <w:bCs w:val="1"/>
                <w:color w:val="auto"/>
              </w:rPr>
              <w:t>0.56</w:t>
            </w:r>
          </w:p>
        </w:tc>
        <w:tc>
          <w:tcPr>
            <w:tcW w:w="100" w:type="dxa"/>
            <w:vAlign w:val="bottom"/>
          </w:tcPr>
          <w:p>
            <w:pPr>
              <w:spacing w:after="0"/>
              <w:rPr>
                <w:sz w:val="20"/>
                <w:szCs w:val="20"/>
                <w:color w:val="auto"/>
              </w:rPr>
            </w:pPr>
          </w:p>
        </w:tc>
        <w:tc>
          <w:tcPr>
            <w:tcW w:w="1560" w:type="dxa"/>
            <w:vAlign w:val="bottom"/>
          </w:tcPr>
          <w:p>
            <w:pPr>
              <w:jc w:val="right"/>
              <w:ind w:right="108"/>
              <w:spacing w:after="0"/>
              <w:rPr>
                <w:sz w:val="20"/>
                <w:szCs w:val="20"/>
                <w:color w:val="auto"/>
              </w:rPr>
            </w:pPr>
            <w:r>
              <w:rPr>
                <w:rFonts w:ascii="Arial" w:cs="Arial" w:eastAsia="Arial" w:hAnsi="Arial"/>
                <w:sz w:val="15"/>
                <w:szCs w:val="15"/>
                <w:color w:val="auto"/>
              </w:rPr>
              <w:t>99</w:t>
            </w:r>
          </w:p>
        </w:tc>
        <w:tc>
          <w:tcPr>
            <w:tcW w:w="120" w:type="dxa"/>
            <w:vAlign w:val="bottom"/>
          </w:tcPr>
          <w:p>
            <w:pPr>
              <w:spacing w:after="0"/>
              <w:rPr>
                <w:sz w:val="20"/>
                <w:szCs w:val="20"/>
                <w:color w:val="auto"/>
              </w:rPr>
            </w:pPr>
          </w:p>
        </w:tc>
        <w:tc>
          <w:tcPr>
            <w:tcW w:w="1560" w:type="dxa"/>
            <w:vAlign w:val="bottom"/>
          </w:tcPr>
          <w:p>
            <w:pPr>
              <w:ind w:left="1060"/>
              <w:spacing w:after="0"/>
              <w:rPr>
                <w:sz w:val="20"/>
                <w:szCs w:val="20"/>
                <w:color w:val="auto"/>
              </w:rPr>
            </w:pPr>
            <w:r>
              <w:rPr>
                <w:rFonts w:ascii="Arial" w:cs="Arial" w:eastAsia="Arial" w:hAnsi="Arial"/>
                <w:sz w:val="15"/>
                <w:szCs w:val="15"/>
                <w:color w:val="auto"/>
              </w:rPr>
              <w:t>0.46</w:t>
            </w:r>
          </w:p>
        </w:tc>
        <w:tc>
          <w:tcPr>
            <w:tcW w:w="0" w:type="dxa"/>
            <w:vAlign w:val="bottom"/>
          </w:tcPr>
          <w:p>
            <w:pPr>
              <w:spacing w:after="0"/>
              <w:rPr>
                <w:sz w:val="1"/>
                <w:szCs w:val="1"/>
                <w:color w:val="auto"/>
              </w:rPr>
            </w:pPr>
          </w:p>
        </w:tc>
      </w:tr>
      <w:tr>
        <w:trPr>
          <w:trHeight w:val="232"/>
        </w:trPr>
        <w:tc>
          <w:tcPr>
            <w:tcW w:w="1560" w:type="dxa"/>
            <w:vAlign w:val="bottom"/>
          </w:tcPr>
          <w:p>
            <w:pPr>
              <w:jc w:val="right"/>
              <w:ind w:right="128"/>
              <w:spacing w:after="0"/>
              <w:rPr>
                <w:sz w:val="20"/>
                <w:szCs w:val="20"/>
                <w:color w:val="auto"/>
              </w:rPr>
            </w:pPr>
            <w:r>
              <w:rPr>
                <w:rFonts w:ascii="Arial" w:cs="Arial" w:eastAsia="Arial" w:hAnsi="Arial"/>
                <w:sz w:val="15"/>
                <w:szCs w:val="15"/>
                <w:b w:val="1"/>
                <w:bCs w:val="1"/>
                <w:color w:val="auto"/>
              </w:rPr>
              <w:t>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tcPr>
          <w:p>
            <w:pPr>
              <w:ind w:left="1060"/>
              <w:spacing w:after="0"/>
              <w:rPr>
                <w:sz w:val="20"/>
                <w:szCs w:val="20"/>
                <w:color w:val="auto"/>
              </w:rPr>
            </w:pPr>
            <w:r>
              <w:rPr>
                <w:rFonts w:ascii="Arial" w:cs="Arial" w:eastAsia="Arial" w:hAnsi="Arial"/>
                <w:sz w:val="15"/>
                <w:szCs w:val="15"/>
                <w:b w:val="1"/>
                <w:bCs w:val="1"/>
                <w:color w:val="auto"/>
              </w:rPr>
              <w:t>5.59</w:t>
            </w:r>
          </w:p>
        </w:tc>
        <w:tc>
          <w:tcPr>
            <w:tcW w:w="100" w:type="dxa"/>
            <w:vAlign w:val="bottom"/>
          </w:tcPr>
          <w:p>
            <w:pPr>
              <w:spacing w:after="0"/>
              <w:rPr>
                <w:sz w:val="20"/>
                <w:szCs w:val="20"/>
                <w:color w:val="auto"/>
              </w:rPr>
            </w:pPr>
          </w:p>
        </w:tc>
        <w:tc>
          <w:tcPr>
            <w:tcW w:w="1560" w:type="dxa"/>
            <w:vAlign w:val="bottom"/>
          </w:tcPr>
          <w:p>
            <w:pPr>
              <w:jc w:val="right"/>
              <w:ind w:right="108"/>
              <w:spacing w:after="0"/>
              <w:rPr>
                <w:sz w:val="20"/>
                <w:szCs w:val="20"/>
                <w:color w:val="auto"/>
              </w:rPr>
            </w:pPr>
            <w:r>
              <w:rPr>
                <w:rFonts w:ascii="Arial" w:cs="Arial" w:eastAsia="Arial" w:hAnsi="Arial"/>
                <w:sz w:val="15"/>
                <w:szCs w:val="15"/>
                <w:color w:val="auto"/>
              </w:rPr>
              <w:t>4</w:t>
            </w:r>
          </w:p>
        </w:tc>
        <w:tc>
          <w:tcPr>
            <w:tcW w:w="120" w:type="dxa"/>
            <w:vAlign w:val="bottom"/>
          </w:tcPr>
          <w:p>
            <w:pPr>
              <w:spacing w:after="0"/>
              <w:rPr>
                <w:sz w:val="20"/>
                <w:szCs w:val="20"/>
                <w:color w:val="auto"/>
              </w:rPr>
            </w:pPr>
          </w:p>
        </w:tc>
        <w:tc>
          <w:tcPr>
            <w:tcW w:w="1560" w:type="dxa"/>
            <w:vAlign w:val="bottom"/>
          </w:tcPr>
          <w:p>
            <w:pPr>
              <w:ind w:left="1060"/>
              <w:spacing w:after="0"/>
              <w:rPr>
                <w:sz w:val="20"/>
                <w:szCs w:val="20"/>
                <w:color w:val="auto"/>
              </w:rPr>
            </w:pPr>
            <w:r>
              <w:rPr>
                <w:rFonts w:ascii="Arial" w:cs="Arial" w:eastAsia="Arial" w:hAnsi="Arial"/>
                <w:sz w:val="15"/>
                <w:szCs w:val="15"/>
                <w:color w:val="auto"/>
              </w:rPr>
              <w:t>7.04</w:t>
            </w:r>
          </w:p>
        </w:tc>
        <w:tc>
          <w:tcPr>
            <w:tcW w:w="0" w:type="dxa"/>
            <w:vAlign w:val="bottom"/>
          </w:tcPr>
          <w:p>
            <w:pPr>
              <w:spacing w:after="0"/>
              <w:rPr>
                <w:sz w:val="1"/>
                <w:szCs w:val="1"/>
                <w:color w:val="auto"/>
              </w:rPr>
            </w:pPr>
          </w:p>
        </w:tc>
      </w:tr>
    </w:tbl>
    <w:p>
      <w:pPr>
        <w:spacing w:after="0" w:line="115" w:lineRule="exact"/>
        <w:rPr>
          <w:sz w:val="20"/>
          <w:szCs w:val="20"/>
          <w:color w:val="auto"/>
        </w:rPr>
      </w:pPr>
    </w:p>
    <w:p>
      <w:pPr>
        <w:sectPr>
          <w:pgSz w:w="11900" w:h="16838" w:orient="portrait"/>
          <w:cols w:equalWidth="0" w:num="2">
            <w:col w:w="3940" w:space="720"/>
            <w:col w:w="6580"/>
          </w:cols>
          <w:pgMar w:left="320" w:top="248" w:right="339" w:bottom="1440" w:gutter="0" w:footer="0" w:header="0"/>
          <w:type w:val="continuous"/>
        </w:sectPr>
      </w:pPr>
    </w:p>
    <w:p>
      <w:pPr>
        <w:ind w:left="240" w:right="400" w:hanging="237"/>
        <w:spacing w:after="0" w:line="226" w:lineRule="auto"/>
        <w:tabs>
          <w:tab w:leader="none" w:pos="233" w:val="left"/>
        </w:tabs>
        <w:numPr>
          <w:ilvl w:val="0"/>
          <w:numId w:val="94"/>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aggregate unpaid principal balance of multifamily loans for each category divided by the aggregate unpaid principal balance of loans in our multifamily guaranty book of business.</w:t>
      </w:r>
    </w:p>
    <w:p>
      <w:pPr>
        <w:spacing w:after="0" w:line="1"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94"/>
        </w:numPr>
        <w:rPr>
          <w:rFonts w:ascii="Arial" w:cs="Arial" w:eastAsia="Arial" w:hAnsi="Arial"/>
          <w:sz w:val="18"/>
          <w:szCs w:val="18"/>
          <w:color w:val="auto"/>
          <w:vertAlign w:val="superscript"/>
        </w:rPr>
      </w:pPr>
      <w:r>
        <w:rPr>
          <w:rFonts w:ascii="Arial" w:cs="Arial" w:eastAsia="Arial" w:hAnsi="Arial"/>
          <w:sz w:val="14"/>
          <w:szCs w:val="14"/>
          <w:color w:val="auto"/>
        </w:rPr>
        <w:t>Consists of multifamily loans that were 60 days or more past due as of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364490</wp:posOffset>
            </wp:positionV>
            <wp:extent cx="680593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105" w:name="page106"/>
    <w:bookmarkEnd w:id="105"/>
    <w:p>
      <w:pPr>
        <w:ind w:left="5820"/>
        <w:spacing w:after="0"/>
        <w:rPr>
          <w:sz w:val="20"/>
          <w:szCs w:val="20"/>
          <w:color w:val="auto"/>
        </w:rPr>
      </w:pPr>
      <w:r>
        <w:rPr>
          <w:rFonts w:ascii="Arial" w:cs="Arial" w:eastAsia="Arial" w:hAnsi="Arial"/>
          <w:sz w:val="14"/>
          <w:szCs w:val="14"/>
          <w:color w:val="05314D"/>
        </w:rPr>
        <w:t>Notes to Condensed Consolidated Financial Statements | Concentrations of Credit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40" w:right="140" w:hanging="237"/>
        <w:spacing w:after="0" w:line="226" w:lineRule="auto"/>
        <w:tabs>
          <w:tab w:leader="none" w:pos="233" w:val="left"/>
        </w:tabs>
        <w:numPr>
          <w:ilvl w:val="0"/>
          <w:numId w:val="95"/>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unpaid principal balance of multifamily loans that were seriously delinquent divided by the aggregate unpaid principal balance of multifamily loans for each category included in our multifamily guaranty book of business.</w:t>
      </w:r>
    </w:p>
    <w:p>
      <w:pPr>
        <w:spacing w:after="0" w:line="27" w:lineRule="exact"/>
        <w:rPr>
          <w:rFonts w:ascii="Arial" w:cs="Arial" w:eastAsia="Arial" w:hAnsi="Arial"/>
          <w:sz w:val="18"/>
          <w:szCs w:val="18"/>
          <w:color w:val="auto"/>
          <w:vertAlign w:val="superscript"/>
        </w:rPr>
      </w:pPr>
    </w:p>
    <w:p>
      <w:pPr>
        <w:ind w:left="240" w:right="560" w:hanging="237"/>
        <w:spacing w:after="0" w:line="218" w:lineRule="auto"/>
        <w:tabs>
          <w:tab w:leader="none" w:pos="233" w:val="left"/>
        </w:tabs>
        <w:numPr>
          <w:ilvl w:val="0"/>
          <w:numId w:val="95"/>
        </w:numPr>
        <w:rPr>
          <w:rFonts w:ascii="Arial" w:cs="Arial" w:eastAsia="Arial" w:hAnsi="Arial"/>
          <w:sz w:val="18"/>
          <w:szCs w:val="18"/>
          <w:color w:val="auto"/>
          <w:vertAlign w:val="superscript"/>
        </w:rPr>
      </w:pPr>
      <w:r>
        <w:rPr>
          <w:rFonts w:ascii="Arial" w:cs="Arial" w:eastAsia="Arial" w:hAnsi="Arial"/>
          <w:sz w:val="14"/>
          <w:szCs w:val="14"/>
          <w:color w:val="auto"/>
        </w:rPr>
        <w:t>Our estimates of current DSCRs are based on the latest available income information covering a 12 month period, from quarterly and annual statements for these properties including the related debt service.</w:t>
      </w:r>
    </w:p>
    <w:p>
      <w:pPr>
        <w:spacing w:after="0" w:line="97"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Other Concentrations</w:t>
      </w:r>
    </w:p>
    <w:p>
      <w:pPr>
        <w:spacing w:after="0" w:line="81" w:lineRule="exact"/>
        <w:rPr>
          <w:sz w:val="20"/>
          <w:szCs w:val="20"/>
          <w:color w:val="auto"/>
        </w:rPr>
      </w:pPr>
    </w:p>
    <w:p>
      <w:pPr>
        <w:jc w:val="both"/>
        <w:ind w:right="280"/>
        <w:spacing w:after="0" w:line="293" w:lineRule="auto"/>
        <w:rPr>
          <w:sz w:val="20"/>
          <w:szCs w:val="20"/>
          <w:color w:val="auto"/>
        </w:rPr>
      </w:pPr>
      <w:r>
        <w:rPr>
          <w:rFonts w:ascii="Arial" w:cs="Arial" w:eastAsia="Arial" w:hAnsi="Arial"/>
          <w:sz w:val="16"/>
          <w:szCs w:val="16"/>
          <w:i w:val="1"/>
          <w:iCs w:val="1"/>
          <w:color w:val="auto"/>
        </w:rPr>
        <w:t xml:space="preserve">Mortgage Insurers. </w:t>
      </w:r>
      <w:r>
        <w:rPr>
          <w:rFonts w:ascii="Arial" w:cs="Arial" w:eastAsia="Arial" w:hAnsi="Arial"/>
          <w:sz w:val="16"/>
          <w:szCs w:val="16"/>
          <w:color w:val="auto"/>
        </w:rPr>
        <w:t>Mortgage insurance “risk in force” refers to our maximum potential loss recovery under the applicable mortgage insurance policies in</w:t>
      </w:r>
      <w:r>
        <w:rPr>
          <w:rFonts w:ascii="Arial" w:cs="Arial" w:eastAsia="Arial" w:hAnsi="Arial"/>
          <w:sz w:val="16"/>
          <w:szCs w:val="16"/>
          <w:i w:val="1"/>
          <w:iCs w:val="1"/>
          <w:color w:val="auto"/>
        </w:rPr>
        <w:t xml:space="preserve"> </w:t>
      </w:r>
      <w:r>
        <w:rPr>
          <w:rFonts w:ascii="Arial" w:cs="Arial" w:eastAsia="Arial" w:hAnsi="Arial"/>
          <w:sz w:val="16"/>
          <w:szCs w:val="16"/>
          <w:color w:val="auto"/>
        </w:rPr>
        <w:t>force and is generally based on the loan-level insurance coverage percentage and, if applicable, any aggregate pool loss limit, as specified in the policy.</w:t>
      </w:r>
    </w:p>
    <w:p>
      <w:pPr>
        <w:spacing w:after="0" w:line="15"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The following table displays our total mortgage insurance risk in force by primary and pool insurance, as well as the total risk-in-force mortgage insurance coverage as a percentage of the single-family conventional guaranty book of business.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5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tcPr>
          <w:p>
            <w:pPr>
              <w:spacing w:after="0"/>
              <w:rPr>
                <w:sz w:val="17"/>
                <w:szCs w:val="17"/>
                <w:color w:val="auto"/>
              </w:rPr>
            </w:pPr>
          </w:p>
        </w:tc>
        <w:tc>
          <w:tcPr>
            <w:tcW w:w="1400" w:type="dxa"/>
            <w:vAlign w:val="bottom"/>
            <w:tcBorders>
              <w:bottom w:val="single" w:sz="8" w:color="2C6937"/>
            </w:tcBorders>
          </w:tcPr>
          <w:p>
            <w:pPr>
              <w:spacing w:after="0"/>
              <w:rPr>
                <w:sz w:val="17"/>
                <w:szCs w:val="17"/>
                <w:color w:val="auto"/>
              </w:rPr>
            </w:pPr>
          </w:p>
        </w:tc>
        <w:tc>
          <w:tcPr>
            <w:tcW w:w="400" w:type="dxa"/>
            <w:vAlign w:val="bottom"/>
            <w:tcBorders>
              <w:bottom w:val="single" w:sz="8" w:color="2C6937"/>
            </w:tcBorders>
            <w:gridSpan w:val="3"/>
          </w:tcPr>
          <w:p>
            <w:pPr>
              <w:jc w:val="right"/>
              <w:ind w:right="60"/>
              <w:spacing w:after="0"/>
              <w:rPr>
                <w:sz w:val="20"/>
                <w:szCs w:val="20"/>
                <w:color w:val="auto"/>
              </w:rPr>
            </w:pPr>
            <w:r>
              <w:rPr>
                <w:rFonts w:ascii="Arial" w:cs="Arial" w:eastAsia="Arial" w:hAnsi="Arial"/>
                <w:sz w:val="14"/>
                <w:szCs w:val="14"/>
                <w:b w:val="1"/>
                <w:bCs w:val="1"/>
                <w:color w:val="auto"/>
                <w:w w:val="91"/>
              </w:rPr>
              <w:t>As of</w:t>
            </w:r>
          </w:p>
        </w:tc>
        <w:tc>
          <w:tcPr>
            <w:tcW w:w="1160" w:type="dxa"/>
            <w:vAlign w:val="bottom"/>
            <w:tcBorders>
              <w:bottom w:val="single" w:sz="8" w:color="2C6937"/>
            </w:tcBorders>
          </w:tcPr>
          <w:p>
            <w:pPr>
              <w:spacing w:after="0"/>
              <w:rPr>
                <w:sz w:val="17"/>
                <w:szCs w:val="17"/>
                <w:color w:val="auto"/>
              </w:rPr>
            </w:pPr>
          </w:p>
        </w:tc>
        <w:tc>
          <w:tcPr>
            <w:tcW w:w="152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2560" w:type="dxa"/>
            <w:vAlign w:val="bottom"/>
            <w:tcBorders>
              <w:bottom w:val="single" w:sz="8" w:color="2C6937"/>
            </w:tcBorders>
            <w:gridSpan w:val="2"/>
          </w:tcPr>
          <w:p>
            <w:pPr>
              <w:ind w:left="620"/>
              <w:spacing w:after="0"/>
              <w:rPr>
                <w:sz w:val="20"/>
                <w:szCs w:val="20"/>
                <w:color w:val="auto"/>
              </w:rPr>
            </w:pPr>
            <w:r>
              <w:rPr>
                <w:rFonts w:ascii="Arial" w:cs="Arial" w:eastAsia="Arial" w:hAnsi="Arial"/>
                <w:sz w:val="14"/>
                <w:szCs w:val="14"/>
                <w:b w:val="1"/>
                <w:bCs w:val="1"/>
                <w:color w:val="auto"/>
              </w:rPr>
              <w:t>September 30, 2024</w:t>
            </w:r>
          </w:p>
        </w:tc>
        <w:tc>
          <w:tcPr>
            <w:tcW w:w="12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2680" w:type="dxa"/>
            <w:vAlign w:val="bottom"/>
            <w:tcBorders>
              <w:bottom w:val="single" w:sz="8" w:color="2C6937"/>
            </w:tcBorders>
            <w:gridSpan w:val="2"/>
          </w:tcPr>
          <w:p>
            <w:pPr>
              <w:ind w:left="620"/>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178"/>
        </w:trPr>
        <w:tc>
          <w:tcPr>
            <w:tcW w:w="5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0" w:type="dxa"/>
            <w:vAlign w:val="bottom"/>
          </w:tcPr>
          <w:p>
            <w:pPr>
              <w:jc w:val="center"/>
              <w:ind w:left="150"/>
              <w:spacing w:after="0"/>
              <w:rPr>
                <w:sz w:val="20"/>
                <w:szCs w:val="20"/>
                <w:color w:val="auto"/>
              </w:rPr>
            </w:pPr>
            <w:r>
              <w:rPr>
                <w:rFonts w:ascii="Arial" w:cs="Arial" w:eastAsia="Arial" w:hAnsi="Arial"/>
                <w:sz w:val="14"/>
                <w:szCs w:val="14"/>
                <w:b w:val="1"/>
                <w:bCs w:val="1"/>
                <w:color w:val="auto"/>
                <w:w w:val="97"/>
              </w:rPr>
              <w:t>Percentage of</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20" w:type="dxa"/>
            <w:vAlign w:val="bottom"/>
          </w:tcPr>
          <w:p>
            <w:pPr>
              <w:jc w:val="center"/>
              <w:ind w:left="10"/>
              <w:spacing w:after="0"/>
              <w:rPr>
                <w:sz w:val="20"/>
                <w:szCs w:val="20"/>
                <w:color w:val="auto"/>
              </w:rPr>
            </w:pPr>
            <w:r>
              <w:rPr>
                <w:rFonts w:ascii="Arial" w:cs="Arial" w:eastAsia="Arial" w:hAnsi="Arial"/>
                <w:sz w:val="14"/>
                <w:szCs w:val="14"/>
                <w:b w:val="1"/>
                <w:bCs w:val="1"/>
                <w:color w:val="auto"/>
                <w:w w:val="99"/>
              </w:rPr>
              <w:t>Percentage of</w:t>
            </w:r>
          </w:p>
        </w:tc>
        <w:tc>
          <w:tcPr>
            <w:tcW w:w="0" w:type="dxa"/>
            <w:vAlign w:val="bottom"/>
          </w:tcPr>
          <w:p>
            <w:pPr>
              <w:spacing w:after="0"/>
              <w:rPr>
                <w:sz w:val="1"/>
                <w:szCs w:val="1"/>
                <w:color w:val="auto"/>
              </w:rPr>
            </w:pPr>
          </w:p>
        </w:tc>
      </w:tr>
      <w:tr>
        <w:trPr>
          <w:trHeight w:val="168"/>
        </w:trPr>
        <w:tc>
          <w:tcPr>
            <w:tcW w:w="5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0" w:type="dxa"/>
            <w:vAlign w:val="bottom"/>
          </w:tcPr>
          <w:p>
            <w:pPr>
              <w:jc w:val="center"/>
              <w:ind w:left="150"/>
              <w:spacing w:after="0"/>
              <w:rPr>
                <w:sz w:val="20"/>
                <w:szCs w:val="20"/>
                <w:color w:val="auto"/>
              </w:rPr>
            </w:pPr>
            <w:r>
              <w:rPr>
                <w:rFonts w:ascii="Arial" w:cs="Arial" w:eastAsia="Arial" w:hAnsi="Arial"/>
                <w:sz w:val="14"/>
                <w:szCs w:val="14"/>
                <w:b w:val="1"/>
                <w:bCs w:val="1"/>
                <w:color w:val="auto"/>
                <w:w w:val="98"/>
              </w:rPr>
              <w:t>Single-Family</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tcPr>
          <w:p>
            <w:pPr>
              <w:jc w:val="center"/>
              <w:ind w:left="10"/>
              <w:spacing w:after="0"/>
              <w:rPr>
                <w:sz w:val="20"/>
                <w:szCs w:val="20"/>
                <w:color w:val="auto"/>
              </w:rPr>
            </w:pPr>
            <w:r>
              <w:rPr>
                <w:rFonts w:ascii="Arial" w:cs="Arial" w:eastAsia="Arial" w:hAnsi="Arial"/>
                <w:sz w:val="14"/>
                <w:szCs w:val="14"/>
                <w:b w:val="1"/>
                <w:bCs w:val="1"/>
                <w:color w:val="auto"/>
                <w:w w:val="96"/>
              </w:rPr>
              <w:t>Single-Family</w:t>
            </w:r>
          </w:p>
        </w:tc>
        <w:tc>
          <w:tcPr>
            <w:tcW w:w="0" w:type="dxa"/>
            <w:vAlign w:val="bottom"/>
          </w:tcPr>
          <w:p>
            <w:pPr>
              <w:spacing w:after="0"/>
              <w:rPr>
                <w:sz w:val="1"/>
                <w:szCs w:val="1"/>
                <w:color w:val="auto"/>
              </w:rPr>
            </w:pPr>
          </w:p>
        </w:tc>
      </w:tr>
      <w:tr>
        <w:trPr>
          <w:trHeight w:val="168"/>
        </w:trPr>
        <w:tc>
          <w:tcPr>
            <w:tcW w:w="5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0" w:type="dxa"/>
            <w:vAlign w:val="bottom"/>
          </w:tcPr>
          <w:p>
            <w:pPr>
              <w:jc w:val="center"/>
              <w:ind w:left="150"/>
              <w:spacing w:after="0"/>
              <w:rPr>
                <w:sz w:val="20"/>
                <w:szCs w:val="20"/>
                <w:color w:val="auto"/>
              </w:rPr>
            </w:pPr>
            <w:r>
              <w:rPr>
                <w:rFonts w:ascii="Arial" w:cs="Arial" w:eastAsia="Arial" w:hAnsi="Arial"/>
                <w:sz w:val="14"/>
                <w:szCs w:val="14"/>
                <w:b w:val="1"/>
                <w:bCs w:val="1"/>
                <w:color w:val="auto"/>
                <w:w w:val="96"/>
              </w:rPr>
              <w:t>Conventional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tcPr>
          <w:p>
            <w:pPr>
              <w:jc w:val="center"/>
              <w:ind w:left="10"/>
              <w:spacing w:after="0"/>
              <w:rPr>
                <w:sz w:val="20"/>
                <w:szCs w:val="20"/>
                <w:color w:val="auto"/>
              </w:rPr>
            </w:pPr>
            <w:r>
              <w:rPr>
                <w:rFonts w:ascii="Arial" w:cs="Arial" w:eastAsia="Arial" w:hAnsi="Arial"/>
                <w:sz w:val="14"/>
                <w:szCs w:val="14"/>
                <w:b w:val="1"/>
                <w:bCs w:val="1"/>
                <w:color w:val="auto"/>
                <w:w w:val="99"/>
              </w:rPr>
              <w:t>Conventional</w:t>
            </w:r>
          </w:p>
        </w:tc>
        <w:tc>
          <w:tcPr>
            <w:tcW w:w="0" w:type="dxa"/>
            <w:vAlign w:val="bottom"/>
          </w:tcPr>
          <w:p>
            <w:pPr>
              <w:spacing w:after="0"/>
              <w:rPr>
                <w:sz w:val="1"/>
                <w:szCs w:val="1"/>
                <w:color w:val="auto"/>
              </w:rPr>
            </w:pPr>
          </w:p>
        </w:tc>
      </w:tr>
      <w:tr>
        <w:trPr>
          <w:trHeight w:val="168"/>
        </w:trPr>
        <w:tc>
          <w:tcPr>
            <w:tcW w:w="5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restart"/>
          </w:tcPr>
          <w:p>
            <w:pPr>
              <w:jc w:val="right"/>
              <w:ind w:right="166"/>
              <w:spacing w:after="0"/>
              <w:rPr>
                <w:sz w:val="20"/>
                <w:szCs w:val="20"/>
                <w:color w:val="auto"/>
              </w:rPr>
            </w:pPr>
            <w:r>
              <w:rPr>
                <w:rFonts w:ascii="Arial" w:cs="Arial" w:eastAsia="Arial" w:hAnsi="Arial"/>
                <w:sz w:val="14"/>
                <w:szCs w:val="14"/>
                <w:b w:val="1"/>
                <w:bCs w:val="1"/>
                <w:color w:val="auto"/>
              </w:rPr>
              <w:t>Risk in Force</w:t>
            </w:r>
          </w:p>
        </w:tc>
        <w:tc>
          <w:tcPr>
            <w:tcW w:w="1400" w:type="dxa"/>
            <w:vAlign w:val="bottom"/>
          </w:tcPr>
          <w:p>
            <w:pPr>
              <w:jc w:val="center"/>
              <w:ind w:left="150"/>
              <w:spacing w:after="0"/>
              <w:rPr>
                <w:sz w:val="20"/>
                <w:szCs w:val="20"/>
                <w:color w:val="auto"/>
              </w:rPr>
            </w:pPr>
            <w:r>
              <w:rPr>
                <w:rFonts w:ascii="Arial" w:cs="Arial" w:eastAsia="Arial" w:hAnsi="Arial"/>
                <w:sz w:val="14"/>
                <w:szCs w:val="14"/>
                <w:b w:val="1"/>
                <w:bCs w:val="1"/>
                <w:color w:val="auto"/>
                <w:w w:val="97"/>
              </w:rPr>
              <w:t>Guaranty Book of</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vMerge w:val="restart"/>
          </w:tcPr>
          <w:p>
            <w:pPr>
              <w:jc w:val="right"/>
              <w:ind w:right="166"/>
              <w:spacing w:after="0"/>
              <w:rPr>
                <w:sz w:val="20"/>
                <w:szCs w:val="20"/>
                <w:color w:val="auto"/>
              </w:rPr>
            </w:pPr>
            <w:r>
              <w:rPr>
                <w:rFonts w:ascii="Arial" w:cs="Arial" w:eastAsia="Arial" w:hAnsi="Arial"/>
                <w:sz w:val="14"/>
                <w:szCs w:val="14"/>
                <w:b w:val="1"/>
                <w:bCs w:val="1"/>
                <w:color w:val="auto"/>
              </w:rPr>
              <w:t>Risk in Force</w:t>
            </w:r>
          </w:p>
        </w:tc>
        <w:tc>
          <w:tcPr>
            <w:tcW w:w="1520" w:type="dxa"/>
            <w:vAlign w:val="bottom"/>
          </w:tcPr>
          <w:p>
            <w:pPr>
              <w:jc w:val="center"/>
              <w:ind w:left="10"/>
              <w:spacing w:after="0"/>
              <w:rPr>
                <w:sz w:val="20"/>
                <w:szCs w:val="20"/>
                <w:color w:val="auto"/>
              </w:rPr>
            </w:pPr>
            <w:r>
              <w:rPr>
                <w:rFonts w:ascii="Arial" w:cs="Arial" w:eastAsia="Arial" w:hAnsi="Arial"/>
                <w:sz w:val="14"/>
                <w:szCs w:val="14"/>
                <w:b w:val="1"/>
                <w:bCs w:val="1"/>
                <w:color w:val="auto"/>
                <w:w w:val="98"/>
              </w:rPr>
              <w:t>Guaranty Book of</w:t>
            </w:r>
          </w:p>
        </w:tc>
        <w:tc>
          <w:tcPr>
            <w:tcW w:w="0" w:type="dxa"/>
            <w:vAlign w:val="bottom"/>
          </w:tcPr>
          <w:p>
            <w:pPr>
              <w:spacing w:after="0"/>
              <w:rPr>
                <w:sz w:val="1"/>
                <w:szCs w:val="1"/>
                <w:color w:val="auto"/>
              </w:rPr>
            </w:pPr>
          </w:p>
        </w:tc>
      </w:tr>
      <w:tr>
        <w:trPr>
          <w:trHeight w:val="189"/>
        </w:trPr>
        <w:tc>
          <w:tcPr>
            <w:tcW w:w="5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1160" w:type="dxa"/>
            <w:vAlign w:val="bottom"/>
            <w:tcBorders>
              <w:bottom w:val="single" w:sz="8" w:color="2C6937"/>
            </w:tcBorders>
            <w:vMerge w:val="continue"/>
          </w:tcPr>
          <w:p>
            <w:pPr>
              <w:spacing w:after="0"/>
              <w:rPr>
                <w:sz w:val="16"/>
                <w:szCs w:val="16"/>
                <w:color w:val="auto"/>
              </w:rPr>
            </w:pPr>
          </w:p>
        </w:tc>
        <w:tc>
          <w:tcPr>
            <w:tcW w:w="1400" w:type="dxa"/>
            <w:vAlign w:val="bottom"/>
            <w:tcBorders>
              <w:bottom w:val="single" w:sz="8" w:color="2C6937"/>
            </w:tcBorders>
          </w:tcPr>
          <w:p>
            <w:pPr>
              <w:jc w:val="center"/>
              <w:ind w:left="150"/>
              <w:spacing w:after="0"/>
              <w:rPr>
                <w:sz w:val="20"/>
                <w:szCs w:val="20"/>
                <w:color w:val="auto"/>
              </w:rPr>
            </w:pPr>
            <w:r>
              <w:rPr>
                <w:rFonts w:ascii="Arial" w:cs="Arial" w:eastAsia="Arial" w:hAnsi="Arial"/>
                <w:sz w:val="14"/>
                <w:szCs w:val="14"/>
                <w:b w:val="1"/>
                <w:bCs w:val="1"/>
                <w:color w:val="auto"/>
                <w:w w:val="99"/>
              </w:rPr>
              <w:t>Business</w:t>
            </w:r>
          </w:p>
        </w:tc>
        <w:tc>
          <w:tcPr>
            <w:tcW w:w="12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1160" w:type="dxa"/>
            <w:vAlign w:val="bottom"/>
            <w:tcBorders>
              <w:bottom w:val="single" w:sz="8" w:color="2C6937"/>
            </w:tcBorders>
            <w:vMerge w:val="continue"/>
          </w:tcPr>
          <w:p>
            <w:pPr>
              <w:spacing w:after="0"/>
              <w:rPr>
                <w:sz w:val="16"/>
                <w:szCs w:val="16"/>
                <w:color w:val="auto"/>
              </w:rPr>
            </w:pPr>
          </w:p>
        </w:tc>
        <w:tc>
          <w:tcPr>
            <w:tcW w:w="1520" w:type="dxa"/>
            <w:vAlign w:val="bottom"/>
            <w:tcBorders>
              <w:bottom w:val="single" w:sz="8" w:color="2C6937"/>
            </w:tcBorders>
          </w:tcPr>
          <w:p>
            <w:pPr>
              <w:jc w:val="center"/>
              <w:ind w:left="10"/>
              <w:spacing w:after="0"/>
              <w:rPr>
                <w:sz w:val="20"/>
                <w:szCs w:val="20"/>
                <w:color w:val="auto"/>
              </w:rPr>
            </w:pPr>
            <w:r>
              <w:rPr>
                <w:rFonts w:ascii="Arial" w:cs="Arial" w:eastAsia="Arial" w:hAnsi="Arial"/>
                <w:sz w:val="14"/>
                <w:szCs w:val="14"/>
                <w:b w:val="1"/>
                <w:bCs w:val="1"/>
                <w:color w:val="auto"/>
                <w:w w:val="96"/>
              </w:rPr>
              <w:t>Business</w:t>
            </w:r>
          </w:p>
        </w:tc>
        <w:tc>
          <w:tcPr>
            <w:tcW w:w="0" w:type="dxa"/>
            <w:vAlign w:val="bottom"/>
          </w:tcPr>
          <w:p>
            <w:pPr>
              <w:spacing w:after="0"/>
              <w:rPr>
                <w:sz w:val="1"/>
                <w:szCs w:val="1"/>
                <w:color w:val="auto"/>
              </w:rPr>
            </w:pPr>
          </w:p>
        </w:tc>
      </w:tr>
      <w:tr>
        <w:trPr>
          <w:trHeight w:val="198"/>
        </w:trPr>
        <w:tc>
          <w:tcPr>
            <w:tcW w:w="5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960" w:type="dxa"/>
            <w:vAlign w:val="bottom"/>
            <w:gridSpan w:val="5"/>
          </w:tcPr>
          <w:p>
            <w:pPr>
              <w:jc w:val="right"/>
              <w:ind w:right="686"/>
              <w:spacing w:after="0"/>
              <w:rPr>
                <w:sz w:val="20"/>
                <w:szCs w:val="20"/>
                <w:color w:val="auto"/>
              </w:rPr>
            </w:pPr>
            <w:r>
              <w:rPr>
                <w:rFonts w:ascii="Arial" w:cs="Arial" w:eastAsia="Arial" w:hAnsi="Arial"/>
                <w:sz w:val="14"/>
                <w:szCs w:val="14"/>
                <w:b w:val="1"/>
                <w:bCs w:val="1"/>
                <w:color w:val="auto"/>
              </w:rPr>
              <w:t>(Dollars in millions)</w:t>
            </w: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420" w:type="dxa"/>
            <w:vAlign w:val="bottom"/>
            <w:gridSpan w:val="2"/>
          </w:tcPr>
          <w:p>
            <w:pPr>
              <w:ind w:left="20"/>
              <w:spacing w:after="0"/>
              <w:rPr>
                <w:sz w:val="20"/>
                <w:szCs w:val="20"/>
                <w:color w:val="auto"/>
              </w:rPr>
            </w:pPr>
            <w:r>
              <w:rPr>
                <w:rFonts w:ascii="Arial" w:cs="Arial" w:eastAsia="Arial" w:hAnsi="Arial"/>
                <w:sz w:val="15"/>
                <w:szCs w:val="15"/>
                <w:color w:val="auto"/>
              </w:rPr>
              <w:t>Mortgage insurance risk in force:</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420" w:type="dxa"/>
            <w:vAlign w:val="bottom"/>
            <w:gridSpan w:val="2"/>
          </w:tcPr>
          <w:p>
            <w:pPr>
              <w:ind w:left="160"/>
              <w:spacing w:after="0"/>
              <w:rPr>
                <w:sz w:val="20"/>
                <w:szCs w:val="20"/>
                <w:color w:val="auto"/>
              </w:rPr>
            </w:pPr>
            <w:r>
              <w:rPr>
                <w:rFonts w:ascii="Arial" w:cs="Arial" w:eastAsia="Arial" w:hAnsi="Arial"/>
                <w:sz w:val="15"/>
                <w:szCs w:val="15"/>
                <w:color w:val="auto"/>
              </w:rPr>
              <w:t>Primary mortgage insurance</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202,115</w:t>
            </w:r>
          </w:p>
        </w:tc>
        <w:tc>
          <w:tcPr>
            <w:tcW w:w="1400" w:type="dxa"/>
            <w:vAlign w:val="bottom"/>
          </w:tcPr>
          <w:p>
            <w:pPr>
              <w:spacing w:after="0"/>
              <w:rPr>
                <w:sz w:val="21"/>
                <w:szCs w:val="21"/>
                <w:color w:val="auto"/>
              </w:rPr>
            </w:pPr>
          </w:p>
        </w:tc>
        <w:tc>
          <w:tcPr>
            <w:tcW w:w="40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6"/>
              <w:spacing w:after="0"/>
              <w:rPr>
                <w:sz w:val="20"/>
                <w:szCs w:val="20"/>
                <w:color w:val="auto"/>
              </w:rPr>
            </w:pPr>
            <w:r>
              <w:rPr>
                <w:rFonts w:ascii="Arial" w:cs="Arial" w:eastAsia="Arial" w:hAnsi="Arial"/>
                <w:sz w:val="15"/>
                <w:szCs w:val="15"/>
                <w:color w:val="auto"/>
              </w:rPr>
              <w:t>200,023</w:t>
            </w: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5300" w:type="dxa"/>
            <w:vAlign w:val="bottom"/>
            <w:tcBorders>
              <w:bottom w:val="single" w:sz="8" w:color="2C6937"/>
            </w:tcBorders>
          </w:tcPr>
          <w:p>
            <w:pPr>
              <w:ind w:left="160"/>
              <w:spacing w:after="0"/>
              <w:rPr>
                <w:sz w:val="20"/>
                <w:szCs w:val="20"/>
                <w:color w:val="auto"/>
              </w:rPr>
            </w:pPr>
            <w:r>
              <w:rPr>
                <w:rFonts w:ascii="Arial" w:cs="Arial" w:eastAsia="Arial" w:hAnsi="Arial"/>
                <w:sz w:val="15"/>
                <w:szCs w:val="15"/>
                <w:color w:val="auto"/>
              </w:rPr>
              <w:t>Pool mortgage insurance</w:t>
            </w:r>
          </w:p>
        </w:tc>
        <w:tc>
          <w:tcPr>
            <w:tcW w:w="120" w:type="dxa"/>
            <w:vAlign w:val="bottom"/>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116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b w:val="1"/>
                <w:bCs w:val="1"/>
                <w:color w:val="auto"/>
              </w:rPr>
              <w:t>56</w:t>
            </w: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116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98</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420" w:type="dxa"/>
            <w:vAlign w:val="bottom"/>
            <w:gridSpan w:val="2"/>
          </w:tcPr>
          <w:p>
            <w:pPr>
              <w:ind w:left="320"/>
              <w:spacing w:after="0"/>
              <w:rPr>
                <w:sz w:val="20"/>
                <w:szCs w:val="20"/>
                <w:color w:val="auto"/>
              </w:rPr>
            </w:pPr>
            <w:r>
              <w:rPr>
                <w:rFonts w:ascii="Arial" w:cs="Arial" w:eastAsia="Arial" w:hAnsi="Arial"/>
                <w:sz w:val="15"/>
                <w:szCs w:val="15"/>
                <w:color w:val="auto"/>
              </w:rPr>
              <w:t>Total mortgage insurance risk in force</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160" w:type="dxa"/>
            <w:vAlign w:val="bottom"/>
          </w:tcPr>
          <w:p>
            <w:pPr>
              <w:jc w:val="right"/>
              <w:ind w:right="6"/>
              <w:spacing w:after="0"/>
              <w:rPr>
                <w:sz w:val="20"/>
                <w:szCs w:val="20"/>
                <w:color w:val="auto"/>
              </w:rPr>
            </w:pPr>
            <w:r>
              <w:rPr>
                <w:rFonts w:ascii="Arial" w:cs="Arial" w:eastAsia="Arial" w:hAnsi="Arial"/>
                <w:sz w:val="15"/>
                <w:szCs w:val="15"/>
                <w:b w:val="1"/>
                <w:bCs w:val="1"/>
                <w:color w:val="auto"/>
              </w:rPr>
              <w:t>202,171</w:t>
            </w:r>
          </w:p>
        </w:tc>
        <w:tc>
          <w:tcPr>
            <w:tcW w:w="1400" w:type="dxa"/>
            <w:vAlign w:val="bottom"/>
          </w:tcPr>
          <w:p>
            <w:pPr>
              <w:jc w:val="center"/>
              <w:ind w:left="150"/>
              <w:spacing w:after="0"/>
              <w:rPr>
                <w:sz w:val="20"/>
                <w:szCs w:val="20"/>
                <w:color w:val="auto"/>
              </w:rPr>
            </w:pPr>
            <w:r>
              <w:rPr>
                <w:rFonts w:ascii="Arial" w:cs="Arial" w:eastAsia="Arial" w:hAnsi="Arial"/>
                <w:sz w:val="15"/>
                <w:szCs w:val="15"/>
                <w:b w:val="1"/>
                <w:bCs w:val="1"/>
                <w:color w:val="auto"/>
              </w:rPr>
              <w:t>6%</w:t>
            </w:r>
          </w:p>
        </w:tc>
        <w:tc>
          <w:tcPr>
            <w:tcW w:w="40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6"/>
              <w:spacing w:after="0"/>
              <w:rPr>
                <w:sz w:val="20"/>
                <w:szCs w:val="20"/>
                <w:color w:val="auto"/>
              </w:rPr>
            </w:pPr>
            <w:r>
              <w:rPr>
                <w:rFonts w:ascii="Arial" w:cs="Arial" w:eastAsia="Arial" w:hAnsi="Arial"/>
                <w:sz w:val="15"/>
                <w:szCs w:val="15"/>
                <w:color w:val="auto"/>
              </w:rPr>
              <w:t>200,121</w:t>
            </w:r>
          </w:p>
        </w:tc>
        <w:tc>
          <w:tcPr>
            <w:tcW w:w="1520" w:type="dxa"/>
            <w:vAlign w:val="bottom"/>
          </w:tcPr>
          <w:p>
            <w:pPr>
              <w:jc w:val="center"/>
              <w:ind w:left="30"/>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0"/>
        </w:trPr>
        <w:tc>
          <w:tcPr>
            <w:tcW w:w="530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1160" w:type="dxa"/>
            <w:vAlign w:val="bottom"/>
            <w:tcBorders>
              <w:top w:val="single" w:sz="8" w:color="2C6937"/>
              <w:bottom w:val="single" w:sz="8" w:color="2C6937"/>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1160" w:type="dxa"/>
            <w:vAlign w:val="bottom"/>
            <w:tcBorders>
              <w:top w:val="single" w:sz="8" w:color="2C6937"/>
              <w:bottom w:val="single" w:sz="8" w:color="2C6937"/>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ind w:right="380"/>
        <w:spacing w:after="0" w:line="271" w:lineRule="auto"/>
        <w:rPr>
          <w:sz w:val="20"/>
          <w:szCs w:val="20"/>
          <w:color w:val="auto"/>
        </w:rPr>
      </w:pPr>
      <w:r>
        <w:rPr>
          <w:rFonts w:ascii="Arial" w:cs="Arial" w:eastAsia="Arial" w:hAnsi="Arial"/>
          <w:sz w:val="16"/>
          <w:szCs w:val="16"/>
          <w:color w:val="auto"/>
        </w:rPr>
        <w:t>Mortgage insurance only covers losses that are realized after the borrower defaults and title to the property is subsequently transferred, such as after a foreclosure, short-sale, or a deed-in-lieu of foreclosure. Also, mortgage insurance does not protect us from all losses on covered loans. For example, mortgage insurance is not intended to cover property damage from hazards, including natural disasters; and the mortgage insurance policy permits the exclusion of any material loss directly related to property damage.</w:t>
      </w:r>
    </w:p>
    <w:p>
      <w:pPr>
        <w:spacing w:after="0" w:line="33"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In general, we require single-family and multifamily borrowers to obtain and maintain property insurance to cover the risk of damage to their homes or properties resulting from hazards such as fire, wind and, for properties located in Federal Emergency Management Agency-designated Special Flood Hazard Areas, flooding. Since we generally require borrowers to select and obtain hazard insurance policies, our requirements for hazard insurance coverage are verified by the lender or servicer, as applicable. For single-family loans, we require a minimum financial strength rating for non-governmental hazard insurers that must be provided by S&amp;P Global, Demotech, AM Best or KBRA. For multifamily loans, we require a minimum financial strength rating for non-governmental hazard insurers that must be provided by Demotech or AM Best. We do not independently verify the financial condition of these hazard insurers and rely on these rating agencies for their assessment of the financial condition of these insurers.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360680</wp:posOffset>
            </wp:positionV>
            <wp:extent cx="680593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06" w:name="page107"/>
    <w:bookmarkEnd w:id="106"/>
    <w:p>
      <w:pPr>
        <w:jc w:val="right"/>
        <w:ind w:right="80"/>
        <w:spacing w:after="0"/>
        <w:rPr>
          <w:sz w:val="20"/>
          <w:szCs w:val="20"/>
          <w:color w:val="auto"/>
        </w:rPr>
      </w:pPr>
      <w:r>
        <w:rPr>
          <w:rFonts w:ascii="Arial" w:cs="Arial" w:eastAsia="Arial" w:hAnsi="Arial"/>
          <w:sz w:val="14"/>
          <w:szCs w:val="14"/>
          <w:color w:val="05314D"/>
        </w:rPr>
        <w:t>Notes to Condensed Consolidated Financial Statements | Concentrations of Credit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The table below displays our mortgage insurer counterparties that provided 10% or more of the risk in force mortgage insurance coverage on mortgage loans in our single-family conventional guaranty book of business.</w:t>
      </w:r>
    </w:p>
    <w:p>
      <w:pPr>
        <w:spacing w:after="0" w:line="105"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Percentage of Risk in Force</w:t>
      </w:r>
    </w:p>
    <w:p>
      <w:pPr>
        <w:spacing w:after="0" w:line="8"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Coverage by Mortgage Insurer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4545330</wp:posOffset>
            </wp:positionH>
            <wp:positionV relativeFrom="paragraph">
              <wp:posOffset>1270</wp:posOffset>
            </wp:positionV>
            <wp:extent cx="258699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586990" cy="8255"/>
                    </a:xfrm>
                    <a:prstGeom prst="rect">
                      <a:avLst/>
                    </a:prstGeom>
                    <a:noFill/>
                  </pic:spPr>
                </pic:pic>
              </a:graphicData>
            </a:graphic>
          </wp:anchor>
        </w:drawing>
      </w:r>
    </w:p>
    <w:p>
      <w:pPr>
        <w:spacing w:after="0" w:line="11"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4545330</wp:posOffset>
            </wp:positionH>
            <wp:positionV relativeFrom="paragraph">
              <wp:posOffset>26670</wp:posOffset>
            </wp:positionV>
            <wp:extent cx="258699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586990" cy="8255"/>
                    </a:xfrm>
                    <a:prstGeom prst="rect">
                      <a:avLst/>
                    </a:prstGeom>
                    <a:noFill/>
                  </pic:spPr>
                </pic:pic>
              </a:graphicData>
            </a:graphic>
          </wp:anchor>
        </w:drawing>
      </w:r>
    </w:p>
    <w:p>
      <w:pPr>
        <w:spacing w:after="0" w:line="38" w:lineRule="exact"/>
        <w:rPr>
          <w:sz w:val="20"/>
          <w:szCs w:val="20"/>
          <w:color w:val="auto"/>
        </w:rPr>
      </w:pPr>
    </w:p>
    <w:p>
      <w:pPr>
        <w:ind w:left="7500"/>
        <w:spacing w:after="0"/>
        <w:tabs>
          <w:tab w:leader="none" w:pos="9600" w:val="left"/>
        </w:tabs>
        <w:rPr>
          <w:sz w:val="20"/>
          <w:szCs w:val="20"/>
          <w:color w:val="auto"/>
        </w:rPr>
      </w:pPr>
      <w:r>
        <w:rPr>
          <w:rFonts w:ascii="Arial" w:cs="Arial" w:eastAsia="Arial" w:hAnsi="Arial"/>
          <w:sz w:val="14"/>
          <w:szCs w:val="14"/>
          <w:b w:val="1"/>
          <w:bCs w:val="1"/>
          <w:color w:val="auto"/>
        </w:rPr>
        <w:t>September 30, 2024</w:t>
      </w:r>
      <w:r>
        <w:rPr>
          <w:sz w:val="20"/>
          <w:szCs w:val="20"/>
          <w:color w:val="auto"/>
        </w:rPr>
        <w:tab/>
      </w:r>
      <w:r>
        <w:rPr>
          <w:rFonts w:ascii="Arial" w:cs="Arial" w:eastAsia="Arial" w:hAnsi="Arial"/>
          <w:sz w:val="13"/>
          <w:szCs w:val="13"/>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4545330</wp:posOffset>
            </wp:positionH>
            <wp:positionV relativeFrom="paragraph">
              <wp:posOffset>18415</wp:posOffset>
            </wp:positionV>
            <wp:extent cx="258699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586990" cy="8255"/>
                    </a:xfrm>
                    <a:prstGeom prst="rect">
                      <a:avLst/>
                    </a:prstGeom>
                    <a:noFill/>
                  </pic:spPr>
                </pic:pic>
              </a:graphicData>
            </a:graphic>
          </wp:anchor>
        </w:drawing>
      </w:r>
    </w:p>
    <w:p>
      <w:pPr>
        <w:sectPr>
          <w:pgSz w:w="11900" w:h="16838" w:orient="portrait"/>
          <w:cols w:equalWidth="0" w:num="1">
            <w:col w:w="11220"/>
          </w:cols>
          <w:pgMar w:left="320" w:top="248" w:right="359" w:bottom="1440" w:gutter="0" w:footer="0" w:header="0"/>
        </w:sectPr>
      </w:pPr>
    </w:p>
    <w:p>
      <w:pPr>
        <w:spacing w:after="0" w:line="43" w:lineRule="exact"/>
        <w:rPr>
          <w:sz w:val="20"/>
          <w:szCs w:val="20"/>
          <w:color w:val="auto"/>
        </w:rPr>
      </w:pPr>
    </w:p>
    <w:p>
      <w:pPr>
        <w:ind w:left="40"/>
        <w:spacing w:after="0"/>
        <w:rPr>
          <w:sz w:val="20"/>
          <w:szCs w:val="20"/>
          <w:color w:val="auto"/>
        </w:rPr>
      </w:pPr>
      <w:r>
        <w:rPr>
          <w:rFonts w:ascii="Arial" w:cs="Arial" w:eastAsia="Arial" w:hAnsi="Arial"/>
          <w:sz w:val="15"/>
          <w:szCs w:val="15"/>
          <w:color w:val="auto"/>
        </w:rPr>
        <w:t>Counterparty:</w:t>
      </w:r>
      <w:r>
        <w:rPr>
          <w:rFonts w:ascii="Arial" w:cs="Arial" w:eastAsia="Arial" w:hAnsi="Arial"/>
          <w:sz w:val="20"/>
          <w:szCs w:val="20"/>
          <w:color w:val="auto"/>
          <w:vertAlign w:val="superscript"/>
        </w:rPr>
        <w:t>(1)</w:t>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5"/>
          <w:szCs w:val="15"/>
          <w:color w:val="auto"/>
        </w:rPr>
        <w:t>Mortgage Guaranty Insurance Corp.</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5"/>
          <w:szCs w:val="15"/>
          <w:color w:val="auto"/>
        </w:rPr>
        <w:t>Radian Guaranty, Inc.</w:t>
      </w:r>
    </w:p>
    <w:p>
      <w:pPr>
        <w:spacing w:after="0" w:line="60" w:lineRule="exact"/>
        <w:rPr>
          <w:sz w:val="20"/>
          <w:szCs w:val="20"/>
          <w:color w:val="auto"/>
        </w:rPr>
      </w:pPr>
    </w:p>
    <w:p>
      <w:pPr>
        <w:ind w:left="200"/>
        <w:spacing w:after="0"/>
        <w:rPr>
          <w:sz w:val="20"/>
          <w:szCs w:val="20"/>
          <w:color w:val="auto"/>
        </w:rPr>
      </w:pPr>
      <w:r>
        <w:rPr>
          <w:rFonts w:ascii="Arial" w:cs="Arial" w:eastAsia="Arial" w:hAnsi="Arial"/>
          <w:sz w:val="15"/>
          <w:szCs w:val="15"/>
          <w:color w:val="auto"/>
        </w:rPr>
        <w:t>Arch Capital Group Ltd.</w:t>
      </w:r>
    </w:p>
    <w:p>
      <w:pPr>
        <w:spacing w:after="0" w:line="60" w:lineRule="exact"/>
        <w:rPr>
          <w:sz w:val="20"/>
          <w:szCs w:val="20"/>
          <w:color w:val="auto"/>
        </w:rPr>
      </w:pPr>
    </w:p>
    <w:p>
      <w:pPr>
        <w:ind w:left="200"/>
        <w:spacing w:after="0"/>
        <w:rPr>
          <w:sz w:val="20"/>
          <w:szCs w:val="20"/>
          <w:color w:val="auto"/>
        </w:rPr>
      </w:pPr>
      <w:r>
        <w:rPr>
          <w:rFonts w:ascii="Arial" w:cs="Arial" w:eastAsia="Arial" w:hAnsi="Arial"/>
          <w:sz w:val="15"/>
          <w:szCs w:val="15"/>
          <w:color w:val="auto"/>
        </w:rPr>
        <w:t>Enact Mortgage Insurance Corp.</w:t>
      </w:r>
    </w:p>
    <w:p>
      <w:pPr>
        <w:spacing w:after="0" w:line="60" w:lineRule="exact"/>
        <w:rPr>
          <w:sz w:val="20"/>
          <w:szCs w:val="20"/>
          <w:color w:val="auto"/>
        </w:rPr>
      </w:pPr>
    </w:p>
    <w:p>
      <w:pPr>
        <w:ind w:left="200"/>
        <w:spacing w:after="0"/>
        <w:rPr>
          <w:sz w:val="20"/>
          <w:szCs w:val="20"/>
          <w:color w:val="auto"/>
        </w:rPr>
      </w:pPr>
      <w:r>
        <w:rPr>
          <w:rFonts w:ascii="Arial" w:cs="Arial" w:eastAsia="Arial" w:hAnsi="Arial"/>
          <w:sz w:val="15"/>
          <w:szCs w:val="15"/>
          <w:color w:val="auto"/>
        </w:rPr>
        <w:t>Essent Guaranty, Inc.</w:t>
      </w:r>
    </w:p>
    <w:p>
      <w:pPr>
        <w:spacing w:after="0" w:line="60" w:lineRule="exact"/>
        <w:rPr>
          <w:sz w:val="20"/>
          <w:szCs w:val="20"/>
          <w:color w:val="auto"/>
        </w:rPr>
      </w:pPr>
    </w:p>
    <w:p>
      <w:pPr>
        <w:ind w:left="200"/>
        <w:spacing w:after="0"/>
        <w:rPr>
          <w:sz w:val="20"/>
          <w:szCs w:val="20"/>
          <w:color w:val="auto"/>
        </w:rPr>
      </w:pPr>
      <w:r>
        <w:rPr>
          <w:rFonts w:ascii="Arial" w:cs="Arial" w:eastAsia="Arial" w:hAnsi="Arial"/>
          <w:sz w:val="15"/>
          <w:szCs w:val="15"/>
          <w:color w:val="auto"/>
        </w:rPr>
        <w:t>National Mortgage Insurance Corp.</w:t>
      </w:r>
    </w:p>
    <w:p>
      <w:pPr>
        <w:spacing w:after="0" w:line="60" w:lineRule="exact"/>
        <w:rPr>
          <w:sz w:val="20"/>
          <w:szCs w:val="20"/>
          <w:color w:val="auto"/>
        </w:rPr>
      </w:pPr>
    </w:p>
    <w:p>
      <w:pPr>
        <w:ind w:left="200"/>
        <w:spacing w:after="0"/>
        <w:rPr>
          <w:sz w:val="20"/>
          <w:szCs w:val="20"/>
          <w:color w:val="auto"/>
        </w:rPr>
      </w:pPr>
      <w:r>
        <w:rPr>
          <w:rFonts w:ascii="Arial" w:cs="Arial" w:eastAsia="Arial" w:hAnsi="Arial"/>
          <w:sz w:val="15"/>
          <w:szCs w:val="15"/>
          <w:color w:val="auto"/>
        </w:rPr>
        <w:t>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29210</wp:posOffset>
            </wp:positionV>
            <wp:extent cx="446151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4461510" cy="8255"/>
                    </a:xfrm>
                    <a:prstGeom prst="rect">
                      <a:avLst/>
                    </a:prstGeom>
                    <a:noFill/>
                  </pic:spPr>
                </pic:pic>
              </a:graphicData>
            </a:graphic>
          </wp:anchor>
        </w:drawing>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29210</wp:posOffset>
            </wp:positionV>
            <wp:extent cx="446151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4461510" cy="825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53975</wp:posOffset>
            </wp:positionV>
            <wp:extent cx="446151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4461510" cy="8255"/>
                    </a:xfrm>
                    <a:prstGeom prst="rect">
                      <a:avLst/>
                    </a:prstGeom>
                    <a:noFill/>
                  </pic:spPr>
                </pic:pic>
              </a:graphicData>
            </a:graphic>
          </wp:anchor>
        </w:drawing>
      </w:r>
    </w:p>
    <w:p>
      <w:pPr>
        <w:spacing w:after="0" w:line="199" w:lineRule="exact"/>
        <w:rPr>
          <w:sz w:val="20"/>
          <w:szCs w:val="20"/>
          <w:color w:val="auto"/>
        </w:rPr>
      </w:pPr>
    </w:p>
    <w:p>
      <w:pPr>
        <w:ind w:left="200" w:hanging="197"/>
        <w:spacing w:after="0"/>
        <w:tabs>
          <w:tab w:leader="none" w:pos="200" w:val="left"/>
        </w:tabs>
        <w:numPr>
          <w:ilvl w:val="0"/>
          <w:numId w:val="96"/>
        </w:numPr>
        <w:rPr>
          <w:rFonts w:ascii="Arial" w:cs="Arial" w:eastAsia="Arial" w:hAnsi="Arial"/>
          <w:sz w:val="13"/>
          <w:szCs w:val="13"/>
          <w:color w:val="auto"/>
        </w:rPr>
      </w:pPr>
      <w:r>
        <w:rPr>
          <w:rFonts w:ascii="Arial" w:cs="Arial" w:eastAsia="Arial" w:hAnsi="Arial"/>
          <w:sz w:val="13"/>
          <w:szCs w:val="13"/>
          <w:color w:val="auto"/>
        </w:rPr>
        <w:t>Represents less than 0.5% of the risk in force mortgage insurance coverage.</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ind w:left="300" w:hanging="213"/>
        <w:spacing w:after="0"/>
        <w:tabs>
          <w:tab w:leader="none" w:pos="300" w:val="left"/>
        </w:tabs>
        <w:numPr>
          <w:ilvl w:val="0"/>
          <w:numId w:val="97"/>
        </w:numPr>
        <w:rPr>
          <w:rFonts w:ascii="Arial" w:cs="Arial" w:eastAsia="Arial" w:hAnsi="Arial"/>
          <w:sz w:val="15"/>
          <w:szCs w:val="15"/>
          <w:b w:val="1"/>
          <w:bCs w:val="1"/>
          <w:color w:val="auto"/>
        </w:rPr>
      </w:pPr>
      <w:r>
        <w:rPr>
          <w:rFonts w:ascii="Arial" w:cs="Arial" w:eastAsia="Arial" w:hAnsi="Arial"/>
          <w:sz w:val="15"/>
          <w:szCs w:val="15"/>
          <w:b w:val="1"/>
          <w:bCs w:val="1"/>
          <w:color w:val="auto"/>
        </w:rPr>
        <w:t>%</w:t>
      </w:r>
    </w:p>
    <w:p>
      <w:pPr>
        <w:spacing w:after="0" w:line="59" w:lineRule="exact"/>
        <w:rPr>
          <w:rFonts w:ascii="Arial" w:cs="Arial" w:eastAsia="Arial" w:hAnsi="Arial"/>
          <w:sz w:val="15"/>
          <w:szCs w:val="15"/>
          <w:b w:val="1"/>
          <w:bCs w:val="1"/>
          <w:color w:val="auto"/>
        </w:rPr>
      </w:pPr>
    </w:p>
    <w:p>
      <w:pPr>
        <w:spacing w:after="0"/>
        <w:tabs>
          <w:tab w:leader="none" w:pos="0" w:val="left"/>
        </w:tabs>
        <w:numPr>
          <w:ilvl w:val="0"/>
          <w:numId w:val="98"/>
        </w:numPr>
        <w:rPr>
          <w:rFonts w:ascii="Arial" w:cs="Arial" w:eastAsia="Arial" w:hAnsi="Arial"/>
          <w:sz w:val="15"/>
          <w:szCs w:val="15"/>
          <w:b w:val="1"/>
          <w:bCs w:val="1"/>
          <w:color w:val="auto"/>
        </w:rPr>
      </w:pPr>
    </w:p>
    <w:p>
      <w:pPr>
        <w:spacing w:after="0" w:line="59" w:lineRule="exact"/>
        <w:rPr>
          <w:rFonts w:ascii="Arial" w:cs="Arial" w:eastAsia="Arial" w:hAnsi="Arial"/>
          <w:sz w:val="15"/>
          <w:szCs w:val="15"/>
          <w:b w:val="1"/>
          <w:bCs w:val="1"/>
          <w:color w:val="auto"/>
        </w:rPr>
      </w:pPr>
    </w:p>
    <w:p>
      <w:pPr>
        <w:spacing w:after="0"/>
        <w:tabs>
          <w:tab w:leader="none" w:pos="0" w:val="left"/>
        </w:tabs>
        <w:numPr>
          <w:ilvl w:val="0"/>
          <w:numId w:val="99"/>
        </w:numPr>
        <w:rPr>
          <w:rFonts w:ascii="Arial" w:cs="Arial" w:eastAsia="Arial" w:hAnsi="Arial"/>
          <w:sz w:val="15"/>
          <w:szCs w:val="15"/>
          <w:b w:val="1"/>
          <w:bCs w:val="1"/>
          <w:color w:val="auto"/>
        </w:rPr>
      </w:pPr>
    </w:p>
    <w:p>
      <w:pPr>
        <w:spacing w:after="0" w:line="59" w:lineRule="exact"/>
        <w:rPr>
          <w:rFonts w:ascii="Arial" w:cs="Arial" w:eastAsia="Arial" w:hAnsi="Arial"/>
          <w:sz w:val="15"/>
          <w:szCs w:val="15"/>
          <w:b w:val="1"/>
          <w:bCs w:val="1"/>
          <w:color w:val="auto"/>
        </w:rPr>
      </w:pPr>
    </w:p>
    <w:p>
      <w:pPr>
        <w:spacing w:after="0"/>
        <w:tabs>
          <w:tab w:leader="none" w:pos="0" w:val="left"/>
        </w:tabs>
        <w:numPr>
          <w:ilvl w:val="0"/>
          <w:numId w:val="100"/>
        </w:numPr>
        <w:rPr>
          <w:rFonts w:ascii="Arial" w:cs="Arial" w:eastAsia="Arial" w:hAnsi="Arial"/>
          <w:sz w:val="15"/>
          <w:szCs w:val="15"/>
          <w:b w:val="1"/>
          <w:bCs w:val="1"/>
          <w:color w:val="auto"/>
        </w:rPr>
      </w:pPr>
    </w:p>
    <w:p>
      <w:pPr>
        <w:spacing w:after="0" w:line="59" w:lineRule="exact"/>
        <w:rPr>
          <w:rFonts w:ascii="Arial" w:cs="Arial" w:eastAsia="Arial" w:hAnsi="Arial"/>
          <w:sz w:val="15"/>
          <w:szCs w:val="15"/>
          <w:b w:val="1"/>
          <w:bCs w:val="1"/>
          <w:color w:val="auto"/>
        </w:rPr>
      </w:pPr>
    </w:p>
    <w:p>
      <w:pPr>
        <w:spacing w:after="0"/>
        <w:tabs>
          <w:tab w:leader="none" w:pos="0" w:val="left"/>
        </w:tabs>
        <w:numPr>
          <w:ilvl w:val="0"/>
          <w:numId w:val="101"/>
        </w:numPr>
        <w:rPr>
          <w:rFonts w:ascii="Arial" w:cs="Arial" w:eastAsia="Arial" w:hAnsi="Arial"/>
          <w:sz w:val="15"/>
          <w:szCs w:val="15"/>
          <w:b w:val="1"/>
          <w:bCs w:val="1"/>
          <w:color w:val="auto"/>
        </w:rPr>
      </w:pPr>
    </w:p>
    <w:p>
      <w:pPr>
        <w:spacing w:after="0" w:line="59" w:lineRule="exact"/>
        <w:rPr>
          <w:rFonts w:ascii="Arial" w:cs="Arial" w:eastAsia="Arial" w:hAnsi="Arial"/>
          <w:sz w:val="15"/>
          <w:szCs w:val="15"/>
          <w:b w:val="1"/>
          <w:bCs w:val="1"/>
          <w:color w:val="auto"/>
        </w:rPr>
      </w:pPr>
    </w:p>
    <w:p>
      <w:pPr>
        <w:spacing w:after="0"/>
        <w:tabs>
          <w:tab w:leader="none" w:pos="0" w:val="left"/>
        </w:tabs>
        <w:numPr>
          <w:ilvl w:val="0"/>
          <w:numId w:val="102"/>
        </w:numPr>
        <w:rPr>
          <w:rFonts w:ascii="Arial" w:cs="Arial" w:eastAsia="Arial" w:hAnsi="Arial"/>
          <w:sz w:val="15"/>
          <w:szCs w:val="15"/>
          <w:b w:val="1"/>
          <w:bCs w:val="1"/>
          <w:color w:val="auto"/>
        </w:rPr>
      </w:pPr>
    </w:p>
    <w:p>
      <w:pPr>
        <w:spacing w:after="0" w:line="59" w:lineRule="exact"/>
        <w:rPr>
          <w:rFonts w:ascii="Arial" w:cs="Arial" w:eastAsia="Arial" w:hAnsi="Arial"/>
          <w:sz w:val="15"/>
          <w:szCs w:val="15"/>
          <w:b w:val="1"/>
          <w:bCs w:val="1"/>
          <w:color w:val="auto"/>
        </w:rPr>
      </w:pPr>
    </w:p>
    <w:p>
      <w:pPr>
        <w:ind w:left="28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22225</wp:posOffset>
            </wp:positionV>
            <wp:extent cx="126047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60475" cy="8255"/>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22225</wp:posOffset>
            </wp:positionV>
            <wp:extent cx="126047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60475" cy="8255"/>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46990</wp:posOffset>
            </wp:positionV>
            <wp:extent cx="126047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604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ind w:left="320" w:hanging="224"/>
        <w:spacing w:after="0"/>
        <w:tabs>
          <w:tab w:leader="none" w:pos="32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w:t>
      </w:r>
    </w:p>
    <w:p>
      <w:pPr>
        <w:spacing w:after="0" w:line="82" w:lineRule="exact"/>
        <w:rPr>
          <w:rFonts w:ascii="Arial" w:cs="Arial" w:eastAsia="Arial" w:hAnsi="Arial"/>
          <w:sz w:val="13"/>
          <w:szCs w:val="13"/>
          <w:color w:val="auto"/>
        </w:rPr>
      </w:pPr>
    </w:p>
    <w:p>
      <w:pPr>
        <w:spacing w:after="0"/>
        <w:tabs>
          <w:tab w:leader="none" w:pos="0" w:val="left"/>
        </w:tabs>
        <w:numPr>
          <w:ilvl w:val="0"/>
          <w:numId w:val="104"/>
        </w:numPr>
        <w:rPr>
          <w:rFonts w:ascii="Arial" w:cs="Arial" w:eastAsia="Arial" w:hAnsi="Arial"/>
          <w:sz w:val="15"/>
          <w:szCs w:val="15"/>
          <w:color w:val="auto"/>
        </w:rPr>
      </w:pPr>
    </w:p>
    <w:p>
      <w:pPr>
        <w:spacing w:after="0" w:line="59" w:lineRule="exact"/>
        <w:rPr>
          <w:rFonts w:ascii="Arial" w:cs="Arial" w:eastAsia="Arial" w:hAnsi="Arial"/>
          <w:sz w:val="15"/>
          <w:szCs w:val="15"/>
          <w:color w:val="auto"/>
        </w:rPr>
      </w:pPr>
    </w:p>
    <w:p>
      <w:pPr>
        <w:spacing w:after="0"/>
        <w:tabs>
          <w:tab w:leader="none" w:pos="0" w:val="left"/>
        </w:tabs>
        <w:numPr>
          <w:ilvl w:val="0"/>
          <w:numId w:val="105"/>
        </w:numPr>
        <w:rPr>
          <w:rFonts w:ascii="Arial" w:cs="Arial" w:eastAsia="Arial" w:hAnsi="Arial"/>
          <w:sz w:val="15"/>
          <w:szCs w:val="15"/>
          <w:color w:val="auto"/>
        </w:rPr>
      </w:pPr>
    </w:p>
    <w:p>
      <w:pPr>
        <w:spacing w:after="0" w:line="59" w:lineRule="exact"/>
        <w:rPr>
          <w:rFonts w:ascii="Arial" w:cs="Arial" w:eastAsia="Arial" w:hAnsi="Arial"/>
          <w:sz w:val="15"/>
          <w:szCs w:val="15"/>
          <w:color w:val="auto"/>
        </w:rPr>
      </w:pPr>
    </w:p>
    <w:p>
      <w:pPr>
        <w:spacing w:after="0"/>
        <w:tabs>
          <w:tab w:leader="none" w:pos="0" w:val="left"/>
        </w:tabs>
        <w:numPr>
          <w:ilvl w:val="0"/>
          <w:numId w:val="106"/>
        </w:numPr>
        <w:rPr>
          <w:rFonts w:ascii="Arial" w:cs="Arial" w:eastAsia="Arial" w:hAnsi="Arial"/>
          <w:sz w:val="15"/>
          <w:szCs w:val="15"/>
          <w:color w:val="auto"/>
        </w:rPr>
      </w:pPr>
    </w:p>
    <w:p>
      <w:pPr>
        <w:spacing w:after="0" w:line="59" w:lineRule="exact"/>
        <w:rPr>
          <w:rFonts w:ascii="Arial" w:cs="Arial" w:eastAsia="Arial" w:hAnsi="Arial"/>
          <w:sz w:val="15"/>
          <w:szCs w:val="15"/>
          <w:color w:val="auto"/>
        </w:rPr>
      </w:pPr>
    </w:p>
    <w:p>
      <w:pPr>
        <w:spacing w:after="0"/>
        <w:tabs>
          <w:tab w:leader="none" w:pos="0" w:val="left"/>
        </w:tabs>
        <w:numPr>
          <w:ilvl w:val="0"/>
          <w:numId w:val="107"/>
        </w:numPr>
        <w:rPr>
          <w:rFonts w:ascii="Arial" w:cs="Arial" w:eastAsia="Arial" w:hAnsi="Arial"/>
          <w:sz w:val="15"/>
          <w:szCs w:val="15"/>
          <w:color w:val="auto"/>
        </w:rPr>
      </w:pPr>
    </w:p>
    <w:p>
      <w:pPr>
        <w:spacing w:after="0" w:line="59" w:lineRule="exact"/>
        <w:rPr>
          <w:rFonts w:ascii="Arial" w:cs="Arial" w:eastAsia="Arial" w:hAnsi="Arial"/>
          <w:sz w:val="15"/>
          <w:szCs w:val="15"/>
          <w:color w:val="auto"/>
        </w:rPr>
      </w:pPr>
    </w:p>
    <w:p>
      <w:pPr>
        <w:spacing w:after="0"/>
        <w:tabs>
          <w:tab w:leader="none" w:pos="0" w:val="left"/>
        </w:tabs>
        <w:numPr>
          <w:ilvl w:val="0"/>
          <w:numId w:val="108"/>
        </w:numPr>
        <w:rPr>
          <w:rFonts w:ascii="Arial" w:cs="Arial" w:eastAsia="Arial" w:hAnsi="Arial"/>
          <w:sz w:val="15"/>
          <w:szCs w:val="15"/>
          <w:color w:val="auto"/>
        </w:rPr>
      </w:pPr>
    </w:p>
    <w:p>
      <w:pPr>
        <w:spacing w:after="0" w:line="59" w:lineRule="exact"/>
        <w:rPr>
          <w:rFonts w:ascii="Arial" w:cs="Arial" w:eastAsia="Arial" w:hAnsi="Arial"/>
          <w:sz w:val="15"/>
          <w:szCs w:val="15"/>
          <w:color w:val="auto"/>
        </w:rPr>
      </w:pPr>
    </w:p>
    <w:p>
      <w:pPr>
        <w:ind w:left="280"/>
        <w:spacing w:after="0"/>
        <w:rPr>
          <w:rFonts w:ascii="Arial" w:cs="Arial" w:eastAsia="Arial" w:hAnsi="Arial"/>
          <w:sz w:val="15"/>
          <w:szCs w:val="15"/>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-960120</wp:posOffset>
            </wp:positionH>
            <wp:positionV relativeFrom="paragraph">
              <wp:posOffset>20955</wp:posOffset>
            </wp:positionV>
            <wp:extent cx="126047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60475" cy="8255"/>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color w:val="auto"/>
        </w:rPr>
        <w:t>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-960120</wp:posOffset>
            </wp:positionH>
            <wp:positionV relativeFrom="paragraph">
              <wp:posOffset>20955</wp:posOffset>
            </wp:positionV>
            <wp:extent cx="126047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60475" cy="8255"/>
                    </a:xfrm>
                    <a:prstGeom prst="rect">
                      <a:avLst/>
                    </a:prstGeom>
                    <a:noFill/>
                  </pic:spPr>
                </pic:pic>
              </a:graphicData>
            </a:graphic>
          </wp:anchor>
        </w:drawing>
        <w:drawing>
          <wp:anchor simplePos="0" relativeHeight="251657728" behindDoc="1" locked="0" layoutInCell="0" allowOverlap="1">
            <wp:simplePos x="0" y="0"/>
            <wp:positionH relativeFrom="column">
              <wp:posOffset>-960120</wp:posOffset>
            </wp:positionH>
            <wp:positionV relativeFrom="paragraph">
              <wp:posOffset>45720</wp:posOffset>
            </wp:positionV>
            <wp:extent cx="126047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60475" cy="8255"/>
                    </a:xfrm>
                    <a:prstGeom prst="rect">
                      <a:avLst/>
                    </a:prstGeom>
                    <a:noFill/>
                  </pic:spPr>
                </pic:pic>
              </a:graphicData>
            </a:graphic>
          </wp:anchor>
        </w:drawing>
      </w:r>
    </w:p>
    <w:p>
      <w:pPr>
        <w:spacing w:after="0" w:line="385" w:lineRule="exact"/>
        <w:rPr>
          <w:sz w:val="20"/>
          <w:szCs w:val="20"/>
          <w:color w:val="auto"/>
        </w:rPr>
      </w:pPr>
    </w:p>
    <w:p>
      <w:pPr>
        <w:sectPr>
          <w:pgSz w:w="11900" w:h="16838" w:orient="portrait"/>
          <w:cols w:equalWidth="0" w:num="3">
            <w:col w:w="7960" w:space="720"/>
            <w:col w:w="1360" w:space="720"/>
            <w:col w:w="460"/>
          </w:cols>
          <w:pgMar w:left="320" w:top="248" w:right="359" w:bottom="1440" w:gutter="0" w:footer="0" w:header="0"/>
          <w:type w:val="continuous"/>
        </w:sectPr>
      </w:pPr>
    </w:p>
    <w:p>
      <w:pPr>
        <w:ind w:left="220" w:hanging="217"/>
        <w:spacing w:after="0"/>
        <w:tabs>
          <w:tab w:leader="none" w:pos="220" w:val="left"/>
        </w:tabs>
        <w:numPr>
          <w:ilvl w:val="0"/>
          <w:numId w:val="109"/>
        </w:numPr>
        <w:rPr>
          <w:rFonts w:ascii="Arial" w:cs="Arial" w:eastAsia="Arial" w:hAnsi="Arial"/>
          <w:sz w:val="18"/>
          <w:szCs w:val="18"/>
          <w:color w:val="auto"/>
          <w:vertAlign w:val="superscript"/>
        </w:rPr>
      </w:pPr>
      <w:r>
        <w:rPr>
          <w:rFonts w:ascii="Arial" w:cs="Arial" w:eastAsia="Arial" w:hAnsi="Arial"/>
          <w:sz w:val="14"/>
          <w:szCs w:val="14"/>
          <w:color w:val="auto"/>
        </w:rPr>
        <w:t>Insurance coverage amounts provided for each counterparty may include coverage provided by affiliates and subsidiaries of the counterparty.</w:t>
      </w:r>
    </w:p>
    <w:p>
      <w:pPr>
        <w:spacing w:after="0" w:line="54"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We have counterparty credit risk relating to the potential insolvency of, or non-performance by, monoline mortgage insurers that insure single-family loans we purchase or guarantee. There is risk that these counterparties may fail to fulfill their obligations to pay our claims under insurance policies. On at least a quarterly basis, we assess our mortgage insurer counterparties’ respective abilities to fulfill their obligations to us. Our assessment includes financial reviews and analyses of the insurers’ portfolios and capital adequacy. If we determine that it is probable that we will not collect all of our claims from one or more of our mortgage insurer counterparties, it could increase our loss reserves, which could adversely affect our results of operations, liquidity, financial condition and net worth.</w:t>
      </w:r>
    </w:p>
    <w:p>
      <w:pPr>
        <w:spacing w:after="0" w:line="4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When we estimate the credit losses that are inherent in our mortgage loans and under the terms of our guaranty obligations, we also consider the recoveries that we expect to receive from primary mortgage insurance, as mortgage insurance recoveries reduce the severity of the loss associated with defaulted loans if the borrower defaults and title to the property is subsequently transferred. Mortgage insurance does not cover credit losses that result from a reduction in mortgage interest paid by the borrower in connection with a loan modification, forbearance of principal, or forbearance of scheduled loan payments. We evaluate the financial condition of our mortgage insurer counterparties and adjust the contractually due recovery amounts to ensure that expected credit losses as of the balance sheet date are included in our loss reserve estimate. As a result, if our assessment of one or more of our mortgage insurer counterparties’ ability to fulfill their respective obligations to us worsens, it could increase our loss reserves. As of September 30, 2024 and December 31, 2023, our estimated benefit from mortgage insurance, which is based on estimated credit losses as of period end, reduced our loss reserves by $878 million and $1.2 billion, respectively.</w:t>
      </w:r>
    </w:p>
    <w:p>
      <w:pPr>
        <w:spacing w:after="0" w:line="57"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As of September 30, 2024 and December 31, 2023, we had outstanding receivables of $467 million and $471 million, respectively, recorded in “Other assets” in our condensed consolidated balance sheets related to amounts claimed on insured, defaulted loans excluding government-insured loans. As of September 30, 2024 and December 31, 2023, we assessed these outstanding receivables for collectability, and established a valuation allowance of $402 million and $417 million, respectively.</w:t>
      </w:r>
    </w:p>
    <w:p>
      <w:pPr>
        <w:spacing w:after="0" w:line="35" w:lineRule="exact"/>
        <w:rPr>
          <w:sz w:val="20"/>
          <w:szCs w:val="20"/>
          <w:color w:val="auto"/>
        </w:rPr>
      </w:pPr>
    </w:p>
    <w:p>
      <w:pPr>
        <w:ind w:right="60"/>
        <w:spacing w:after="0" w:line="263" w:lineRule="auto"/>
        <w:rPr>
          <w:sz w:val="20"/>
          <w:szCs w:val="20"/>
          <w:color w:val="auto"/>
        </w:rPr>
      </w:pPr>
      <w:r>
        <w:rPr>
          <w:rFonts w:ascii="Arial" w:cs="Arial" w:eastAsia="Arial" w:hAnsi="Arial"/>
          <w:sz w:val="16"/>
          <w:szCs w:val="16"/>
          <w:i w:val="1"/>
          <w:iCs w:val="1"/>
          <w:color w:val="auto"/>
        </w:rPr>
        <w:t xml:space="preserve">Mortgage Servicers and Sellers. </w:t>
      </w:r>
      <w:r>
        <w:rPr>
          <w:rFonts w:ascii="Arial" w:cs="Arial" w:eastAsia="Arial" w:hAnsi="Arial"/>
          <w:sz w:val="16"/>
          <w:szCs w:val="16"/>
          <w:color w:val="auto"/>
        </w:rPr>
        <w:t>Mortgage servicers collect mortgage and escrow payments from borrowers, pay taxes and insurance costs from escrow</w:t>
      </w:r>
      <w:r>
        <w:rPr>
          <w:rFonts w:ascii="Arial" w:cs="Arial" w:eastAsia="Arial" w:hAnsi="Arial"/>
          <w:sz w:val="16"/>
          <w:szCs w:val="16"/>
          <w:i w:val="1"/>
          <w:iCs w:val="1"/>
          <w:color w:val="auto"/>
        </w:rPr>
        <w:t xml:space="preserve"> </w:t>
      </w:r>
      <w:r>
        <w:rPr>
          <w:rFonts w:ascii="Arial" w:cs="Arial" w:eastAsia="Arial" w:hAnsi="Arial"/>
          <w:sz w:val="16"/>
          <w:szCs w:val="16"/>
          <w:color w:val="auto"/>
        </w:rPr>
        <w:t>accounts, monitor and report delinquencies, and perform other required activities, including loss mitigation, on our behalf. Our mortgage servicers and sellers may also be obligated to repurchase loans or foreclosed properties, reimburse us for losses or provide other remedies under certain circumstances, such as if it is determined that the mortgage loan did not meet our underwriting or eligibility requirements, if certain loan representations and warranties are violated or if mortgage insurers rescind coverage. Our representation and warranty framework does not require repurchase for loans that have breaches of certain selling representations and warranties if they have met specified criteria for relief.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367030</wp:posOffset>
            </wp:positionV>
            <wp:extent cx="680593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48" w:right="359" w:bottom="1440" w:gutter="0" w:footer="0" w:header="0"/>
          <w:type w:val="continuous"/>
        </w:sectPr>
      </w:pPr>
    </w:p>
    <w:bookmarkStart w:id="107" w:name="page108"/>
    <w:bookmarkEnd w:id="107"/>
    <w:p>
      <w:pPr>
        <w:ind w:left="5820"/>
        <w:spacing w:after="0"/>
        <w:rPr>
          <w:sz w:val="20"/>
          <w:szCs w:val="20"/>
          <w:color w:val="auto"/>
        </w:rPr>
      </w:pPr>
      <w:r>
        <w:rPr>
          <w:rFonts w:ascii="Arial" w:cs="Arial" w:eastAsia="Arial" w:hAnsi="Arial"/>
          <w:sz w:val="13"/>
          <w:szCs w:val="13"/>
          <w:color w:val="05314D"/>
        </w:rPr>
        <w:t>Notes to Condensed Consolidated Financial Statements | Concentrations of Credit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Our business with mortgage servicers is concentrated. The table below displays the percentage of our single-family conventional guaranty book of business serviced by our top five depository single-family mortgage servicers and top five non-depository single-family mortgage servicers (i.e., servicers that are not insured depository institutions) based on unpaid principal balance. There were no servicers that serviced 10% or more of our single-family guaranty book of business as of September 30, 2024 or December 31, 2023.</w:t>
      </w:r>
    </w:p>
    <w:p>
      <w:pPr>
        <w:spacing w:after="0" w:line="123" w:lineRule="exact"/>
        <w:rPr>
          <w:sz w:val="20"/>
          <w:szCs w:val="20"/>
          <w:color w:val="auto"/>
        </w:rPr>
      </w:pPr>
    </w:p>
    <w:p>
      <w:pPr>
        <w:ind w:left="8360"/>
        <w:spacing w:after="0"/>
        <w:rPr>
          <w:sz w:val="20"/>
          <w:szCs w:val="20"/>
          <w:color w:val="auto"/>
        </w:rPr>
      </w:pPr>
      <w:r>
        <w:rPr>
          <w:rFonts w:ascii="Arial" w:cs="Arial" w:eastAsia="Arial" w:hAnsi="Arial"/>
          <w:sz w:val="14"/>
          <w:szCs w:val="14"/>
          <w:b w:val="1"/>
          <w:bCs w:val="1"/>
          <w:color w:val="auto"/>
        </w:rPr>
        <w:t>Percentage of Single-Family</w:t>
      </w:r>
    </w:p>
    <w:p>
      <w:pPr>
        <w:spacing w:after="0" w:line="14" w:lineRule="exact"/>
        <w:rPr>
          <w:sz w:val="20"/>
          <w:szCs w:val="20"/>
          <w:color w:val="auto"/>
        </w:rPr>
      </w:pPr>
    </w:p>
    <w:p>
      <w:pPr>
        <w:ind w:left="8820"/>
        <w:spacing w:after="0"/>
        <w:rPr>
          <w:sz w:val="20"/>
          <w:szCs w:val="20"/>
          <w:color w:val="auto"/>
        </w:rPr>
      </w:pPr>
      <w:r>
        <w:rPr>
          <w:rFonts w:ascii="Arial" w:cs="Arial" w:eastAsia="Arial" w:hAnsi="Arial"/>
          <w:sz w:val="14"/>
          <w:szCs w:val="14"/>
          <w:b w:val="1"/>
          <w:bCs w:val="1"/>
          <w:color w:val="auto"/>
        </w:rPr>
        <w:t>Conventional</w:t>
      </w:r>
    </w:p>
    <w:p>
      <w:pPr>
        <w:jc w:val="center"/>
        <w:ind w:left="7280"/>
        <w:spacing w:after="0"/>
        <w:rPr>
          <w:sz w:val="20"/>
          <w:szCs w:val="20"/>
          <w:color w:val="auto"/>
        </w:rPr>
      </w:pPr>
      <w:r>
        <w:rPr>
          <w:rFonts w:ascii="Arial" w:cs="Arial" w:eastAsia="Arial" w:hAnsi="Arial"/>
          <w:sz w:val="14"/>
          <w:szCs w:val="14"/>
          <w:b w:val="1"/>
          <w:bCs w:val="1"/>
          <w:color w:val="auto"/>
        </w:rPr>
        <w:t>Guaranty Book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4635500</wp:posOffset>
            </wp:positionH>
            <wp:positionV relativeFrom="paragraph">
              <wp:posOffset>17780</wp:posOffset>
            </wp:positionV>
            <wp:extent cx="250507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505075" cy="8255"/>
                    </a:xfrm>
                    <a:prstGeom prst="rect">
                      <a:avLst/>
                    </a:prstGeom>
                    <a:noFill/>
                  </pic:spPr>
                </pic:pic>
              </a:graphicData>
            </a:graphic>
          </wp:anchor>
        </w:drawing>
      </w:r>
    </w:p>
    <w:p>
      <w:pPr>
        <w:spacing w:after="0" w:line="37" w:lineRule="exact"/>
        <w:rPr>
          <w:sz w:val="20"/>
          <w:szCs w:val="20"/>
          <w:color w:val="auto"/>
        </w:rPr>
      </w:pPr>
    </w:p>
    <w:p>
      <w:pPr>
        <w:jc w:val="center"/>
        <w:ind w:left="7280"/>
        <w:spacing w:after="0"/>
        <w:rPr>
          <w:sz w:val="20"/>
          <w:szCs w:val="20"/>
          <w:color w:val="auto"/>
        </w:rPr>
      </w:pPr>
      <w:r>
        <w:rPr>
          <w:rFonts w:ascii="Arial" w:cs="Arial" w:eastAsia="Arial" w:hAnsi="Arial"/>
          <w:sz w:val="14"/>
          <w:szCs w:val="14"/>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4635500</wp:posOffset>
            </wp:positionH>
            <wp:positionV relativeFrom="paragraph">
              <wp:posOffset>26670</wp:posOffset>
            </wp:positionV>
            <wp:extent cx="250507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505075" cy="8255"/>
                    </a:xfrm>
                    <a:prstGeom prst="rect">
                      <a:avLst/>
                    </a:prstGeom>
                    <a:noFill/>
                  </pic:spPr>
                </pic:pic>
              </a:graphicData>
            </a:graphic>
          </wp:anchor>
        </w:drawing>
      </w:r>
    </w:p>
    <w:p>
      <w:pPr>
        <w:spacing w:after="0" w:line="38" w:lineRule="exact"/>
        <w:rPr>
          <w:sz w:val="20"/>
          <w:szCs w:val="20"/>
          <w:color w:val="auto"/>
        </w:rPr>
      </w:pPr>
    </w:p>
    <w:p>
      <w:pPr>
        <w:ind w:left="7620"/>
        <w:spacing w:after="0"/>
        <w:tabs>
          <w:tab w:leader="none" w:pos="9640" w:val="left"/>
        </w:tabs>
        <w:rPr>
          <w:sz w:val="20"/>
          <w:szCs w:val="20"/>
          <w:color w:val="auto"/>
        </w:rPr>
      </w:pPr>
      <w:r>
        <w:rPr>
          <w:rFonts w:ascii="Arial" w:cs="Arial" w:eastAsia="Arial" w:hAnsi="Arial"/>
          <w:sz w:val="14"/>
          <w:szCs w:val="14"/>
          <w:b w:val="1"/>
          <w:bCs w:val="1"/>
          <w:color w:val="auto"/>
        </w:rPr>
        <w:t>September 30, 2024</w:t>
      </w:r>
      <w:r>
        <w:rPr>
          <w:sz w:val="20"/>
          <w:szCs w:val="20"/>
          <w:color w:val="auto"/>
        </w:rPr>
        <w:tab/>
      </w:r>
      <w:r>
        <w:rPr>
          <w:rFonts w:ascii="Arial" w:cs="Arial" w:eastAsia="Arial" w:hAnsi="Arial"/>
          <w:sz w:val="13"/>
          <w:szCs w:val="13"/>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4635500</wp:posOffset>
            </wp:positionH>
            <wp:positionV relativeFrom="paragraph">
              <wp:posOffset>18415</wp:posOffset>
            </wp:positionV>
            <wp:extent cx="250507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505075" cy="825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p>
      <w:pPr>
        <w:spacing w:after="0" w:line="43" w:lineRule="exact"/>
        <w:rPr>
          <w:sz w:val="20"/>
          <w:szCs w:val="20"/>
          <w:color w:val="auto"/>
        </w:rPr>
      </w:pPr>
    </w:p>
    <w:p>
      <w:pPr>
        <w:ind w:left="20"/>
        <w:spacing w:after="0"/>
        <w:rPr>
          <w:sz w:val="20"/>
          <w:szCs w:val="20"/>
          <w:color w:val="auto"/>
        </w:rPr>
      </w:pPr>
      <w:r>
        <w:rPr>
          <w:rFonts w:ascii="Arial" w:cs="Arial" w:eastAsia="Arial" w:hAnsi="Arial"/>
          <w:sz w:val="15"/>
          <w:szCs w:val="15"/>
          <w:color w:val="auto"/>
        </w:rPr>
        <w:t>Top five depository servicers</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Top five non-depository servicers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456819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4568190" cy="8255"/>
                    </a:xfrm>
                    <a:prstGeom prst="rect">
                      <a:avLst/>
                    </a:prstGeom>
                    <a:noFill/>
                  </pic:spPr>
                </pic:pic>
              </a:graphicData>
            </a:graphic>
          </wp:anchor>
        </w:drawing>
      </w:r>
    </w:p>
    <w:p>
      <w:pPr>
        <w:spacing w:after="0" w:line="5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456819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45681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53975</wp:posOffset>
            </wp:positionV>
            <wp:extent cx="456819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45681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ind w:left="209" w:hanging="209"/>
        <w:spacing w:after="0"/>
        <w:tabs>
          <w:tab w:leader="none" w:pos="209" w:val="left"/>
        </w:tabs>
        <w:numPr>
          <w:ilvl w:val="0"/>
          <w:numId w:val="110"/>
        </w:numPr>
        <w:rPr>
          <w:rFonts w:ascii="Arial" w:cs="Arial" w:eastAsia="Arial" w:hAnsi="Arial"/>
          <w:sz w:val="15"/>
          <w:szCs w:val="15"/>
          <w:b w:val="1"/>
          <w:bCs w:val="1"/>
          <w:color w:val="auto"/>
        </w:rPr>
      </w:pPr>
      <w:r>
        <w:rPr>
          <w:rFonts w:ascii="Arial" w:cs="Arial" w:eastAsia="Arial" w:hAnsi="Arial"/>
          <w:sz w:val="15"/>
          <w:szCs w:val="15"/>
          <w:b w:val="1"/>
          <w:bCs w:val="1"/>
          <w:color w:val="auto"/>
        </w:rPr>
        <w:t>%</w:t>
      </w:r>
    </w:p>
    <w:p>
      <w:pPr>
        <w:spacing w:after="0" w:line="59" w:lineRule="exact"/>
        <w:rPr>
          <w:rFonts w:ascii="Arial" w:cs="Arial" w:eastAsia="Arial" w:hAnsi="Arial"/>
          <w:sz w:val="15"/>
          <w:szCs w:val="15"/>
          <w:b w:val="1"/>
          <w:bCs w:val="1"/>
          <w:color w:val="auto"/>
        </w:rPr>
      </w:pPr>
    </w:p>
    <w:p>
      <w:pPr>
        <w:spacing w:after="0"/>
        <w:tabs>
          <w:tab w:leader="none" w:pos="0" w:val="left"/>
        </w:tabs>
        <w:numPr>
          <w:ilvl w:val="0"/>
          <w:numId w:val="111"/>
        </w:numPr>
        <w:rPr>
          <w:rFonts w:ascii="Arial" w:cs="Arial" w:eastAsia="Arial" w:hAnsi="Arial"/>
          <w:sz w:val="15"/>
          <w:szCs w:val="15"/>
          <w:b w:val="1"/>
          <w:bCs w:val="1"/>
          <w:color w:val="auto"/>
        </w:rPr>
      </w:pPr>
    </w:p>
    <w:p>
      <w:pPr>
        <w:spacing w:after="0" w:line="72" w:lineRule="exact"/>
        <w:rPr>
          <w:rFonts w:ascii="Arial" w:cs="Arial" w:eastAsia="Arial" w:hAnsi="Arial"/>
          <w:sz w:val="15"/>
          <w:szCs w:val="15"/>
          <w:b w:val="1"/>
          <w:bCs w:val="1"/>
          <w:color w:val="auto"/>
        </w:rPr>
      </w:pPr>
    </w:p>
    <w:p>
      <w:pPr>
        <w:ind w:left="209" w:hanging="209"/>
        <w:spacing w:after="0"/>
        <w:tabs>
          <w:tab w:leader="none" w:pos="209" w:val="left"/>
        </w:tabs>
        <w:numPr>
          <w:ilvl w:val="0"/>
          <w:numId w:val="112"/>
        </w:numPr>
        <w:rPr>
          <w:rFonts w:ascii="Arial" w:cs="Arial" w:eastAsia="Arial" w:hAnsi="Arial"/>
          <w:sz w:val="15"/>
          <w:szCs w:val="15"/>
          <w:b w:val="1"/>
          <w:bCs w:val="1"/>
          <w:color w:val="auto"/>
        </w:rPr>
      </w:pPr>
      <w:r>
        <w:rPr>
          <w:rFonts w:ascii="Arial" w:cs="Arial" w:eastAsia="Arial" w:hAnsi="Arial"/>
          <w:sz w:val="15"/>
          <w:szCs w:val="1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-984250</wp:posOffset>
            </wp:positionH>
            <wp:positionV relativeFrom="paragraph">
              <wp:posOffset>22225</wp:posOffset>
            </wp:positionV>
            <wp:extent cx="121983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19835" cy="8255"/>
                    </a:xfrm>
                    <a:prstGeom prst="rect">
                      <a:avLst/>
                    </a:prstGeom>
                    <a:noFill/>
                  </pic:spPr>
                </pic:pic>
              </a:graphicData>
            </a:graphic>
          </wp:anchor>
        </w:drawing>
        <w:drawing>
          <wp:anchor simplePos="0" relativeHeight="251657728" behindDoc="1" locked="0" layoutInCell="0" allowOverlap="1">
            <wp:simplePos x="0" y="0"/>
            <wp:positionH relativeFrom="column">
              <wp:posOffset>-984250</wp:posOffset>
            </wp:positionH>
            <wp:positionV relativeFrom="paragraph">
              <wp:posOffset>46990</wp:posOffset>
            </wp:positionV>
            <wp:extent cx="121983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19835" cy="8255"/>
                    </a:xfrm>
                    <a:prstGeom prst="rect">
                      <a:avLst/>
                    </a:prstGeom>
                    <a:noFill/>
                  </pic:spPr>
                </pic:pic>
              </a:graphicData>
            </a:graphic>
          </wp:anchor>
        </w:drawing>
        <w:drawing>
          <wp:anchor simplePos="0" relativeHeight="251657728" behindDoc="1" locked="0" layoutInCell="0" allowOverlap="1">
            <wp:simplePos x="0" y="0"/>
            <wp:positionH relativeFrom="column">
              <wp:posOffset>-984250</wp:posOffset>
            </wp:positionH>
            <wp:positionV relativeFrom="paragraph">
              <wp:posOffset>-132715</wp:posOffset>
            </wp:positionV>
            <wp:extent cx="121983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198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ind w:left="225" w:hanging="225"/>
        <w:spacing w:after="0"/>
        <w:tabs>
          <w:tab w:leader="none" w:pos="225" w:val="left"/>
        </w:tabs>
        <w:numPr>
          <w:ilvl w:val="0"/>
          <w:numId w:val="113"/>
        </w:numPr>
        <w:rPr>
          <w:rFonts w:ascii="Arial" w:cs="Arial" w:eastAsia="Arial" w:hAnsi="Arial"/>
          <w:sz w:val="13"/>
          <w:szCs w:val="13"/>
          <w:color w:val="auto"/>
        </w:rPr>
      </w:pPr>
      <w:r>
        <w:rPr>
          <w:rFonts w:ascii="Arial" w:cs="Arial" w:eastAsia="Arial" w:hAnsi="Arial"/>
          <w:sz w:val="13"/>
          <w:szCs w:val="13"/>
          <w:color w:val="auto"/>
        </w:rPr>
        <w:t>%</w:t>
      </w:r>
    </w:p>
    <w:p>
      <w:pPr>
        <w:spacing w:after="0" w:line="82" w:lineRule="exact"/>
        <w:rPr>
          <w:rFonts w:ascii="Arial" w:cs="Arial" w:eastAsia="Arial" w:hAnsi="Arial"/>
          <w:sz w:val="13"/>
          <w:szCs w:val="13"/>
          <w:color w:val="auto"/>
        </w:rPr>
      </w:pPr>
    </w:p>
    <w:p>
      <w:pPr>
        <w:spacing w:after="0"/>
        <w:tabs>
          <w:tab w:leader="none" w:pos="0" w:val="left"/>
        </w:tabs>
        <w:numPr>
          <w:ilvl w:val="0"/>
          <w:numId w:val="114"/>
        </w:numPr>
        <w:rPr>
          <w:rFonts w:ascii="Arial" w:cs="Arial" w:eastAsia="Arial" w:hAnsi="Arial"/>
          <w:sz w:val="15"/>
          <w:szCs w:val="15"/>
          <w:color w:val="auto"/>
        </w:rPr>
      </w:pPr>
    </w:p>
    <w:p>
      <w:pPr>
        <w:spacing w:after="0" w:line="72" w:lineRule="exact"/>
        <w:rPr>
          <w:rFonts w:ascii="Arial" w:cs="Arial" w:eastAsia="Arial" w:hAnsi="Arial"/>
          <w:sz w:val="15"/>
          <w:szCs w:val="15"/>
          <w:color w:val="auto"/>
        </w:rPr>
      </w:pPr>
    </w:p>
    <w:p>
      <w:pPr>
        <w:ind w:left="225" w:hanging="225"/>
        <w:spacing w:after="0"/>
        <w:tabs>
          <w:tab w:leader="none" w:pos="225" w:val="left"/>
        </w:tabs>
        <w:numPr>
          <w:ilvl w:val="0"/>
          <w:numId w:val="115"/>
        </w:numPr>
        <w:rPr>
          <w:rFonts w:ascii="Arial" w:cs="Arial" w:eastAsia="Arial" w:hAnsi="Arial"/>
          <w:sz w:val="13"/>
          <w:szCs w:val="13"/>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-984250</wp:posOffset>
            </wp:positionH>
            <wp:positionV relativeFrom="paragraph">
              <wp:posOffset>35560</wp:posOffset>
            </wp:positionV>
            <wp:extent cx="121983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19835" cy="8255"/>
                    </a:xfrm>
                    <a:prstGeom prst="rect">
                      <a:avLst/>
                    </a:prstGeom>
                    <a:noFill/>
                  </pic:spPr>
                </pic:pic>
              </a:graphicData>
            </a:graphic>
          </wp:anchor>
        </w:drawing>
        <w:drawing>
          <wp:anchor simplePos="0" relativeHeight="251657728" behindDoc="1" locked="0" layoutInCell="0" allowOverlap="1">
            <wp:simplePos x="0" y="0"/>
            <wp:positionH relativeFrom="column">
              <wp:posOffset>-984250</wp:posOffset>
            </wp:positionH>
            <wp:positionV relativeFrom="paragraph">
              <wp:posOffset>60325</wp:posOffset>
            </wp:positionV>
            <wp:extent cx="121983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19835" cy="8255"/>
                    </a:xfrm>
                    <a:prstGeom prst="rect">
                      <a:avLst/>
                    </a:prstGeom>
                    <a:noFill/>
                  </pic:spPr>
                </pic:pic>
              </a:graphicData>
            </a:graphic>
          </wp:anchor>
        </w:drawing>
        <w:drawing>
          <wp:anchor simplePos="0" relativeHeight="251657728" behindDoc="1" locked="0" layoutInCell="0" allowOverlap="1">
            <wp:simplePos x="0" y="0"/>
            <wp:positionH relativeFrom="column">
              <wp:posOffset>-984250</wp:posOffset>
            </wp:positionH>
            <wp:positionV relativeFrom="paragraph">
              <wp:posOffset>-119380</wp:posOffset>
            </wp:positionV>
            <wp:extent cx="121983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19835" cy="8255"/>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3">
            <w:col w:w="8131" w:space="720"/>
            <w:col w:w="1304" w:space="720"/>
            <w:col w:w="365"/>
          </w:cols>
          <w:pgMar w:left="320" w:top="248" w:right="339" w:bottom="1440" w:gutter="0" w:footer="0" w:header="0"/>
          <w:type w:val="continuous"/>
        </w:sectPr>
      </w:pPr>
    </w:p>
    <w:p>
      <w:pPr>
        <w:spacing w:after="0" w:line="19"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color w:val="auto"/>
        </w:rPr>
        <w:t>As of September 30, 2024, 43% of our single-family conventional guaranty book of business was serviced by depository servicers, and 57% of our single-family conventional guaranty book of business was serviced by non-depository servicers. As of December 31, 2023, 44% of our single-family conventional guaranty book of business was serviced by depository servicers, and 56% of our single-family conventional guaranty book of business was serviced by non-depository servicers.</w:t>
      </w:r>
    </w:p>
    <w:p>
      <w:pPr>
        <w:spacing w:after="0" w:line="20"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table below displays the percentage of our multifamily guaranty book of business serviced by our top five depository multifamily mortgage servicers and top five non-depository multifamily mortgage servicers. As of September 30, 2024, two servicers serviced 10% or more of our multifamily guaranty book of business, Walker &amp; Dunlop, Inc. and Wells Fargo Bank, N.A. (together with its affiliates). As of September 30, 2024 and December 31, 2023, Walker &amp; Dunlop, Inc. and Wells Fargo Bank, N.A. (together with its affiliates) serviced 13% and 10%, respectively, of our multifamily guaranty book of business based on unpaid principal balance. Walker &amp; Dunlop, Inc. is a non-depository servicer and Wells Fargo Bank, N.A. is a depository servicer.</w:t>
      </w:r>
    </w:p>
    <w:p>
      <w:pPr>
        <w:spacing w:after="0" w:line="24" w:lineRule="exact"/>
        <w:rPr>
          <w:sz w:val="20"/>
          <w:szCs w:val="20"/>
          <w:color w:val="auto"/>
        </w:rPr>
      </w:pPr>
    </w:p>
    <w:p>
      <w:pPr>
        <w:jc w:val="center"/>
        <w:ind w:left="7280"/>
        <w:spacing w:after="0"/>
        <w:rPr>
          <w:sz w:val="20"/>
          <w:szCs w:val="20"/>
          <w:color w:val="auto"/>
        </w:rPr>
      </w:pPr>
      <w:r>
        <w:rPr>
          <w:rFonts w:ascii="Arial" w:cs="Arial" w:eastAsia="Arial" w:hAnsi="Arial"/>
          <w:sz w:val="14"/>
          <w:szCs w:val="14"/>
          <w:b w:val="1"/>
          <w:bCs w:val="1"/>
          <w:color w:val="auto"/>
        </w:rPr>
        <w:t>Percentage of Multifamily</w:t>
      </w:r>
    </w:p>
    <w:p>
      <w:pPr>
        <w:spacing w:after="0" w:line="21" w:lineRule="exact"/>
        <w:rPr>
          <w:sz w:val="20"/>
          <w:szCs w:val="20"/>
          <w:color w:val="auto"/>
        </w:rPr>
      </w:pPr>
    </w:p>
    <w:p>
      <w:pPr>
        <w:jc w:val="center"/>
        <w:ind w:left="7280"/>
        <w:spacing w:after="0"/>
        <w:rPr>
          <w:sz w:val="20"/>
          <w:szCs w:val="20"/>
          <w:color w:val="auto"/>
        </w:rPr>
      </w:pPr>
      <w:r>
        <w:rPr>
          <w:rFonts w:ascii="Arial" w:cs="Arial" w:eastAsia="Arial" w:hAnsi="Arial"/>
          <w:sz w:val="14"/>
          <w:szCs w:val="14"/>
          <w:b w:val="1"/>
          <w:bCs w:val="1"/>
          <w:color w:val="auto"/>
        </w:rPr>
        <w:t>Guaranty Book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4635500</wp:posOffset>
            </wp:positionH>
            <wp:positionV relativeFrom="paragraph">
              <wp:posOffset>17780</wp:posOffset>
            </wp:positionV>
            <wp:extent cx="250507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505075" cy="8255"/>
                    </a:xfrm>
                    <a:prstGeom prst="rect">
                      <a:avLst/>
                    </a:prstGeom>
                    <a:noFill/>
                  </pic:spPr>
                </pic:pic>
              </a:graphicData>
            </a:graphic>
          </wp:anchor>
        </w:drawing>
      </w:r>
    </w:p>
    <w:p>
      <w:pPr>
        <w:spacing w:after="0" w:line="37" w:lineRule="exact"/>
        <w:rPr>
          <w:sz w:val="20"/>
          <w:szCs w:val="20"/>
          <w:color w:val="auto"/>
        </w:rPr>
      </w:pPr>
    </w:p>
    <w:p>
      <w:pPr>
        <w:jc w:val="center"/>
        <w:ind w:left="7280"/>
        <w:spacing w:after="0"/>
        <w:rPr>
          <w:sz w:val="20"/>
          <w:szCs w:val="20"/>
          <w:color w:val="auto"/>
        </w:rPr>
      </w:pPr>
      <w:r>
        <w:rPr>
          <w:rFonts w:ascii="Arial" w:cs="Arial" w:eastAsia="Arial" w:hAnsi="Arial"/>
          <w:sz w:val="14"/>
          <w:szCs w:val="14"/>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4635500</wp:posOffset>
            </wp:positionH>
            <wp:positionV relativeFrom="paragraph">
              <wp:posOffset>26670</wp:posOffset>
            </wp:positionV>
            <wp:extent cx="250507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505075" cy="8255"/>
                    </a:xfrm>
                    <a:prstGeom prst="rect">
                      <a:avLst/>
                    </a:prstGeom>
                    <a:noFill/>
                  </pic:spPr>
                </pic:pic>
              </a:graphicData>
            </a:graphic>
          </wp:anchor>
        </w:drawing>
      </w:r>
    </w:p>
    <w:p>
      <w:pPr>
        <w:spacing w:after="0" w:line="38" w:lineRule="exact"/>
        <w:rPr>
          <w:sz w:val="20"/>
          <w:szCs w:val="20"/>
          <w:color w:val="auto"/>
        </w:rPr>
      </w:pPr>
    </w:p>
    <w:p>
      <w:pPr>
        <w:ind w:left="7620"/>
        <w:spacing w:after="0"/>
        <w:tabs>
          <w:tab w:leader="none" w:pos="9640" w:val="left"/>
        </w:tabs>
        <w:rPr>
          <w:sz w:val="20"/>
          <w:szCs w:val="20"/>
          <w:color w:val="auto"/>
        </w:rPr>
      </w:pPr>
      <w:r>
        <w:rPr>
          <w:rFonts w:ascii="Arial" w:cs="Arial" w:eastAsia="Arial" w:hAnsi="Arial"/>
          <w:sz w:val="14"/>
          <w:szCs w:val="14"/>
          <w:b w:val="1"/>
          <w:bCs w:val="1"/>
          <w:color w:val="auto"/>
        </w:rPr>
        <w:t>September 30, 2024</w:t>
      </w:r>
      <w:r>
        <w:rPr>
          <w:sz w:val="20"/>
          <w:szCs w:val="20"/>
          <w:color w:val="auto"/>
        </w:rPr>
        <w:tab/>
      </w:r>
      <w:r>
        <w:rPr>
          <w:rFonts w:ascii="Arial" w:cs="Arial" w:eastAsia="Arial" w:hAnsi="Arial"/>
          <w:sz w:val="13"/>
          <w:szCs w:val="13"/>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4635500</wp:posOffset>
            </wp:positionH>
            <wp:positionV relativeFrom="paragraph">
              <wp:posOffset>18415</wp:posOffset>
            </wp:positionV>
            <wp:extent cx="250507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505075" cy="825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p>
      <w:pPr>
        <w:spacing w:after="0" w:line="43" w:lineRule="exact"/>
        <w:rPr>
          <w:sz w:val="20"/>
          <w:szCs w:val="20"/>
          <w:color w:val="auto"/>
        </w:rPr>
      </w:pPr>
    </w:p>
    <w:p>
      <w:pPr>
        <w:ind w:left="20"/>
        <w:spacing w:after="0"/>
        <w:rPr>
          <w:sz w:val="20"/>
          <w:szCs w:val="20"/>
          <w:color w:val="auto"/>
        </w:rPr>
      </w:pPr>
      <w:r>
        <w:rPr>
          <w:rFonts w:ascii="Arial" w:cs="Arial" w:eastAsia="Arial" w:hAnsi="Arial"/>
          <w:sz w:val="15"/>
          <w:szCs w:val="15"/>
          <w:color w:val="auto"/>
        </w:rPr>
        <w:t>Top five depository servicers</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Top five non-depository servicers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456819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4568190" cy="8255"/>
                    </a:xfrm>
                    <a:prstGeom prst="rect">
                      <a:avLst/>
                    </a:prstGeom>
                    <a:noFill/>
                  </pic:spPr>
                </pic:pic>
              </a:graphicData>
            </a:graphic>
          </wp:anchor>
        </w:drawing>
      </w:r>
    </w:p>
    <w:p>
      <w:pPr>
        <w:spacing w:after="0" w:line="5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456819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45681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53975</wp:posOffset>
            </wp:positionV>
            <wp:extent cx="456819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45681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ind w:left="209" w:hanging="209"/>
        <w:spacing w:after="0"/>
        <w:tabs>
          <w:tab w:leader="none" w:pos="209" w:val="left"/>
        </w:tabs>
        <w:numPr>
          <w:ilvl w:val="0"/>
          <w:numId w:val="116"/>
        </w:numPr>
        <w:rPr>
          <w:rFonts w:ascii="Arial" w:cs="Arial" w:eastAsia="Arial" w:hAnsi="Arial"/>
          <w:sz w:val="15"/>
          <w:szCs w:val="15"/>
          <w:b w:val="1"/>
          <w:bCs w:val="1"/>
          <w:color w:val="auto"/>
        </w:rPr>
      </w:pPr>
      <w:r>
        <w:rPr>
          <w:rFonts w:ascii="Arial" w:cs="Arial" w:eastAsia="Arial" w:hAnsi="Arial"/>
          <w:sz w:val="15"/>
          <w:szCs w:val="15"/>
          <w:b w:val="1"/>
          <w:bCs w:val="1"/>
          <w:color w:val="auto"/>
        </w:rPr>
        <w:t>%</w:t>
      </w:r>
    </w:p>
    <w:p>
      <w:pPr>
        <w:spacing w:after="0" w:line="59" w:lineRule="exact"/>
        <w:rPr>
          <w:rFonts w:ascii="Arial" w:cs="Arial" w:eastAsia="Arial" w:hAnsi="Arial"/>
          <w:sz w:val="15"/>
          <w:szCs w:val="15"/>
          <w:b w:val="1"/>
          <w:bCs w:val="1"/>
          <w:color w:val="auto"/>
        </w:rPr>
      </w:pPr>
    </w:p>
    <w:p>
      <w:pPr>
        <w:spacing w:after="0"/>
        <w:tabs>
          <w:tab w:leader="none" w:pos="0" w:val="left"/>
        </w:tabs>
        <w:numPr>
          <w:ilvl w:val="0"/>
          <w:numId w:val="117"/>
        </w:numPr>
        <w:rPr>
          <w:rFonts w:ascii="Arial" w:cs="Arial" w:eastAsia="Arial" w:hAnsi="Arial"/>
          <w:sz w:val="15"/>
          <w:szCs w:val="15"/>
          <w:b w:val="1"/>
          <w:bCs w:val="1"/>
          <w:color w:val="auto"/>
        </w:rPr>
      </w:pPr>
    </w:p>
    <w:p>
      <w:pPr>
        <w:spacing w:after="0" w:line="72" w:lineRule="exact"/>
        <w:rPr>
          <w:rFonts w:ascii="Arial" w:cs="Arial" w:eastAsia="Arial" w:hAnsi="Arial"/>
          <w:sz w:val="15"/>
          <w:szCs w:val="15"/>
          <w:b w:val="1"/>
          <w:bCs w:val="1"/>
          <w:color w:val="auto"/>
        </w:rPr>
      </w:pPr>
    </w:p>
    <w:p>
      <w:pPr>
        <w:ind w:left="209" w:hanging="209"/>
        <w:spacing w:after="0"/>
        <w:tabs>
          <w:tab w:leader="none" w:pos="209" w:val="left"/>
        </w:tabs>
        <w:numPr>
          <w:ilvl w:val="0"/>
          <w:numId w:val="118"/>
        </w:numPr>
        <w:rPr>
          <w:rFonts w:ascii="Arial" w:cs="Arial" w:eastAsia="Arial" w:hAnsi="Arial"/>
          <w:sz w:val="15"/>
          <w:szCs w:val="15"/>
          <w:b w:val="1"/>
          <w:bCs w:val="1"/>
          <w:color w:val="auto"/>
        </w:rPr>
      </w:pPr>
      <w:r>
        <w:rPr>
          <w:rFonts w:ascii="Arial" w:cs="Arial" w:eastAsia="Arial" w:hAnsi="Arial"/>
          <w:sz w:val="15"/>
          <w:szCs w:val="1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-984250</wp:posOffset>
            </wp:positionH>
            <wp:positionV relativeFrom="paragraph">
              <wp:posOffset>22225</wp:posOffset>
            </wp:positionV>
            <wp:extent cx="121983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19835" cy="8255"/>
                    </a:xfrm>
                    <a:prstGeom prst="rect">
                      <a:avLst/>
                    </a:prstGeom>
                    <a:noFill/>
                  </pic:spPr>
                </pic:pic>
              </a:graphicData>
            </a:graphic>
          </wp:anchor>
        </w:drawing>
        <w:drawing>
          <wp:anchor simplePos="0" relativeHeight="251657728" behindDoc="1" locked="0" layoutInCell="0" allowOverlap="1">
            <wp:simplePos x="0" y="0"/>
            <wp:positionH relativeFrom="column">
              <wp:posOffset>-984250</wp:posOffset>
            </wp:positionH>
            <wp:positionV relativeFrom="paragraph">
              <wp:posOffset>46990</wp:posOffset>
            </wp:positionV>
            <wp:extent cx="121983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19835" cy="8255"/>
                    </a:xfrm>
                    <a:prstGeom prst="rect">
                      <a:avLst/>
                    </a:prstGeom>
                    <a:noFill/>
                  </pic:spPr>
                </pic:pic>
              </a:graphicData>
            </a:graphic>
          </wp:anchor>
        </w:drawing>
        <w:drawing>
          <wp:anchor simplePos="0" relativeHeight="251657728" behindDoc="1" locked="0" layoutInCell="0" allowOverlap="1">
            <wp:simplePos x="0" y="0"/>
            <wp:positionH relativeFrom="column">
              <wp:posOffset>-984250</wp:posOffset>
            </wp:positionH>
            <wp:positionV relativeFrom="paragraph">
              <wp:posOffset>-132715</wp:posOffset>
            </wp:positionV>
            <wp:extent cx="121983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198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ind w:left="225" w:hanging="225"/>
        <w:spacing w:after="0"/>
        <w:tabs>
          <w:tab w:leader="none" w:pos="225" w:val="left"/>
        </w:tabs>
        <w:numPr>
          <w:ilvl w:val="0"/>
          <w:numId w:val="119"/>
        </w:numPr>
        <w:rPr>
          <w:rFonts w:ascii="Arial" w:cs="Arial" w:eastAsia="Arial" w:hAnsi="Arial"/>
          <w:sz w:val="13"/>
          <w:szCs w:val="13"/>
          <w:color w:val="auto"/>
        </w:rPr>
      </w:pPr>
      <w:r>
        <w:rPr>
          <w:rFonts w:ascii="Arial" w:cs="Arial" w:eastAsia="Arial" w:hAnsi="Arial"/>
          <w:sz w:val="13"/>
          <w:szCs w:val="13"/>
          <w:color w:val="auto"/>
        </w:rPr>
        <w:t>%</w:t>
      </w:r>
    </w:p>
    <w:p>
      <w:pPr>
        <w:spacing w:after="0" w:line="82" w:lineRule="exact"/>
        <w:rPr>
          <w:rFonts w:ascii="Arial" w:cs="Arial" w:eastAsia="Arial" w:hAnsi="Arial"/>
          <w:sz w:val="13"/>
          <w:szCs w:val="13"/>
          <w:color w:val="auto"/>
        </w:rPr>
      </w:pPr>
    </w:p>
    <w:p>
      <w:pPr>
        <w:spacing w:after="0"/>
        <w:tabs>
          <w:tab w:leader="none" w:pos="0" w:val="left"/>
        </w:tabs>
        <w:numPr>
          <w:ilvl w:val="0"/>
          <w:numId w:val="120"/>
        </w:numPr>
        <w:rPr>
          <w:rFonts w:ascii="Arial" w:cs="Arial" w:eastAsia="Arial" w:hAnsi="Arial"/>
          <w:sz w:val="15"/>
          <w:szCs w:val="15"/>
          <w:color w:val="auto"/>
        </w:rPr>
      </w:pPr>
    </w:p>
    <w:p>
      <w:pPr>
        <w:spacing w:after="0" w:line="72" w:lineRule="exact"/>
        <w:rPr>
          <w:rFonts w:ascii="Arial" w:cs="Arial" w:eastAsia="Arial" w:hAnsi="Arial"/>
          <w:sz w:val="15"/>
          <w:szCs w:val="15"/>
          <w:color w:val="auto"/>
        </w:rPr>
      </w:pPr>
    </w:p>
    <w:p>
      <w:pPr>
        <w:ind w:left="225" w:hanging="225"/>
        <w:spacing w:after="0"/>
        <w:tabs>
          <w:tab w:leader="none" w:pos="225" w:val="left"/>
        </w:tabs>
        <w:numPr>
          <w:ilvl w:val="0"/>
          <w:numId w:val="121"/>
        </w:numPr>
        <w:rPr>
          <w:rFonts w:ascii="Arial" w:cs="Arial" w:eastAsia="Arial" w:hAnsi="Arial"/>
          <w:sz w:val="13"/>
          <w:szCs w:val="13"/>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-984250</wp:posOffset>
            </wp:positionH>
            <wp:positionV relativeFrom="paragraph">
              <wp:posOffset>35560</wp:posOffset>
            </wp:positionV>
            <wp:extent cx="121983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19835" cy="8255"/>
                    </a:xfrm>
                    <a:prstGeom prst="rect">
                      <a:avLst/>
                    </a:prstGeom>
                    <a:noFill/>
                  </pic:spPr>
                </pic:pic>
              </a:graphicData>
            </a:graphic>
          </wp:anchor>
        </w:drawing>
        <w:drawing>
          <wp:anchor simplePos="0" relativeHeight="251657728" behindDoc="1" locked="0" layoutInCell="0" allowOverlap="1">
            <wp:simplePos x="0" y="0"/>
            <wp:positionH relativeFrom="column">
              <wp:posOffset>-984250</wp:posOffset>
            </wp:positionH>
            <wp:positionV relativeFrom="paragraph">
              <wp:posOffset>60325</wp:posOffset>
            </wp:positionV>
            <wp:extent cx="121983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19835" cy="8255"/>
                    </a:xfrm>
                    <a:prstGeom prst="rect">
                      <a:avLst/>
                    </a:prstGeom>
                    <a:noFill/>
                  </pic:spPr>
                </pic:pic>
              </a:graphicData>
            </a:graphic>
          </wp:anchor>
        </w:drawing>
        <w:drawing>
          <wp:anchor simplePos="0" relativeHeight="251657728" behindDoc="1" locked="0" layoutInCell="0" allowOverlap="1">
            <wp:simplePos x="0" y="0"/>
            <wp:positionH relativeFrom="column">
              <wp:posOffset>-984250</wp:posOffset>
            </wp:positionH>
            <wp:positionV relativeFrom="paragraph">
              <wp:posOffset>-119380</wp:posOffset>
            </wp:positionV>
            <wp:extent cx="121983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19835" cy="8255"/>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3">
            <w:col w:w="8131" w:space="720"/>
            <w:col w:w="1304" w:space="720"/>
            <w:col w:w="365"/>
          </w:cols>
          <w:pgMar w:left="320" w:top="248" w:right="339" w:bottom="1440" w:gutter="0" w:footer="0" w:header="0"/>
          <w:type w:val="continuous"/>
        </w:sectPr>
      </w:pPr>
    </w:p>
    <w:p>
      <w:pPr>
        <w:spacing w:after="0" w:line="3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As of September 30, 2024 and December 31, 2023, 31% of our multifamily guaranty book of business was serviced by depository servicers and 69% of our multifamily guaranty book of business was serviced by non-depository servicers.</w:t>
      </w:r>
    </w:p>
    <w:p>
      <w:pPr>
        <w:spacing w:after="0" w:line="15"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Compared with depository financial institutions, our non-depository servicers pose additional risks because they may not have the same financial strength or operational capacity, or be subject to the same level of regulatory oversight as depository financial institutions.</w:t>
      </w:r>
    </w:p>
    <w:p>
      <w:pPr>
        <w:spacing w:after="0" w:line="15"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i w:val="1"/>
          <w:iCs w:val="1"/>
          <w:color w:val="auto"/>
        </w:rPr>
        <w:t xml:space="preserve">Derivatives Counterparties. </w:t>
      </w:r>
      <w:r>
        <w:rPr>
          <w:rFonts w:ascii="Arial" w:cs="Arial" w:eastAsia="Arial" w:hAnsi="Arial"/>
          <w:sz w:val="16"/>
          <w:szCs w:val="16"/>
          <w:color w:val="auto"/>
        </w:rPr>
        <w:t>For information on credit risk associated with our derivative transactions and repurchase agreements see “Note 9, Derivative</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and “Note 12, Netting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350520</wp:posOffset>
            </wp:positionV>
            <wp:extent cx="680593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108" w:name="page109"/>
    <w:bookmarkEnd w:id="108"/>
    <w:p>
      <w:pPr>
        <w:ind w:left="6260"/>
        <w:spacing w:after="0"/>
        <w:rPr>
          <w:sz w:val="20"/>
          <w:szCs w:val="20"/>
          <w:color w:val="auto"/>
        </w:rPr>
      </w:pPr>
      <w:r>
        <w:rPr>
          <w:rFonts w:ascii="Arial" w:cs="Arial" w:eastAsia="Arial" w:hAnsi="Arial"/>
          <w:sz w:val="13"/>
          <w:szCs w:val="13"/>
          <w:color w:val="05314D"/>
        </w:rPr>
        <w:t>Notes to Condensed Consolidated Financial Statements | Netting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12. Netting Arrangements</w:t>
      </w:r>
    </w:p>
    <w:p>
      <w:pPr>
        <w:spacing w:after="0" w:line="80"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We use master netting arrangements, which allow us to offset certain financial instruments and collateral with the same counterparty, to minimize counterparty credit exposure. The tables below display information related to derivatives, securities purchased under agreements to resell, and securities sold under agreements to repurchase, which are subject to an enforceable master netting arrangement or similar agreement that are either offset or not offset in our condensed consolidated balance sheets.</w:t>
      </w:r>
    </w:p>
    <w:p>
      <w:pPr>
        <w:spacing w:after="0" w:line="99" w:lineRule="exact"/>
        <w:rPr>
          <w:sz w:val="20"/>
          <w:szCs w:val="20"/>
          <w:color w:val="auto"/>
        </w:rPr>
      </w:pPr>
    </w:p>
    <w:tbl>
      <w:tblPr>
        <w:tblLayout w:type="fixed"/>
        <w:tblInd w:w="80" w:type="dxa"/>
        <w:tblCellMar>
          <w:top w:w="0" w:type="dxa"/>
          <w:left w:w="0" w:type="dxa"/>
          <w:bottom w:w="0" w:type="dxa"/>
          <w:right w:w="0" w:type="dxa"/>
        </w:tblCellMar>
      </w:tblPr>
      <w:tr>
        <w:trPr>
          <w:trHeight w:val="189"/>
        </w:trPr>
        <w:tc>
          <w:tcPr>
            <w:tcW w:w="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60" w:type="dxa"/>
            <w:vAlign w:val="bottom"/>
            <w:tcBorders>
              <w:bottom w:val="single" w:sz="8" w:color="2C6937"/>
            </w:tcBorders>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700" w:type="dxa"/>
            <w:vAlign w:val="bottom"/>
            <w:tcBorders>
              <w:bottom w:val="single" w:sz="8" w:color="2C6937"/>
            </w:tcBorders>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2900" w:type="dxa"/>
            <w:vAlign w:val="bottom"/>
            <w:tcBorders>
              <w:bottom w:val="single" w:sz="8" w:color="2C6937"/>
            </w:tcBorders>
            <w:gridSpan w:val="10"/>
          </w:tcPr>
          <w:p>
            <w:pPr>
              <w:jc w:val="center"/>
              <w:ind w:right="120"/>
              <w:spacing w:after="0"/>
              <w:rPr>
                <w:sz w:val="20"/>
                <w:szCs w:val="20"/>
                <w:color w:val="auto"/>
              </w:rPr>
            </w:pPr>
            <w:r>
              <w:rPr>
                <w:rFonts w:ascii="Arial" w:cs="Arial" w:eastAsia="Arial" w:hAnsi="Arial"/>
                <w:sz w:val="14"/>
                <w:szCs w:val="14"/>
                <w:b w:val="1"/>
                <w:bCs w:val="1"/>
                <w:color w:val="auto"/>
                <w:w w:val="97"/>
              </w:rPr>
              <w:t>As of September 30, 2024</w:t>
            </w:r>
          </w:p>
        </w:tc>
        <w:tc>
          <w:tcPr>
            <w:tcW w:w="12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60" w:type="dxa"/>
            <w:vAlign w:val="bottom"/>
            <w:tcBorders>
              <w:bottom w:val="single" w:sz="8" w:color="2C6937"/>
            </w:tcBorders>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340" w:type="dxa"/>
            <w:vAlign w:val="bottom"/>
            <w:tcBorders>
              <w:bottom w:val="single" w:sz="8" w:color="2C6937"/>
            </w:tcBorders>
          </w:tcPr>
          <w:p>
            <w:pPr>
              <w:spacing w:after="0"/>
              <w:rPr>
                <w:sz w:val="16"/>
                <w:szCs w:val="16"/>
                <w:color w:val="auto"/>
              </w:rPr>
            </w:pPr>
          </w:p>
        </w:tc>
        <w:tc>
          <w:tcPr>
            <w:tcW w:w="560" w:type="dxa"/>
            <w:vAlign w:val="bottom"/>
            <w:tcBorders>
              <w:bottom w:val="single" w:sz="8" w:color="2C6937"/>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3"/>
          </w:tcPr>
          <w:p>
            <w:pPr>
              <w:jc w:val="center"/>
              <w:ind w:right="330"/>
              <w:spacing w:after="0"/>
              <w:rPr>
                <w:sz w:val="20"/>
                <w:szCs w:val="20"/>
                <w:color w:val="auto"/>
              </w:rPr>
            </w:pPr>
            <w:r>
              <w:rPr>
                <w:rFonts w:ascii="Arial" w:cs="Arial" w:eastAsia="Arial" w:hAnsi="Arial"/>
                <w:sz w:val="14"/>
                <w:szCs w:val="14"/>
                <w:b w:val="1"/>
                <w:bCs w:val="1"/>
                <w:color w:val="auto"/>
                <w:w w:val="98"/>
              </w:rPr>
              <w:t>Net Amount</w:t>
            </w:r>
          </w:p>
        </w:tc>
        <w:tc>
          <w:tcPr>
            <w:tcW w:w="20" w:type="dxa"/>
            <w:vAlign w:val="bottom"/>
          </w:tcPr>
          <w:p>
            <w:pPr>
              <w:spacing w:after="0"/>
              <w:rPr>
                <w:sz w:val="19"/>
                <w:szCs w:val="19"/>
                <w:color w:val="auto"/>
              </w:rPr>
            </w:pPr>
          </w:p>
        </w:tc>
        <w:tc>
          <w:tcPr>
            <w:tcW w:w="2760" w:type="dxa"/>
            <w:vAlign w:val="bottom"/>
            <w:gridSpan w:val="12"/>
            <w:vMerge w:val="restart"/>
          </w:tcPr>
          <w:p>
            <w:pPr>
              <w:jc w:val="center"/>
              <w:ind w:right="100"/>
              <w:spacing w:after="0"/>
              <w:rPr>
                <w:sz w:val="20"/>
                <w:szCs w:val="20"/>
                <w:color w:val="auto"/>
              </w:rPr>
            </w:pPr>
            <w:r>
              <w:rPr>
                <w:rFonts w:ascii="Arial" w:cs="Arial" w:eastAsia="Arial" w:hAnsi="Arial"/>
                <w:sz w:val="14"/>
                <w:szCs w:val="14"/>
                <w:b w:val="1"/>
                <w:bCs w:val="1"/>
                <w:color w:val="auto"/>
                <w:w w:val="97"/>
              </w:rPr>
              <w:t>Amounts Not Offset in our Condensed</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0"/>
        </w:trPr>
        <w:tc>
          <w:tcPr>
            <w:tcW w:w="60" w:type="dxa"/>
            <w:vAlign w:val="bottom"/>
          </w:tcPr>
          <w:p>
            <w:pPr>
              <w:spacing w:after="0"/>
              <w:rPr>
                <w:sz w:val="7"/>
                <w:szCs w:val="7"/>
                <w:color w:val="auto"/>
              </w:rPr>
            </w:pPr>
          </w:p>
        </w:tc>
        <w:tc>
          <w:tcPr>
            <w:tcW w:w="36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Presented in our</w:t>
            </w:r>
          </w:p>
        </w:tc>
        <w:tc>
          <w:tcPr>
            <w:tcW w:w="20" w:type="dxa"/>
            <w:vAlign w:val="bottom"/>
          </w:tcPr>
          <w:p>
            <w:pPr>
              <w:spacing w:after="0"/>
              <w:rPr>
                <w:sz w:val="7"/>
                <w:szCs w:val="7"/>
                <w:color w:val="auto"/>
              </w:rPr>
            </w:pPr>
          </w:p>
        </w:tc>
        <w:tc>
          <w:tcPr>
            <w:tcW w:w="2760" w:type="dxa"/>
            <w:vAlign w:val="bottom"/>
            <w:gridSpan w:val="12"/>
            <w:vMerge w:val="continue"/>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0" w:type="dxa"/>
            <w:vAlign w:val="bottom"/>
          </w:tcPr>
          <w:p>
            <w:pPr>
              <w:spacing w:after="0"/>
              <w:rPr>
                <w:sz w:val="6"/>
                <w:szCs w:val="6"/>
                <w:color w:val="auto"/>
              </w:rPr>
            </w:pPr>
          </w:p>
        </w:tc>
        <w:tc>
          <w:tcPr>
            <w:tcW w:w="36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80" w:type="dxa"/>
            <w:vAlign w:val="bottom"/>
            <w:gridSpan w:val="5"/>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20" w:type="dxa"/>
            <w:vAlign w:val="bottom"/>
            <w:gridSpan w:val="9"/>
            <w:vMerge w:val="restart"/>
          </w:tcPr>
          <w:p>
            <w:pPr>
              <w:jc w:val="center"/>
              <w:ind w:right="460"/>
              <w:spacing w:after="0"/>
              <w:rPr>
                <w:sz w:val="20"/>
                <w:szCs w:val="20"/>
                <w:color w:val="auto"/>
              </w:rPr>
            </w:pPr>
            <w:r>
              <w:rPr>
                <w:rFonts w:ascii="Arial" w:cs="Arial" w:eastAsia="Arial" w:hAnsi="Arial"/>
                <w:sz w:val="14"/>
                <w:szCs w:val="14"/>
                <w:b w:val="1"/>
                <w:bCs w:val="1"/>
                <w:color w:val="auto"/>
                <w:w w:val="97"/>
              </w:rPr>
              <w:t>Consolidated Balance Sheets</w:t>
            </w: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60" w:type="dxa"/>
            <w:vAlign w:val="bottom"/>
          </w:tcPr>
          <w:p>
            <w:pPr>
              <w:spacing w:after="0"/>
              <w:rPr>
                <w:sz w:val="9"/>
                <w:szCs w:val="9"/>
                <w:color w:val="auto"/>
              </w:rPr>
            </w:pPr>
          </w:p>
        </w:tc>
        <w:tc>
          <w:tcPr>
            <w:tcW w:w="36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vMerge w:val="restart"/>
          </w:tcPr>
          <w:p>
            <w:pPr>
              <w:jc w:val="right"/>
              <w:ind w:right="240"/>
              <w:spacing w:after="0" w:line="131" w:lineRule="exact"/>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3"/>
            <w:vMerge w:val="restart"/>
          </w:tcPr>
          <w:p>
            <w:pPr>
              <w:jc w:val="center"/>
              <w:ind w:right="330"/>
              <w:spacing w:after="0" w:line="131" w:lineRule="exact"/>
              <w:rPr>
                <w:sz w:val="20"/>
                <w:szCs w:val="20"/>
                <w:color w:val="auto"/>
              </w:rPr>
            </w:pPr>
            <w:r>
              <w:rPr>
                <w:rFonts w:ascii="Arial" w:cs="Arial" w:eastAsia="Arial" w:hAnsi="Arial"/>
                <w:sz w:val="14"/>
                <w:szCs w:val="14"/>
                <w:b w:val="1"/>
                <w:bCs w:val="1"/>
                <w:color w:val="auto"/>
                <w:w w:val="97"/>
              </w:rPr>
              <w:t>Condensed</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20" w:type="dxa"/>
            <w:vAlign w:val="bottom"/>
            <w:gridSpan w:val="9"/>
            <w:vMerge w:val="continue"/>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20" w:type="dxa"/>
            <w:vAlign w:val="bottom"/>
            <w:tcBorders>
              <w:bottom w:val="single" w:sz="8" w:color="2C6937"/>
            </w:tcBorders>
          </w:tcPr>
          <w:p>
            <w:pPr>
              <w:spacing w:after="0"/>
              <w:rPr>
                <w:sz w:val="2"/>
                <w:szCs w:val="2"/>
                <w:color w:val="auto"/>
              </w:rPr>
            </w:pPr>
          </w:p>
        </w:tc>
        <w:tc>
          <w:tcPr>
            <w:tcW w:w="180" w:type="dxa"/>
            <w:vAlign w:val="bottom"/>
            <w:tcBorders>
              <w:bottom w:val="single" w:sz="8" w:color="2C6937"/>
            </w:tcBorders>
          </w:tcPr>
          <w:p>
            <w:pPr>
              <w:spacing w:after="0"/>
              <w:rPr>
                <w:sz w:val="2"/>
                <w:szCs w:val="2"/>
                <w:color w:val="auto"/>
              </w:rPr>
            </w:pPr>
          </w:p>
        </w:tc>
        <w:tc>
          <w:tcPr>
            <w:tcW w:w="20" w:type="dxa"/>
            <w:vAlign w:val="bottom"/>
            <w:tcBorders>
              <w:bottom w:val="single" w:sz="8" w:color="2C6937"/>
            </w:tcBorders>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840" w:type="dxa"/>
            <w:vAlign w:val="bottom"/>
            <w:tcBorders>
              <w:bottom w:val="single" w:sz="8" w:color="2C6937"/>
            </w:tcBorders>
          </w:tcPr>
          <w:p>
            <w:pPr>
              <w:spacing w:after="0"/>
              <w:rPr>
                <w:sz w:val="2"/>
                <w:szCs w:val="2"/>
                <w:color w:val="auto"/>
              </w:rPr>
            </w:pPr>
          </w:p>
        </w:tc>
        <w:tc>
          <w:tcPr>
            <w:tcW w:w="20" w:type="dxa"/>
            <w:vAlign w:val="bottom"/>
            <w:tcBorders>
              <w:bottom w:val="single" w:sz="8" w:color="2C6937"/>
            </w:tcBorders>
          </w:tcPr>
          <w:p>
            <w:pPr>
              <w:spacing w:after="0"/>
              <w:rPr>
                <w:sz w:val="2"/>
                <w:szCs w:val="2"/>
                <w:color w:val="auto"/>
              </w:rPr>
            </w:pPr>
          </w:p>
        </w:tc>
        <w:tc>
          <w:tcPr>
            <w:tcW w:w="400" w:type="dxa"/>
            <w:vAlign w:val="bottom"/>
            <w:tcBorders>
              <w:bottom w:val="single" w:sz="8" w:color="2C6937"/>
            </w:tcBorders>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860" w:type="dxa"/>
            <w:vAlign w:val="bottom"/>
            <w:tcBorders>
              <w:bottom w:val="single" w:sz="8" w:color="2C6937"/>
            </w:tcBorders>
          </w:tcPr>
          <w:p>
            <w:pPr>
              <w:spacing w:after="0"/>
              <w:rPr>
                <w:sz w:val="2"/>
                <w:szCs w:val="2"/>
                <w:color w:val="auto"/>
              </w:rPr>
            </w:pPr>
          </w:p>
        </w:tc>
        <w:tc>
          <w:tcPr>
            <w:tcW w:w="20" w:type="dxa"/>
            <w:vAlign w:val="bottom"/>
            <w:tcBorders>
              <w:bottom w:val="single" w:sz="8" w:color="2C6937"/>
            </w:tcBorders>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3"/>
          </w:tcPr>
          <w:p>
            <w:pPr>
              <w:jc w:val="center"/>
              <w:ind w:right="330"/>
              <w:spacing w:after="0"/>
              <w:rPr>
                <w:sz w:val="20"/>
                <w:szCs w:val="20"/>
                <w:color w:val="auto"/>
              </w:rPr>
            </w:pPr>
            <w:r>
              <w:rPr>
                <w:rFonts w:ascii="Arial" w:cs="Arial" w:eastAsia="Arial" w:hAnsi="Arial"/>
                <w:sz w:val="14"/>
                <w:szCs w:val="14"/>
                <w:b w:val="1"/>
                <w:bCs w:val="1"/>
                <w:color w:val="auto"/>
                <w:w w:val="96"/>
              </w:rPr>
              <w:t>Consolidated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8"/>
              </w:rPr>
              <w:t>Financial</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9"/>
              </w:rPr>
              <w:t>Offset</w:t>
            </w:r>
            <w:r>
              <w:rPr>
                <w:rFonts w:ascii="Arial" w:cs="Arial" w:eastAsia="Arial" w:hAnsi="Arial"/>
                <w:sz w:val="17"/>
                <w:szCs w:val="17"/>
                <w:b w:val="1"/>
                <w:bCs w:val="1"/>
                <w:color w:val="auto"/>
                <w:w w:val="99"/>
                <w:vertAlign w:val="superscript"/>
              </w:rPr>
              <w:t>(1)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4"/>
          </w:tcPr>
          <w:p>
            <w:pPr>
              <w:jc w:val="center"/>
              <w:ind w:right="250"/>
              <w:spacing w:after="0"/>
              <w:rPr>
                <w:sz w:val="20"/>
                <w:szCs w:val="20"/>
                <w:color w:val="auto"/>
              </w:rPr>
            </w:pPr>
            <w:r>
              <w:rPr>
                <w:rFonts w:ascii="Arial" w:cs="Arial" w:eastAsia="Arial" w:hAnsi="Arial"/>
                <w:sz w:val="14"/>
                <w:szCs w:val="14"/>
                <w:b w:val="1"/>
                <w:bCs w:val="1"/>
                <w:color w:val="auto"/>
                <w:w w:val="98"/>
              </w:rPr>
              <w:t>Balance Sheets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7"/>
              </w:rPr>
              <w:t>Instruments</w:t>
            </w:r>
            <w:r>
              <w:rPr>
                <w:rFonts w:ascii="Arial" w:cs="Arial" w:eastAsia="Arial" w:hAnsi="Arial"/>
                <w:sz w:val="8"/>
                <w:szCs w:val="8"/>
                <w:b w:val="1"/>
                <w:bCs w:val="1"/>
                <w:color w:val="auto"/>
                <w:w w:val="97"/>
              </w:rPr>
              <w:t>(2)</w:t>
            </w:r>
          </w:p>
        </w:tc>
        <w:tc>
          <w:tcPr>
            <w:tcW w:w="120" w:type="dxa"/>
            <w:vAlign w:val="bottom"/>
          </w:tcPr>
          <w:p>
            <w:pPr>
              <w:spacing w:after="0"/>
              <w:rPr>
                <w:sz w:val="18"/>
                <w:szCs w:val="18"/>
                <w:color w:val="auto"/>
              </w:rPr>
            </w:pPr>
          </w:p>
        </w:tc>
        <w:tc>
          <w:tcPr>
            <w:tcW w:w="1040" w:type="dxa"/>
            <w:vAlign w:val="bottom"/>
            <w:gridSpan w:val="5"/>
          </w:tcPr>
          <w:p>
            <w:pPr>
              <w:spacing w:after="0"/>
              <w:rPr>
                <w:sz w:val="20"/>
                <w:szCs w:val="20"/>
                <w:color w:val="auto"/>
              </w:rPr>
            </w:pPr>
            <w:r>
              <w:rPr>
                <w:rFonts w:ascii="Arial" w:cs="Arial" w:eastAsia="Arial" w:hAnsi="Arial"/>
                <w:sz w:val="14"/>
                <w:szCs w:val="14"/>
                <w:b w:val="1"/>
                <w:bCs w:val="1"/>
                <w:color w:val="auto"/>
              </w:rPr>
              <w:t>Collateral</w:t>
            </w:r>
            <w:r>
              <w:rPr>
                <w:rFonts w:ascii="Arial" w:cs="Arial" w:eastAsia="Arial" w:hAnsi="Arial"/>
                <w:sz w:val="17"/>
                <w:szCs w:val="17"/>
                <w:b w:val="1"/>
                <w:bCs w:val="1"/>
                <w:color w:val="auto"/>
                <w:vertAlign w:val="superscript"/>
              </w:rPr>
              <w:t>(3)</w:t>
            </w:r>
          </w:p>
        </w:tc>
        <w:tc>
          <w:tcPr>
            <w:tcW w:w="40" w:type="dxa"/>
            <w:vAlign w:val="bottom"/>
          </w:tcPr>
          <w:p>
            <w:pPr>
              <w:spacing w:after="0"/>
              <w:rPr>
                <w:sz w:val="18"/>
                <w:szCs w:val="18"/>
                <w:color w:val="auto"/>
              </w:rPr>
            </w:pP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2C6937"/>
            </w:tcBorders>
          </w:tcPr>
          <w:p>
            <w:pPr>
              <w:spacing w:after="0"/>
              <w:rPr>
                <w:sz w:val="16"/>
                <w:szCs w:val="16"/>
                <w:color w:val="auto"/>
              </w:rPr>
            </w:pPr>
          </w:p>
        </w:tc>
        <w:tc>
          <w:tcPr>
            <w:tcW w:w="720" w:type="dxa"/>
            <w:vAlign w:val="bottom"/>
            <w:tcBorders>
              <w:top w:val="single" w:sz="8" w:color="2C6937"/>
            </w:tcBorders>
          </w:tcPr>
          <w:p>
            <w:pPr>
              <w:spacing w:after="0"/>
              <w:rPr>
                <w:sz w:val="16"/>
                <w:szCs w:val="16"/>
                <w:color w:val="auto"/>
              </w:rPr>
            </w:pPr>
          </w:p>
        </w:tc>
        <w:tc>
          <w:tcPr>
            <w:tcW w:w="40" w:type="dxa"/>
            <w:vAlign w:val="bottom"/>
            <w:tcBorders>
              <w:top w:val="single" w:sz="8" w:color="2C6937"/>
            </w:tcBorders>
          </w:tcPr>
          <w:p>
            <w:pPr>
              <w:spacing w:after="0"/>
              <w:rPr>
                <w:sz w:val="16"/>
                <w:szCs w:val="16"/>
                <w:color w:val="auto"/>
              </w:rPr>
            </w:pPr>
          </w:p>
        </w:tc>
        <w:tc>
          <w:tcPr>
            <w:tcW w:w="60" w:type="dxa"/>
            <w:vAlign w:val="bottom"/>
            <w:tcBorders>
              <w:top w:val="single" w:sz="8" w:color="2C6937"/>
            </w:tcBorders>
          </w:tcPr>
          <w:p>
            <w:pPr>
              <w:spacing w:after="0"/>
              <w:rPr>
                <w:sz w:val="16"/>
                <w:szCs w:val="16"/>
                <w:color w:val="auto"/>
              </w:rPr>
            </w:pPr>
          </w:p>
        </w:tc>
        <w:tc>
          <w:tcPr>
            <w:tcW w:w="40" w:type="dxa"/>
            <w:vAlign w:val="bottom"/>
            <w:tcBorders>
              <w:top w:val="single" w:sz="8" w:color="2C6937"/>
            </w:tcBorders>
          </w:tcPr>
          <w:p>
            <w:pPr>
              <w:spacing w:after="0"/>
              <w:rPr>
                <w:sz w:val="16"/>
                <w:szCs w:val="16"/>
                <w:color w:val="auto"/>
              </w:rPr>
            </w:pPr>
          </w:p>
        </w:tc>
        <w:tc>
          <w:tcPr>
            <w:tcW w:w="120" w:type="dxa"/>
            <w:vAlign w:val="bottom"/>
            <w:tcBorders>
              <w:top w:val="single" w:sz="8" w:color="2C6937"/>
            </w:tcBorders>
          </w:tcPr>
          <w:p>
            <w:pPr>
              <w:spacing w:after="0"/>
              <w:rPr>
                <w:sz w:val="16"/>
                <w:szCs w:val="16"/>
                <w:color w:val="auto"/>
              </w:rPr>
            </w:pPr>
          </w:p>
        </w:tc>
        <w:tc>
          <w:tcPr>
            <w:tcW w:w="700" w:type="dxa"/>
            <w:vAlign w:val="bottom"/>
            <w:tcBorders>
              <w:top w:val="single" w:sz="8" w:color="2C6937"/>
            </w:tcBorders>
          </w:tcPr>
          <w:p>
            <w:pPr>
              <w:spacing w:after="0"/>
              <w:rPr>
                <w:sz w:val="16"/>
                <w:szCs w:val="16"/>
                <w:color w:val="auto"/>
              </w:rPr>
            </w:pPr>
          </w:p>
        </w:tc>
        <w:tc>
          <w:tcPr>
            <w:tcW w:w="40" w:type="dxa"/>
            <w:vAlign w:val="bottom"/>
            <w:tcBorders>
              <w:top w:val="single" w:sz="8" w:color="2C6937"/>
            </w:tcBorders>
          </w:tcPr>
          <w:p>
            <w:pPr>
              <w:spacing w:after="0"/>
              <w:rPr>
                <w:sz w:val="16"/>
                <w:szCs w:val="16"/>
                <w:color w:val="auto"/>
              </w:rPr>
            </w:pPr>
          </w:p>
        </w:tc>
        <w:tc>
          <w:tcPr>
            <w:tcW w:w="280" w:type="dxa"/>
            <w:vAlign w:val="bottom"/>
            <w:tcBorders>
              <w:top w:val="single" w:sz="8" w:color="2C6937"/>
            </w:tcBorders>
          </w:tcPr>
          <w:p>
            <w:pPr>
              <w:spacing w:after="0"/>
              <w:rPr>
                <w:sz w:val="16"/>
                <w:szCs w:val="16"/>
                <w:color w:val="auto"/>
              </w:rPr>
            </w:pPr>
          </w:p>
        </w:tc>
        <w:tc>
          <w:tcPr>
            <w:tcW w:w="20" w:type="dxa"/>
            <w:vAlign w:val="bottom"/>
            <w:tcBorders>
              <w:top w:val="single" w:sz="8" w:color="2C6937"/>
            </w:tcBorders>
          </w:tcPr>
          <w:p>
            <w:pPr>
              <w:spacing w:after="0"/>
              <w:rPr>
                <w:sz w:val="16"/>
                <w:szCs w:val="16"/>
                <w:color w:val="auto"/>
              </w:rPr>
            </w:pPr>
          </w:p>
        </w:tc>
        <w:tc>
          <w:tcPr>
            <w:tcW w:w="80" w:type="dxa"/>
            <w:vAlign w:val="bottom"/>
            <w:tcBorders>
              <w:top w:val="single" w:sz="8" w:color="2C6937"/>
            </w:tcBorders>
          </w:tcPr>
          <w:p>
            <w:pPr>
              <w:spacing w:after="0"/>
              <w:rPr>
                <w:sz w:val="16"/>
                <w:szCs w:val="16"/>
                <w:color w:val="auto"/>
              </w:rPr>
            </w:pPr>
          </w:p>
        </w:tc>
        <w:tc>
          <w:tcPr>
            <w:tcW w:w="2900" w:type="dxa"/>
            <w:vAlign w:val="bottom"/>
            <w:tcBorders>
              <w:top w:val="single" w:sz="8" w:color="2C6937"/>
            </w:tcBorders>
            <w:gridSpan w:val="10"/>
          </w:tcPr>
          <w:p>
            <w:pPr>
              <w:jc w:val="center"/>
              <w:ind w:right="140"/>
              <w:spacing w:after="0"/>
              <w:rPr>
                <w:sz w:val="20"/>
                <w:szCs w:val="20"/>
                <w:color w:val="auto"/>
              </w:rPr>
            </w:pPr>
            <w:r>
              <w:rPr>
                <w:rFonts w:ascii="Arial" w:cs="Arial" w:eastAsia="Arial" w:hAnsi="Arial"/>
                <w:sz w:val="14"/>
                <w:szCs w:val="14"/>
                <w:b w:val="1"/>
                <w:bCs w:val="1"/>
                <w:color w:val="auto"/>
                <w:w w:val="98"/>
              </w:rPr>
              <w:t>(Dollars in millions)</w:t>
            </w:r>
          </w:p>
        </w:tc>
        <w:tc>
          <w:tcPr>
            <w:tcW w:w="120" w:type="dxa"/>
            <w:vAlign w:val="bottom"/>
            <w:tcBorders>
              <w:top w:val="single" w:sz="8" w:color="2C6937"/>
            </w:tcBorders>
          </w:tcPr>
          <w:p>
            <w:pPr>
              <w:spacing w:after="0"/>
              <w:rPr>
                <w:sz w:val="16"/>
                <w:szCs w:val="16"/>
                <w:color w:val="auto"/>
              </w:rPr>
            </w:pPr>
          </w:p>
        </w:tc>
        <w:tc>
          <w:tcPr>
            <w:tcW w:w="860" w:type="dxa"/>
            <w:vAlign w:val="bottom"/>
            <w:tcBorders>
              <w:top w:val="single" w:sz="8" w:color="2C6937"/>
            </w:tcBorders>
          </w:tcPr>
          <w:p>
            <w:pPr>
              <w:spacing w:after="0"/>
              <w:rPr>
                <w:sz w:val="16"/>
                <w:szCs w:val="16"/>
                <w:color w:val="auto"/>
              </w:rPr>
            </w:pPr>
          </w:p>
        </w:tc>
        <w:tc>
          <w:tcPr>
            <w:tcW w:w="20" w:type="dxa"/>
            <w:vAlign w:val="bottom"/>
            <w:tcBorders>
              <w:top w:val="single" w:sz="8" w:color="2C6937"/>
            </w:tcBorders>
          </w:tcPr>
          <w:p>
            <w:pPr>
              <w:spacing w:after="0"/>
              <w:rPr>
                <w:sz w:val="16"/>
                <w:szCs w:val="16"/>
                <w:color w:val="auto"/>
              </w:rPr>
            </w:pPr>
          </w:p>
        </w:tc>
        <w:tc>
          <w:tcPr>
            <w:tcW w:w="80" w:type="dxa"/>
            <w:vAlign w:val="bottom"/>
            <w:tcBorders>
              <w:top w:val="single" w:sz="8" w:color="2C6937"/>
            </w:tcBorders>
          </w:tcPr>
          <w:p>
            <w:pPr>
              <w:spacing w:after="0"/>
              <w:rPr>
                <w:sz w:val="16"/>
                <w:szCs w:val="16"/>
                <w:color w:val="auto"/>
              </w:rPr>
            </w:pPr>
          </w:p>
        </w:tc>
        <w:tc>
          <w:tcPr>
            <w:tcW w:w="20" w:type="dxa"/>
            <w:vAlign w:val="bottom"/>
            <w:tcBorders>
              <w:top w:val="single" w:sz="8" w:color="2C6937"/>
            </w:tcBorders>
          </w:tcPr>
          <w:p>
            <w:pPr>
              <w:spacing w:after="0"/>
              <w:rPr>
                <w:sz w:val="16"/>
                <w:szCs w:val="16"/>
                <w:color w:val="auto"/>
              </w:rPr>
            </w:pPr>
          </w:p>
        </w:tc>
        <w:tc>
          <w:tcPr>
            <w:tcW w:w="60" w:type="dxa"/>
            <w:vAlign w:val="bottom"/>
            <w:tcBorders>
              <w:top w:val="single" w:sz="8" w:color="2C6937"/>
            </w:tcBorders>
          </w:tcPr>
          <w:p>
            <w:pPr>
              <w:spacing w:after="0"/>
              <w:rPr>
                <w:sz w:val="16"/>
                <w:szCs w:val="16"/>
                <w:color w:val="auto"/>
              </w:rPr>
            </w:pPr>
          </w:p>
        </w:tc>
        <w:tc>
          <w:tcPr>
            <w:tcW w:w="40" w:type="dxa"/>
            <w:vAlign w:val="bottom"/>
            <w:tcBorders>
              <w:top w:val="single" w:sz="8" w:color="2C6937"/>
            </w:tcBorders>
          </w:tcPr>
          <w:p>
            <w:pPr>
              <w:spacing w:after="0"/>
              <w:rPr>
                <w:sz w:val="16"/>
                <w:szCs w:val="16"/>
                <w:color w:val="auto"/>
              </w:rPr>
            </w:pPr>
          </w:p>
        </w:tc>
        <w:tc>
          <w:tcPr>
            <w:tcW w:w="340" w:type="dxa"/>
            <w:vAlign w:val="bottom"/>
            <w:tcBorders>
              <w:top w:val="single" w:sz="8" w:color="2C6937"/>
            </w:tcBorders>
          </w:tcPr>
          <w:p>
            <w:pPr>
              <w:spacing w:after="0"/>
              <w:rPr>
                <w:sz w:val="16"/>
                <w:szCs w:val="16"/>
                <w:color w:val="auto"/>
              </w:rPr>
            </w:pPr>
          </w:p>
        </w:tc>
        <w:tc>
          <w:tcPr>
            <w:tcW w:w="560" w:type="dxa"/>
            <w:vAlign w:val="bottom"/>
            <w:tcBorders>
              <w:top w:val="single" w:sz="8" w:color="2C6937"/>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Arial" w:cs="Arial" w:eastAsia="Arial" w:hAnsi="Arial"/>
                <w:sz w:val="15"/>
                <w:szCs w:val="15"/>
                <w:color w:val="auto"/>
              </w:rPr>
              <w:t>Assets: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3660" w:type="dxa"/>
            <w:vAlign w:val="bottom"/>
            <w:gridSpan w:val="2"/>
          </w:tcPr>
          <w:p>
            <w:pPr>
              <w:ind w:left="160"/>
              <w:spacing w:after="0"/>
              <w:rPr>
                <w:sz w:val="20"/>
                <w:szCs w:val="20"/>
                <w:color w:val="auto"/>
              </w:rPr>
            </w:pPr>
            <w:r>
              <w:rPr>
                <w:rFonts w:ascii="Arial" w:cs="Arial" w:eastAsia="Arial" w:hAnsi="Arial"/>
                <w:sz w:val="15"/>
                <w:szCs w:val="15"/>
                <w:color w:val="auto"/>
              </w:rPr>
              <w:t>OTC risk management derivatives</w:t>
            </w:r>
          </w:p>
        </w:tc>
        <w:tc>
          <w:tcPr>
            <w:tcW w:w="22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367</w:t>
            </w:r>
          </w:p>
        </w:tc>
        <w:tc>
          <w:tcPr>
            <w:tcW w:w="40" w:type="dxa"/>
            <w:vAlign w:val="bottom"/>
          </w:tcPr>
          <w:p>
            <w:pPr>
              <w:spacing w:after="0"/>
              <w:rPr>
                <w:sz w:val="21"/>
                <w:szCs w:val="21"/>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(353)</w:t>
            </w:r>
          </w:p>
        </w:tc>
        <w:tc>
          <w:tcPr>
            <w:tcW w:w="380" w:type="dxa"/>
            <w:vAlign w:val="bottom"/>
            <w:gridSpan w:val="3"/>
          </w:tcPr>
          <w:p>
            <w:pPr>
              <w:ind w:left="280"/>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14</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1260" w:type="dxa"/>
            <w:vAlign w:val="bottom"/>
            <w:gridSpan w:val="3"/>
          </w:tcPr>
          <w:p>
            <w:pPr>
              <w:jc w:val="center"/>
              <w:ind w:left="44"/>
              <w:spacing w:after="0"/>
              <w:rPr>
                <w:sz w:val="20"/>
                <w:szCs w:val="20"/>
                <w:color w:val="auto"/>
              </w:rPr>
            </w:pPr>
            <w:r>
              <w:rPr>
                <w:rFonts w:ascii="Arial" w:cs="Arial" w:eastAsia="Arial" w:hAnsi="Arial"/>
                <w:sz w:val="15"/>
                <w:szCs w:val="15"/>
                <w:color w:val="auto"/>
                <w:w w:val="93"/>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gridSpan w:val="5"/>
          </w:tcPr>
          <w:p>
            <w:pPr>
              <w:ind w:left="640"/>
              <w:spacing w:after="0"/>
              <w:rPr>
                <w:sz w:val="20"/>
                <w:szCs w:val="20"/>
                <w:color w:val="auto"/>
              </w:rPr>
            </w:pPr>
            <w:r>
              <w:rPr>
                <w:rFonts w:ascii="Arial" w:cs="Arial" w:eastAsia="Arial" w:hAnsi="Arial"/>
                <w:sz w:val="15"/>
                <w:szCs w:val="15"/>
                <w:color w:val="auto"/>
              </w:rPr>
              <w:t>—</w:t>
            </w:r>
          </w:p>
        </w:tc>
        <w:tc>
          <w:tcPr>
            <w:tcW w:w="380" w:type="dxa"/>
            <w:vAlign w:val="bottom"/>
            <w:gridSpan w:val="2"/>
          </w:tcPr>
          <w:p>
            <w:pPr>
              <w:jc w:val="right"/>
              <w:ind w:right="208"/>
              <w:spacing w:after="0"/>
              <w:rPr>
                <w:sz w:val="20"/>
                <w:szCs w:val="20"/>
                <w:color w:val="auto"/>
              </w:rPr>
            </w:pPr>
            <w:r>
              <w:rPr>
                <w:rFonts w:ascii="Arial" w:cs="Arial" w:eastAsia="Arial" w:hAnsi="Arial"/>
                <w:sz w:val="15"/>
                <w:szCs w:val="15"/>
                <w:color w:val="auto"/>
                <w:w w:val="95"/>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14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3660" w:type="dxa"/>
            <w:vAlign w:val="bottom"/>
            <w:gridSpan w:val="2"/>
          </w:tcPr>
          <w:p>
            <w:pPr>
              <w:ind w:left="160"/>
              <w:spacing w:after="0"/>
              <w:rPr>
                <w:sz w:val="20"/>
                <w:szCs w:val="20"/>
                <w:color w:val="auto"/>
              </w:rPr>
            </w:pPr>
            <w:r>
              <w:rPr>
                <w:rFonts w:ascii="Arial" w:cs="Arial" w:eastAsia="Arial" w:hAnsi="Arial"/>
                <w:sz w:val="15"/>
                <w:szCs w:val="15"/>
                <w:color w:val="auto"/>
              </w:rPr>
              <w:t>Cleared risk management derivatives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120</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120</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3"/>
          </w:tcPr>
          <w:p>
            <w:pPr>
              <w:jc w:val="center"/>
              <w:ind w:left="44"/>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20"/>
                <w:szCs w:val="20"/>
                <w:color w:val="auto"/>
              </w:rPr>
            </w:pPr>
          </w:p>
        </w:tc>
        <w:tc>
          <w:tcPr>
            <w:tcW w:w="1040" w:type="dxa"/>
            <w:vAlign w:val="bottom"/>
            <w:gridSpan w:val="5"/>
          </w:tcPr>
          <w:p>
            <w:pPr>
              <w:ind w:left="6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120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8"/>
                <w:szCs w:val="18"/>
                <w:color w:val="auto"/>
              </w:rPr>
            </w:pPr>
          </w:p>
        </w:tc>
        <w:tc>
          <w:tcPr>
            <w:tcW w:w="3660" w:type="dxa"/>
            <w:vAlign w:val="bottom"/>
            <w:tcBorders>
              <w:bottom w:val="single" w:sz="8" w:color="2C6937"/>
            </w:tcBorders>
            <w:gridSpan w:val="2"/>
          </w:tcPr>
          <w:p>
            <w:pPr>
              <w:ind w:left="160"/>
              <w:spacing w:after="0"/>
              <w:rPr>
                <w:sz w:val="20"/>
                <w:szCs w:val="20"/>
                <w:color w:val="auto"/>
              </w:rPr>
            </w:pPr>
            <w:r>
              <w:rPr>
                <w:rFonts w:ascii="Arial" w:cs="Arial" w:eastAsia="Arial" w:hAnsi="Arial"/>
                <w:sz w:val="15"/>
                <w:szCs w:val="15"/>
                <w:color w:val="auto"/>
              </w:rPr>
              <w:t>Mortgage commitment derivatives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109</w:t>
            </w:r>
          </w:p>
        </w:tc>
        <w:tc>
          <w:tcPr>
            <w:tcW w:w="40" w:type="dxa"/>
            <w:vAlign w:val="bottom"/>
            <w:tcBorders>
              <w:bottom w:val="single" w:sz="8" w:color="2C6937"/>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740" w:type="dxa"/>
            <w:vAlign w:val="bottom"/>
            <w:tcBorders>
              <w:bottom w:val="single" w:sz="8" w:color="2C6937"/>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109</w:t>
            </w:r>
          </w:p>
        </w:tc>
        <w:tc>
          <w:tcPr>
            <w:tcW w:w="440" w:type="dxa"/>
            <w:vAlign w:val="bottom"/>
            <w:gridSpan w:val="2"/>
            <w:vMerge w:val="restart"/>
          </w:tcPr>
          <w:p>
            <w:pPr>
              <w:jc w:val="right"/>
              <w:ind w:right="270"/>
              <w:spacing w:after="0"/>
              <w:rPr>
                <w:sz w:val="20"/>
                <w:szCs w:val="20"/>
                <w:color w:val="auto"/>
              </w:rPr>
            </w:pPr>
            <w:r>
              <w:rPr>
                <w:rFonts w:ascii="Arial" w:cs="Arial" w:eastAsia="Arial" w:hAnsi="Arial"/>
                <w:sz w:val="10"/>
                <w:szCs w:val="10"/>
                <w:color w:val="auto"/>
                <w:w w:val="81"/>
              </w:rPr>
              <w:t>(4)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center"/>
              <w:ind w:left="424"/>
              <w:spacing w:after="0"/>
              <w:rPr>
                <w:sz w:val="20"/>
                <w:szCs w:val="20"/>
                <w:color w:val="auto"/>
              </w:rPr>
            </w:pPr>
            <w:r>
              <w:rPr>
                <w:rFonts w:ascii="Arial" w:cs="Arial" w:eastAsia="Arial" w:hAnsi="Arial"/>
                <w:sz w:val="15"/>
                <w:szCs w:val="15"/>
                <w:color w:val="auto"/>
                <w:w w:val="97"/>
              </w:rPr>
              <w:t>(55)</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ind w:left="640"/>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2C6937"/>
            </w:tcBorders>
          </w:tcPr>
          <w:p>
            <w:pPr>
              <w:spacing w:after="0"/>
              <w:rPr>
                <w:sz w:val="18"/>
                <w:szCs w:val="18"/>
                <w:color w:val="auto"/>
              </w:rPr>
            </w:pPr>
          </w:p>
        </w:tc>
        <w:tc>
          <w:tcPr>
            <w:tcW w:w="340" w:type="dxa"/>
            <w:vAlign w:val="bottom"/>
            <w:tcBorders>
              <w:bottom w:val="single" w:sz="8" w:color="2C6937"/>
            </w:tcBorders>
          </w:tcPr>
          <w:p>
            <w:pPr>
              <w:spacing w:after="0"/>
              <w:rPr>
                <w:sz w:val="18"/>
                <w:szCs w:val="18"/>
                <w:color w:val="auto"/>
              </w:rPr>
            </w:pPr>
          </w:p>
        </w:tc>
        <w:tc>
          <w:tcPr>
            <w:tcW w:w="5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3660" w:type="dxa"/>
            <w:vAlign w:val="bottom"/>
            <w:gridSpan w:val="2"/>
          </w:tcPr>
          <w:p>
            <w:pPr>
              <w:ind w:left="320"/>
              <w:spacing w:after="0"/>
              <w:rPr>
                <w:sz w:val="20"/>
                <w:szCs w:val="20"/>
                <w:color w:val="auto"/>
              </w:rPr>
            </w:pPr>
            <w:r>
              <w:rPr>
                <w:rFonts w:ascii="Arial" w:cs="Arial" w:eastAsia="Arial" w:hAnsi="Arial"/>
                <w:sz w:val="15"/>
                <w:szCs w:val="15"/>
                <w:color w:val="auto"/>
              </w:rPr>
              <w:t>Total derivative assets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476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(233)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243</w:t>
            </w:r>
          </w:p>
        </w:tc>
        <w:tc>
          <w:tcPr>
            <w:tcW w:w="4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center"/>
              <w:ind w:left="424"/>
              <w:spacing w:after="0"/>
              <w:rPr>
                <w:sz w:val="20"/>
                <w:szCs w:val="20"/>
                <w:color w:val="auto"/>
              </w:rPr>
            </w:pPr>
            <w:r>
              <w:rPr>
                <w:rFonts w:ascii="Arial" w:cs="Arial" w:eastAsia="Arial" w:hAnsi="Arial"/>
                <w:sz w:val="15"/>
                <w:szCs w:val="15"/>
                <w:color w:val="auto"/>
                <w:w w:val="97"/>
              </w:rPr>
              <w:t>(55)</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ind w:left="640"/>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187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3660" w:type="dxa"/>
            <w:vAlign w:val="bottom"/>
            <w:tcBorders>
              <w:bottom w:val="single" w:sz="8" w:color="2C6937"/>
            </w:tcBorders>
            <w:gridSpan w:val="2"/>
          </w:tcPr>
          <w:p>
            <w:pPr>
              <w:ind w:left="160"/>
              <w:spacing w:after="0"/>
              <w:rPr>
                <w:sz w:val="20"/>
                <w:szCs w:val="20"/>
                <w:color w:val="auto"/>
              </w:rPr>
            </w:pPr>
            <w:r>
              <w:rPr>
                <w:rFonts w:ascii="Arial" w:cs="Arial" w:eastAsia="Arial" w:hAnsi="Arial"/>
                <w:sz w:val="15"/>
                <w:szCs w:val="15"/>
                <w:color w:val="auto"/>
              </w:rPr>
              <w:t>Securities purchased under agreements to resell</w:t>
            </w:r>
            <w:r>
              <w:rPr>
                <w:rFonts w:ascii="Arial" w:cs="Arial" w:eastAsia="Arial" w:hAnsi="Arial"/>
                <w:sz w:val="20"/>
                <w:szCs w:val="20"/>
                <w:color w:val="auto"/>
                <w:vertAlign w:val="superscript"/>
              </w:rPr>
              <w:t>(5)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56,915</w:t>
            </w:r>
          </w:p>
        </w:tc>
        <w:tc>
          <w:tcPr>
            <w:tcW w:w="40" w:type="dxa"/>
            <w:vAlign w:val="bottom"/>
            <w:tcBorders>
              <w:bottom w:val="single" w:sz="8" w:color="2C6937"/>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740" w:type="dxa"/>
            <w:vAlign w:val="bottom"/>
            <w:tcBorders>
              <w:bottom w:val="single" w:sz="8" w:color="2C6937"/>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0"/>
                <w:szCs w:val="20"/>
                <w:color w:val="auto"/>
              </w:rPr>
            </w:pPr>
          </w:p>
        </w:tc>
        <w:tc>
          <w:tcPr>
            <w:tcW w:w="20" w:type="dxa"/>
            <w:vAlign w:val="bottom"/>
            <w:tcBorders>
              <w:bottom w:val="single" w:sz="8" w:color="2C6937"/>
            </w:tcBorders>
          </w:tcPr>
          <w:p>
            <w:pPr>
              <w:spacing w:after="0"/>
              <w:rPr>
                <w:sz w:val="20"/>
                <w:szCs w:val="20"/>
                <w:color w:val="auto"/>
              </w:rPr>
            </w:pPr>
          </w:p>
        </w:tc>
        <w:tc>
          <w:tcPr>
            <w:tcW w:w="80" w:type="dxa"/>
            <w:vAlign w:val="bottom"/>
            <w:tcBorders>
              <w:bottom w:val="single" w:sz="8" w:color="2C6937"/>
            </w:tcBorders>
          </w:tcPr>
          <w:p>
            <w:pPr>
              <w:spacing w:after="0"/>
              <w:rPr>
                <w:sz w:val="20"/>
                <w:szCs w:val="20"/>
                <w:color w:val="auto"/>
              </w:rPr>
            </w:pPr>
          </w:p>
        </w:tc>
        <w:tc>
          <w:tcPr>
            <w:tcW w:w="84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56,915</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Borders>
              <w:bottom w:val="single" w:sz="8" w:color="2C6937"/>
            </w:tcBorders>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840" w:type="dxa"/>
            <w:vAlign w:val="bottom"/>
            <w:tcBorders>
              <w:bottom w:val="single" w:sz="8" w:color="2C6937"/>
            </w:tcBorders>
          </w:tcPr>
          <w:p>
            <w:pPr>
              <w:jc w:val="center"/>
              <w:ind w:left="464"/>
              <w:spacing w:after="0"/>
              <w:rPr>
                <w:sz w:val="20"/>
                <w:szCs w:val="20"/>
                <w:color w:val="auto"/>
              </w:rPr>
            </w:pPr>
            <w:r>
              <w:rPr>
                <w:rFonts w:ascii="Arial" w:cs="Arial" w:eastAsia="Arial" w:hAnsi="Arial"/>
                <w:sz w:val="15"/>
                <w:szCs w:val="15"/>
                <w:color w:val="auto"/>
                <w:w w:val="93"/>
              </w:rPr>
              <w:t>—</w:t>
            </w:r>
          </w:p>
        </w:tc>
        <w:tc>
          <w:tcPr>
            <w:tcW w:w="420" w:type="dxa"/>
            <w:vAlign w:val="bottom"/>
            <w:gridSpan w:val="2"/>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(56,915)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bottom w:val="single" w:sz="8" w:color="2C6937"/>
            </w:tcBorders>
          </w:tcPr>
          <w:p>
            <w:pPr>
              <w:spacing w:after="0"/>
              <w:rPr>
                <w:sz w:val="20"/>
                <w:szCs w:val="20"/>
                <w:color w:val="auto"/>
              </w:rPr>
            </w:pPr>
          </w:p>
        </w:tc>
        <w:tc>
          <w:tcPr>
            <w:tcW w:w="340" w:type="dxa"/>
            <w:vAlign w:val="bottom"/>
            <w:tcBorders>
              <w:bottom w:val="single" w:sz="8" w:color="2C6937"/>
            </w:tcBorders>
          </w:tcPr>
          <w:p>
            <w:pPr>
              <w:spacing w:after="0"/>
              <w:rPr>
                <w:sz w:val="20"/>
                <w:szCs w:val="20"/>
                <w:color w:val="auto"/>
              </w:rPr>
            </w:pPr>
          </w:p>
        </w:tc>
        <w:tc>
          <w:tcPr>
            <w:tcW w:w="5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660" w:type="dxa"/>
            <w:vAlign w:val="bottom"/>
            <w:gridSpan w:val="2"/>
          </w:tcPr>
          <w:p>
            <w:pPr>
              <w:spacing w:after="0"/>
              <w:rPr>
                <w:sz w:val="20"/>
                <w:szCs w:val="20"/>
                <w:color w:val="auto"/>
              </w:rPr>
            </w:pPr>
            <w:r>
              <w:rPr>
                <w:rFonts w:ascii="Arial" w:cs="Arial" w:eastAsia="Arial" w:hAnsi="Arial"/>
                <w:sz w:val="15"/>
                <w:szCs w:val="15"/>
                <w:color w:val="auto"/>
              </w:rPr>
              <w:t>Total assets</w:t>
            </w:r>
          </w:p>
        </w:tc>
        <w:tc>
          <w:tcPr>
            <w:tcW w:w="22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57,391</w:t>
            </w:r>
          </w:p>
        </w:tc>
        <w:tc>
          <w:tcPr>
            <w:tcW w:w="40" w:type="dxa"/>
            <w:vAlign w:val="bottom"/>
          </w:tcPr>
          <w:p>
            <w:pPr>
              <w:spacing w:after="0"/>
              <w:rPr>
                <w:sz w:val="17"/>
                <w:szCs w:val="17"/>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(233)</w:t>
            </w:r>
          </w:p>
        </w:tc>
        <w:tc>
          <w:tcPr>
            <w:tcW w:w="380" w:type="dxa"/>
            <w:vAlign w:val="bottom"/>
            <w:gridSpan w:val="3"/>
          </w:tcPr>
          <w:p>
            <w:pPr>
              <w:ind w:left="280"/>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57,158</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center"/>
              <w:ind w:left="424"/>
              <w:spacing w:after="0"/>
              <w:rPr>
                <w:sz w:val="20"/>
                <w:szCs w:val="20"/>
                <w:color w:val="auto"/>
              </w:rPr>
            </w:pPr>
            <w:r>
              <w:rPr>
                <w:rFonts w:ascii="Arial" w:cs="Arial" w:eastAsia="Arial" w:hAnsi="Arial"/>
                <w:sz w:val="15"/>
                <w:szCs w:val="15"/>
                <w:color w:val="auto"/>
                <w:w w:val="97"/>
              </w:rPr>
              <w:t>(55)</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(56,916)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gridSpan w:val="2"/>
          </w:tcPr>
          <w:p>
            <w:pPr>
              <w:jc w:val="right"/>
              <w:ind w:right="208"/>
              <w:spacing w:after="0"/>
              <w:rPr>
                <w:sz w:val="20"/>
                <w:szCs w:val="20"/>
                <w:color w:val="auto"/>
              </w:rPr>
            </w:pPr>
            <w:r>
              <w:rPr>
                <w:rFonts w:ascii="Arial" w:cs="Arial" w:eastAsia="Arial" w:hAnsi="Arial"/>
                <w:sz w:val="15"/>
                <w:szCs w:val="15"/>
                <w:color w:val="auto"/>
                <w:w w:val="95"/>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187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62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340" w:type="dxa"/>
            <w:vAlign w:val="bottom"/>
            <w:tcBorders>
              <w:top w:val="single" w:sz="8" w:color="2C6937"/>
              <w:bottom w:val="single" w:sz="8" w:color="2C6937"/>
            </w:tcBorders>
          </w:tcPr>
          <w:p>
            <w:pPr>
              <w:spacing w:after="0" w:line="20" w:lineRule="exact"/>
              <w:rPr>
                <w:sz w:val="1"/>
                <w:szCs w:val="1"/>
                <w:color w:val="auto"/>
              </w:rPr>
            </w:pPr>
          </w:p>
        </w:tc>
        <w:tc>
          <w:tcPr>
            <w:tcW w:w="56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5"/>
                <w:szCs w:val="15"/>
                <w:color w:val="auto"/>
              </w:rPr>
              <w:t>Liabilities: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3660" w:type="dxa"/>
            <w:vAlign w:val="bottom"/>
            <w:gridSpan w:val="2"/>
          </w:tcPr>
          <w:p>
            <w:pPr>
              <w:ind w:left="160"/>
              <w:spacing w:after="0"/>
              <w:rPr>
                <w:sz w:val="20"/>
                <w:szCs w:val="20"/>
                <w:color w:val="auto"/>
              </w:rPr>
            </w:pPr>
            <w:r>
              <w:rPr>
                <w:rFonts w:ascii="Arial" w:cs="Arial" w:eastAsia="Arial" w:hAnsi="Arial"/>
                <w:sz w:val="15"/>
                <w:szCs w:val="15"/>
                <w:color w:val="auto"/>
              </w:rPr>
              <w:t>OTC risk management derivatives</w:t>
            </w:r>
          </w:p>
        </w:tc>
        <w:tc>
          <w:tcPr>
            <w:tcW w:w="22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5"/>
                <w:szCs w:val="15"/>
                <w:color w:val="auto"/>
              </w:rPr>
              <w:t>(2,176)</w:t>
            </w:r>
          </w:p>
        </w:tc>
        <w:tc>
          <w:tcPr>
            <w:tcW w:w="22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2,156</w:t>
            </w:r>
          </w:p>
        </w:tc>
        <w:tc>
          <w:tcPr>
            <w:tcW w:w="40" w:type="dxa"/>
            <w:vAlign w:val="bottom"/>
          </w:tcPr>
          <w:p>
            <w:pPr>
              <w:spacing w:after="0"/>
              <w:rPr>
                <w:sz w:val="21"/>
                <w:szCs w:val="21"/>
                <w:color w:val="auto"/>
              </w:rPr>
            </w:pPr>
          </w:p>
        </w:tc>
        <w:tc>
          <w:tcPr>
            <w:tcW w:w="380" w:type="dxa"/>
            <w:vAlign w:val="bottom"/>
            <w:gridSpan w:val="3"/>
          </w:tcPr>
          <w:p>
            <w:pPr>
              <w:ind w:left="280"/>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(20)</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1260" w:type="dxa"/>
            <w:vAlign w:val="bottom"/>
            <w:gridSpan w:val="3"/>
          </w:tcPr>
          <w:p>
            <w:pPr>
              <w:jc w:val="center"/>
              <w:ind w:left="44"/>
              <w:spacing w:after="0"/>
              <w:rPr>
                <w:sz w:val="20"/>
                <w:szCs w:val="20"/>
                <w:color w:val="auto"/>
              </w:rPr>
            </w:pPr>
            <w:r>
              <w:rPr>
                <w:rFonts w:ascii="Arial" w:cs="Arial" w:eastAsia="Arial" w:hAnsi="Arial"/>
                <w:sz w:val="15"/>
                <w:szCs w:val="15"/>
                <w:color w:val="auto"/>
                <w:w w:val="93"/>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gridSpan w:val="5"/>
          </w:tcPr>
          <w:p>
            <w:pPr>
              <w:ind w:left="640"/>
              <w:spacing w:after="0"/>
              <w:rPr>
                <w:sz w:val="20"/>
                <w:szCs w:val="20"/>
                <w:color w:val="auto"/>
              </w:rPr>
            </w:pPr>
            <w:r>
              <w:rPr>
                <w:rFonts w:ascii="Arial" w:cs="Arial" w:eastAsia="Arial" w:hAnsi="Arial"/>
                <w:sz w:val="15"/>
                <w:szCs w:val="15"/>
                <w:color w:val="auto"/>
              </w:rPr>
              <w:t>—</w:t>
            </w:r>
          </w:p>
        </w:tc>
        <w:tc>
          <w:tcPr>
            <w:tcW w:w="380" w:type="dxa"/>
            <w:vAlign w:val="bottom"/>
            <w:gridSpan w:val="2"/>
          </w:tcPr>
          <w:p>
            <w:pPr>
              <w:jc w:val="right"/>
              <w:ind w:right="208"/>
              <w:spacing w:after="0"/>
              <w:rPr>
                <w:sz w:val="20"/>
                <w:szCs w:val="20"/>
                <w:color w:val="auto"/>
              </w:rPr>
            </w:pPr>
            <w:r>
              <w:rPr>
                <w:rFonts w:ascii="Arial" w:cs="Arial" w:eastAsia="Arial" w:hAnsi="Arial"/>
                <w:sz w:val="15"/>
                <w:szCs w:val="15"/>
                <w:color w:val="auto"/>
                <w:w w:val="95"/>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(20)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3660" w:type="dxa"/>
            <w:vAlign w:val="bottom"/>
            <w:gridSpan w:val="2"/>
          </w:tcPr>
          <w:p>
            <w:pPr>
              <w:ind w:left="160"/>
              <w:spacing w:after="0"/>
              <w:rPr>
                <w:sz w:val="20"/>
                <w:szCs w:val="20"/>
                <w:color w:val="auto"/>
              </w:rPr>
            </w:pPr>
            <w:r>
              <w:rPr>
                <w:rFonts w:ascii="Arial" w:cs="Arial" w:eastAsia="Arial" w:hAnsi="Arial"/>
                <w:sz w:val="15"/>
                <w:szCs w:val="15"/>
                <w:color w:val="auto"/>
              </w:rPr>
              <w:t>Cleared risk management derivatives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(2)</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3"/>
          </w:tcPr>
          <w:p>
            <w:pPr>
              <w:jc w:val="center"/>
              <w:ind w:left="44"/>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8"/>
                <w:szCs w:val="18"/>
                <w:color w:val="auto"/>
              </w:rPr>
            </w:pPr>
          </w:p>
        </w:tc>
        <w:tc>
          <w:tcPr>
            <w:tcW w:w="3660" w:type="dxa"/>
            <w:vAlign w:val="bottom"/>
            <w:tcBorders>
              <w:bottom w:val="single" w:sz="8" w:color="2C6937"/>
            </w:tcBorders>
            <w:gridSpan w:val="2"/>
          </w:tcPr>
          <w:p>
            <w:pPr>
              <w:ind w:left="160"/>
              <w:spacing w:after="0"/>
              <w:rPr>
                <w:sz w:val="20"/>
                <w:szCs w:val="20"/>
                <w:color w:val="auto"/>
              </w:rPr>
            </w:pPr>
            <w:r>
              <w:rPr>
                <w:rFonts w:ascii="Arial" w:cs="Arial" w:eastAsia="Arial" w:hAnsi="Arial"/>
                <w:sz w:val="15"/>
                <w:szCs w:val="15"/>
                <w:color w:val="auto"/>
              </w:rPr>
              <w:t>Mortgage commitment derivatives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gridSpan w:val="2"/>
          </w:tcPr>
          <w:p>
            <w:pPr>
              <w:jc w:val="right"/>
              <w:ind w:right="40"/>
              <w:spacing w:after="0"/>
              <w:rPr>
                <w:sz w:val="20"/>
                <w:szCs w:val="20"/>
                <w:color w:val="auto"/>
              </w:rPr>
            </w:pPr>
            <w:r>
              <w:rPr>
                <w:rFonts w:ascii="Arial" w:cs="Arial" w:eastAsia="Arial" w:hAnsi="Arial"/>
                <w:sz w:val="15"/>
                <w:szCs w:val="15"/>
                <w:color w:val="auto"/>
              </w:rPr>
              <w:t>(99)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740" w:type="dxa"/>
            <w:vAlign w:val="bottom"/>
            <w:tcBorders>
              <w:bottom w:val="single" w:sz="8" w:color="2C6937"/>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(99)</w:t>
            </w:r>
          </w:p>
        </w:tc>
        <w:tc>
          <w:tcPr>
            <w:tcW w:w="440" w:type="dxa"/>
            <w:vAlign w:val="bottom"/>
            <w:gridSpan w:val="2"/>
            <w:vMerge w:val="restart"/>
          </w:tcPr>
          <w:p>
            <w:pPr>
              <w:jc w:val="right"/>
              <w:ind w:right="270"/>
              <w:spacing w:after="0"/>
              <w:rPr>
                <w:sz w:val="20"/>
                <w:szCs w:val="20"/>
                <w:color w:val="auto"/>
              </w:rPr>
            </w:pPr>
            <w:r>
              <w:rPr>
                <w:rFonts w:ascii="Arial" w:cs="Arial" w:eastAsia="Arial" w:hAnsi="Arial"/>
                <w:sz w:val="10"/>
                <w:szCs w:val="10"/>
                <w:color w:val="auto"/>
                <w:w w:val="81"/>
              </w:rPr>
              <w:t>(4)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center"/>
              <w:ind w:left="444"/>
              <w:spacing w:after="0"/>
              <w:rPr>
                <w:sz w:val="20"/>
                <w:szCs w:val="20"/>
                <w:color w:val="auto"/>
              </w:rPr>
            </w:pPr>
            <w:r>
              <w:rPr>
                <w:rFonts w:ascii="Arial" w:cs="Arial" w:eastAsia="Arial" w:hAnsi="Arial"/>
                <w:sz w:val="15"/>
                <w:szCs w:val="15"/>
                <w:color w:val="auto"/>
                <w:w w:val="95"/>
              </w:rPr>
              <w:t>55</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2C6937"/>
            </w:tcBorders>
          </w:tcPr>
          <w:p>
            <w:pPr>
              <w:spacing w:after="0"/>
              <w:rPr>
                <w:sz w:val="18"/>
                <w:szCs w:val="18"/>
                <w:color w:val="auto"/>
              </w:rPr>
            </w:pPr>
          </w:p>
        </w:tc>
        <w:tc>
          <w:tcPr>
            <w:tcW w:w="340" w:type="dxa"/>
            <w:vAlign w:val="bottom"/>
            <w:tcBorders>
              <w:bottom w:val="single" w:sz="8" w:color="2C6937"/>
            </w:tcBorders>
          </w:tcPr>
          <w:p>
            <w:pPr>
              <w:spacing w:after="0"/>
              <w:rPr>
                <w:sz w:val="18"/>
                <w:szCs w:val="18"/>
                <w:color w:val="auto"/>
              </w:rPr>
            </w:pPr>
          </w:p>
        </w:tc>
        <w:tc>
          <w:tcPr>
            <w:tcW w:w="5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3660" w:type="dxa"/>
            <w:vAlign w:val="bottom"/>
            <w:gridSpan w:val="2"/>
          </w:tcPr>
          <w:p>
            <w:pPr>
              <w:spacing w:after="0"/>
              <w:rPr>
                <w:sz w:val="20"/>
                <w:szCs w:val="20"/>
                <w:color w:val="auto"/>
              </w:rPr>
            </w:pPr>
            <w:r>
              <w:rPr>
                <w:rFonts w:ascii="Arial" w:cs="Arial" w:eastAsia="Arial" w:hAnsi="Arial"/>
                <w:sz w:val="15"/>
                <w:szCs w:val="15"/>
                <w:color w:val="auto"/>
              </w:rPr>
              <w:t>Total liabilities</w:t>
            </w:r>
          </w:p>
        </w:tc>
        <w:tc>
          <w:tcPr>
            <w:tcW w:w="22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5"/>
                <w:szCs w:val="15"/>
                <w:color w:val="auto"/>
              </w:rPr>
              <w:t>(2,275)</w:t>
            </w:r>
          </w:p>
        </w:tc>
        <w:tc>
          <w:tcPr>
            <w:tcW w:w="22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2,154</w:t>
            </w:r>
          </w:p>
        </w:tc>
        <w:tc>
          <w:tcPr>
            <w:tcW w:w="40" w:type="dxa"/>
            <w:vAlign w:val="bottom"/>
          </w:tcPr>
          <w:p>
            <w:pPr>
              <w:spacing w:after="0"/>
              <w:rPr>
                <w:sz w:val="17"/>
                <w:szCs w:val="17"/>
                <w:color w:val="auto"/>
              </w:rPr>
            </w:pPr>
          </w:p>
        </w:tc>
        <w:tc>
          <w:tcPr>
            <w:tcW w:w="380" w:type="dxa"/>
            <w:vAlign w:val="bottom"/>
            <w:gridSpan w:val="3"/>
          </w:tcPr>
          <w:p>
            <w:pPr>
              <w:ind w:left="280"/>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(121)</w:t>
            </w:r>
          </w:p>
        </w:tc>
        <w:tc>
          <w:tcPr>
            <w:tcW w:w="440" w:type="dxa"/>
            <w:vAlign w:val="bottom"/>
            <w:gridSpan w:val="2"/>
            <w:vMerge w:val="continue"/>
          </w:tcPr>
          <w:p>
            <w:pPr>
              <w:spacing w:after="0"/>
              <w:rPr>
                <w:sz w:val="17"/>
                <w:szCs w:val="17"/>
                <w:color w:val="auto"/>
              </w:rPr>
            </w:pPr>
          </w:p>
        </w:tc>
        <w:tc>
          <w:tcPr>
            <w:tcW w:w="36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center"/>
              <w:ind w:left="444"/>
              <w:spacing w:after="0"/>
              <w:rPr>
                <w:sz w:val="20"/>
                <w:szCs w:val="20"/>
                <w:color w:val="auto"/>
              </w:rPr>
            </w:pPr>
            <w:r>
              <w:rPr>
                <w:rFonts w:ascii="Arial" w:cs="Arial" w:eastAsia="Arial" w:hAnsi="Arial"/>
                <w:sz w:val="15"/>
                <w:szCs w:val="15"/>
                <w:color w:val="auto"/>
                <w:w w:val="95"/>
              </w:rPr>
              <w:t>55</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33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gridSpan w:val="2"/>
          </w:tcPr>
          <w:p>
            <w:pPr>
              <w:jc w:val="right"/>
              <w:ind w:right="208"/>
              <w:spacing w:after="0"/>
              <w:rPr>
                <w:sz w:val="20"/>
                <w:szCs w:val="20"/>
                <w:color w:val="auto"/>
              </w:rPr>
            </w:pPr>
            <w:r>
              <w:rPr>
                <w:rFonts w:ascii="Arial" w:cs="Arial" w:eastAsia="Arial" w:hAnsi="Arial"/>
                <w:sz w:val="15"/>
                <w:szCs w:val="15"/>
                <w:color w:val="auto"/>
                <w:w w:val="95"/>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62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980" w:type="dxa"/>
            <w:vAlign w:val="bottom"/>
            <w:tcBorders>
              <w:top w:val="single" w:sz="8" w:color="2C6937"/>
              <w:bottom w:val="single" w:sz="8" w:color="2C6937"/>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340" w:type="dxa"/>
            <w:vAlign w:val="bottom"/>
            <w:tcBorders>
              <w:top w:val="single" w:sz="8" w:color="2C6937"/>
              <w:bottom w:val="single" w:sz="8" w:color="2C6937"/>
            </w:tcBorders>
          </w:tcPr>
          <w:p>
            <w:pPr>
              <w:spacing w:after="0" w:line="20" w:lineRule="exact"/>
              <w:rPr>
                <w:sz w:val="1"/>
                <w:szCs w:val="1"/>
                <w:color w:val="auto"/>
              </w:rPr>
            </w:pPr>
          </w:p>
        </w:tc>
        <w:tc>
          <w:tcPr>
            <w:tcW w:w="56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72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6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28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2900" w:type="dxa"/>
            <w:vAlign w:val="bottom"/>
            <w:tcBorders>
              <w:bottom w:val="single" w:sz="8" w:color="2C6937"/>
            </w:tcBorders>
            <w:gridSpan w:val="10"/>
          </w:tcPr>
          <w:p>
            <w:pPr>
              <w:jc w:val="center"/>
              <w:ind w:right="120"/>
              <w:spacing w:after="0"/>
              <w:rPr>
                <w:sz w:val="20"/>
                <w:szCs w:val="20"/>
                <w:color w:val="auto"/>
              </w:rPr>
            </w:pPr>
            <w:r>
              <w:rPr>
                <w:rFonts w:ascii="Arial" w:cs="Arial" w:eastAsia="Arial" w:hAnsi="Arial"/>
                <w:sz w:val="14"/>
                <w:szCs w:val="14"/>
                <w:b w:val="1"/>
                <w:bCs w:val="1"/>
                <w:color w:val="auto"/>
                <w:w w:val="98"/>
              </w:rPr>
              <w:t>As of December 31, 2023</w:t>
            </w:r>
          </w:p>
        </w:tc>
        <w:tc>
          <w:tcPr>
            <w:tcW w:w="120" w:type="dxa"/>
            <w:vAlign w:val="bottom"/>
            <w:tcBorders>
              <w:bottom w:val="single" w:sz="8" w:color="2C6937"/>
            </w:tcBorders>
          </w:tcPr>
          <w:p>
            <w:pPr>
              <w:spacing w:after="0"/>
              <w:rPr>
                <w:sz w:val="24"/>
                <w:szCs w:val="24"/>
                <w:color w:val="auto"/>
              </w:rPr>
            </w:pPr>
          </w:p>
        </w:tc>
        <w:tc>
          <w:tcPr>
            <w:tcW w:w="86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6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340" w:type="dxa"/>
            <w:vAlign w:val="bottom"/>
            <w:tcBorders>
              <w:bottom w:val="single" w:sz="8" w:color="2C6937"/>
            </w:tcBorders>
          </w:tcPr>
          <w:p>
            <w:pPr>
              <w:spacing w:after="0"/>
              <w:rPr>
                <w:sz w:val="24"/>
                <w:szCs w:val="24"/>
                <w:color w:val="auto"/>
              </w:rPr>
            </w:pPr>
          </w:p>
        </w:tc>
        <w:tc>
          <w:tcPr>
            <w:tcW w:w="56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3"/>
          </w:tcPr>
          <w:p>
            <w:pPr>
              <w:jc w:val="center"/>
              <w:ind w:right="370"/>
              <w:spacing w:after="0"/>
              <w:rPr>
                <w:sz w:val="20"/>
                <w:szCs w:val="20"/>
                <w:color w:val="auto"/>
              </w:rPr>
            </w:pPr>
            <w:r>
              <w:rPr>
                <w:rFonts w:ascii="Arial" w:cs="Arial" w:eastAsia="Arial" w:hAnsi="Arial"/>
                <w:sz w:val="14"/>
                <w:szCs w:val="14"/>
                <w:b w:val="1"/>
                <w:bCs w:val="1"/>
                <w:color w:val="auto"/>
                <w:w w:val="98"/>
              </w:rPr>
              <w:t>Net Amount</w:t>
            </w:r>
          </w:p>
        </w:tc>
        <w:tc>
          <w:tcPr>
            <w:tcW w:w="20" w:type="dxa"/>
            <w:vAlign w:val="bottom"/>
          </w:tcPr>
          <w:p>
            <w:pPr>
              <w:spacing w:after="0"/>
              <w:rPr>
                <w:sz w:val="21"/>
                <w:szCs w:val="21"/>
                <w:color w:val="auto"/>
              </w:rPr>
            </w:pPr>
          </w:p>
        </w:tc>
        <w:tc>
          <w:tcPr>
            <w:tcW w:w="2760" w:type="dxa"/>
            <w:vAlign w:val="bottom"/>
            <w:gridSpan w:val="12"/>
            <w:vMerge w:val="restart"/>
          </w:tcPr>
          <w:p>
            <w:pPr>
              <w:jc w:val="center"/>
              <w:ind w:right="60"/>
              <w:spacing w:after="0"/>
              <w:rPr>
                <w:sz w:val="20"/>
                <w:szCs w:val="20"/>
                <w:color w:val="auto"/>
              </w:rPr>
            </w:pPr>
            <w:r>
              <w:rPr>
                <w:rFonts w:ascii="Arial" w:cs="Arial" w:eastAsia="Arial" w:hAnsi="Arial"/>
                <w:sz w:val="14"/>
                <w:szCs w:val="14"/>
                <w:b w:val="1"/>
                <w:bCs w:val="1"/>
                <w:color w:val="auto"/>
                <w:w w:val="97"/>
              </w:rPr>
              <w:t>Amounts Not Offset in our Condensed</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60" w:type="dxa"/>
            <w:vAlign w:val="bottom"/>
          </w:tcPr>
          <w:p>
            <w:pPr>
              <w:spacing w:after="0"/>
              <w:rPr>
                <w:sz w:val="7"/>
                <w:szCs w:val="7"/>
                <w:color w:val="auto"/>
              </w:rPr>
            </w:pPr>
          </w:p>
        </w:tc>
        <w:tc>
          <w:tcPr>
            <w:tcW w:w="36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Presented in our</w:t>
            </w:r>
          </w:p>
        </w:tc>
        <w:tc>
          <w:tcPr>
            <w:tcW w:w="20" w:type="dxa"/>
            <w:vAlign w:val="bottom"/>
          </w:tcPr>
          <w:p>
            <w:pPr>
              <w:spacing w:after="0"/>
              <w:rPr>
                <w:sz w:val="7"/>
                <w:szCs w:val="7"/>
                <w:color w:val="auto"/>
              </w:rPr>
            </w:pPr>
          </w:p>
        </w:tc>
        <w:tc>
          <w:tcPr>
            <w:tcW w:w="2760" w:type="dxa"/>
            <w:vAlign w:val="bottom"/>
            <w:gridSpan w:val="12"/>
            <w:vMerge w:val="continue"/>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0" w:type="dxa"/>
            <w:vAlign w:val="bottom"/>
          </w:tcPr>
          <w:p>
            <w:pPr>
              <w:spacing w:after="0"/>
              <w:rPr>
                <w:sz w:val="6"/>
                <w:szCs w:val="6"/>
                <w:color w:val="auto"/>
              </w:rPr>
            </w:pPr>
          </w:p>
        </w:tc>
        <w:tc>
          <w:tcPr>
            <w:tcW w:w="36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80" w:type="dxa"/>
            <w:vAlign w:val="bottom"/>
            <w:gridSpan w:val="5"/>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20" w:type="dxa"/>
            <w:vAlign w:val="bottom"/>
            <w:gridSpan w:val="9"/>
            <w:vMerge w:val="restart"/>
          </w:tcPr>
          <w:p>
            <w:pPr>
              <w:jc w:val="center"/>
              <w:ind w:right="400"/>
              <w:spacing w:after="0"/>
              <w:rPr>
                <w:sz w:val="20"/>
                <w:szCs w:val="20"/>
                <w:color w:val="auto"/>
              </w:rPr>
            </w:pPr>
            <w:r>
              <w:rPr>
                <w:rFonts w:ascii="Arial" w:cs="Arial" w:eastAsia="Arial" w:hAnsi="Arial"/>
                <w:sz w:val="14"/>
                <w:szCs w:val="14"/>
                <w:b w:val="1"/>
                <w:bCs w:val="1"/>
                <w:color w:val="auto"/>
                <w:w w:val="98"/>
              </w:rPr>
              <w:t>Consolidated Balance Sheets</w:t>
            </w: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6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rPr>
              <w:t>Gross</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3"/>
          </w:tcPr>
          <w:p>
            <w:pPr>
              <w:jc w:val="center"/>
              <w:ind w:right="350"/>
              <w:spacing w:after="0" w:line="119" w:lineRule="exact"/>
              <w:rPr>
                <w:sz w:val="20"/>
                <w:szCs w:val="20"/>
                <w:color w:val="auto"/>
              </w:rPr>
            </w:pPr>
            <w:r>
              <w:rPr>
                <w:rFonts w:ascii="Arial" w:cs="Arial" w:eastAsia="Arial" w:hAnsi="Arial"/>
                <w:sz w:val="13"/>
                <w:szCs w:val="13"/>
                <w:b w:val="1"/>
                <w:bCs w:val="1"/>
                <w:color w:val="auto"/>
              </w:rPr>
              <w:t>Condensed</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20" w:type="dxa"/>
            <w:vAlign w:val="bottom"/>
            <w:gridSpan w:val="9"/>
            <w:vMerge w:val="continue"/>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Amount</w:t>
            </w:r>
          </w:p>
        </w:tc>
        <w:tc>
          <w:tcPr>
            <w:tcW w:w="1660" w:type="dxa"/>
            <w:vAlign w:val="bottom"/>
            <w:gridSpan w:val="6"/>
          </w:tcPr>
          <w:p>
            <w:pPr>
              <w:jc w:val="center"/>
              <w:spacing w:after="0"/>
              <w:rPr>
                <w:sz w:val="20"/>
                <w:szCs w:val="20"/>
                <w:color w:val="auto"/>
              </w:rPr>
            </w:pPr>
            <w:r>
              <w:rPr>
                <w:rFonts w:ascii="Arial" w:cs="Arial" w:eastAsia="Arial" w:hAnsi="Arial"/>
                <w:sz w:val="14"/>
                <w:szCs w:val="14"/>
                <w:b w:val="1"/>
                <w:bCs w:val="1"/>
                <w:color w:val="auto"/>
                <w:w w:val="98"/>
              </w:rPr>
              <w:t>Consolidated Balance</w:t>
            </w:r>
          </w:p>
        </w:tc>
        <w:tc>
          <w:tcPr>
            <w:tcW w:w="20" w:type="dxa"/>
            <w:vAlign w:val="bottom"/>
          </w:tcPr>
          <w:p>
            <w:pPr>
              <w:spacing w:after="0"/>
              <w:rPr>
                <w:sz w:val="15"/>
                <w:szCs w:val="15"/>
                <w:color w:val="auto"/>
              </w:rPr>
            </w:pPr>
          </w:p>
        </w:tc>
        <w:tc>
          <w:tcPr>
            <w:tcW w:w="180" w:type="dxa"/>
            <w:vAlign w:val="bottom"/>
            <w:tcBorders>
              <w:top w:val="single" w:sz="8" w:color="2C6937"/>
            </w:tcBorders>
          </w:tcPr>
          <w:p>
            <w:pPr>
              <w:spacing w:after="0"/>
              <w:rPr>
                <w:sz w:val="15"/>
                <w:szCs w:val="15"/>
                <w:color w:val="auto"/>
              </w:rPr>
            </w:pPr>
          </w:p>
        </w:tc>
        <w:tc>
          <w:tcPr>
            <w:tcW w:w="20" w:type="dxa"/>
            <w:vAlign w:val="bottom"/>
            <w:tcBorders>
              <w:top w:val="single" w:sz="8" w:color="2C6937"/>
            </w:tcBorders>
          </w:tcPr>
          <w:p>
            <w:pPr>
              <w:spacing w:after="0"/>
              <w:rPr>
                <w:sz w:val="15"/>
                <w:szCs w:val="15"/>
                <w:color w:val="auto"/>
              </w:rPr>
            </w:pPr>
          </w:p>
        </w:tc>
        <w:tc>
          <w:tcPr>
            <w:tcW w:w="140" w:type="dxa"/>
            <w:vAlign w:val="bottom"/>
            <w:tcBorders>
              <w:top w:val="single" w:sz="8" w:color="2C6937"/>
            </w:tcBorders>
          </w:tcPr>
          <w:p>
            <w:pPr>
              <w:spacing w:after="0"/>
              <w:rPr>
                <w:sz w:val="15"/>
                <w:szCs w:val="15"/>
                <w:color w:val="auto"/>
              </w:rPr>
            </w:pPr>
          </w:p>
        </w:tc>
        <w:tc>
          <w:tcPr>
            <w:tcW w:w="1260" w:type="dxa"/>
            <w:vAlign w:val="bottom"/>
            <w:tcBorders>
              <w:top w:val="single" w:sz="8" w:color="2C6937"/>
            </w:tcBorders>
            <w:gridSpan w:val="3"/>
          </w:tcPr>
          <w:p>
            <w:pPr>
              <w:jc w:val="center"/>
              <w:ind w:right="540"/>
              <w:spacing w:after="0"/>
              <w:rPr>
                <w:sz w:val="20"/>
                <w:szCs w:val="20"/>
                <w:color w:val="auto"/>
              </w:rPr>
            </w:pPr>
            <w:r>
              <w:rPr>
                <w:rFonts w:ascii="Arial" w:cs="Arial" w:eastAsia="Arial" w:hAnsi="Arial"/>
                <w:sz w:val="14"/>
                <w:szCs w:val="14"/>
                <w:b w:val="1"/>
                <w:bCs w:val="1"/>
                <w:color w:val="auto"/>
                <w:w w:val="98"/>
              </w:rPr>
              <w:t>Financial</w:t>
            </w:r>
          </w:p>
        </w:tc>
        <w:tc>
          <w:tcPr>
            <w:tcW w:w="120" w:type="dxa"/>
            <w:vAlign w:val="bottom"/>
            <w:tcBorders>
              <w:top w:val="single" w:sz="8" w:color="2C6937"/>
            </w:tcBorders>
          </w:tcPr>
          <w:p>
            <w:pPr>
              <w:spacing w:after="0"/>
              <w:rPr>
                <w:sz w:val="15"/>
                <w:szCs w:val="15"/>
                <w:color w:val="auto"/>
              </w:rPr>
            </w:pPr>
          </w:p>
        </w:tc>
        <w:tc>
          <w:tcPr>
            <w:tcW w:w="860" w:type="dxa"/>
            <w:vAlign w:val="bottom"/>
            <w:tcBorders>
              <w:top w:val="single" w:sz="8" w:color="2C6937"/>
            </w:tcBorders>
          </w:tcPr>
          <w:p>
            <w:pPr>
              <w:spacing w:after="0"/>
              <w:rPr>
                <w:sz w:val="15"/>
                <w:szCs w:val="15"/>
                <w:color w:val="auto"/>
              </w:rPr>
            </w:pPr>
          </w:p>
        </w:tc>
        <w:tc>
          <w:tcPr>
            <w:tcW w:w="20" w:type="dxa"/>
            <w:vAlign w:val="bottom"/>
            <w:tcBorders>
              <w:top w:val="single" w:sz="8" w:color="2C6937"/>
            </w:tcBorders>
          </w:tcPr>
          <w:p>
            <w:pPr>
              <w:spacing w:after="0"/>
              <w:rPr>
                <w:sz w:val="15"/>
                <w:szCs w:val="15"/>
                <w:color w:val="auto"/>
              </w:rPr>
            </w:pPr>
          </w:p>
        </w:tc>
        <w:tc>
          <w:tcPr>
            <w:tcW w:w="80" w:type="dxa"/>
            <w:vAlign w:val="bottom"/>
            <w:tcBorders>
              <w:top w:val="single" w:sz="8" w:color="2C6937"/>
            </w:tcBorders>
          </w:tcPr>
          <w:p>
            <w:pPr>
              <w:spacing w:after="0"/>
              <w:rPr>
                <w:sz w:val="15"/>
                <w:szCs w:val="15"/>
                <w:color w:val="auto"/>
              </w:rPr>
            </w:pPr>
          </w:p>
        </w:tc>
        <w:tc>
          <w:tcPr>
            <w:tcW w:w="20" w:type="dxa"/>
            <w:vAlign w:val="bottom"/>
            <w:tcBorders>
              <w:top w:val="single" w:sz="8" w:color="2C6937"/>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760" w:type="dxa"/>
            <w:vAlign w:val="bottom"/>
            <w:tcBorders>
              <w:bottom w:val="single" w:sz="8" w:color="2C6937"/>
            </w:tcBorders>
            <w:gridSpan w:val="2"/>
          </w:tcPr>
          <w:p>
            <w:pPr>
              <w:jc w:val="right"/>
              <w:ind w:right="220"/>
              <w:spacing w:after="0"/>
              <w:rPr>
                <w:sz w:val="20"/>
                <w:szCs w:val="20"/>
                <w:color w:val="auto"/>
              </w:rPr>
            </w:pPr>
            <w:r>
              <w:rPr>
                <w:rFonts w:ascii="Arial" w:cs="Arial" w:eastAsia="Arial" w:hAnsi="Arial"/>
                <w:sz w:val="14"/>
                <w:szCs w:val="14"/>
                <w:b w:val="1"/>
                <w:bCs w:val="1"/>
                <w:color w:val="auto"/>
                <w:w w:val="98"/>
              </w:rPr>
              <w:t>Amount</w:t>
            </w:r>
          </w:p>
        </w:tc>
        <w:tc>
          <w:tcPr>
            <w:tcW w:w="60" w:type="dxa"/>
            <w:vAlign w:val="bottom"/>
            <w:tcBorders>
              <w:bottom w:val="single" w:sz="8" w:color="2C6937"/>
            </w:tcBorders>
          </w:tcPr>
          <w:p>
            <w:pPr>
              <w:spacing w:after="0"/>
              <w:rPr>
                <w:sz w:val="17"/>
                <w:szCs w:val="17"/>
                <w:color w:val="auto"/>
              </w:rPr>
            </w:pPr>
          </w:p>
        </w:tc>
        <w:tc>
          <w:tcPr>
            <w:tcW w:w="4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gridSpan w:val="2"/>
          </w:tcPr>
          <w:p>
            <w:pPr>
              <w:jc w:val="right"/>
              <w:ind w:right="220"/>
              <w:spacing w:after="0"/>
              <w:rPr>
                <w:sz w:val="20"/>
                <w:szCs w:val="20"/>
                <w:color w:val="auto"/>
              </w:rPr>
            </w:pPr>
            <w:r>
              <w:rPr>
                <w:rFonts w:ascii="Arial" w:cs="Arial" w:eastAsia="Arial" w:hAnsi="Arial"/>
                <w:sz w:val="14"/>
                <w:szCs w:val="14"/>
                <w:b w:val="1"/>
                <w:bCs w:val="1"/>
                <w:color w:val="auto"/>
                <w:w w:val="91"/>
              </w:rPr>
              <w:t>Offset</w:t>
            </w:r>
            <w:r>
              <w:rPr>
                <w:rFonts w:ascii="Arial" w:cs="Arial" w:eastAsia="Arial" w:hAnsi="Arial"/>
                <w:sz w:val="17"/>
                <w:szCs w:val="17"/>
                <w:b w:val="1"/>
                <w:bCs w:val="1"/>
                <w:color w:val="auto"/>
                <w:w w:val="91"/>
                <w:vertAlign w:val="superscript"/>
              </w:rPr>
              <w:t>(1)</w:t>
            </w:r>
          </w:p>
        </w:tc>
        <w:tc>
          <w:tcPr>
            <w:tcW w:w="28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280" w:type="dxa"/>
            <w:vAlign w:val="bottom"/>
            <w:tcBorders>
              <w:bottom w:val="single" w:sz="8" w:color="2C6937"/>
            </w:tcBorders>
            <w:gridSpan w:val="3"/>
          </w:tcPr>
          <w:p>
            <w:pPr>
              <w:jc w:val="center"/>
              <w:ind w:right="350"/>
              <w:spacing w:after="0"/>
              <w:rPr>
                <w:sz w:val="20"/>
                <w:szCs w:val="20"/>
                <w:color w:val="auto"/>
              </w:rPr>
            </w:pPr>
            <w:r>
              <w:rPr>
                <w:rFonts w:ascii="Arial" w:cs="Arial" w:eastAsia="Arial" w:hAnsi="Arial"/>
                <w:sz w:val="14"/>
                <w:szCs w:val="14"/>
                <w:b w:val="1"/>
                <w:bCs w:val="1"/>
                <w:color w:val="auto"/>
                <w:w w:val="95"/>
              </w:rPr>
              <w:t>Sheets</w:t>
            </w:r>
          </w:p>
        </w:tc>
        <w:tc>
          <w:tcPr>
            <w:tcW w:w="20" w:type="dxa"/>
            <w:vAlign w:val="bottom"/>
            <w:tcBorders>
              <w:bottom w:val="single" w:sz="8" w:color="2C6937"/>
            </w:tcBorders>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400" w:type="dxa"/>
            <w:vAlign w:val="bottom"/>
            <w:tcBorders>
              <w:bottom w:val="single" w:sz="8" w:color="2C6937"/>
            </w:tcBorders>
            <w:gridSpan w:val="4"/>
          </w:tcPr>
          <w:p>
            <w:pPr>
              <w:jc w:val="center"/>
              <w:ind w:right="400"/>
              <w:spacing w:after="0"/>
              <w:rPr>
                <w:sz w:val="20"/>
                <w:szCs w:val="20"/>
                <w:color w:val="auto"/>
              </w:rPr>
            </w:pPr>
            <w:r>
              <w:rPr>
                <w:rFonts w:ascii="Arial" w:cs="Arial" w:eastAsia="Arial" w:hAnsi="Arial"/>
                <w:sz w:val="14"/>
                <w:szCs w:val="14"/>
                <w:b w:val="1"/>
                <w:bCs w:val="1"/>
                <w:color w:val="auto"/>
                <w:w w:val="93"/>
              </w:rPr>
              <w:t>Instruments</w:t>
            </w:r>
            <w:r>
              <w:rPr>
                <w:rFonts w:ascii="Arial" w:cs="Arial" w:eastAsia="Arial" w:hAnsi="Arial"/>
                <w:sz w:val="17"/>
                <w:szCs w:val="17"/>
                <w:b w:val="1"/>
                <w:bCs w:val="1"/>
                <w:color w:val="auto"/>
                <w:w w:val="93"/>
                <w:vertAlign w:val="superscript"/>
              </w:rPr>
              <w:t>(2)</w:t>
            </w:r>
          </w:p>
        </w:tc>
        <w:tc>
          <w:tcPr>
            <w:tcW w:w="120" w:type="dxa"/>
            <w:vAlign w:val="bottom"/>
            <w:tcBorders>
              <w:bottom w:val="single" w:sz="8" w:color="2C6937"/>
            </w:tcBorders>
          </w:tcPr>
          <w:p>
            <w:pPr>
              <w:spacing w:after="0"/>
              <w:rPr>
                <w:sz w:val="17"/>
                <w:szCs w:val="17"/>
                <w:color w:val="auto"/>
              </w:rPr>
            </w:pPr>
          </w:p>
        </w:tc>
        <w:tc>
          <w:tcPr>
            <w:tcW w:w="1040" w:type="dxa"/>
            <w:vAlign w:val="bottom"/>
            <w:tcBorders>
              <w:bottom w:val="single" w:sz="8" w:color="2C6937"/>
            </w:tcBorders>
            <w:gridSpan w:val="5"/>
          </w:tcPr>
          <w:p>
            <w:pPr>
              <w:ind w:left="20"/>
              <w:spacing w:after="0"/>
              <w:rPr>
                <w:sz w:val="20"/>
                <w:szCs w:val="20"/>
                <w:color w:val="auto"/>
              </w:rPr>
            </w:pPr>
            <w:r>
              <w:rPr>
                <w:rFonts w:ascii="Arial" w:cs="Arial" w:eastAsia="Arial" w:hAnsi="Arial"/>
                <w:sz w:val="14"/>
                <w:szCs w:val="14"/>
                <w:b w:val="1"/>
                <w:bCs w:val="1"/>
                <w:color w:val="auto"/>
              </w:rPr>
              <w:t>Collateral</w:t>
            </w:r>
            <w:r>
              <w:rPr>
                <w:rFonts w:ascii="Arial" w:cs="Arial" w:eastAsia="Arial" w:hAnsi="Arial"/>
                <w:sz w:val="17"/>
                <w:szCs w:val="17"/>
                <w:b w:val="1"/>
                <w:bCs w:val="1"/>
                <w:color w:val="auto"/>
                <w:vertAlign w:val="superscript"/>
              </w:rPr>
              <w:t>(3)</w:t>
            </w:r>
          </w:p>
        </w:tc>
        <w:tc>
          <w:tcPr>
            <w:tcW w:w="40" w:type="dxa"/>
            <w:vAlign w:val="bottom"/>
            <w:tcBorders>
              <w:bottom w:val="single" w:sz="8" w:color="2C6937"/>
            </w:tcBorders>
          </w:tcPr>
          <w:p>
            <w:pPr>
              <w:spacing w:after="0"/>
              <w:rPr>
                <w:sz w:val="17"/>
                <w:szCs w:val="17"/>
                <w:color w:val="auto"/>
              </w:rPr>
            </w:pPr>
          </w:p>
        </w:tc>
        <w:tc>
          <w:tcPr>
            <w:tcW w:w="940" w:type="dxa"/>
            <w:vAlign w:val="bottom"/>
            <w:tcBorders>
              <w:bottom w:val="single" w:sz="8" w:color="2C6937"/>
            </w:tcBorders>
            <w:gridSpan w:val="3"/>
          </w:tcPr>
          <w:p>
            <w:pPr>
              <w:jc w:val="right"/>
              <w:ind w:right="8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00" w:type="dxa"/>
            <w:vAlign w:val="bottom"/>
            <w:gridSpan w:val="10"/>
          </w:tcPr>
          <w:p>
            <w:pPr>
              <w:jc w:val="center"/>
              <w:ind w:right="100"/>
              <w:spacing w:after="0"/>
              <w:rPr>
                <w:sz w:val="20"/>
                <w:szCs w:val="20"/>
                <w:color w:val="auto"/>
              </w:rPr>
            </w:pPr>
            <w:r>
              <w:rPr>
                <w:rFonts w:ascii="Arial" w:cs="Arial" w:eastAsia="Arial" w:hAnsi="Arial"/>
                <w:sz w:val="14"/>
                <w:szCs w:val="14"/>
                <w:b w:val="1"/>
                <w:bCs w:val="1"/>
                <w:color w:val="auto"/>
                <w:w w:val="98"/>
              </w:rPr>
              <w:t>(Dollars in millions)</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720" w:type="dxa"/>
            <w:vAlign w:val="bottom"/>
            <w:gridSpan w:val="3"/>
          </w:tcPr>
          <w:p>
            <w:pPr>
              <w:ind w:left="20"/>
              <w:spacing w:after="0"/>
              <w:rPr>
                <w:sz w:val="20"/>
                <w:szCs w:val="20"/>
                <w:color w:val="auto"/>
              </w:rPr>
            </w:pPr>
            <w:r>
              <w:rPr>
                <w:rFonts w:ascii="Arial" w:cs="Arial" w:eastAsia="Arial" w:hAnsi="Arial"/>
                <w:sz w:val="15"/>
                <w:szCs w:val="15"/>
                <w:color w:val="auto"/>
              </w:rPr>
              <w:t>Assets: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3660" w:type="dxa"/>
            <w:vAlign w:val="bottom"/>
            <w:gridSpan w:val="2"/>
          </w:tcPr>
          <w:p>
            <w:pPr>
              <w:ind w:left="120"/>
              <w:spacing w:after="0"/>
              <w:rPr>
                <w:sz w:val="20"/>
                <w:szCs w:val="20"/>
                <w:color w:val="auto"/>
              </w:rPr>
            </w:pPr>
            <w:r>
              <w:rPr>
                <w:rFonts w:ascii="Arial" w:cs="Arial" w:eastAsia="Arial" w:hAnsi="Arial"/>
                <w:sz w:val="15"/>
                <w:szCs w:val="15"/>
                <w:color w:val="auto"/>
              </w:rPr>
              <w:t>OTC risk management derivatives</w:t>
            </w:r>
          </w:p>
        </w:tc>
        <w:tc>
          <w:tcPr>
            <w:tcW w:w="22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328</w:t>
            </w:r>
          </w:p>
        </w:tc>
        <w:tc>
          <w:tcPr>
            <w:tcW w:w="40" w:type="dxa"/>
            <w:vAlign w:val="bottom"/>
          </w:tcPr>
          <w:p>
            <w:pPr>
              <w:spacing w:after="0"/>
              <w:rPr>
                <w:sz w:val="17"/>
                <w:szCs w:val="17"/>
                <w:color w:val="auto"/>
              </w:rPr>
            </w:pPr>
          </w:p>
        </w:tc>
        <w:tc>
          <w:tcPr>
            <w:tcW w:w="220" w:type="dxa"/>
            <w:vAlign w:val="bottom"/>
            <w:gridSpan w:val="3"/>
          </w:tcPr>
          <w:p>
            <w:pPr>
              <w:jc w:val="right"/>
              <w:ind w:right="6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(294)</w:t>
            </w:r>
          </w:p>
        </w:tc>
        <w:tc>
          <w:tcPr>
            <w:tcW w:w="40" w:type="dxa"/>
            <w:vAlign w:val="bottom"/>
          </w:tcPr>
          <w:p>
            <w:pPr>
              <w:spacing w:after="0"/>
              <w:rPr>
                <w:sz w:val="17"/>
                <w:szCs w:val="17"/>
                <w:color w:val="auto"/>
              </w:rPr>
            </w:pPr>
          </w:p>
        </w:tc>
        <w:tc>
          <w:tcPr>
            <w:tcW w:w="380" w:type="dxa"/>
            <w:vAlign w:val="bottom"/>
            <w:gridSpan w:val="3"/>
          </w:tcPr>
          <w:p>
            <w:pPr>
              <w:ind w:left="30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34</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1260" w:type="dxa"/>
            <w:vAlign w:val="bottom"/>
            <w:gridSpan w:val="3"/>
          </w:tcPr>
          <w:p>
            <w:pPr>
              <w:jc w:val="right"/>
              <w:ind w:right="48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5"/>
          </w:tcPr>
          <w:p>
            <w:pPr>
              <w:jc w:val="right"/>
              <w:ind w:right="220"/>
              <w:spacing w:after="0"/>
              <w:rPr>
                <w:sz w:val="20"/>
                <w:szCs w:val="20"/>
                <w:color w:val="auto"/>
              </w:rPr>
            </w:pPr>
            <w:r>
              <w:rPr>
                <w:rFonts w:ascii="Arial" w:cs="Arial" w:eastAsia="Arial" w:hAnsi="Arial"/>
                <w:sz w:val="15"/>
                <w:szCs w:val="15"/>
                <w:color w:val="auto"/>
              </w:rPr>
              <w:t>—</w:t>
            </w:r>
          </w:p>
        </w:tc>
        <w:tc>
          <w:tcPr>
            <w:tcW w:w="380" w:type="dxa"/>
            <w:vAlign w:val="bottom"/>
            <w:gridSpan w:val="2"/>
          </w:tcPr>
          <w:p>
            <w:pPr>
              <w:ind w:left="60"/>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34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3660" w:type="dxa"/>
            <w:vAlign w:val="bottom"/>
            <w:gridSpan w:val="2"/>
          </w:tcPr>
          <w:p>
            <w:pPr>
              <w:ind w:left="120"/>
              <w:spacing w:after="0"/>
              <w:rPr>
                <w:sz w:val="20"/>
                <w:szCs w:val="20"/>
                <w:color w:val="auto"/>
              </w:rPr>
            </w:pPr>
            <w:r>
              <w:rPr>
                <w:rFonts w:ascii="Arial" w:cs="Arial" w:eastAsia="Arial" w:hAnsi="Arial"/>
                <w:sz w:val="15"/>
                <w:szCs w:val="15"/>
                <w:color w:val="auto"/>
              </w:rPr>
              <w:t>Cleared risk management derivatives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11</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11</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3"/>
          </w:tcPr>
          <w:p>
            <w:pPr>
              <w:jc w:val="right"/>
              <w:ind w:right="4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40" w:type="dxa"/>
            <w:vAlign w:val="bottom"/>
            <w:gridSpan w:val="5"/>
          </w:tcPr>
          <w:p>
            <w:pPr>
              <w:jc w:val="right"/>
              <w:ind w:right="22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 w:type="dxa"/>
            <w:vAlign w:val="bottom"/>
            <w:tcBorders>
              <w:bottom w:val="single" w:sz="8" w:color="2C6937"/>
            </w:tcBorders>
          </w:tcPr>
          <w:p>
            <w:pPr>
              <w:spacing w:after="0"/>
              <w:rPr>
                <w:sz w:val="18"/>
                <w:szCs w:val="18"/>
                <w:color w:val="auto"/>
              </w:rPr>
            </w:pPr>
          </w:p>
        </w:tc>
        <w:tc>
          <w:tcPr>
            <w:tcW w:w="3620" w:type="dxa"/>
            <w:vAlign w:val="bottom"/>
            <w:tcBorders>
              <w:bottom w:val="single" w:sz="8" w:color="2C6937"/>
            </w:tcBorders>
          </w:tcPr>
          <w:p>
            <w:pPr>
              <w:ind w:left="120"/>
              <w:spacing w:after="0"/>
              <w:rPr>
                <w:sz w:val="20"/>
                <w:szCs w:val="20"/>
                <w:color w:val="auto"/>
              </w:rPr>
            </w:pPr>
            <w:r>
              <w:rPr>
                <w:rFonts w:ascii="Arial" w:cs="Arial" w:eastAsia="Arial" w:hAnsi="Arial"/>
                <w:sz w:val="15"/>
                <w:szCs w:val="15"/>
                <w:color w:val="auto"/>
              </w:rPr>
              <w:t>Mortgage commitment derivatives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112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112</w:t>
            </w:r>
          </w:p>
        </w:tc>
        <w:tc>
          <w:tcPr>
            <w:tcW w:w="20" w:type="dxa"/>
            <w:vAlign w:val="bottom"/>
            <w:tcBorders>
              <w:bottom w:val="single" w:sz="8" w:color="2C6937"/>
            </w:tcBorders>
          </w:tcPr>
          <w:p>
            <w:pPr>
              <w:spacing w:after="0"/>
              <w:rPr>
                <w:sz w:val="18"/>
                <w:szCs w:val="18"/>
                <w:color w:val="auto"/>
              </w:rPr>
            </w:pPr>
          </w:p>
        </w:tc>
        <w:tc>
          <w:tcPr>
            <w:tcW w:w="420" w:type="dxa"/>
            <w:vAlign w:val="bottom"/>
            <w:vMerge w:val="restart"/>
          </w:tcPr>
          <w:p>
            <w:pPr>
              <w:jc w:val="right"/>
              <w:ind w:right="250"/>
              <w:spacing w:after="0"/>
              <w:rPr>
                <w:sz w:val="20"/>
                <w:szCs w:val="20"/>
                <w:color w:val="auto"/>
              </w:rPr>
            </w:pPr>
            <w:r>
              <w:rPr>
                <w:rFonts w:ascii="Arial" w:cs="Arial" w:eastAsia="Arial" w:hAnsi="Arial"/>
                <w:sz w:val="10"/>
                <w:szCs w:val="10"/>
                <w:color w:val="auto"/>
                <w:w w:val="81"/>
              </w:rPr>
              <w:t>(4)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center"/>
              <w:ind w:left="464"/>
              <w:spacing w:after="0"/>
              <w:rPr>
                <w:sz w:val="20"/>
                <w:szCs w:val="20"/>
                <w:color w:val="auto"/>
              </w:rPr>
            </w:pPr>
            <w:r>
              <w:rPr>
                <w:rFonts w:ascii="Arial" w:cs="Arial" w:eastAsia="Arial" w:hAnsi="Arial"/>
                <w:sz w:val="15"/>
                <w:szCs w:val="15"/>
                <w:color w:val="auto"/>
                <w:w w:val="97"/>
              </w:rPr>
              <w:t>(23)</w:t>
            </w:r>
          </w:p>
        </w:tc>
        <w:tc>
          <w:tcPr>
            <w:tcW w:w="20" w:type="dxa"/>
            <w:vAlign w:val="bottom"/>
            <w:tcBorders>
              <w:bottom w:val="single" w:sz="8" w:color="2C6937"/>
            </w:tcBorders>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w:t>
            </w:r>
          </w:p>
        </w:tc>
        <w:tc>
          <w:tcPr>
            <w:tcW w:w="20" w:type="dxa"/>
            <w:vAlign w:val="bottom"/>
            <w:tcBorders>
              <w:bottom w:val="single" w:sz="8" w:color="2C6937"/>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Borders>
              <w:bottom w:val="single" w:sz="8" w:color="2C6937"/>
            </w:tcBorders>
          </w:tcPr>
          <w:p>
            <w:pPr>
              <w:spacing w:after="0"/>
              <w:rPr>
                <w:sz w:val="18"/>
                <w:szCs w:val="18"/>
                <w:color w:val="auto"/>
              </w:rPr>
            </w:pPr>
          </w:p>
        </w:tc>
        <w:tc>
          <w:tcPr>
            <w:tcW w:w="5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80</w:t>
            </w:r>
          </w:p>
        </w:tc>
        <w:tc>
          <w:tcPr>
            <w:tcW w:w="40" w:type="dxa"/>
            <w:vAlign w:val="bottom"/>
            <w:tcBorders>
              <w:bottom w:val="single" w:sz="8" w:color="2C6937"/>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3660" w:type="dxa"/>
            <w:vAlign w:val="bottom"/>
            <w:gridSpan w:val="2"/>
          </w:tcPr>
          <w:p>
            <w:pPr>
              <w:ind w:left="260"/>
              <w:spacing w:after="0"/>
              <w:rPr>
                <w:sz w:val="20"/>
                <w:szCs w:val="20"/>
                <w:color w:val="auto"/>
              </w:rPr>
            </w:pPr>
            <w:r>
              <w:rPr>
                <w:rFonts w:ascii="Arial" w:cs="Arial" w:eastAsia="Arial" w:hAnsi="Arial"/>
                <w:sz w:val="15"/>
                <w:szCs w:val="15"/>
                <w:color w:val="auto"/>
              </w:rPr>
              <w:t>Total derivative assets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440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(283)</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30"/>
              <w:spacing w:after="0"/>
              <w:rPr>
                <w:sz w:val="20"/>
                <w:szCs w:val="20"/>
                <w:color w:val="auto"/>
              </w:rPr>
            </w:pPr>
            <w:r>
              <w:rPr>
                <w:rFonts w:ascii="Arial" w:cs="Arial" w:eastAsia="Arial" w:hAnsi="Arial"/>
                <w:sz w:val="15"/>
                <w:szCs w:val="15"/>
                <w:color w:val="auto"/>
              </w:rPr>
              <w:t>157</w:t>
            </w:r>
          </w:p>
        </w:tc>
        <w:tc>
          <w:tcPr>
            <w:tcW w:w="4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center"/>
              <w:ind w:left="464"/>
              <w:spacing w:after="0"/>
              <w:rPr>
                <w:sz w:val="20"/>
                <w:szCs w:val="20"/>
                <w:color w:val="auto"/>
              </w:rPr>
            </w:pPr>
            <w:r>
              <w:rPr>
                <w:rFonts w:ascii="Arial" w:cs="Arial" w:eastAsia="Arial" w:hAnsi="Arial"/>
                <w:sz w:val="15"/>
                <w:szCs w:val="15"/>
                <w:color w:val="auto"/>
                <w:w w:val="97"/>
              </w:rPr>
              <w:t>(23)</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 w:type="dxa"/>
            <w:vAlign w:val="bottom"/>
            <w:tcBorders>
              <w:bottom w:val="single" w:sz="8" w:color="2C6937"/>
            </w:tcBorders>
          </w:tcPr>
          <w:p>
            <w:pPr>
              <w:spacing w:after="0"/>
              <w:rPr>
                <w:sz w:val="20"/>
                <w:szCs w:val="20"/>
                <w:color w:val="auto"/>
              </w:rPr>
            </w:pPr>
          </w:p>
        </w:tc>
        <w:tc>
          <w:tcPr>
            <w:tcW w:w="3620" w:type="dxa"/>
            <w:vAlign w:val="bottom"/>
            <w:tcBorders>
              <w:bottom w:val="single" w:sz="8" w:color="2C6937"/>
            </w:tcBorders>
          </w:tcPr>
          <w:p>
            <w:pPr>
              <w:ind w:left="120"/>
              <w:spacing w:after="0"/>
              <w:rPr>
                <w:sz w:val="20"/>
                <w:szCs w:val="20"/>
                <w:color w:val="auto"/>
              </w:rPr>
            </w:pPr>
            <w:r>
              <w:rPr>
                <w:rFonts w:ascii="Arial" w:cs="Arial" w:eastAsia="Arial" w:hAnsi="Arial"/>
                <w:sz w:val="15"/>
                <w:szCs w:val="15"/>
                <w:color w:val="auto"/>
              </w:rPr>
              <w:t>Securities purchased under agreements to resell</w:t>
            </w:r>
            <w:r>
              <w:rPr>
                <w:rFonts w:ascii="Arial" w:cs="Arial" w:eastAsia="Arial" w:hAnsi="Arial"/>
                <w:sz w:val="20"/>
                <w:szCs w:val="20"/>
                <w:color w:val="auto"/>
                <w:vertAlign w:val="superscript"/>
              </w:rPr>
              <w:t>(5)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2C6937"/>
            </w:tcBorders>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72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65,425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bottom w:val="single" w:sz="8" w:color="2C6937"/>
            </w:tcBorders>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2C6937"/>
            </w:tcBorders>
          </w:tcPr>
          <w:p>
            <w:pPr>
              <w:spacing w:after="0"/>
              <w:rPr>
                <w:sz w:val="20"/>
                <w:szCs w:val="20"/>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65,425</w:t>
            </w:r>
          </w:p>
        </w:tc>
        <w:tc>
          <w:tcPr>
            <w:tcW w:w="20" w:type="dxa"/>
            <w:vAlign w:val="bottom"/>
            <w:tcBorders>
              <w:bottom w:val="single" w:sz="8" w:color="2C6937"/>
            </w:tcBorders>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860" w:type="dxa"/>
            <w:vAlign w:val="bottom"/>
            <w:tcBorders>
              <w:bottom w:val="single" w:sz="8" w:color="2C6937"/>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(65,425)</w:t>
            </w:r>
          </w:p>
        </w:tc>
        <w:tc>
          <w:tcPr>
            <w:tcW w:w="20" w:type="dxa"/>
            <w:vAlign w:val="bottom"/>
            <w:tcBorders>
              <w:bottom w:val="single" w:sz="8" w:color="2C6937"/>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Borders>
              <w:bottom w:val="single" w:sz="8" w:color="2C6937"/>
            </w:tcBorders>
          </w:tcPr>
          <w:p>
            <w:pPr>
              <w:spacing w:after="0"/>
              <w:rPr>
                <w:sz w:val="20"/>
                <w:szCs w:val="20"/>
                <w:color w:val="auto"/>
              </w:rPr>
            </w:pPr>
          </w:p>
        </w:tc>
        <w:tc>
          <w:tcPr>
            <w:tcW w:w="600" w:type="dxa"/>
            <w:vAlign w:val="bottom"/>
            <w:tcBorders>
              <w:bottom w:val="single" w:sz="8" w:color="2C6937"/>
            </w:tcBorders>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4"/>
        </w:trPr>
        <w:tc>
          <w:tcPr>
            <w:tcW w:w="3680" w:type="dxa"/>
            <w:vAlign w:val="bottom"/>
            <w:tcBorders>
              <w:bottom w:val="single" w:sz="8" w:color="2C6937"/>
            </w:tcBorders>
            <w:gridSpan w:val="2"/>
          </w:tcPr>
          <w:p>
            <w:pPr>
              <w:ind w:left="20"/>
              <w:spacing w:after="0"/>
              <w:rPr>
                <w:sz w:val="20"/>
                <w:szCs w:val="20"/>
                <w:color w:val="auto"/>
              </w:rPr>
            </w:pPr>
            <w:r>
              <w:rPr>
                <w:rFonts w:ascii="Arial" w:cs="Arial" w:eastAsia="Arial" w:hAnsi="Arial"/>
                <w:sz w:val="15"/>
                <w:szCs w:val="15"/>
                <w:color w:val="auto"/>
              </w:rPr>
              <w:t>Total assets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2C6937"/>
            </w:tcBorders>
            <w:gridSpan w:val="2"/>
          </w:tcPr>
          <w:p>
            <w:pPr>
              <w:jc w:val="right"/>
              <w:ind w:right="40"/>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65,865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2C6937"/>
            </w:tcBorders>
            <w:gridSpan w:val="2"/>
          </w:tcPr>
          <w:p>
            <w:pPr>
              <w:jc w:val="right"/>
              <w:ind w:right="60"/>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(283)</w:t>
            </w:r>
          </w:p>
        </w:tc>
        <w:tc>
          <w:tcPr>
            <w:tcW w:w="40" w:type="dxa"/>
            <w:vAlign w:val="bottom"/>
          </w:tcPr>
          <w:p>
            <w:pPr>
              <w:spacing w:after="0"/>
              <w:rPr>
                <w:sz w:val="19"/>
                <w:szCs w:val="19"/>
                <w:color w:val="auto"/>
              </w:rPr>
            </w:pPr>
          </w:p>
        </w:tc>
        <w:tc>
          <w:tcPr>
            <w:tcW w:w="300" w:type="dxa"/>
            <w:vAlign w:val="bottom"/>
            <w:gridSpan w:val="2"/>
          </w:tcPr>
          <w:p>
            <w:pPr>
              <w:spacing w:after="0"/>
              <w:rPr>
                <w:sz w:val="19"/>
                <w:szCs w:val="19"/>
                <w:color w:val="auto"/>
              </w:rPr>
            </w:pPr>
          </w:p>
        </w:tc>
        <w:tc>
          <w:tcPr>
            <w:tcW w:w="80" w:type="dxa"/>
            <w:vAlign w:val="bottom"/>
            <w:tcBorders>
              <w:bottom w:val="single" w:sz="8" w:color="2C6937"/>
            </w:tcBorders>
          </w:tcPr>
          <w:p>
            <w:pPr>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65,582</w:t>
            </w:r>
          </w:p>
        </w:tc>
        <w:tc>
          <w:tcPr>
            <w:tcW w:w="20" w:type="dxa"/>
            <w:vAlign w:val="bottom"/>
            <w:tcBorders>
              <w:bottom w:val="single" w:sz="8" w:color="2C6937"/>
            </w:tcBorders>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gridSpan w:val="3"/>
          </w:tcPr>
          <w:p>
            <w:pPr>
              <w:spacing w:after="0"/>
              <w:rPr>
                <w:sz w:val="19"/>
                <w:szCs w:val="19"/>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2C6937"/>
            </w:tcBorders>
          </w:tcPr>
          <w:p>
            <w:pPr>
              <w:jc w:val="center"/>
              <w:ind w:left="464"/>
              <w:spacing w:after="0"/>
              <w:rPr>
                <w:sz w:val="20"/>
                <w:szCs w:val="20"/>
                <w:color w:val="auto"/>
              </w:rPr>
            </w:pPr>
            <w:r>
              <w:rPr>
                <w:rFonts w:ascii="Arial" w:cs="Arial" w:eastAsia="Arial" w:hAnsi="Arial"/>
                <w:sz w:val="15"/>
                <w:szCs w:val="15"/>
                <w:color w:val="auto"/>
                <w:w w:val="97"/>
              </w:rPr>
              <w:t>(23)</w:t>
            </w:r>
          </w:p>
        </w:tc>
        <w:tc>
          <w:tcPr>
            <w:tcW w:w="20" w:type="dxa"/>
            <w:vAlign w:val="bottom"/>
            <w:tcBorders>
              <w:bottom w:val="single" w:sz="8" w:color="2C6937"/>
            </w:tcBorders>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(65,434)</w:t>
            </w:r>
          </w:p>
        </w:tc>
        <w:tc>
          <w:tcPr>
            <w:tcW w:w="20" w:type="dxa"/>
            <w:vAlign w:val="bottom"/>
            <w:tcBorders>
              <w:bottom w:val="single" w:sz="8" w:color="2C6937"/>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w:t>
            </w:r>
          </w:p>
        </w:tc>
        <w:tc>
          <w:tcPr>
            <w:tcW w:w="5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125</w:t>
            </w:r>
          </w:p>
        </w:tc>
        <w:tc>
          <w:tcPr>
            <w:tcW w:w="40" w:type="dxa"/>
            <w:vAlign w:val="bottom"/>
            <w:tcBorders>
              <w:bottom w:val="single" w:sz="8" w:color="2C6937"/>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Borders>
              <w:bottom w:val="single" w:sz="8" w:color="2C6937"/>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2C6937"/>
            </w:tcBorders>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700" w:type="dxa"/>
            <w:vAlign w:val="bottom"/>
            <w:tcBorders>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2C6937"/>
            </w:tcBorders>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860" w:type="dxa"/>
            <w:vAlign w:val="bottom"/>
            <w:tcBorders>
              <w:bottom w:val="single" w:sz="8" w:color="2C6937"/>
            </w:tcBorders>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2C6937"/>
            </w:tcBorders>
          </w:tcPr>
          <w:p>
            <w:pPr>
              <w:spacing w:after="0" w:line="20" w:lineRule="exact"/>
              <w:rPr>
                <w:sz w:val="1"/>
                <w:szCs w:val="1"/>
                <w:color w:val="auto"/>
              </w:rPr>
            </w:pPr>
          </w:p>
        </w:tc>
        <w:tc>
          <w:tcPr>
            <w:tcW w:w="560" w:type="dxa"/>
            <w:vAlign w:val="bottom"/>
            <w:tcBorders>
              <w:bottom w:val="single" w:sz="8" w:color="2C6937"/>
            </w:tcBorders>
          </w:tcPr>
          <w:p>
            <w:pPr>
              <w:spacing w:after="0" w:line="20" w:lineRule="exact"/>
              <w:rPr>
                <w:sz w:val="1"/>
                <w:szCs w:val="1"/>
                <w:color w:val="auto"/>
              </w:rPr>
            </w:pPr>
          </w:p>
        </w:tc>
        <w:tc>
          <w:tcPr>
            <w:tcW w:w="40" w:type="dxa"/>
            <w:vAlign w:val="bottom"/>
            <w:tcBorders>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20" w:type="dxa"/>
            <w:vAlign w:val="bottom"/>
            <w:gridSpan w:val="3"/>
          </w:tcPr>
          <w:p>
            <w:pPr>
              <w:ind w:left="20"/>
              <w:spacing w:after="0"/>
              <w:rPr>
                <w:sz w:val="20"/>
                <w:szCs w:val="20"/>
                <w:color w:val="auto"/>
              </w:rPr>
            </w:pPr>
            <w:r>
              <w:rPr>
                <w:rFonts w:ascii="Arial" w:cs="Arial" w:eastAsia="Arial" w:hAnsi="Arial"/>
                <w:sz w:val="15"/>
                <w:szCs w:val="15"/>
                <w:color w:val="auto"/>
              </w:rPr>
              <w:t>Liabilities: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3660" w:type="dxa"/>
            <w:vAlign w:val="bottom"/>
            <w:gridSpan w:val="2"/>
          </w:tcPr>
          <w:p>
            <w:pPr>
              <w:ind w:left="120"/>
              <w:spacing w:after="0"/>
              <w:rPr>
                <w:sz w:val="20"/>
                <w:szCs w:val="20"/>
                <w:color w:val="auto"/>
              </w:rPr>
            </w:pPr>
            <w:r>
              <w:rPr>
                <w:rFonts w:ascii="Arial" w:cs="Arial" w:eastAsia="Arial" w:hAnsi="Arial"/>
                <w:sz w:val="15"/>
                <w:szCs w:val="15"/>
                <w:color w:val="auto"/>
              </w:rPr>
              <w:t>OTC risk management derivatives</w:t>
            </w:r>
          </w:p>
        </w:tc>
        <w:tc>
          <w:tcPr>
            <w:tcW w:w="22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(3,223)</w:t>
            </w:r>
          </w:p>
        </w:tc>
        <w:tc>
          <w:tcPr>
            <w:tcW w:w="40" w:type="dxa"/>
            <w:vAlign w:val="bottom"/>
          </w:tcPr>
          <w:p>
            <w:pPr>
              <w:spacing w:after="0"/>
              <w:rPr>
                <w:sz w:val="17"/>
                <w:szCs w:val="17"/>
                <w:color w:val="auto"/>
              </w:rPr>
            </w:pPr>
          </w:p>
        </w:tc>
        <w:tc>
          <w:tcPr>
            <w:tcW w:w="220" w:type="dxa"/>
            <w:vAlign w:val="bottom"/>
            <w:gridSpan w:val="3"/>
          </w:tcPr>
          <w:p>
            <w:pPr>
              <w:jc w:val="right"/>
              <w:ind w:right="6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3,203</w:t>
            </w:r>
          </w:p>
        </w:tc>
        <w:tc>
          <w:tcPr>
            <w:tcW w:w="40" w:type="dxa"/>
            <w:vAlign w:val="bottom"/>
          </w:tcPr>
          <w:p>
            <w:pPr>
              <w:spacing w:after="0"/>
              <w:rPr>
                <w:sz w:val="17"/>
                <w:szCs w:val="17"/>
                <w:color w:val="auto"/>
              </w:rPr>
            </w:pPr>
          </w:p>
        </w:tc>
        <w:tc>
          <w:tcPr>
            <w:tcW w:w="380" w:type="dxa"/>
            <w:vAlign w:val="bottom"/>
            <w:gridSpan w:val="3"/>
          </w:tcPr>
          <w:p>
            <w:pPr>
              <w:ind w:left="30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(20)</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1260" w:type="dxa"/>
            <w:vAlign w:val="bottom"/>
            <w:gridSpan w:val="3"/>
          </w:tcPr>
          <w:p>
            <w:pPr>
              <w:jc w:val="right"/>
              <w:ind w:right="48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5"/>
          </w:tcPr>
          <w:p>
            <w:pPr>
              <w:jc w:val="right"/>
              <w:ind w:right="220"/>
              <w:spacing w:after="0"/>
              <w:rPr>
                <w:sz w:val="20"/>
                <w:szCs w:val="20"/>
                <w:color w:val="auto"/>
              </w:rPr>
            </w:pPr>
            <w:r>
              <w:rPr>
                <w:rFonts w:ascii="Arial" w:cs="Arial" w:eastAsia="Arial" w:hAnsi="Arial"/>
                <w:sz w:val="15"/>
                <w:szCs w:val="15"/>
                <w:color w:val="auto"/>
              </w:rPr>
              <w:t>—</w:t>
            </w:r>
          </w:p>
        </w:tc>
        <w:tc>
          <w:tcPr>
            <w:tcW w:w="380" w:type="dxa"/>
            <w:vAlign w:val="bottom"/>
            <w:gridSpan w:val="2"/>
          </w:tcPr>
          <w:p>
            <w:pPr>
              <w:ind w:left="60"/>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3660" w:type="dxa"/>
            <w:vAlign w:val="bottom"/>
            <w:gridSpan w:val="2"/>
          </w:tcPr>
          <w:p>
            <w:pPr>
              <w:ind w:left="120"/>
              <w:spacing w:after="0"/>
              <w:rPr>
                <w:sz w:val="20"/>
                <w:szCs w:val="20"/>
                <w:color w:val="auto"/>
              </w:rPr>
            </w:pPr>
            <w:r>
              <w:rPr>
                <w:rFonts w:ascii="Arial" w:cs="Arial" w:eastAsia="Arial" w:hAnsi="Arial"/>
                <w:sz w:val="15"/>
                <w:szCs w:val="15"/>
                <w:color w:val="auto"/>
              </w:rPr>
              <w:t>Cleared risk management derivatives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3"/>
          </w:tcPr>
          <w:p>
            <w:pPr>
              <w:jc w:val="right"/>
              <w:ind w:right="4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60" w:type="dxa"/>
            <w:vAlign w:val="bottom"/>
            <w:tcBorders>
              <w:bottom w:val="single" w:sz="8" w:color="2C6937"/>
            </w:tcBorders>
          </w:tcPr>
          <w:p>
            <w:pPr>
              <w:spacing w:after="0"/>
              <w:rPr>
                <w:sz w:val="18"/>
                <w:szCs w:val="18"/>
                <w:color w:val="auto"/>
              </w:rPr>
            </w:pPr>
          </w:p>
        </w:tc>
        <w:tc>
          <w:tcPr>
            <w:tcW w:w="3620" w:type="dxa"/>
            <w:vAlign w:val="bottom"/>
            <w:tcBorders>
              <w:bottom w:val="single" w:sz="8" w:color="2C6937"/>
            </w:tcBorders>
          </w:tcPr>
          <w:p>
            <w:pPr>
              <w:ind w:left="120"/>
              <w:spacing w:after="0"/>
              <w:rPr>
                <w:sz w:val="20"/>
                <w:szCs w:val="20"/>
                <w:color w:val="auto"/>
              </w:rPr>
            </w:pPr>
            <w:r>
              <w:rPr>
                <w:rFonts w:ascii="Arial" w:cs="Arial" w:eastAsia="Arial" w:hAnsi="Arial"/>
                <w:sz w:val="15"/>
                <w:szCs w:val="15"/>
                <w:color w:val="auto"/>
              </w:rPr>
              <w:t>Mortgage commitment derivatives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(104)</w:t>
            </w:r>
          </w:p>
        </w:tc>
        <w:tc>
          <w:tcPr>
            <w:tcW w:w="20" w:type="dxa"/>
            <w:vAlign w:val="bottom"/>
            <w:tcBorders>
              <w:bottom w:val="single" w:sz="8" w:color="2C6937"/>
            </w:tcBorders>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23</w:t>
            </w:r>
          </w:p>
        </w:tc>
        <w:tc>
          <w:tcPr>
            <w:tcW w:w="20" w:type="dxa"/>
            <w:vAlign w:val="bottom"/>
            <w:tcBorders>
              <w:bottom w:val="single" w:sz="8" w:color="2C6937"/>
            </w:tcBorders>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ind w:left="640"/>
              <w:spacing w:after="0"/>
              <w:rPr>
                <w:sz w:val="20"/>
                <w:szCs w:val="20"/>
                <w:color w:val="auto"/>
              </w:rPr>
            </w:pPr>
            <w:r>
              <w:rPr>
                <w:rFonts w:ascii="Arial" w:cs="Arial" w:eastAsia="Arial" w:hAnsi="Arial"/>
                <w:sz w:val="15"/>
                <w:szCs w:val="15"/>
                <w:color w:val="auto"/>
              </w:rPr>
              <w:t>77</w:t>
            </w:r>
          </w:p>
        </w:tc>
        <w:tc>
          <w:tcPr>
            <w:tcW w:w="20" w:type="dxa"/>
            <w:vAlign w:val="bottom"/>
            <w:tcBorders>
              <w:bottom w:val="single" w:sz="8" w:color="2C6937"/>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Borders>
              <w:bottom w:val="single" w:sz="8" w:color="2C6937"/>
            </w:tcBorders>
          </w:tcPr>
          <w:p>
            <w:pPr>
              <w:spacing w:after="0"/>
              <w:rPr>
                <w:sz w:val="18"/>
                <w:szCs w:val="18"/>
                <w:color w:val="auto"/>
              </w:rPr>
            </w:pPr>
          </w:p>
        </w:tc>
        <w:tc>
          <w:tcPr>
            <w:tcW w:w="600" w:type="dxa"/>
            <w:vAlign w:val="bottom"/>
            <w:tcBorders>
              <w:bottom w:val="single" w:sz="8" w:color="2C6937"/>
            </w:tcBorders>
            <w:gridSpan w:val="2"/>
          </w:tcPr>
          <w:p>
            <w:pPr>
              <w:jc w:val="right"/>
              <w:ind w:right="20"/>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00"/>
        </w:trPr>
        <w:tc>
          <w:tcPr>
            <w:tcW w:w="3720" w:type="dxa"/>
            <w:vAlign w:val="bottom"/>
            <w:gridSpan w:val="3"/>
          </w:tcPr>
          <w:p>
            <w:pPr>
              <w:ind w:left="20"/>
              <w:spacing w:after="0"/>
              <w:rPr>
                <w:sz w:val="20"/>
                <w:szCs w:val="20"/>
                <w:color w:val="auto"/>
              </w:rPr>
            </w:pPr>
            <w:r>
              <w:rPr>
                <w:rFonts w:ascii="Arial" w:cs="Arial" w:eastAsia="Arial" w:hAnsi="Arial"/>
                <w:sz w:val="15"/>
                <w:szCs w:val="15"/>
                <w:color w:val="auto"/>
              </w:rPr>
              <w:t>Total liabilities</w:t>
            </w:r>
          </w:p>
        </w:tc>
        <w:tc>
          <w:tcPr>
            <w:tcW w:w="22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(3,327)</w:t>
            </w:r>
          </w:p>
        </w:tc>
        <w:tc>
          <w:tcPr>
            <w:tcW w:w="40" w:type="dxa"/>
            <w:vAlign w:val="bottom"/>
          </w:tcPr>
          <w:p>
            <w:pPr>
              <w:spacing w:after="0"/>
              <w:rPr>
                <w:sz w:val="17"/>
                <w:szCs w:val="17"/>
                <w:color w:val="auto"/>
              </w:rPr>
            </w:pPr>
          </w:p>
        </w:tc>
        <w:tc>
          <w:tcPr>
            <w:tcW w:w="220" w:type="dxa"/>
            <w:vAlign w:val="bottom"/>
            <w:gridSpan w:val="3"/>
          </w:tcPr>
          <w:p>
            <w:pPr>
              <w:jc w:val="right"/>
              <w:ind w:right="6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3,200</w:t>
            </w:r>
          </w:p>
        </w:tc>
        <w:tc>
          <w:tcPr>
            <w:tcW w:w="40" w:type="dxa"/>
            <w:vAlign w:val="bottom"/>
          </w:tcPr>
          <w:p>
            <w:pPr>
              <w:spacing w:after="0"/>
              <w:rPr>
                <w:sz w:val="17"/>
                <w:szCs w:val="17"/>
                <w:color w:val="auto"/>
              </w:rPr>
            </w:pPr>
          </w:p>
        </w:tc>
        <w:tc>
          <w:tcPr>
            <w:tcW w:w="380" w:type="dxa"/>
            <w:vAlign w:val="bottom"/>
            <w:gridSpan w:val="3"/>
          </w:tcPr>
          <w:p>
            <w:pPr>
              <w:ind w:left="300"/>
              <w:spacing w:after="0"/>
              <w:rPr>
                <w:sz w:val="20"/>
                <w:szCs w:val="20"/>
                <w:color w:val="auto"/>
              </w:rPr>
            </w:pPr>
            <w:r>
              <w:rPr>
                <w:rFonts w:ascii="Arial" w:cs="Arial" w:eastAsia="Arial" w:hAnsi="Arial"/>
                <w:sz w:val="15"/>
                <w:szCs w:val="15"/>
                <w:color w:val="auto"/>
                <w:w w:val="71"/>
              </w:rPr>
              <w:t>$</w:t>
            </w:r>
          </w:p>
        </w:tc>
        <w:tc>
          <w:tcPr>
            <w:tcW w:w="1280" w:type="dxa"/>
            <w:vAlign w:val="bottom"/>
            <w:gridSpan w:val="3"/>
          </w:tcPr>
          <w:p>
            <w:pPr>
              <w:jc w:val="right"/>
              <w:ind w:right="250"/>
              <w:spacing w:after="0" w:line="200" w:lineRule="exact"/>
              <w:rPr>
                <w:sz w:val="20"/>
                <w:szCs w:val="20"/>
                <w:color w:val="auto"/>
              </w:rPr>
            </w:pPr>
            <w:r>
              <w:rPr>
                <w:rFonts w:ascii="Arial" w:cs="Arial" w:eastAsia="Arial" w:hAnsi="Arial"/>
                <w:sz w:val="15"/>
                <w:szCs w:val="15"/>
                <w:color w:val="auto"/>
              </w:rPr>
              <w:t xml:space="preserve">(127) </w:t>
            </w:r>
            <w:r>
              <w:rPr>
                <w:rFonts w:ascii="Arial" w:cs="Arial" w:eastAsia="Arial" w:hAnsi="Arial"/>
                <w:sz w:val="20"/>
                <w:szCs w:val="20"/>
                <w:color w:val="auto"/>
                <w:vertAlign w:val="superscript"/>
              </w:rPr>
              <w:t>(4)</w:t>
            </w:r>
          </w:p>
        </w:tc>
        <w:tc>
          <w:tcPr>
            <w:tcW w:w="36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23</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ind w:left="640"/>
              <w:spacing w:after="0"/>
              <w:rPr>
                <w:sz w:val="20"/>
                <w:szCs w:val="20"/>
                <w:color w:val="auto"/>
              </w:rPr>
            </w:pPr>
            <w:r>
              <w:rPr>
                <w:rFonts w:ascii="Arial" w:cs="Arial" w:eastAsia="Arial" w:hAnsi="Arial"/>
                <w:sz w:val="15"/>
                <w:szCs w:val="15"/>
                <w:color w:val="auto"/>
              </w:rPr>
              <w:t>80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gridSpan w:val="2"/>
          </w:tcPr>
          <w:p>
            <w:pPr>
              <w:ind w:left="60"/>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20"/>
        </w:trPr>
        <w:tc>
          <w:tcPr>
            <w:tcW w:w="60" w:type="dxa"/>
            <w:vAlign w:val="bottom"/>
            <w:tcBorders>
              <w:top w:val="single" w:sz="8" w:color="2C6937"/>
              <w:bottom w:val="single" w:sz="8" w:color="2C6937"/>
            </w:tcBorders>
          </w:tcPr>
          <w:p>
            <w:pPr>
              <w:spacing w:after="0" w:line="20" w:lineRule="exact"/>
              <w:rPr>
                <w:sz w:val="1"/>
                <w:szCs w:val="1"/>
                <w:color w:val="auto"/>
              </w:rPr>
            </w:pPr>
          </w:p>
        </w:tc>
        <w:tc>
          <w:tcPr>
            <w:tcW w:w="362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2C6937"/>
              <w:bottom w:val="single" w:sz="8" w:color="2C6937"/>
            </w:tcBorders>
          </w:tcPr>
          <w:p>
            <w:pPr>
              <w:spacing w:after="0" w:line="20" w:lineRule="exact"/>
              <w:rPr>
                <w:sz w:val="1"/>
                <w:szCs w:val="1"/>
                <w:color w:val="auto"/>
              </w:rPr>
            </w:pPr>
          </w:p>
        </w:tc>
        <w:tc>
          <w:tcPr>
            <w:tcW w:w="56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p>
      <w:pPr>
        <w:ind w:left="240" w:hanging="237"/>
        <w:spacing w:after="0" w:line="226" w:lineRule="auto"/>
        <w:tabs>
          <w:tab w:leader="none" w:pos="233" w:val="left"/>
        </w:tabs>
        <w:numPr>
          <w:ilvl w:val="0"/>
          <w:numId w:val="122"/>
        </w:numPr>
        <w:rPr>
          <w:rFonts w:ascii="Arial" w:cs="Arial" w:eastAsia="Arial" w:hAnsi="Arial"/>
          <w:sz w:val="18"/>
          <w:szCs w:val="18"/>
          <w:color w:val="auto"/>
          <w:vertAlign w:val="superscript"/>
        </w:rPr>
      </w:pPr>
      <w:r>
        <w:rPr>
          <w:rFonts w:ascii="Arial" w:cs="Arial" w:eastAsia="Arial" w:hAnsi="Arial"/>
          <w:sz w:val="14"/>
          <w:szCs w:val="14"/>
          <w:color w:val="auto"/>
        </w:rPr>
        <w:t>Represents the effect of the right to offset under legally enforceable master netting arrangements to settle with the same counterparty on a net basis, including cash collateral posted and received and accrued interest.</w:t>
      </w:r>
    </w:p>
    <w:p>
      <w:pPr>
        <w:spacing w:after="0" w:line="27" w:lineRule="exact"/>
        <w:rPr>
          <w:rFonts w:ascii="Arial" w:cs="Arial" w:eastAsia="Arial" w:hAnsi="Arial"/>
          <w:sz w:val="18"/>
          <w:szCs w:val="18"/>
          <w:color w:val="auto"/>
          <w:vertAlign w:val="superscript"/>
        </w:rPr>
      </w:pPr>
    </w:p>
    <w:p>
      <w:pPr>
        <w:ind w:left="240" w:right="700" w:hanging="237"/>
        <w:spacing w:after="0" w:line="226" w:lineRule="auto"/>
        <w:tabs>
          <w:tab w:leader="none" w:pos="233" w:val="left"/>
        </w:tabs>
        <w:numPr>
          <w:ilvl w:val="0"/>
          <w:numId w:val="122"/>
        </w:numPr>
        <w:rPr>
          <w:rFonts w:ascii="Arial" w:cs="Arial" w:eastAsia="Arial" w:hAnsi="Arial"/>
          <w:sz w:val="18"/>
          <w:szCs w:val="18"/>
          <w:color w:val="auto"/>
          <w:vertAlign w:val="superscript"/>
        </w:rPr>
      </w:pPr>
      <w:r>
        <w:rPr>
          <w:rFonts w:ascii="Arial" w:cs="Arial" w:eastAsia="Arial" w:hAnsi="Arial"/>
          <w:sz w:val="14"/>
          <w:szCs w:val="14"/>
          <w:color w:val="auto"/>
        </w:rPr>
        <w:t>Mortgage commitment derivative amounts reflect where we have recognized both an asset and a liability with the same counterparty under an enforceable master netting arrangement but we have not elected to offset the related amounts in our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365760</wp:posOffset>
            </wp:positionV>
            <wp:extent cx="680593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48" w:right="379" w:bottom="1440" w:gutter="0" w:footer="0" w:header="0"/>
        </w:sectPr>
      </w:pPr>
    </w:p>
    <w:bookmarkStart w:id="109" w:name="page110"/>
    <w:bookmarkEnd w:id="109"/>
    <w:p>
      <w:pPr>
        <w:ind w:left="6260"/>
        <w:spacing w:after="0"/>
        <w:rPr>
          <w:sz w:val="20"/>
          <w:szCs w:val="20"/>
          <w:color w:val="auto"/>
        </w:rPr>
      </w:pPr>
      <w:r>
        <w:rPr>
          <w:rFonts w:ascii="Arial" w:cs="Arial" w:eastAsia="Arial" w:hAnsi="Arial"/>
          <w:sz w:val="13"/>
          <w:szCs w:val="13"/>
          <w:color w:val="05314D"/>
        </w:rPr>
        <w:t>Notes to Condensed Consolidated Financial Statements | Netting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40" w:right="40" w:hanging="237"/>
        <w:spacing w:after="0" w:line="236" w:lineRule="auto"/>
        <w:tabs>
          <w:tab w:leader="none" w:pos="233" w:val="left"/>
        </w:tabs>
        <w:numPr>
          <w:ilvl w:val="0"/>
          <w:numId w:val="123"/>
        </w:numPr>
        <w:rPr>
          <w:rFonts w:ascii="Arial" w:cs="Arial" w:eastAsia="Arial" w:hAnsi="Arial"/>
          <w:sz w:val="18"/>
          <w:szCs w:val="18"/>
          <w:color w:val="auto"/>
          <w:vertAlign w:val="superscript"/>
        </w:rPr>
      </w:pPr>
      <w:r>
        <w:rPr>
          <w:rFonts w:ascii="Arial" w:cs="Arial" w:eastAsia="Arial" w:hAnsi="Arial"/>
          <w:sz w:val="14"/>
          <w:szCs w:val="14"/>
          <w:color w:val="auto"/>
        </w:rPr>
        <w:t>Represents collateral received that has not been recognized and not offset in our condensed consolidated balance sheets, as well as collateral posted which has been recognized but not offset in our condensed consolidated balance sheets. Does not include collateral held or posted in excess of our exposure. The fair value of non-cash collateral we pledged which the counterparty was permitted to sell or repledge was $2.5 billion and $2.2 billion as of September 30, 2024 and December 31, 2023, respectively. The fair value of non-cash collateral received was $57.0 billion and $65.5 billion, of which $44.9 billion and $55.4 billion could be sold or repledged as of September 30, 2024 and December 31, 2023, respectively. None of the underlying collateral was sold or repledged as of September 30, 2024 or December 31, 2023.</w:t>
      </w:r>
    </w:p>
    <w:p>
      <w:pPr>
        <w:spacing w:after="0" w:line="26" w:lineRule="exact"/>
        <w:rPr>
          <w:rFonts w:ascii="Arial" w:cs="Arial" w:eastAsia="Arial" w:hAnsi="Arial"/>
          <w:sz w:val="18"/>
          <w:szCs w:val="18"/>
          <w:color w:val="auto"/>
          <w:vertAlign w:val="superscript"/>
        </w:rPr>
      </w:pPr>
    </w:p>
    <w:p>
      <w:pPr>
        <w:ind w:left="240" w:hanging="237"/>
        <w:spacing w:after="0" w:line="233" w:lineRule="auto"/>
        <w:tabs>
          <w:tab w:leader="none" w:pos="233" w:val="left"/>
        </w:tabs>
        <w:numPr>
          <w:ilvl w:val="0"/>
          <w:numId w:val="123"/>
        </w:numPr>
        <w:rPr>
          <w:rFonts w:ascii="Arial" w:cs="Arial" w:eastAsia="Arial" w:hAnsi="Arial"/>
          <w:sz w:val="18"/>
          <w:szCs w:val="18"/>
          <w:color w:val="auto"/>
          <w:vertAlign w:val="superscript"/>
        </w:rPr>
      </w:pPr>
      <w:r>
        <w:rPr>
          <w:rFonts w:ascii="Arial" w:cs="Arial" w:eastAsia="Arial" w:hAnsi="Arial"/>
          <w:sz w:val="14"/>
          <w:szCs w:val="14"/>
          <w:color w:val="auto"/>
        </w:rPr>
        <w:t>Excludes derivative assets of $37 million and $45 million as of September 30, 2024 and December 31, 2023, respectively, and derivative liabilities of $11 million and $13 million as of September 30, 2024 and December 31, 2023, respectively, recognized in our condensed consolidated balance sheets, that were not subject to enforceable master netting arrangements.</w:t>
      </w:r>
    </w:p>
    <w:p>
      <w:pPr>
        <w:spacing w:after="0" w:line="27" w:lineRule="exact"/>
        <w:rPr>
          <w:rFonts w:ascii="Arial" w:cs="Arial" w:eastAsia="Arial" w:hAnsi="Arial"/>
          <w:sz w:val="18"/>
          <w:szCs w:val="18"/>
          <w:color w:val="auto"/>
          <w:vertAlign w:val="superscript"/>
        </w:rPr>
      </w:pPr>
    </w:p>
    <w:p>
      <w:pPr>
        <w:jc w:val="both"/>
        <w:ind w:left="240" w:right="80" w:hanging="237"/>
        <w:spacing w:after="0" w:line="228" w:lineRule="auto"/>
        <w:tabs>
          <w:tab w:leader="none" w:pos="233" w:val="left"/>
        </w:tabs>
        <w:numPr>
          <w:ilvl w:val="0"/>
          <w:numId w:val="123"/>
        </w:numPr>
        <w:rPr>
          <w:rFonts w:ascii="Arial" w:cs="Arial" w:eastAsia="Arial" w:hAnsi="Arial"/>
          <w:sz w:val="18"/>
          <w:szCs w:val="18"/>
          <w:color w:val="auto"/>
          <w:vertAlign w:val="superscript"/>
        </w:rPr>
      </w:pPr>
      <w:r>
        <w:rPr>
          <w:rFonts w:ascii="Arial" w:cs="Arial" w:eastAsia="Arial" w:hAnsi="Arial"/>
          <w:sz w:val="14"/>
          <w:szCs w:val="14"/>
          <w:color w:val="auto"/>
        </w:rPr>
        <w:t>Includes $24.7 billion and $21.8 billion in securities purchased under agreements to resell classified as “Cash and cash equivalents” in our condensed consolidated balance sheets as of September 30, 2024 and December 31, 2023, respectively. Includes $14.1 billion and $12.9 billion in securities purchased under agreements to resell classified as “Restricted cash and cash equivalents” in our condensed consolidated balance sheets as of September 30, 2024 and December 31, 2023, respectively.</w:t>
      </w:r>
    </w:p>
    <w:p>
      <w:pPr>
        <w:spacing w:after="0" w:line="50" w:lineRule="exact"/>
        <w:rPr>
          <w:sz w:val="20"/>
          <w:szCs w:val="20"/>
          <w:color w:val="auto"/>
        </w:rPr>
      </w:pPr>
    </w:p>
    <w:p>
      <w:pPr>
        <w:ind w:right="320"/>
        <w:spacing w:after="0" w:line="272" w:lineRule="auto"/>
        <w:rPr>
          <w:sz w:val="20"/>
          <w:szCs w:val="20"/>
          <w:color w:val="auto"/>
        </w:rPr>
      </w:pPr>
      <w:r>
        <w:rPr>
          <w:rFonts w:ascii="Arial" w:cs="Arial" w:eastAsia="Arial" w:hAnsi="Arial"/>
          <w:sz w:val="16"/>
          <w:szCs w:val="16"/>
          <w:color w:val="auto"/>
        </w:rPr>
        <w:t>Derivative instruments are recorded at fair value and securities purchased under agreements to resell are recorded at amortized cost in our condensed consolidated balance sheets. For a discussion of how we determine our rights to offset the assets and liabilities presented above with the same counterparty, including collateral posted or received, see “Note 15, Netting Arrangements” in our 2023 Form 10-K.</w:t>
      </w:r>
    </w:p>
    <w:p>
      <w:pPr>
        <w:spacing w:after="0" w:line="129"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13. Fair Value</w:t>
      </w:r>
    </w:p>
    <w:p>
      <w:pPr>
        <w:spacing w:after="0" w:line="80"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We use fair value measurements for the initial recording of certain assets and liabilities and periodic remeasurement of certain assets and liabilities on a recurring or nonrecurring basis.</w:t>
      </w:r>
    </w:p>
    <w:p>
      <w:pPr>
        <w:spacing w:after="0" w:line="74"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Fair Value Measurement</w:t>
      </w:r>
    </w:p>
    <w:p>
      <w:pPr>
        <w:spacing w:after="0" w:line="68" w:lineRule="exact"/>
        <w:rPr>
          <w:sz w:val="20"/>
          <w:szCs w:val="20"/>
          <w:color w:val="auto"/>
        </w:rPr>
      </w:pPr>
    </w:p>
    <w:p>
      <w:pPr>
        <w:ind w:right="200"/>
        <w:spacing w:after="0" w:line="263" w:lineRule="auto"/>
        <w:rPr>
          <w:sz w:val="20"/>
          <w:szCs w:val="20"/>
          <w:color w:val="auto"/>
        </w:rPr>
      </w:pPr>
      <w:r>
        <w:rPr>
          <w:rFonts w:ascii="Arial" w:cs="Arial" w:eastAsia="Arial" w:hAnsi="Arial"/>
          <w:sz w:val="16"/>
          <w:szCs w:val="16"/>
          <w:color w:val="auto"/>
        </w:rPr>
        <w:t>Fair value measurement guidance defines fair value, establishes a framework for measuring fair value, and sets forth disclosures around fair value measurements. This guidance applies whenever other accounting guidance requires or permits assets or liabilities to be measured at fair value. The guidance establishes a three-level fair value hierarchy that prioritizes the inputs into the valuation techniques used to measure fair value. The fair value hierarchy gives the highest priority, Level 1, to measurements based on unadjusted quoted prices in active markets for identical assets or liabilities. The next highest priority, Level 2, is given to measurements of assets and liabilities based on limited observable inputs or observable inputs for similar assets and liabilities. The lowest priority, Level 3, is given to measurements based on unobservable inputs.</w:t>
      </w:r>
    </w:p>
    <w:p>
      <w:pPr>
        <w:spacing w:after="0" w:line="41"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We use valuation techniques that maximize the use of observable inputs and minimize the use of unobservable inputs. See “Note 16, Fair Value” in our 2023 Form 10-K for information on the valuation control processes and the valuation techniques we use for fair value measurement and disclosure as well as our basis for classifying these measurements as Level 1, Level 2 or Level 3 of the valuation hierarchy in more specific situations. If the inputs used to measure assets or liabilities at fair value change, it may also result in a change in classification between Levels 1, 2, and 3. We made no material changes to the valuation control processes or the valuation techniques for the nine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356870</wp:posOffset>
            </wp:positionV>
            <wp:extent cx="680593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48" w:right="379" w:bottom="1440" w:gutter="0" w:footer="0" w:header="0"/>
        </w:sectPr>
      </w:pPr>
    </w:p>
    <w:bookmarkStart w:id="110" w:name="page111"/>
    <w:bookmarkEnd w:id="110"/>
    <w:p>
      <w:pPr>
        <w:ind w:left="6980"/>
        <w:spacing w:after="0"/>
        <w:rPr>
          <w:sz w:val="20"/>
          <w:szCs w:val="20"/>
          <w:color w:val="auto"/>
        </w:rPr>
      </w:pPr>
      <w:r>
        <w:rPr>
          <w:rFonts w:ascii="Arial" w:cs="Arial" w:eastAsia="Arial" w:hAnsi="Arial"/>
          <w:sz w:val="13"/>
          <w:szCs w:val="13"/>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Georgia" w:cs="Georgia" w:eastAsia="Georgia" w:hAnsi="Georgia"/>
          <w:sz w:val="21"/>
          <w:szCs w:val="21"/>
          <w:i w:val="1"/>
          <w:iCs w:val="1"/>
          <w:color w:val="05314D"/>
        </w:rPr>
        <w:t>Recurring Changes in Fair Value</w:t>
      </w:r>
    </w:p>
    <w:p>
      <w:pPr>
        <w:spacing w:after="0" w:line="6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following tables display our assets and liabilities measured in our condensed consolidated balance sheets at fair value on a recurring basis subsequent to initial recognition, including instruments for which we have elected the fair value option.</w:t>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Recurring fair value measurements: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2"/>
          <w:szCs w:val="12"/>
          <w:color w:val="auto"/>
        </w:rPr>
        <w:t>Assets: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Trading securities:</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Mortgage-related</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Non-mortgage-related</w:t>
      </w:r>
      <w:r>
        <w:rPr>
          <w:rFonts w:ascii="Arial" w:cs="Arial" w:eastAsia="Arial" w:hAnsi="Arial"/>
          <w:sz w:val="15"/>
          <w:szCs w:val="15"/>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256222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562225" cy="825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2"/>
          <w:szCs w:val="12"/>
          <w:color w:val="auto"/>
        </w:rPr>
        <w:t>Total trading securities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Available-for-sale securities:</w:t>
      </w:r>
    </w:p>
    <w:p>
      <w:pPr>
        <w:spacing w:after="0" w:line="22" w:lineRule="exact"/>
        <w:rPr>
          <w:sz w:val="20"/>
          <w:szCs w:val="20"/>
          <w:color w:val="auto"/>
        </w:rPr>
      </w:pPr>
    </w:p>
    <w:p>
      <w:pPr>
        <w:ind w:left="320"/>
        <w:spacing w:after="0"/>
        <w:rPr>
          <w:sz w:val="20"/>
          <w:szCs w:val="20"/>
          <w:color w:val="auto"/>
        </w:rPr>
      </w:pPr>
      <w:r>
        <w:rPr>
          <w:rFonts w:ascii="Arial" w:cs="Arial" w:eastAsia="Arial" w:hAnsi="Arial"/>
          <w:sz w:val="12"/>
          <w:szCs w:val="12"/>
          <w:color w:val="auto"/>
        </w:rPr>
        <w:t>Agency</w:t>
      </w:r>
      <w:r>
        <w:rPr>
          <w:rFonts w:ascii="Arial" w:cs="Arial" w:eastAsia="Arial" w:hAnsi="Arial"/>
          <w:sz w:val="15"/>
          <w:szCs w:val="15"/>
          <w:color w:val="auto"/>
          <w:vertAlign w:val="superscript"/>
        </w:rPr>
        <w:t>(3)</w:t>
      </w:r>
    </w:p>
    <w:p>
      <w:pPr>
        <w:spacing w:after="0" w:line="1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Other mortgage-related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256222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562225" cy="8255"/>
                    </a:xfrm>
                    <a:prstGeom prst="rect">
                      <a:avLst/>
                    </a:prstGeom>
                    <a:noFill/>
                  </pic:spPr>
                </pic:pic>
              </a:graphicData>
            </a:graphic>
          </wp:anchor>
        </w:drawing>
      </w:r>
    </w:p>
    <w:p>
      <w:pPr>
        <w:spacing w:after="0" w:line="1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Total available-for-sale securities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Mortgage loans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Derivative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56222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562225" cy="825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Total assets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56222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5622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46355</wp:posOffset>
            </wp:positionV>
            <wp:extent cx="256222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562225" cy="8255"/>
                    </a:xfrm>
                    <a:prstGeom prst="rect">
                      <a:avLst/>
                    </a:prstGeom>
                    <a:noFill/>
                  </pic:spPr>
                </pic:pic>
              </a:graphicData>
            </a:graphic>
          </wp:anchor>
        </w:drawing>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2"/>
          <w:szCs w:val="12"/>
          <w:color w:val="auto"/>
        </w:rPr>
        <w:t>Liabilities: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Long-term debt:</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Of Fannie Mae</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Of consolidated trusts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56222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562225" cy="8255"/>
                    </a:xfrm>
                    <a:prstGeom prst="rect">
                      <a:avLst/>
                    </a:prstGeom>
                    <a:noFill/>
                  </pic:spPr>
                </pic:pic>
              </a:graphicData>
            </a:graphic>
          </wp:anchor>
        </w:drawing>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Total long-term debt</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Derivative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56222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562225" cy="825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Total liabilities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56222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25622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46355</wp:posOffset>
            </wp:positionV>
            <wp:extent cx="256222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562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Recurring fair value measurements: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2"/>
          <w:szCs w:val="12"/>
          <w:color w:val="auto"/>
        </w:rPr>
        <w:t>Assets: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Trading securities:</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Mortgage-related</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Non-mortgage-related</w:t>
      </w:r>
      <w:r>
        <w:rPr>
          <w:rFonts w:ascii="Arial" w:cs="Arial" w:eastAsia="Arial" w:hAnsi="Arial"/>
          <w:sz w:val="15"/>
          <w:szCs w:val="15"/>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256222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562225" cy="825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2"/>
          <w:szCs w:val="12"/>
          <w:color w:val="auto"/>
        </w:rPr>
        <w:t>Total trading securities</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2"/>
          <w:szCs w:val="12"/>
          <w:color w:val="auto"/>
        </w:rPr>
        <w:t>Available-for-sale securities:</w:t>
      </w:r>
    </w:p>
    <w:p>
      <w:pPr>
        <w:spacing w:after="0" w:line="3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Agency</w:t>
      </w:r>
      <w:r>
        <w:rPr>
          <w:rFonts w:ascii="Arial" w:cs="Arial" w:eastAsia="Arial" w:hAnsi="Arial"/>
          <w:sz w:val="15"/>
          <w:szCs w:val="15"/>
          <w:color w:val="auto"/>
          <w:vertAlign w:val="superscript"/>
        </w:rPr>
        <w:t>(3)</w:t>
      </w:r>
    </w:p>
    <w:p>
      <w:pPr>
        <w:spacing w:after="0" w:line="7" w:lineRule="exact"/>
        <w:rPr>
          <w:sz w:val="20"/>
          <w:szCs w:val="20"/>
          <w:color w:val="auto"/>
        </w:rPr>
      </w:pPr>
    </w:p>
    <w:p>
      <w:pPr>
        <w:ind w:left="320"/>
        <w:spacing w:after="0"/>
        <w:rPr>
          <w:sz w:val="20"/>
          <w:szCs w:val="20"/>
          <w:color w:val="auto"/>
        </w:rPr>
      </w:pPr>
      <w:r>
        <w:rPr>
          <w:rFonts w:ascii="Arial" w:cs="Arial" w:eastAsia="Arial" w:hAnsi="Arial"/>
          <w:sz w:val="12"/>
          <w:szCs w:val="12"/>
          <w:color w:val="auto"/>
        </w:rPr>
        <w:t>Other mortgage-related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256222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562225" cy="8255"/>
                    </a:xfrm>
                    <a:prstGeom prst="rect">
                      <a:avLst/>
                    </a:prstGeom>
                    <a:noFill/>
                  </pic:spPr>
                </pic:pic>
              </a:graphicData>
            </a:graphic>
          </wp:anchor>
        </w:drawing>
      </w:r>
    </w:p>
    <w:p>
      <w:pPr>
        <w:spacing w:after="0" w:line="1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Total available-for-sale securities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Mortgage loans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Derivative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56222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562225" cy="825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Total assets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56222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5622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46355</wp:posOffset>
            </wp:positionV>
            <wp:extent cx="256222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562225" cy="8255"/>
                    </a:xfrm>
                    <a:prstGeom prst="rect">
                      <a:avLst/>
                    </a:prstGeom>
                    <a:noFill/>
                  </pic:spPr>
                </pic:pic>
              </a:graphicData>
            </a:graphic>
          </wp:anchor>
        </w:drawing>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2"/>
          <w:szCs w:val="12"/>
          <w:color w:val="auto"/>
        </w:rPr>
        <w:t>Liabilities: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Long-term debt:</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Of Fannie Mae</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Of consolidated trusts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56222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562225" cy="8255"/>
                    </a:xfrm>
                    <a:prstGeom prst="rect">
                      <a:avLst/>
                    </a:prstGeom>
                    <a:noFill/>
                  </pic:spPr>
                </pic:pic>
              </a:graphicData>
            </a:graphic>
          </wp:anchor>
        </w:drawing>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Total long-term debt</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Derivative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56222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562225" cy="825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Total liabilities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56222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5622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46355</wp:posOffset>
            </wp:positionV>
            <wp:extent cx="256222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5622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auto"/>
        </w:rPr>
        <w:t>Fair Value Measurements as of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21590</wp:posOffset>
            </wp:positionV>
            <wp:extent cx="451040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451040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rPr>
              <w:t>Quoted Prices in</w:t>
            </w: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0" w:type="dxa"/>
            <w:vAlign w:val="bottom"/>
          </w:tcPr>
          <w:p>
            <w:pPr>
              <w:spacing w:after="0"/>
              <w:rPr>
                <w:sz w:val="12"/>
                <w:szCs w:val="12"/>
                <w:color w:val="auto"/>
              </w:rPr>
            </w:pPr>
          </w:p>
        </w:tc>
        <w:tc>
          <w:tcPr>
            <w:tcW w:w="1440" w:type="dxa"/>
            <w:vAlign w:val="bottom"/>
            <w:gridSpan w:val="3"/>
          </w:tcPr>
          <w:p>
            <w:pPr>
              <w:jc w:val="center"/>
              <w:ind w:right="320"/>
              <w:spacing w:after="0"/>
              <w:rPr>
                <w:sz w:val="20"/>
                <w:szCs w:val="20"/>
                <w:color w:val="auto"/>
              </w:rPr>
            </w:pPr>
            <w:r>
              <w:rPr>
                <w:rFonts w:ascii="Arial" w:cs="Arial" w:eastAsia="Arial" w:hAnsi="Arial"/>
                <w:sz w:val="12"/>
                <w:szCs w:val="12"/>
                <w:b w:val="1"/>
                <w:bCs w:val="1"/>
                <w:color w:val="auto"/>
                <w:w w:val="99"/>
              </w:rPr>
              <w:t>Active Markets for</w:t>
            </w:r>
          </w:p>
        </w:tc>
        <w:tc>
          <w:tcPr>
            <w:tcW w:w="80" w:type="dxa"/>
            <w:vAlign w:val="bottom"/>
          </w:tcPr>
          <w:p>
            <w:pPr>
              <w:spacing w:after="0"/>
              <w:rPr>
                <w:sz w:val="12"/>
                <w:szCs w:val="12"/>
                <w:color w:val="auto"/>
              </w:rPr>
            </w:pPr>
          </w:p>
        </w:tc>
        <w:tc>
          <w:tcPr>
            <w:tcW w:w="1060" w:type="dxa"/>
            <w:vAlign w:val="bottom"/>
          </w:tcPr>
          <w:p>
            <w:pPr>
              <w:jc w:val="center"/>
              <w:ind w:right="40"/>
              <w:spacing w:after="0"/>
              <w:rPr>
                <w:sz w:val="20"/>
                <w:szCs w:val="20"/>
                <w:color w:val="auto"/>
              </w:rPr>
            </w:pPr>
            <w:r>
              <w:rPr>
                <w:rFonts w:ascii="Arial" w:cs="Arial" w:eastAsia="Arial" w:hAnsi="Arial"/>
                <w:sz w:val="12"/>
                <w:szCs w:val="12"/>
                <w:b w:val="1"/>
                <w:bCs w:val="1"/>
                <w:color w:val="auto"/>
                <w:w w:val="99"/>
              </w:rPr>
              <w:t>Significant Other</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rPr>
              <w:t>Significant</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rPr>
              <w:t>Identical Assets</w:t>
            </w:r>
          </w:p>
        </w:tc>
        <w:tc>
          <w:tcPr>
            <w:tcW w:w="114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Observable Inputs</w:t>
            </w:r>
          </w:p>
        </w:tc>
        <w:tc>
          <w:tcPr>
            <w:tcW w:w="1580" w:type="dxa"/>
            <w:vAlign w:val="bottom"/>
            <w:gridSpan w:val="4"/>
          </w:tcPr>
          <w:p>
            <w:pPr>
              <w:jc w:val="center"/>
              <w:ind w:left="100"/>
              <w:spacing w:after="0"/>
              <w:rPr>
                <w:sz w:val="20"/>
                <w:szCs w:val="20"/>
                <w:color w:val="auto"/>
              </w:rPr>
            </w:pPr>
            <w:r>
              <w:rPr>
                <w:rFonts w:ascii="Arial" w:cs="Arial" w:eastAsia="Arial" w:hAnsi="Arial"/>
                <w:sz w:val="12"/>
                <w:szCs w:val="12"/>
                <w:b w:val="1"/>
                <w:bCs w:val="1"/>
                <w:color w:val="auto"/>
                <w:w w:val="99"/>
              </w:rPr>
              <w:t>Unobservable Inputs</w:t>
            </w:r>
          </w:p>
        </w:tc>
        <w:tc>
          <w:tcPr>
            <w:tcW w:w="1460" w:type="dxa"/>
            <w:vAlign w:val="bottom"/>
            <w:gridSpan w:val="4"/>
            <w:vMerge w:val="restart"/>
          </w:tcPr>
          <w:p>
            <w:pPr>
              <w:ind w:left="140"/>
              <w:spacing w:after="0"/>
              <w:rPr>
                <w:sz w:val="20"/>
                <w:szCs w:val="20"/>
                <w:color w:val="auto"/>
              </w:rPr>
            </w:pPr>
            <w:r>
              <w:rPr>
                <w:rFonts w:ascii="Arial" w:cs="Arial" w:eastAsia="Arial" w:hAnsi="Arial"/>
                <w:sz w:val="12"/>
                <w:szCs w:val="12"/>
                <w:b w:val="1"/>
                <w:bCs w:val="1"/>
                <w:color w:val="auto"/>
              </w:rPr>
              <w:t>Netting Adjustment</w:t>
            </w:r>
            <w:r>
              <w:rPr>
                <w:rFonts w:ascii="Arial" w:cs="Arial" w:eastAsia="Arial" w:hAnsi="Arial"/>
                <w:sz w:val="15"/>
                <w:szCs w:val="15"/>
                <w:b w:val="1"/>
                <w:bCs w:val="1"/>
                <w:color w:val="auto"/>
                <w:vertAlign w:val="superscript"/>
              </w:rPr>
              <w:t>(1)</w:t>
            </w:r>
          </w:p>
        </w:tc>
        <w:tc>
          <w:tcPr>
            <w:tcW w:w="1380" w:type="dxa"/>
            <w:vAlign w:val="bottom"/>
            <w:gridSpan w:val="4"/>
            <w:vMerge w:val="restart"/>
          </w:tcPr>
          <w:p>
            <w:pPr>
              <w:ind w:left="120"/>
              <w:spacing w:after="0"/>
              <w:rPr>
                <w:sz w:val="20"/>
                <w:szCs w:val="20"/>
                <w:color w:val="auto"/>
              </w:rPr>
            </w:pPr>
            <w:r>
              <w:rPr>
                <w:rFonts w:ascii="Arial" w:cs="Arial" w:eastAsia="Arial" w:hAnsi="Arial"/>
                <w:sz w:val="12"/>
                <w:szCs w:val="12"/>
                <w:b w:val="1"/>
                <w:bCs w:val="1"/>
                <w:color w:val="auto"/>
              </w:rPr>
              <w:t>Estimated Fair Value</w:t>
            </w:r>
          </w:p>
        </w:tc>
        <w:tc>
          <w:tcPr>
            <w:tcW w:w="0" w:type="dxa"/>
            <w:vAlign w:val="bottom"/>
          </w:tcPr>
          <w:p>
            <w:pPr>
              <w:spacing w:after="0"/>
              <w:rPr>
                <w:sz w:val="1"/>
                <w:szCs w:val="1"/>
                <w:color w:val="auto"/>
              </w:rPr>
            </w:pPr>
          </w:p>
        </w:tc>
      </w:tr>
      <w:tr>
        <w:trPr>
          <w:trHeight w:val="193"/>
        </w:trPr>
        <w:tc>
          <w:tcPr>
            <w:tcW w:w="10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1360" w:type="dxa"/>
            <w:vAlign w:val="bottom"/>
            <w:tcBorders>
              <w:bottom w:val="single" w:sz="8" w:color="2C6937"/>
            </w:tcBorders>
            <w:gridSpan w:val="2"/>
          </w:tcPr>
          <w:p>
            <w:pPr>
              <w:jc w:val="center"/>
              <w:ind w:right="400"/>
              <w:spacing w:after="0"/>
              <w:rPr>
                <w:sz w:val="20"/>
                <w:szCs w:val="20"/>
                <w:color w:val="auto"/>
              </w:rPr>
            </w:pPr>
            <w:r>
              <w:rPr>
                <w:rFonts w:ascii="Arial" w:cs="Arial" w:eastAsia="Arial" w:hAnsi="Arial"/>
                <w:sz w:val="12"/>
                <w:szCs w:val="12"/>
                <w:b w:val="1"/>
                <w:bCs w:val="1"/>
                <w:color w:val="auto"/>
                <w:w w:val="98"/>
              </w:rPr>
              <w:t>(Level 1)</w:t>
            </w:r>
          </w:p>
        </w:tc>
        <w:tc>
          <w:tcPr>
            <w:tcW w:w="8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tcPr>
          <w:p>
            <w:pPr>
              <w:jc w:val="center"/>
              <w:ind w:right="40"/>
              <w:spacing w:after="0"/>
              <w:rPr>
                <w:sz w:val="20"/>
                <w:szCs w:val="20"/>
                <w:color w:val="auto"/>
              </w:rPr>
            </w:pPr>
            <w:r>
              <w:rPr>
                <w:rFonts w:ascii="Arial" w:cs="Arial" w:eastAsia="Arial" w:hAnsi="Arial"/>
                <w:sz w:val="12"/>
                <w:szCs w:val="12"/>
                <w:b w:val="1"/>
                <w:bCs w:val="1"/>
                <w:color w:val="auto"/>
                <w:w w:val="98"/>
              </w:rPr>
              <w:t>(Level 2)</w:t>
            </w:r>
          </w:p>
        </w:tc>
        <w:tc>
          <w:tcPr>
            <w:tcW w:w="300" w:type="dxa"/>
            <w:vAlign w:val="bottom"/>
            <w:tcBorders>
              <w:bottom w:val="single" w:sz="8" w:color="2C6937"/>
            </w:tcBorders>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1100" w:type="dxa"/>
            <w:vAlign w:val="bottom"/>
            <w:tcBorders>
              <w:bottom w:val="single" w:sz="8" w:color="2C6937"/>
            </w:tcBorders>
            <w:gridSpan w:val="2"/>
          </w:tcPr>
          <w:p>
            <w:pPr>
              <w:jc w:val="center"/>
              <w:ind w:right="320"/>
              <w:spacing w:after="0"/>
              <w:rPr>
                <w:sz w:val="20"/>
                <w:szCs w:val="20"/>
                <w:color w:val="auto"/>
              </w:rPr>
            </w:pPr>
            <w:r>
              <w:rPr>
                <w:rFonts w:ascii="Arial" w:cs="Arial" w:eastAsia="Arial" w:hAnsi="Arial"/>
                <w:sz w:val="12"/>
                <w:szCs w:val="12"/>
                <w:b w:val="1"/>
                <w:bCs w:val="1"/>
                <w:color w:val="auto"/>
              </w:rPr>
              <w:t>(Level 3)</w:t>
            </w:r>
          </w:p>
        </w:tc>
        <w:tc>
          <w:tcPr>
            <w:tcW w:w="1460" w:type="dxa"/>
            <w:vAlign w:val="bottom"/>
            <w:tcBorders>
              <w:bottom w:val="single" w:sz="8" w:color="2C6937"/>
            </w:tcBorders>
            <w:gridSpan w:val="4"/>
            <w:vMerge w:val="continue"/>
          </w:tcPr>
          <w:p>
            <w:pPr>
              <w:spacing w:after="0"/>
              <w:rPr>
                <w:sz w:val="16"/>
                <w:szCs w:val="16"/>
                <w:color w:val="auto"/>
              </w:rPr>
            </w:pPr>
          </w:p>
        </w:tc>
        <w:tc>
          <w:tcPr>
            <w:tcW w:w="1380" w:type="dxa"/>
            <w:vAlign w:val="bottom"/>
            <w:tcBorders>
              <w:bottom w:val="single" w:sz="8" w:color="2C6937"/>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3"/>
          </w:tcPr>
          <w:p>
            <w:pPr>
              <w:ind w:left="20"/>
              <w:spacing w:after="0"/>
              <w:rPr>
                <w:sz w:val="20"/>
                <w:szCs w:val="20"/>
                <w:color w:val="auto"/>
              </w:rPr>
            </w:pPr>
            <w:r>
              <w:rPr>
                <w:rFonts w:ascii="Arial" w:cs="Arial" w:eastAsia="Arial" w:hAnsi="Arial"/>
                <w:sz w:val="12"/>
                <w:szCs w:val="12"/>
                <w:b w:val="1"/>
                <w:bCs w:val="1"/>
                <w:color w:val="auto"/>
              </w:rPr>
              <w:t>(Dollars in millions)</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0"/>
        </w:trPr>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1,163</w:t>
            </w:r>
          </w:p>
        </w:tc>
        <w:tc>
          <w:tcPr>
            <w:tcW w:w="48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35</w:t>
            </w:r>
          </w:p>
        </w:tc>
        <w:tc>
          <w:tcPr>
            <w:tcW w:w="140" w:type="dxa"/>
            <w:vAlign w:val="bottom"/>
          </w:tcPr>
          <w:p>
            <w:pPr>
              <w:spacing w:after="0"/>
              <w:rPr>
                <w:sz w:val="24"/>
                <w:szCs w:val="24"/>
                <w:color w:val="auto"/>
              </w:rPr>
            </w:pPr>
          </w:p>
        </w:tc>
        <w:tc>
          <w:tcPr>
            <w:tcW w:w="820" w:type="dxa"/>
            <w:vAlign w:val="bottom"/>
            <w:gridSpan w:val="2"/>
          </w:tcPr>
          <w:p>
            <w:pPr>
              <w:jc w:val="right"/>
              <w:ind w:right="520"/>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1,198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60,080</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20</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60,100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00" w:type="dxa"/>
            <w:vAlign w:val="bottom"/>
          </w:tcPr>
          <w:p>
            <w:pPr>
              <w:spacing w:after="0"/>
              <w:rPr>
                <w:sz w:val="13"/>
                <w:szCs w:val="13"/>
                <w:color w:val="auto"/>
              </w:rPr>
            </w:pPr>
          </w:p>
        </w:tc>
        <w:tc>
          <w:tcPr>
            <w:tcW w:w="80" w:type="dxa"/>
            <w:vAlign w:val="bottom"/>
            <w:tcBorders>
              <w:top w:val="single" w:sz="8" w:color="2C6937"/>
            </w:tcBorders>
          </w:tcPr>
          <w:p>
            <w:pPr>
              <w:spacing w:after="0"/>
              <w:rPr>
                <w:sz w:val="13"/>
                <w:szCs w:val="13"/>
                <w:color w:val="auto"/>
              </w:rPr>
            </w:pPr>
          </w:p>
        </w:tc>
        <w:tc>
          <w:tcPr>
            <w:tcW w:w="104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60,080</w:t>
            </w:r>
          </w:p>
        </w:tc>
        <w:tc>
          <w:tcPr>
            <w:tcW w:w="320" w:type="dxa"/>
            <w:vAlign w:val="bottom"/>
          </w:tcPr>
          <w:p>
            <w:pPr>
              <w:spacing w:after="0"/>
              <w:rPr>
                <w:sz w:val="13"/>
                <w:szCs w:val="13"/>
                <w:color w:val="auto"/>
              </w:rPr>
            </w:pPr>
          </w:p>
        </w:tc>
        <w:tc>
          <w:tcPr>
            <w:tcW w:w="80" w:type="dxa"/>
            <w:vAlign w:val="bottom"/>
            <w:tcBorders>
              <w:top w:val="single" w:sz="8" w:color="2C6937"/>
            </w:tcBorders>
          </w:tcPr>
          <w:p>
            <w:pPr>
              <w:spacing w:after="0"/>
              <w:rPr>
                <w:sz w:val="13"/>
                <w:szCs w:val="13"/>
                <w:color w:val="auto"/>
              </w:rPr>
            </w:pPr>
          </w:p>
        </w:tc>
        <w:tc>
          <w:tcPr>
            <w:tcW w:w="10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1,183</w:t>
            </w:r>
          </w:p>
        </w:tc>
        <w:tc>
          <w:tcPr>
            <w:tcW w:w="300" w:type="dxa"/>
            <w:vAlign w:val="bottom"/>
          </w:tcPr>
          <w:p>
            <w:pPr>
              <w:spacing w:after="0"/>
              <w:rPr>
                <w:sz w:val="13"/>
                <w:szCs w:val="13"/>
                <w:color w:val="auto"/>
              </w:rPr>
            </w:pPr>
          </w:p>
        </w:tc>
        <w:tc>
          <w:tcPr>
            <w:tcW w:w="180" w:type="dxa"/>
            <w:vAlign w:val="bottom"/>
            <w:tcBorders>
              <w:top w:val="single" w:sz="8" w:color="2C6937"/>
            </w:tcBorders>
          </w:tcPr>
          <w:p>
            <w:pPr>
              <w:spacing w:after="0"/>
              <w:rPr>
                <w:sz w:val="13"/>
                <w:szCs w:val="13"/>
                <w:color w:val="auto"/>
              </w:rPr>
            </w:pPr>
          </w:p>
        </w:tc>
        <w:tc>
          <w:tcPr>
            <w:tcW w:w="9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35</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Borders>
              <w:top w:val="single" w:sz="8" w:color="2C6937"/>
            </w:tcBorders>
          </w:tcPr>
          <w:p>
            <w:pPr>
              <w:spacing w:after="0"/>
              <w:rPr>
                <w:sz w:val="13"/>
                <w:szCs w:val="13"/>
                <w:color w:val="auto"/>
              </w:rPr>
            </w:pPr>
          </w:p>
        </w:tc>
        <w:tc>
          <w:tcPr>
            <w:tcW w:w="48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Borders>
              <w:top w:val="single" w:sz="8" w:color="2C6937"/>
            </w:tcBorders>
          </w:tcPr>
          <w:p>
            <w:pPr>
              <w:spacing w:after="0"/>
              <w:rPr>
                <w:sz w:val="13"/>
                <w:szCs w:val="13"/>
                <w:color w:val="auto"/>
              </w:rPr>
            </w:pPr>
          </w:p>
        </w:tc>
        <w:tc>
          <w:tcPr>
            <w:tcW w:w="74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61,298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0"/>
        </w:trPr>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39</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313</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352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5</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135</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140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00" w:type="dxa"/>
            <w:vAlign w:val="bottom"/>
          </w:tcPr>
          <w:p>
            <w:pPr>
              <w:spacing w:after="0"/>
              <w:rPr>
                <w:sz w:val="13"/>
                <w:szCs w:val="13"/>
                <w:color w:val="auto"/>
              </w:rPr>
            </w:pPr>
          </w:p>
        </w:tc>
        <w:tc>
          <w:tcPr>
            <w:tcW w:w="80" w:type="dxa"/>
            <w:vAlign w:val="bottom"/>
            <w:tcBorders>
              <w:top w:val="single" w:sz="8" w:color="2C6937"/>
            </w:tcBorders>
          </w:tcPr>
          <w:p>
            <w:pPr>
              <w:spacing w:after="0"/>
              <w:rPr>
                <w:sz w:val="13"/>
                <w:szCs w:val="13"/>
                <w:color w:val="auto"/>
              </w:rPr>
            </w:pPr>
          </w:p>
        </w:tc>
        <w:tc>
          <w:tcPr>
            <w:tcW w:w="104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80" w:type="dxa"/>
            <w:vAlign w:val="bottom"/>
            <w:tcBorders>
              <w:top w:val="single" w:sz="8" w:color="2C6937"/>
            </w:tcBorders>
          </w:tcPr>
          <w:p>
            <w:pPr>
              <w:spacing w:after="0"/>
              <w:rPr>
                <w:sz w:val="13"/>
                <w:szCs w:val="13"/>
                <w:color w:val="auto"/>
              </w:rPr>
            </w:pPr>
          </w:p>
        </w:tc>
        <w:tc>
          <w:tcPr>
            <w:tcW w:w="10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44</w:t>
            </w:r>
          </w:p>
        </w:tc>
        <w:tc>
          <w:tcPr>
            <w:tcW w:w="300" w:type="dxa"/>
            <w:vAlign w:val="bottom"/>
          </w:tcPr>
          <w:p>
            <w:pPr>
              <w:spacing w:after="0"/>
              <w:rPr>
                <w:sz w:val="13"/>
                <w:szCs w:val="13"/>
                <w:color w:val="auto"/>
              </w:rPr>
            </w:pPr>
          </w:p>
        </w:tc>
        <w:tc>
          <w:tcPr>
            <w:tcW w:w="180" w:type="dxa"/>
            <w:vAlign w:val="bottom"/>
            <w:tcBorders>
              <w:top w:val="single" w:sz="8" w:color="2C6937"/>
            </w:tcBorders>
          </w:tcPr>
          <w:p>
            <w:pPr>
              <w:spacing w:after="0"/>
              <w:rPr>
                <w:sz w:val="13"/>
                <w:szCs w:val="13"/>
                <w:color w:val="auto"/>
              </w:rPr>
            </w:pPr>
          </w:p>
        </w:tc>
        <w:tc>
          <w:tcPr>
            <w:tcW w:w="9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448</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Borders>
              <w:top w:val="single" w:sz="8" w:color="2C6937"/>
            </w:tcBorders>
          </w:tcPr>
          <w:p>
            <w:pPr>
              <w:spacing w:after="0"/>
              <w:rPr>
                <w:sz w:val="13"/>
                <w:szCs w:val="13"/>
                <w:color w:val="auto"/>
              </w:rPr>
            </w:pPr>
          </w:p>
        </w:tc>
        <w:tc>
          <w:tcPr>
            <w:tcW w:w="48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Borders>
              <w:top w:val="single" w:sz="8" w:color="2C6937"/>
            </w:tcBorders>
          </w:tcPr>
          <w:p>
            <w:pPr>
              <w:spacing w:after="0"/>
              <w:rPr>
                <w:sz w:val="13"/>
                <w:szCs w:val="13"/>
                <w:color w:val="auto"/>
              </w:rPr>
            </w:pPr>
          </w:p>
        </w:tc>
        <w:tc>
          <w:tcPr>
            <w:tcW w:w="74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492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2,825</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430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3,255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422</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91</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(233)</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280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60,080</w:t>
            </w:r>
          </w:p>
        </w:tc>
        <w:tc>
          <w:tcPr>
            <w:tcW w:w="320" w:type="dxa"/>
            <w:vAlign w:val="bottom"/>
          </w:tcPr>
          <w:p>
            <w:pPr>
              <w:spacing w:after="0"/>
              <w:rPr>
                <w:sz w:val="14"/>
                <w:szCs w:val="14"/>
                <w:color w:val="auto"/>
              </w:rPr>
            </w:pPr>
          </w:p>
        </w:tc>
        <w:tc>
          <w:tcPr>
            <w:tcW w:w="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4,474</w:t>
            </w:r>
          </w:p>
        </w:tc>
        <w:tc>
          <w:tcPr>
            <w:tcW w:w="300" w:type="dxa"/>
            <w:vAlign w:val="bottom"/>
          </w:tcPr>
          <w:p>
            <w:pPr>
              <w:spacing w:after="0"/>
              <w:rPr>
                <w:sz w:val="14"/>
                <w:szCs w:val="14"/>
                <w:color w:val="auto"/>
              </w:rPr>
            </w:pPr>
          </w:p>
        </w:tc>
        <w:tc>
          <w:tcPr>
            <w:tcW w:w="180" w:type="dxa"/>
            <w:vAlign w:val="bottom"/>
            <w:tcBorders>
              <w:top w:val="single" w:sz="8" w:color="2C6937"/>
              <w:bottom w:val="single" w:sz="8" w:color="2C6937"/>
            </w:tcBorders>
          </w:tcPr>
          <w:p>
            <w:pPr>
              <w:ind w:left="20"/>
              <w:spacing w:after="0"/>
              <w:rPr>
                <w:sz w:val="20"/>
                <w:szCs w:val="20"/>
                <w:color w:val="auto"/>
              </w:rPr>
            </w:pPr>
            <w:r>
              <w:rPr>
                <w:rFonts w:ascii="Arial" w:cs="Arial" w:eastAsia="Arial" w:hAnsi="Arial"/>
                <w:sz w:val="12"/>
                <w:szCs w:val="12"/>
                <w:color w:val="auto"/>
              </w:rPr>
              <w:t>$</w:t>
            </w:r>
          </w:p>
        </w:tc>
        <w:tc>
          <w:tcPr>
            <w:tcW w:w="9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1,004</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top w:val="single" w:sz="8" w:color="2C6937"/>
              <w:bottom w:val="single" w:sz="8" w:color="2C6937"/>
            </w:tcBorders>
          </w:tcPr>
          <w:p>
            <w:pPr>
              <w:jc w:val="right"/>
              <w:ind w:right="520"/>
              <w:spacing w:after="0"/>
              <w:rPr>
                <w:sz w:val="20"/>
                <w:szCs w:val="20"/>
                <w:color w:val="auto"/>
              </w:rPr>
            </w:pPr>
            <w:r>
              <w:rPr>
                <w:rFonts w:ascii="Arial" w:cs="Arial" w:eastAsia="Arial" w:hAnsi="Arial"/>
                <w:sz w:val="12"/>
                <w:szCs w:val="12"/>
                <w:color w:val="auto"/>
                <w:w w:val="89"/>
              </w:rPr>
              <w:t>$</w:t>
            </w:r>
          </w:p>
        </w:tc>
        <w:tc>
          <w:tcPr>
            <w:tcW w:w="4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(233)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Borders>
              <w:top w:val="single" w:sz="8" w:color="2C6937"/>
              <w:bottom w:val="single" w:sz="8" w:color="2C6937"/>
            </w:tcBorders>
          </w:tcPr>
          <w:p>
            <w:pPr>
              <w:jc w:val="right"/>
              <w:ind w:right="240"/>
              <w:spacing w:after="0"/>
              <w:rPr>
                <w:sz w:val="20"/>
                <w:szCs w:val="20"/>
                <w:color w:val="auto"/>
              </w:rPr>
            </w:pPr>
            <w:r>
              <w:rPr>
                <w:rFonts w:ascii="Arial" w:cs="Arial" w:eastAsia="Arial" w:hAnsi="Arial"/>
                <w:sz w:val="12"/>
                <w:szCs w:val="12"/>
                <w:color w:val="auto"/>
              </w:rPr>
              <w:t>$</w:t>
            </w:r>
          </w:p>
        </w:tc>
        <w:tc>
          <w:tcPr>
            <w:tcW w:w="7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65,325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0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1040" w:type="dxa"/>
            <w:vAlign w:val="bottom"/>
            <w:tcBorders>
              <w:bottom w:val="single" w:sz="8" w:color="2C6937"/>
            </w:tcBorders>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1060" w:type="dxa"/>
            <w:vAlign w:val="bottom"/>
            <w:tcBorders>
              <w:bottom w:val="single" w:sz="8" w:color="2C6937"/>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bottom w:val="single" w:sz="8" w:color="2C6937"/>
            </w:tcBorders>
          </w:tcPr>
          <w:p>
            <w:pPr>
              <w:spacing w:after="0"/>
              <w:rPr>
                <w:sz w:val="2"/>
                <w:szCs w:val="2"/>
                <w:color w:val="auto"/>
              </w:rPr>
            </w:pPr>
          </w:p>
        </w:tc>
        <w:tc>
          <w:tcPr>
            <w:tcW w:w="960" w:type="dxa"/>
            <w:vAlign w:val="bottom"/>
            <w:tcBorders>
              <w:bottom w:val="single" w:sz="8" w:color="2C6937"/>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480" w:type="dxa"/>
            <w:vAlign w:val="bottom"/>
            <w:tcBorders>
              <w:bottom w:val="single" w:sz="8" w:color="2C6937"/>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1"/>
        </w:trPr>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167</w:t>
            </w:r>
          </w:p>
        </w:tc>
        <w:tc>
          <w:tcPr>
            <w:tcW w:w="48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284</w:t>
            </w:r>
          </w:p>
        </w:tc>
        <w:tc>
          <w:tcPr>
            <w:tcW w:w="140" w:type="dxa"/>
            <w:vAlign w:val="bottom"/>
          </w:tcPr>
          <w:p>
            <w:pPr>
              <w:spacing w:after="0"/>
              <w:rPr>
                <w:sz w:val="24"/>
                <w:szCs w:val="24"/>
                <w:color w:val="auto"/>
              </w:rPr>
            </w:pPr>
          </w:p>
        </w:tc>
        <w:tc>
          <w:tcPr>
            <w:tcW w:w="820" w:type="dxa"/>
            <w:vAlign w:val="bottom"/>
            <w:gridSpan w:val="2"/>
          </w:tcPr>
          <w:p>
            <w:pPr>
              <w:jc w:val="right"/>
              <w:ind w:right="520"/>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451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13,127</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110</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13,237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00" w:type="dxa"/>
            <w:vAlign w:val="bottom"/>
          </w:tcPr>
          <w:p>
            <w:pPr>
              <w:spacing w:after="0"/>
              <w:rPr>
                <w:sz w:val="13"/>
                <w:szCs w:val="13"/>
                <w:color w:val="auto"/>
              </w:rPr>
            </w:pPr>
          </w:p>
        </w:tc>
        <w:tc>
          <w:tcPr>
            <w:tcW w:w="80" w:type="dxa"/>
            <w:vAlign w:val="bottom"/>
            <w:tcBorders>
              <w:top w:val="single" w:sz="8" w:color="2C6937"/>
            </w:tcBorders>
          </w:tcPr>
          <w:p>
            <w:pPr>
              <w:spacing w:after="0"/>
              <w:rPr>
                <w:sz w:val="13"/>
                <w:szCs w:val="13"/>
                <w:color w:val="auto"/>
              </w:rPr>
            </w:pPr>
          </w:p>
        </w:tc>
        <w:tc>
          <w:tcPr>
            <w:tcW w:w="104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80" w:type="dxa"/>
            <w:vAlign w:val="bottom"/>
            <w:tcBorders>
              <w:top w:val="single" w:sz="8" w:color="2C6937"/>
            </w:tcBorders>
          </w:tcPr>
          <w:p>
            <w:pPr>
              <w:spacing w:after="0"/>
              <w:rPr>
                <w:sz w:val="13"/>
                <w:szCs w:val="13"/>
                <w:color w:val="auto"/>
              </w:rPr>
            </w:pPr>
          </w:p>
        </w:tc>
        <w:tc>
          <w:tcPr>
            <w:tcW w:w="10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13,294</w:t>
            </w:r>
          </w:p>
        </w:tc>
        <w:tc>
          <w:tcPr>
            <w:tcW w:w="300" w:type="dxa"/>
            <w:vAlign w:val="bottom"/>
          </w:tcPr>
          <w:p>
            <w:pPr>
              <w:spacing w:after="0"/>
              <w:rPr>
                <w:sz w:val="13"/>
                <w:szCs w:val="13"/>
                <w:color w:val="auto"/>
              </w:rPr>
            </w:pPr>
          </w:p>
        </w:tc>
        <w:tc>
          <w:tcPr>
            <w:tcW w:w="180" w:type="dxa"/>
            <w:vAlign w:val="bottom"/>
            <w:tcBorders>
              <w:top w:val="single" w:sz="8" w:color="2C6937"/>
            </w:tcBorders>
          </w:tcPr>
          <w:p>
            <w:pPr>
              <w:spacing w:after="0"/>
              <w:rPr>
                <w:sz w:val="13"/>
                <w:szCs w:val="13"/>
                <w:color w:val="auto"/>
              </w:rPr>
            </w:pPr>
          </w:p>
        </w:tc>
        <w:tc>
          <w:tcPr>
            <w:tcW w:w="9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394</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Borders>
              <w:top w:val="single" w:sz="8" w:color="2C6937"/>
            </w:tcBorders>
          </w:tcPr>
          <w:p>
            <w:pPr>
              <w:spacing w:after="0"/>
              <w:rPr>
                <w:sz w:val="13"/>
                <w:szCs w:val="13"/>
                <w:color w:val="auto"/>
              </w:rPr>
            </w:pPr>
          </w:p>
        </w:tc>
        <w:tc>
          <w:tcPr>
            <w:tcW w:w="48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Borders>
              <w:top w:val="single" w:sz="8" w:color="2C6937"/>
            </w:tcBorders>
          </w:tcPr>
          <w:p>
            <w:pPr>
              <w:spacing w:after="0"/>
              <w:rPr>
                <w:sz w:val="13"/>
                <w:szCs w:val="13"/>
                <w:color w:val="auto"/>
              </w:rPr>
            </w:pPr>
          </w:p>
        </w:tc>
        <w:tc>
          <w:tcPr>
            <w:tcW w:w="74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13,688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2,275</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11</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(2,154)</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132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15,569</w:t>
            </w:r>
          </w:p>
        </w:tc>
        <w:tc>
          <w:tcPr>
            <w:tcW w:w="300" w:type="dxa"/>
            <w:vAlign w:val="bottom"/>
          </w:tcPr>
          <w:p>
            <w:pPr>
              <w:spacing w:after="0"/>
              <w:rPr>
                <w:sz w:val="14"/>
                <w:szCs w:val="14"/>
                <w:color w:val="auto"/>
              </w:rPr>
            </w:pPr>
          </w:p>
        </w:tc>
        <w:tc>
          <w:tcPr>
            <w:tcW w:w="180" w:type="dxa"/>
            <w:vAlign w:val="bottom"/>
            <w:tcBorders>
              <w:top w:val="single" w:sz="8" w:color="2C6937"/>
              <w:bottom w:val="single" w:sz="8" w:color="2C6937"/>
            </w:tcBorders>
          </w:tcPr>
          <w:p>
            <w:pPr>
              <w:ind w:left="20"/>
              <w:spacing w:after="0"/>
              <w:rPr>
                <w:sz w:val="20"/>
                <w:szCs w:val="20"/>
                <w:color w:val="auto"/>
              </w:rPr>
            </w:pPr>
            <w:r>
              <w:rPr>
                <w:rFonts w:ascii="Arial" w:cs="Arial" w:eastAsia="Arial" w:hAnsi="Arial"/>
                <w:sz w:val="12"/>
                <w:szCs w:val="12"/>
                <w:color w:val="auto"/>
              </w:rPr>
              <w:t>$</w:t>
            </w:r>
          </w:p>
        </w:tc>
        <w:tc>
          <w:tcPr>
            <w:tcW w:w="9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405</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top w:val="single" w:sz="8" w:color="2C6937"/>
              <w:bottom w:val="single" w:sz="8" w:color="2C6937"/>
            </w:tcBorders>
          </w:tcPr>
          <w:p>
            <w:pPr>
              <w:jc w:val="right"/>
              <w:ind w:right="520"/>
              <w:spacing w:after="0"/>
              <w:rPr>
                <w:sz w:val="20"/>
                <w:szCs w:val="20"/>
                <w:color w:val="auto"/>
              </w:rPr>
            </w:pPr>
            <w:r>
              <w:rPr>
                <w:rFonts w:ascii="Arial" w:cs="Arial" w:eastAsia="Arial" w:hAnsi="Arial"/>
                <w:sz w:val="12"/>
                <w:szCs w:val="12"/>
                <w:color w:val="auto"/>
                <w:w w:val="89"/>
              </w:rPr>
              <w:t>$</w:t>
            </w:r>
          </w:p>
        </w:tc>
        <w:tc>
          <w:tcPr>
            <w:tcW w:w="4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(2,154)</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Borders>
              <w:top w:val="single" w:sz="8" w:color="2C6937"/>
              <w:bottom w:val="single" w:sz="8" w:color="2C6937"/>
            </w:tcBorders>
          </w:tcPr>
          <w:p>
            <w:pPr>
              <w:jc w:val="right"/>
              <w:ind w:right="240"/>
              <w:spacing w:after="0"/>
              <w:rPr>
                <w:sz w:val="20"/>
                <w:szCs w:val="20"/>
                <w:color w:val="auto"/>
              </w:rPr>
            </w:pPr>
            <w:r>
              <w:rPr>
                <w:rFonts w:ascii="Arial" w:cs="Arial" w:eastAsia="Arial" w:hAnsi="Arial"/>
                <w:sz w:val="12"/>
                <w:szCs w:val="12"/>
                <w:color w:val="auto"/>
              </w:rPr>
              <w:t>$</w:t>
            </w:r>
          </w:p>
        </w:tc>
        <w:tc>
          <w:tcPr>
            <w:tcW w:w="7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13,820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0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1040" w:type="dxa"/>
            <w:vAlign w:val="bottom"/>
            <w:tcBorders>
              <w:bottom w:val="single" w:sz="8" w:color="2C6937"/>
            </w:tcBorders>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1060" w:type="dxa"/>
            <w:vAlign w:val="bottom"/>
            <w:tcBorders>
              <w:bottom w:val="single" w:sz="8" w:color="2C6937"/>
            </w:tcBorders>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Borders>
              <w:bottom w:val="single" w:sz="8" w:color="2C6937"/>
            </w:tcBorders>
            <w:gridSpan w:val="2"/>
          </w:tcPr>
          <w:p>
            <w:pPr>
              <w:spacing w:after="0"/>
              <w:rPr>
                <w:sz w:val="2"/>
                <w:szCs w:val="2"/>
                <w:color w:val="auto"/>
              </w:rPr>
            </w:pPr>
          </w:p>
        </w:tc>
        <w:tc>
          <w:tcPr>
            <w:tcW w:w="300" w:type="dxa"/>
            <w:vAlign w:val="bottom"/>
            <w:gridSpan w:val="2"/>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480" w:type="dxa"/>
            <w:vAlign w:val="bottom"/>
            <w:tcBorders>
              <w:bottom w:val="single" w:sz="8" w:color="2C6937"/>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7"/>
        </w:trPr>
        <w:tc>
          <w:tcPr>
            <w:tcW w:w="10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1040" w:type="dxa"/>
            <w:vAlign w:val="bottom"/>
            <w:tcBorders>
              <w:bottom w:val="single" w:sz="8" w:color="2C6937"/>
            </w:tcBorders>
          </w:tcPr>
          <w:p>
            <w:pPr>
              <w:spacing w:after="0"/>
              <w:rPr>
                <w:sz w:val="24"/>
                <w:szCs w:val="24"/>
                <w:color w:val="auto"/>
              </w:rPr>
            </w:pPr>
          </w:p>
        </w:tc>
        <w:tc>
          <w:tcPr>
            <w:tcW w:w="32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3460" w:type="dxa"/>
            <w:vAlign w:val="bottom"/>
            <w:tcBorders>
              <w:bottom w:val="single" w:sz="8" w:color="2C6937"/>
            </w:tcBorders>
            <w:gridSpan w:val="7"/>
          </w:tcPr>
          <w:p>
            <w:pPr>
              <w:jc w:val="center"/>
              <w:ind w:left="360"/>
              <w:spacing w:after="0"/>
              <w:rPr>
                <w:sz w:val="20"/>
                <w:szCs w:val="20"/>
                <w:color w:val="auto"/>
              </w:rPr>
            </w:pPr>
            <w:r>
              <w:rPr>
                <w:rFonts w:ascii="Arial" w:cs="Arial" w:eastAsia="Arial" w:hAnsi="Arial"/>
                <w:sz w:val="12"/>
                <w:szCs w:val="12"/>
                <w:b w:val="1"/>
                <w:bCs w:val="1"/>
                <w:color w:val="auto"/>
              </w:rPr>
              <w:t>Fair Value Measurements as of December 31, 2023</w:t>
            </w:r>
          </w:p>
        </w:tc>
        <w:tc>
          <w:tcPr>
            <w:tcW w:w="480" w:type="dxa"/>
            <w:vAlign w:val="bottom"/>
            <w:tcBorders>
              <w:bottom w:val="single" w:sz="8" w:color="2C6937"/>
            </w:tcBorders>
          </w:tcPr>
          <w:p>
            <w:pPr>
              <w:spacing w:after="0"/>
              <w:rPr>
                <w:sz w:val="24"/>
                <w:szCs w:val="24"/>
                <w:color w:val="auto"/>
              </w:rPr>
            </w:pPr>
          </w:p>
        </w:tc>
        <w:tc>
          <w:tcPr>
            <w:tcW w:w="160" w:type="dxa"/>
            <w:vAlign w:val="bottom"/>
            <w:tcBorders>
              <w:bottom w:val="single" w:sz="8" w:color="2C6937"/>
            </w:tcBorders>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4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rPr>
              <w:t>Quoted Prices in</w:t>
            </w: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1440" w:type="dxa"/>
            <w:vAlign w:val="bottom"/>
            <w:gridSpan w:val="3"/>
          </w:tcPr>
          <w:p>
            <w:pPr>
              <w:jc w:val="center"/>
              <w:ind w:right="320"/>
              <w:spacing w:after="0"/>
              <w:rPr>
                <w:sz w:val="20"/>
                <w:szCs w:val="20"/>
                <w:color w:val="auto"/>
              </w:rPr>
            </w:pPr>
            <w:r>
              <w:rPr>
                <w:rFonts w:ascii="Arial" w:cs="Arial" w:eastAsia="Arial" w:hAnsi="Arial"/>
                <w:sz w:val="12"/>
                <w:szCs w:val="12"/>
                <w:b w:val="1"/>
                <w:bCs w:val="1"/>
                <w:color w:val="auto"/>
                <w:w w:val="99"/>
              </w:rPr>
              <w:t>Active Markets for</w:t>
            </w:r>
          </w:p>
        </w:tc>
        <w:tc>
          <w:tcPr>
            <w:tcW w:w="80" w:type="dxa"/>
            <w:vAlign w:val="bottom"/>
          </w:tcPr>
          <w:p>
            <w:pPr>
              <w:spacing w:after="0"/>
              <w:rPr>
                <w:sz w:val="13"/>
                <w:szCs w:val="13"/>
                <w:color w:val="auto"/>
              </w:rPr>
            </w:pPr>
          </w:p>
        </w:tc>
        <w:tc>
          <w:tcPr>
            <w:tcW w:w="1060" w:type="dxa"/>
            <w:vAlign w:val="bottom"/>
          </w:tcPr>
          <w:p>
            <w:pPr>
              <w:jc w:val="center"/>
              <w:ind w:right="40"/>
              <w:spacing w:after="0"/>
              <w:rPr>
                <w:sz w:val="20"/>
                <w:szCs w:val="20"/>
                <w:color w:val="auto"/>
              </w:rPr>
            </w:pPr>
            <w:r>
              <w:rPr>
                <w:rFonts w:ascii="Arial" w:cs="Arial" w:eastAsia="Arial" w:hAnsi="Arial"/>
                <w:sz w:val="12"/>
                <w:szCs w:val="12"/>
                <w:b w:val="1"/>
                <w:bCs w:val="1"/>
                <w:color w:val="auto"/>
                <w:w w:val="99"/>
              </w:rPr>
              <w:t>Significant Other</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rPr>
              <w:t>Significant</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2"/>
          </w:tcPr>
          <w:p>
            <w:pPr>
              <w:jc w:val="center"/>
              <w:ind w:right="400"/>
              <w:spacing w:after="0" w:line="137" w:lineRule="exact"/>
              <w:rPr>
                <w:sz w:val="20"/>
                <w:szCs w:val="20"/>
                <w:color w:val="auto"/>
              </w:rPr>
            </w:pPr>
            <w:r>
              <w:rPr>
                <w:rFonts w:ascii="Arial" w:cs="Arial" w:eastAsia="Arial" w:hAnsi="Arial"/>
                <w:sz w:val="12"/>
                <w:szCs w:val="12"/>
                <w:b w:val="1"/>
                <w:bCs w:val="1"/>
                <w:color w:val="auto"/>
              </w:rPr>
              <w:t>Identical Assets</w:t>
            </w:r>
          </w:p>
        </w:tc>
        <w:tc>
          <w:tcPr>
            <w:tcW w:w="1140" w:type="dxa"/>
            <w:vAlign w:val="bottom"/>
            <w:gridSpan w:val="2"/>
          </w:tcPr>
          <w:p>
            <w:pPr>
              <w:jc w:val="center"/>
              <w:spacing w:after="0" w:line="137" w:lineRule="exact"/>
              <w:rPr>
                <w:sz w:val="20"/>
                <w:szCs w:val="20"/>
                <w:color w:val="auto"/>
              </w:rPr>
            </w:pPr>
            <w:r>
              <w:rPr>
                <w:rFonts w:ascii="Arial" w:cs="Arial" w:eastAsia="Arial" w:hAnsi="Arial"/>
                <w:sz w:val="12"/>
                <w:szCs w:val="12"/>
                <w:b w:val="1"/>
                <w:bCs w:val="1"/>
                <w:color w:val="auto"/>
                <w:w w:val="99"/>
              </w:rPr>
              <w:t>Observable Inputs</w:t>
            </w:r>
          </w:p>
        </w:tc>
        <w:tc>
          <w:tcPr>
            <w:tcW w:w="1580" w:type="dxa"/>
            <w:vAlign w:val="bottom"/>
            <w:gridSpan w:val="4"/>
          </w:tcPr>
          <w:p>
            <w:pPr>
              <w:jc w:val="center"/>
              <w:ind w:left="100"/>
              <w:spacing w:after="0" w:line="137" w:lineRule="exact"/>
              <w:rPr>
                <w:sz w:val="20"/>
                <w:szCs w:val="20"/>
                <w:color w:val="auto"/>
              </w:rPr>
            </w:pPr>
            <w:r>
              <w:rPr>
                <w:rFonts w:ascii="Arial" w:cs="Arial" w:eastAsia="Arial" w:hAnsi="Arial"/>
                <w:sz w:val="12"/>
                <w:szCs w:val="12"/>
                <w:b w:val="1"/>
                <w:bCs w:val="1"/>
                <w:color w:val="auto"/>
                <w:w w:val="99"/>
              </w:rPr>
              <w:t>Unobservable Inputs</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0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1360" w:type="dxa"/>
            <w:vAlign w:val="bottom"/>
            <w:tcBorders>
              <w:bottom w:val="single" w:sz="8" w:color="2C6937"/>
            </w:tcBorders>
            <w:gridSpan w:val="2"/>
          </w:tcPr>
          <w:p>
            <w:pPr>
              <w:jc w:val="center"/>
              <w:ind w:right="400"/>
              <w:spacing w:after="0"/>
              <w:rPr>
                <w:sz w:val="20"/>
                <w:szCs w:val="20"/>
                <w:color w:val="auto"/>
              </w:rPr>
            </w:pPr>
            <w:r>
              <w:rPr>
                <w:rFonts w:ascii="Arial" w:cs="Arial" w:eastAsia="Arial" w:hAnsi="Arial"/>
                <w:sz w:val="12"/>
                <w:szCs w:val="12"/>
                <w:b w:val="1"/>
                <w:bCs w:val="1"/>
                <w:color w:val="auto"/>
                <w:w w:val="98"/>
              </w:rPr>
              <w:t>(Level 1)</w:t>
            </w:r>
          </w:p>
        </w:tc>
        <w:tc>
          <w:tcPr>
            <w:tcW w:w="8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tcPr>
          <w:p>
            <w:pPr>
              <w:jc w:val="center"/>
              <w:ind w:right="40"/>
              <w:spacing w:after="0"/>
              <w:rPr>
                <w:sz w:val="20"/>
                <w:szCs w:val="20"/>
                <w:color w:val="auto"/>
              </w:rPr>
            </w:pPr>
            <w:r>
              <w:rPr>
                <w:rFonts w:ascii="Arial" w:cs="Arial" w:eastAsia="Arial" w:hAnsi="Arial"/>
                <w:sz w:val="12"/>
                <w:szCs w:val="12"/>
                <w:b w:val="1"/>
                <w:bCs w:val="1"/>
                <w:color w:val="auto"/>
                <w:w w:val="98"/>
              </w:rPr>
              <w:t>(Level 2)</w:t>
            </w:r>
          </w:p>
        </w:tc>
        <w:tc>
          <w:tcPr>
            <w:tcW w:w="300" w:type="dxa"/>
            <w:vAlign w:val="bottom"/>
            <w:tcBorders>
              <w:bottom w:val="single" w:sz="8" w:color="2C6937"/>
            </w:tcBorders>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1100" w:type="dxa"/>
            <w:vAlign w:val="bottom"/>
            <w:tcBorders>
              <w:bottom w:val="single" w:sz="8" w:color="2C6937"/>
            </w:tcBorders>
            <w:gridSpan w:val="2"/>
          </w:tcPr>
          <w:p>
            <w:pPr>
              <w:jc w:val="center"/>
              <w:ind w:right="320"/>
              <w:spacing w:after="0"/>
              <w:rPr>
                <w:sz w:val="20"/>
                <w:szCs w:val="20"/>
                <w:color w:val="auto"/>
              </w:rPr>
            </w:pPr>
            <w:r>
              <w:rPr>
                <w:rFonts w:ascii="Arial" w:cs="Arial" w:eastAsia="Arial" w:hAnsi="Arial"/>
                <w:sz w:val="12"/>
                <w:szCs w:val="12"/>
                <w:b w:val="1"/>
                <w:bCs w:val="1"/>
                <w:color w:val="auto"/>
              </w:rPr>
              <w:t>(Level 3)</w:t>
            </w:r>
          </w:p>
        </w:tc>
        <w:tc>
          <w:tcPr>
            <w:tcW w:w="1460" w:type="dxa"/>
            <w:vAlign w:val="bottom"/>
            <w:tcBorders>
              <w:bottom w:val="single" w:sz="8" w:color="2C6937"/>
            </w:tcBorders>
            <w:gridSpan w:val="4"/>
          </w:tcPr>
          <w:p>
            <w:pPr>
              <w:ind w:left="120"/>
              <w:spacing w:after="0"/>
              <w:rPr>
                <w:sz w:val="20"/>
                <w:szCs w:val="20"/>
                <w:color w:val="auto"/>
              </w:rPr>
            </w:pPr>
            <w:r>
              <w:rPr>
                <w:rFonts w:ascii="Arial" w:cs="Arial" w:eastAsia="Arial" w:hAnsi="Arial"/>
                <w:sz w:val="12"/>
                <w:szCs w:val="12"/>
                <w:b w:val="1"/>
                <w:bCs w:val="1"/>
                <w:color w:val="auto"/>
              </w:rPr>
              <w:t>Netting Adjustment</w:t>
            </w:r>
            <w:r>
              <w:rPr>
                <w:rFonts w:ascii="Arial" w:cs="Arial" w:eastAsia="Arial" w:hAnsi="Arial"/>
                <w:sz w:val="15"/>
                <w:szCs w:val="15"/>
                <w:b w:val="1"/>
                <w:bCs w:val="1"/>
                <w:color w:val="auto"/>
                <w:vertAlign w:val="superscript"/>
              </w:rPr>
              <w:t>(1)</w:t>
            </w:r>
          </w:p>
        </w:tc>
        <w:tc>
          <w:tcPr>
            <w:tcW w:w="1380" w:type="dxa"/>
            <w:vAlign w:val="bottom"/>
            <w:tcBorders>
              <w:bottom w:val="single" w:sz="8" w:color="2C6937"/>
            </w:tcBorders>
            <w:gridSpan w:val="4"/>
          </w:tcPr>
          <w:p>
            <w:pPr>
              <w:ind w:left="120"/>
              <w:spacing w:after="0"/>
              <w:rPr>
                <w:sz w:val="20"/>
                <w:szCs w:val="20"/>
                <w:color w:val="auto"/>
              </w:rPr>
            </w:pPr>
            <w:r>
              <w:rPr>
                <w:rFonts w:ascii="Arial" w:cs="Arial" w:eastAsia="Arial" w:hAnsi="Arial"/>
                <w:sz w:val="12"/>
                <w:szCs w:val="12"/>
                <w:b w:val="1"/>
                <w:bCs w:val="1"/>
                <w:color w:val="auto"/>
              </w:rPr>
              <w:t>Estimated Fair Value</w:t>
            </w: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3"/>
          </w:tcPr>
          <w:p>
            <w:pPr>
              <w:ind w:left="20"/>
              <w:spacing w:after="0"/>
              <w:rPr>
                <w:sz w:val="20"/>
                <w:szCs w:val="20"/>
                <w:color w:val="auto"/>
              </w:rPr>
            </w:pPr>
            <w:r>
              <w:rPr>
                <w:rFonts w:ascii="Arial" w:cs="Arial" w:eastAsia="Arial" w:hAnsi="Arial"/>
                <w:sz w:val="12"/>
                <w:szCs w:val="12"/>
                <w:b w:val="1"/>
                <w:bCs w:val="1"/>
                <w:color w:val="auto"/>
              </w:rPr>
              <w:t>(Dollars in millions)</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0"/>
        </w:trPr>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4,744</w:t>
            </w:r>
          </w:p>
        </w:tc>
        <w:tc>
          <w:tcPr>
            <w:tcW w:w="48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26</w:t>
            </w:r>
          </w:p>
        </w:tc>
        <w:tc>
          <w:tcPr>
            <w:tcW w:w="140" w:type="dxa"/>
            <w:vAlign w:val="bottom"/>
          </w:tcPr>
          <w:p>
            <w:pPr>
              <w:spacing w:after="0"/>
              <w:rPr>
                <w:sz w:val="24"/>
                <w:szCs w:val="24"/>
                <w:color w:val="auto"/>
              </w:rPr>
            </w:pPr>
          </w:p>
        </w:tc>
        <w:tc>
          <w:tcPr>
            <w:tcW w:w="820" w:type="dxa"/>
            <w:vAlign w:val="bottom"/>
            <w:gridSpan w:val="2"/>
          </w:tcPr>
          <w:p>
            <w:pPr>
              <w:jc w:val="right"/>
              <w:ind w:right="520"/>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4,770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47,764</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18</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47,782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00" w:type="dxa"/>
            <w:vAlign w:val="bottom"/>
          </w:tcPr>
          <w:p>
            <w:pPr>
              <w:spacing w:after="0"/>
              <w:rPr>
                <w:sz w:val="13"/>
                <w:szCs w:val="13"/>
                <w:color w:val="auto"/>
              </w:rPr>
            </w:pPr>
          </w:p>
        </w:tc>
        <w:tc>
          <w:tcPr>
            <w:tcW w:w="80" w:type="dxa"/>
            <w:vAlign w:val="bottom"/>
            <w:tcBorders>
              <w:top w:val="single" w:sz="8" w:color="2C6937"/>
            </w:tcBorders>
          </w:tcPr>
          <w:p>
            <w:pPr>
              <w:spacing w:after="0"/>
              <w:rPr>
                <w:sz w:val="13"/>
                <w:szCs w:val="13"/>
                <w:color w:val="auto"/>
              </w:rPr>
            </w:pPr>
          </w:p>
        </w:tc>
        <w:tc>
          <w:tcPr>
            <w:tcW w:w="104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47,764</w:t>
            </w:r>
          </w:p>
        </w:tc>
        <w:tc>
          <w:tcPr>
            <w:tcW w:w="320" w:type="dxa"/>
            <w:vAlign w:val="bottom"/>
          </w:tcPr>
          <w:p>
            <w:pPr>
              <w:spacing w:after="0"/>
              <w:rPr>
                <w:sz w:val="13"/>
                <w:szCs w:val="13"/>
                <w:color w:val="auto"/>
              </w:rPr>
            </w:pPr>
          </w:p>
        </w:tc>
        <w:tc>
          <w:tcPr>
            <w:tcW w:w="80" w:type="dxa"/>
            <w:vAlign w:val="bottom"/>
            <w:tcBorders>
              <w:top w:val="single" w:sz="8" w:color="2C6937"/>
            </w:tcBorders>
          </w:tcPr>
          <w:p>
            <w:pPr>
              <w:spacing w:after="0"/>
              <w:rPr>
                <w:sz w:val="13"/>
                <w:szCs w:val="13"/>
                <w:color w:val="auto"/>
              </w:rPr>
            </w:pPr>
          </w:p>
        </w:tc>
        <w:tc>
          <w:tcPr>
            <w:tcW w:w="10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4,762</w:t>
            </w:r>
          </w:p>
        </w:tc>
        <w:tc>
          <w:tcPr>
            <w:tcW w:w="300" w:type="dxa"/>
            <w:vAlign w:val="bottom"/>
          </w:tcPr>
          <w:p>
            <w:pPr>
              <w:spacing w:after="0"/>
              <w:rPr>
                <w:sz w:val="13"/>
                <w:szCs w:val="13"/>
                <w:color w:val="auto"/>
              </w:rPr>
            </w:pPr>
          </w:p>
        </w:tc>
        <w:tc>
          <w:tcPr>
            <w:tcW w:w="180" w:type="dxa"/>
            <w:vAlign w:val="bottom"/>
            <w:tcBorders>
              <w:top w:val="single" w:sz="8" w:color="2C6937"/>
            </w:tcBorders>
          </w:tcPr>
          <w:p>
            <w:pPr>
              <w:spacing w:after="0"/>
              <w:rPr>
                <w:sz w:val="13"/>
                <w:szCs w:val="13"/>
                <w:color w:val="auto"/>
              </w:rPr>
            </w:pPr>
          </w:p>
        </w:tc>
        <w:tc>
          <w:tcPr>
            <w:tcW w:w="9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26</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Borders>
              <w:top w:val="single" w:sz="8" w:color="2C6937"/>
            </w:tcBorders>
          </w:tcPr>
          <w:p>
            <w:pPr>
              <w:spacing w:after="0"/>
              <w:rPr>
                <w:sz w:val="13"/>
                <w:szCs w:val="13"/>
                <w:color w:val="auto"/>
              </w:rPr>
            </w:pPr>
          </w:p>
        </w:tc>
        <w:tc>
          <w:tcPr>
            <w:tcW w:w="48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Borders>
              <w:top w:val="single" w:sz="8" w:color="2C6937"/>
            </w:tcBorders>
          </w:tcPr>
          <w:p>
            <w:pPr>
              <w:spacing w:after="0"/>
              <w:rPr>
                <w:sz w:val="13"/>
                <w:szCs w:val="13"/>
                <w:color w:val="auto"/>
              </w:rPr>
            </w:pPr>
          </w:p>
        </w:tc>
        <w:tc>
          <w:tcPr>
            <w:tcW w:w="74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52,552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0"/>
        </w:trPr>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46</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331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377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183</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187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00" w:type="dxa"/>
            <w:vAlign w:val="bottom"/>
          </w:tcPr>
          <w:p>
            <w:pPr>
              <w:spacing w:after="0"/>
              <w:rPr>
                <w:sz w:val="13"/>
                <w:szCs w:val="13"/>
                <w:color w:val="auto"/>
              </w:rPr>
            </w:pPr>
          </w:p>
        </w:tc>
        <w:tc>
          <w:tcPr>
            <w:tcW w:w="80" w:type="dxa"/>
            <w:vAlign w:val="bottom"/>
            <w:tcBorders>
              <w:top w:val="single" w:sz="8" w:color="2C6937"/>
            </w:tcBorders>
          </w:tcPr>
          <w:p>
            <w:pPr>
              <w:spacing w:after="0"/>
              <w:rPr>
                <w:sz w:val="13"/>
                <w:szCs w:val="13"/>
                <w:color w:val="auto"/>
              </w:rPr>
            </w:pPr>
          </w:p>
        </w:tc>
        <w:tc>
          <w:tcPr>
            <w:tcW w:w="104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80" w:type="dxa"/>
            <w:vAlign w:val="bottom"/>
            <w:tcBorders>
              <w:top w:val="single" w:sz="8" w:color="2C6937"/>
            </w:tcBorders>
          </w:tcPr>
          <w:p>
            <w:pPr>
              <w:spacing w:after="0"/>
              <w:rPr>
                <w:sz w:val="13"/>
                <w:szCs w:val="13"/>
                <w:color w:val="auto"/>
              </w:rPr>
            </w:pPr>
          </w:p>
        </w:tc>
        <w:tc>
          <w:tcPr>
            <w:tcW w:w="10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50</w:t>
            </w:r>
          </w:p>
        </w:tc>
        <w:tc>
          <w:tcPr>
            <w:tcW w:w="300" w:type="dxa"/>
            <w:vAlign w:val="bottom"/>
          </w:tcPr>
          <w:p>
            <w:pPr>
              <w:spacing w:after="0"/>
              <w:rPr>
                <w:sz w:val="13"/>
                <w:szCs w:val="13"/>
                <w:color w:val="auto"/>
              </w:rPr>
            </w:pPr>
          </w:p>
        </w:tc>
        <w:tc>
          <w:tcPr>
            <w:tcW w:w="180" w:type="dxa"/>
            <w:vAlign w:val="bottom"/>
            <w:tcBorders>
              <w:top w:val="single" w:sz="8" w:color="2C6937"/>
            </w:tcBorders>
          </w:tcPr>
          <w:p>
            <w:pPr>
              <w:spacing w:after="0"/>
              <w:rPr>
                <w:sz w:val="13"/>
                <w:szCs w:val="13"/>
                <w:color w:val="auto"/>
              </w:rPr>
            </w:pPr>
          </w:p>
        </w:tc>
        <w:tc>
          <w:tcPr>
            <w:tcW w:w="9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514</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Borders>
              <w:top w:val="single" w:sz="8" w:color="2C6937"/>
            </w:tcBorders>
          </w:tcPr>
          <w:p>
            <w:pPr>
              <w:spacing w:after="0"/>
              <w:rPr>
                <w:sz w:val="13"/>
                <w:szCs w:val="13"/>
                <w:color w:val="auto"/>
              </w:rPr>
            </w:pPr>
          </w:p>
        </w:tc>
        <w:tc>
          <w:tcPr>
            <w:tcW w:w="48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Borders>
              <w:top w:val="single" w:sz="8" w:color="2C6937"/>
            </w:tcBorders>
          </w:tcPr>
          <w:p>
            <w:pPr>
              <w:spacing w:after="0"/>
              <w:rPr>
                <w:sz w:val="13"/>
                <w:szCs w:val="13"/>
                <w:color w:val="auto"/>
              </w:rPr>
            </w:pPr>
          </w:p>
        </w:tc>
        <w:tc>
          <w:tcPr>
            <w:tcW w:w="74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564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2,838</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477</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3,315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395</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90</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(283)</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47,764</w:t>
            </w:r>
          </w:p>
        </w:tc>
        <w:tc>
          <w:tcPr>
            <w:tcW w:w="320" w:type="dxa"/>
            <w:vAlign w:val="bottom"/>
          </w:tcPr>
          <w:p>
            <w:pPr>
              <w:spacing w:after="0"/>
              <w:rPr>
                <w:sz w:val="14"/>
                <w:szCs w:val="14"/>
                <w:color w:val="auto"/>
              </w:rPr>
            </w:pPr>
          </w:p>
        </w:tc>
        <w:tc>
          <w:tcPr>
            <w:tcW w:w="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8,045</w:t>
            </w:r>
          </w:p>
        </w:tc>
        <w:tc>
          <w:tcPr>
            <w:tcW w:w="300" w:type="dxa"/>
            <w:vAlign w:val="bottom"/>
          </w:tcPr>
          <w:p>
            <w:pPr>
              <w:spacing w:after="0"/>
              <w:rPr>
                <w:sz w:val="14"/>
                <w:szCs w:val="14"/>
                <w:color w:val="auto"/>
              </w:rPr>
            </w:pPr>
          </w:p>
        </w:tc>
        <w:tc>
          <w:tcPr>
            <w:tcW w:w="180" w:type="dxa"/>
            <w:vAlign w:val="bottom"/>
            <w:tcBorders>
              <w:top w:val="single" w:sz="8" w:color="2C6937"/>
              <w:bottom w:val="single" w:sz="8" w:color="2C6937"/>
            </w:tcBorders>
          </w:tcPr>
          <w:p>
            <w:pPr>
              <w:ind w:left="20"/>
              <w:spacing w:after="0"/>
              <w:rPr>
                <w:sz w:val="20"/>
                <w:szCs w:val="20"/>
                <w:color w:val="auto"/>
              </w:rPr>
            </w:pPr>
            <w:r>
              <w:rPr>
                <w:rFonts w:ascii="Arial" w:cs="Arial" w:eastAsia="Arial" w:hAnsi="Arial"/>
                <w:sz w:val="12"/>
                <w:szCs w:val="12"/>
                <w:color w:val="auto"/>
              </w:rPr>
              <w:t>$</w:t>
            </w:r>
          </w:p>
        </w:tc>
        <w:tc>
          <w:tcPr>
            <w:tcW w:w="9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1,107</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top w:val="single" w:sz="8" w:color="2C6937"/>
              <w:bottom w:val="single" w:sz="8" w:color="2C6937"/>
            </w:tcBorders>
          </w:tcPr>
          <w:p>
            <w:pPr>
              <w:jc w:val="right"/>
              <w:ind w:right="520"/>
              <w:spacing w:after="0"/>
              <w:rPr>
                <w:sz w:val="20"/>
                <w:szCs w:val="20"/>
                <w:color w:val="auto"/>
              </w:rPr>
            </w:pPr>
            <w:r>
              <w:rPr>
                <w:rFonts w:ascii="Arial" w:cs="Arial" w:eastAsia="Arial" w:hAnsi="Arial"/>
                <w:sz w:val="12"/>
                <w:szCs w:val="12"/>
                <w:color w:val="auto"/>
                <w:w w:val="89"/>
              </w:rPr>
              <w:t>$</w:t>
            </w:r>
          </w:p>
        </w:tc>
        <w:tc>
          <w:tcPr>
            <w:tcW w:w="4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(283)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Borders>
              <w:top w:val="single" w:sz="8" w:color="2C6937"/>
              <w:bottom w:val="single" w:sz="8" w:color="2C6937"/>
            </w:tcBorders>
          </w:tcPr>
          <w:p>
            <w:pPr>
              <w:jc w:val="right"/>
              <w:ind w:right="240"/>
              <w:spacing w:after="0"/>
              <w:rPr>
                <w:sz w:val="20"/>
                <w:szCs w:val="20"/>
                <w:color w:val="auto"/>
              </w:rPr>
            </w:pPr>
            <w:r>
              <w:rPr>
                <w:rFonts w:ascii="Arial" w:cs="Arial" w:eastAsia="Arial" w:hAnsi="Arial"/>
                <w:sz w:val="12"/>
                <w:szCs w:val="12"/>
                <w:color w:val="auto"/>
              </w:rPr>
              <w:t>$</w:t>
            </w:r>
          </w:p>
        </w:tc>
        <w:tc>
          <w:tcPr>
            <w:tcW w:w="7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56,633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0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1040" w:type="dxa"/>
            <w:vAlign w:val="bottom"/>
            <w:tcBorders>
              <w:bottom w:val="single" w:sz="8" w:color="2C6937"/>
            </w:tcBorders>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1060" w:type="dxa"/>
            <w:vAlign w:val="bottom"/>
            <w:tcBorders>
              <w:bottom w:val="single" w:sz="8" w:color="2C6937"/>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bottom w:val="single" w:sz="8" w:color="2C6937"/>
            </w:tcBorders>
          </w:tcPr>
          <w:p>
            <w:pPr>
              <w:spacing w:after="0"/>
              <w:rPr>
                <w:sz w:val="2"/>
                <w:szCs w:val="2"/>
                <w:color w:val="auto"/>
              </w:rPr>
            </w:pPr>
          </w:p>
        </w:tc>
        <w:tc>
          <w:tcPr>
            <w:tcW w:w="960" w:type="dxa"/>
            <w:vAlign w:val="bottom"/>
            <w:tcBorders>
              <w:bottom w:val="single" w:sz="8" w:color="2C6937"/>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480" w:type="dxa"/>
            <w:vAlign w:val="bottom"/>
            <w:tcBorders>
              <w:bottom w:val="single" w:sz="8" w:color="2C6937"/>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1"/>
        </w:trPr>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493</w:t>
            </w:r>
          </w:p>
        </w:tc>
        <w:tc>
          <w:tcPr>
            <w:tcW w:w="48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268</w:t>
            </w:r>
          </w:p>
        </w:tc>
        <w:tc>
          <w:tcPr>
            <w:tcW w:w="140" w:type="dxa"/>
            <w:vAlign w:val="bottom"/>
          </w:tcPr>
          <w:p>
            <w:pPr>
              <w:spacing w:after="0"/>
              <w:rPr>
                <w:sz w:val="24"/>
                <w:szCs w:val="24"/>
                <w:color w:val="auto"/>
              </w:rPr>
            </w:pPr>
          </w:p>
        </w:tc>
        <w:tc>
          <w:tcPr>
            <w:tcW w:w="820" w:type="dxa"/>
            <w:vAlign w:val="bottom"/>
            <w:gridSpan w:val="2"/>
          </w:tcPr>
          <w:p>
            <w:pPr>
              <w:jc w:val="right"/>
              <w:ind w:right="520"/>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761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14,226</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117</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14,343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00" w:type="dxa"/>
            <w:vAlign w:val="bottom"/>
          </w:tcPr>
          <w:p>
            <w:pPr>
              <w:spacing w:after="0"/>
              <w:rPr>
                <w:sz w:val="13"/>
                <w:szCs w:val="13"/>
                <w:color w:val="auto"/>
              </w:rPr>
            </w:pPr>
          </w:p>
        </w:tc>
        <w:tc>
          <w:tcPr>
            <w:tcW w:w="80" w:type="dxa"/>
            <w:vAlign w:val="bottom"/>
            <w:tcBorders>
              <w:top w:val="single" w:sz="8" w:color="2C6937"/>
            </w:tcBorders>
          </w:tcPr>
          <w:p>
            <w:pPr>
              <w:spacing w:after="0"/>
              <w:rPr>
                <w:sz w:val="13"/>
                <w:szCs w:val="13"/>
                <w:color w:val="auto"/>
              </w:rPr>
            </w:pPr>
          </w:p>
        </w:tc>
        <w:tc>
          <w:tcPr>
            <w:tcW w:w="104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80" w:type="dxa"/>
            <w:vAlign w:val="bottom"/>
            <w:tcBorders>
              <w:top w:val="single" w:sz="8" w:color="2C6937"/>
            </w:tcBorders>
          </w:tcPr>
          <w:p>
            <w:pPr>
              <w:spacing w:after="0"/>
              <w:rPr>
                <w:sz w:val="13"/>
                <w:szCs w:val="13"/>
                <w:color w:val="auto"/>
              </w:rPr>
            </w:pPr>
          </w:p>
        </w:tc>
        <w:tc>
          <w:tcPr>
            <w:tcW w:w="10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14,719</w:t>
            </w:r>
          </w:p>
        </w:tc>
        <w:tc>
          <w:tcPr>
            <w:tcW w:w="300" w:type="dxa"/>
            <w:vAlign w:val="bottom"/>
          </w:tcPr>
          <w:p>
            <w:pPr>
              <w:spacing w:after="0"/>
              <w:rPr>
                <w:sz w:val="13"/>
                <w:szCs w:val="13"/>
                <w:color w:val="auto"/>
              </w:rPr>
            </w:pPr>
          </w:p>
        </w:tc>
        <w:tc>
          <w:tcPr>
            <w:tcW w:w="180" w:type="dxa"/>
            <w:vAlign w:val="bottom"/>
            <w:tcBorders>
              <w:top w:val="single" w:sz="8" w:color="2C6937"/>
            </w:tcBorders>
          </w:tcPr>
          <w:p>
            <w:pPr>
              <w:spacing w:after="0"/>
              <w:rPr>
                <w:sz w:val="13"/>
                <w:szCs w:val="13"/>
                <w:color w:val="auto"/>
              </w:rPr>
            </w:pPr>
          </w:p>
        </w:tc>
        <w:tc>
          <w:tcPr>
            <w:tcW w:w="9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385</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Borders>
              <w:top w:val="single" w:sz="8" w:color="2C6937"/>
            </w:tcBorders>
          </w:tcPr>
          <w:p>
            <w:pPr>
              <w:spacing w:after="0"/>
              <w:rPr>
                <w:sz w:val="13"/>
                <w:szCs w:val="13"/>
                <w:color w:val="auto"/>
              </w:rPr>
            </w:pPr>
          </w:p>
        </w:tc>
        <w:tc>
          <w:tcPr>
            <w:tcW w:w="48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Borders>
              <w:top w:val="single" w:sz="8" w:color="2C6937"/>
            </w:tcBorders>
          </w:tcPr>
          <w:p>
            <w:pPr>
              <w:spacing w:after="0"/>
              <w:rPr>
                <w:sz w:val="13"/>
                <w:szCs w:val="13"/>
                <w:color w:val="auto"/>
              </w:rPr>
            </w:pPr>
          </w:p>
        </w:tc>
        <w:tc>
          <w:tcPr>
            <w:tcW w:w="74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15,104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3,327</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13</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(3,200)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140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18,046</w:t>
            </w:r>
          </w:p>
        </w:tc>
        <w:tc>
          <w:tcPr>
            <w:tcW w:w="300" w:type="dxa"/>
            <w:vAlign w:val="bottom"/>
          </w:tcPr>
          <w:p>
            <w:pPr>
              <w:spacing w:after="0"/>
              <w:rPr>
                <w:sz w:val="14"/>
                <w:szCs w:val="14"/>
                <w:color w:val="auto"/>
              </w:rPr>
            </w:pPr>
          </w:p>
        </w:tc>
        <w:tc>
          <w:tcPr>
            <w:tcW w:w="180" w:type="dxa"/>
            <w:vAlign w:val="bottom"/>
            <w:tcBorders>
              <w:top w:val="single" w:sz="8" w:color="2C6937"/>
              <w:bottom w:val="single" w:sz="8" w:color="2C6937"/>
            </w:tcBorders>
          </w:tcPr>
          <w:p>
            <w:pPr>
              <w:ind w:left="20"/>
              <w:spacing w:after="0"/>
              <w:rPr>
                <w:sz w:val="20"/>
                <w:szCs w:val="20"/>
                <w:color w:val="auto"/>
              </w:rPr>
            </w:pPr>
            <w:r>
              <w:rPr>
                <w:rFonts w:ascii="Arial" w:cs="Arial" w:eastAsia="Arial" w:hAnsi="Arial"/>
                <w:sz w:val="12"/>
                <w:szCs w:val="12"/>
                <w:color w:val="auto"/>
              </w:rPr>
              <w:t>$</w:t>
            </w:r>
          </w:p>
        </w:tc>
        <w:tc>
          <w:tcPr>
            <w:tcW w:w="9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398</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top w:val="single" w:sz="8" w:color="2C6937"/>
              <w:bottom w:val="single" w:sz="8" w:color="2C6937"/>
            </w:tcBorders>
          </w:tcPr>
          <w:p>
            <w:pPr>
              <w:jc w:val="right"/>
              <w:ind w:right="520"/>
              <w:spacing w:after="0"/>
              <w:rPr>
                <w:sz w:val="20"/>
                <w:szCs w:val="20"/>
                <w:color w:val="auto"/>
              </w:rPr>
            </w:pPr>
            <w:r>
              <w:rPr>
                <w:rFonts w:ascii="Arial" w:cs="Arial" w:eastAsia="Arial" w:hAnsi="Arial"/>
                <w:sz w:val="12"/>
                <w:szCs w:val="12"/>
                <w:color w:val="auto"/>
                <w:w w:val="89"/>
              </w:rPr>
              <w:t>$</w:t>
            </w:r>
          </w:p>
        </w:tc>
        <w:tc>
          <w:tcPr>
            <w:tcW w:w="4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(3,200)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Borders>
              <w:top w:val="single" w:sz="8" w:color="2C6937"/>
              <w:bottom w:val="single" w:sz="8" w:color="2C6937"/>
            </w:tcBorders>
          </w:tcPr>
          <w:p>
            <w:pPr>
              <w:jc w:val="right"/>
              <w:ind w:right="240"/>
              <w:spacing w:after="0"/>
              <w:rPr>
                <w:sz w:val="20"/>
                <w:szCs w:val="20"/>
                <w:color w:val="auto"/>
              </w:rPr>
            </w:pPr>
            <w:r>
              <w:rPr>
                <w:rFonts w:ascii="Arial" w:cs="Arial" w:eastAsia="Arial" w:hAnsi="Arial"/>
                <w:sz w:val="12"/>
                <w:szCs w:val="12"/>
                <w:color w:val="auto"/>
              </w:rPr>
              <w:t>$</w:t>
            </w:r>
          </w:p>
        </w:tc>
        <w:tc>
          <w:tcPr>
            <w:tcW w:w="7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15,244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0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1040" w:type="dxa"/>
            <w:vAlign w:val="bottom"/>
            <w:tcBorders>
              <w:bottom w:val="single" w:sz="8" w:color="2C6937"/>
            </w:tcBorders>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1060" w:type="dxa"/>
            <w:vAlign w:val="bottom"/>
            <w:tcBorders>
              <w:bottom w:val="single" w:sz="8" w:color="2C6937"/>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bottom w:val="single" w:sz="8" w:color="2C6937"/>
            </w:tcBorders>
          </w:tcPr>
          <w:p>
            <w:pPr>
              <w:spacing w:after="0"/>
              <w:rPr>
                <w:sz w:val="2"/>
                <w:szCs w:val="2"/>
                <w:color w:val="auto"/>
              </w:rPr>
            </w:pPr>
          </w:p>
        </w:tc>
        <w:tc>
          <w:tcPr>
            <w:tcW w:w="960" w:type="dxa"/>
            <w:vAlign w:val="bottom"/>
            <w:tcBorders>
              <w:bottom w:val="single" w:sz="8" w:color="2C6937"/>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480" w:type="dxa"/>
            <w:vAlign w:val="bottom"/>
            <w:tcBorders>
              <w:bottom w:val="single" w:sz="8" w:color="2C6937"/>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-2233295</wp:posOffset>
            </wp:positionH>
            <wp:positionV relativeFrom="paragraph">
              <wp:posOffset>441960</wp:posOffset>
            </wp:positionV>
            <wp:extent cx="680593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20" w:space="720"/>
            <w:col w:w="7100"/>
          </w:cols>
          <w:pgMar w:left="320" w:top="248" w:right="339" w:bottom="1440" w:gutter="0" w:footer="0" w:header="0"/>
          <w:type w:val="continuous"/>
        </w:sectPr>
      </w:pPr>
    </w:p>
    <w:p>
      <w:pPr>
        <w:spacing w:after="0" w:line="200" w:lineRule="exact"/>
        <w:rPr>
          <w:sz w:val="20"/>
          <w:szCs w:val="20"/>
          <w:color w:val="auto"/>
        </w:rPr>
      </w:pPr>
    </w:p>
    <w:p>
      <w:pPr>
        <w:spacing w:after="0" w:line="314" w:lineRule="exact"/>
        <w:rPr>
          <w:sz w:val="20"/>
          <w:szCs w:val="20"/>
          <w:color w:val="auto"/>
        </w:rPr>
      </w:pPr>
    </w:p>
    <w:p>
      <w:pPr>
        <w:ind w:left="640"/>
        <w:spacing w:after="0"/>
        <w:rPr>
          <w:sz w:val="20"/>
          <w:szCs w:val="20"/>
          <w:color w:val="auto"/>
        </w:rPr>
      </w:pPr>
      <w:r>
        <w:rPr>
          <w:rFonts w:ascii="Arial" w:cs="Arial" w:eastAsia="Arial" w:hAnsi="Arial"/>
          <w:sz w:val="13"/>
          <w:szCs w:val="13"/>
          <w:color w:val="05314D"/>
        </w:rPr>
        <w:t>Fannie Mae (In conservatorship)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158750</wp:posOffset>
            </wp:positionV>
            <wp:extent cx="7164070" cy="4191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111" w:name="page112"/>
    <w:bookmarkEnd w:id="111"/>
    <w:p>
      <w:pPr>
        <w:ind w:left="6980"/>
        <w:spacing w:after="0"/>
        <w:rPr>
          <w:sz w:val="20"/>
          <w:szCs w:val="20"/>
          <w:color w:val="auto"/>
        </w:rPr>
      </w:pPr>
      <w:r>
        <w:rPr>
          <w:rFonts w:ascii="Arial" w:cs="Arial" w:eastAsia="Arial" w:hAnsi="Arial"/>
          <w:sz w:val="13"/>
          <w:szCs w:val="13"/>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40" w:right="660" w:hanging="237"/>
        <w:spacing w:after="0" w:line="226" w:lineRule="auto"/>
        <w:tabs>
          <w:tab w:leader="none" w:pos="233" w:val="left"/>
        </w:tabs>
        <w:numPr>
          <w:ilvl w:val="0"/>
          <w:numId w:val="124"/>
        </w:numPr>
        <w:rPr>
          <w:rFonts w:ascii="Arial" w:cs="Arial" w:eastAsia="Arial" w:hAnsi="Arial"/>
          <w:sz w:val="18"/>
          <w:szCs w:val="18"/>
          <w:color w:val="auto"/>
          <w:vertAlign w:val="superscript"/>
        </w:rPr>
      </w:pPr>
      <w:r>
        <w:rPr>
          <w:rFonts w:ascii="Arial" w:cs="Arial" w:eastAsia="Arial" w:hAnsi="Arial"/>
          <w:sz w:val="14"/>
          <w:szCs w:val="14"/>
          <w:color w:val="auto"/>
        </w:rPr>
        <w:t>Derivative contracts are reported on a gross basis by level. The netting adjustment represents the effect of the legal right to offset under legally enforceable master netting arrangements to settle with the same counterparty on a net basis, including cash collateral posted and received.</w:t>
      </w:r>
    </w:p>
    <w:p>
      <w:pPr>
        <w:spacing w:after="0" w:line="1"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124"/>
        </w:numPr>
        <w:rPr>
          <w:rFonts w:ascii="Arial" w:cs="Arial" w:eastAsia="Arial" w:hAnsi="Arial"/>
          <w:sz w:val="18"/>
          <w:szCs w:val="18"/>
          <w:color w:val="auto"/>
          <w:vertAlign w:val="superscript"/>
        </w:rPr>
      </w:pPr>
      <w:r>
        <w:rPr>
          <w:rFonts w:ascii="Arial" w:cs="Arial" w:eastAsia="Arial" w:hAnsi="Arial"/>
          <w:sz w:val="14"/>
          <w:szCs w:val="14"/>
          <w:color w:val="auto"/>
        </w:rPr>
        <w:t>Primarily includes U.S. Treasury securities.</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124"/>
        </w:numPr>
        <w:rPr>
          <w:rFonts w:ascii="Arial" w:cs="Arial" w:eastAsia="Arial" w:hAnsi="Arial"/>
          <w:sz w:val="18"/>
          <w:szCs w:val="18"/>
          <w:color w:val="auto"/>
          <w:vertAlign w:val="superscript"/>
        </w:rPr>
      </w:pPr>
      <w:r>
        <w:rPr>
          <w:rFonts w:ascii="Arial" w:cs="Arial" w:eastAsia="Arial" w:hAnsi="Arial"/>
          <w:sz w:val="14"/>
          <w:szCs w:val="14"/>
          <w:color w:val="auto"/>
        </w:rPr>
        <w:t>Agency securities consist of securities issued by Fannie Mae, Freddie Mac, and Ginnie Mae.</w:t>
      </w:r>
    </w:p>
    <w:p>
      <w:pPr>
        <w:spacing w:after="0" w:line="63"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The following tables display a reconciliation of all assets and liabilities measured at fair value on a recurring basis using significant unobservable inputs (Level 3). The tables also display gains and losses due to changes in fair value, including both realized and unrealized gains and losses, recognized in our condensed consolidated statements of operations and comprehensive income for Level 3 assets and liabilities.</w:t>
      </w:r>
    </w:p>
    <w:p>
      <w:pPr>
        <w:spacing w:after="0" w:line="114" w:lineRule="exact"/>
        <w:rPr>
          <w:sz w:val="20"/>
          <w:szCs w:val="20"/>
          <w:color w:val="auto"/>
        </w:rPr>
      </w:pPr>
    </w:p>
    <w:p>
      <w:pPr>
        <w:jc w:val="center"/>
        <w:ind w:left="1360"/>
        <w:spacing w:after="0"/>
        <w:rPr>
          <w:sz w:val="20"/>
          <w:szCs w:val="20"/>
          <w:color w:val="auto"/>
        </w:rPr>
      </w:pPr>
      <w:r>
        <w:rPr>
          <w:rFonts w:ascii="Arial" w:cs="Arial" w:eastAsia="Arial" w:hAnsi="Arial"/>
          <w:sz w:val="14"/>
          <w:szCs w:val="14"/>
          <w:b w:val="1"/>
          <w:bCs w:val="1"/>
          <w:color w:val="auto"/>
        </w:rPr>
        <w:t>Fair Value Measurements Using Significant Unobservable Inputs (Level 3)</w:t>
      </w:r>
    </w:p>
    <w:p>
      <w:pPr>
        <w:spacing w:after="0" w:line="45" w:lineRule="exact"/>
        <w:rPr>
          <w:sz w:val="20"/>
          <w:szCs w:val="20"/>
          <w:color w:val="auto"/>
        </w:rPr>
      </w:pPr>
    </w:p>
    <w:p>
      <w:pPr>
        <w:jc w:val="center"/>
        <w:ind w:left="1360"/>
        <w:spacing w:after="0"/>
        <w:rPr>
          <w:sz w:val="20"/>
          <w:szCs w:val="20"/>
          <w:color w:val="auto"/>
        </w:rPr>
      </w:pPr>
      <w:r>
        <w:rPr>
          <w:rFonts w:ascii="Arial" w:cs="Arial" w:eastAsia="Arial" w:hAnsi="Arial"/>
          <w:sz w:val="14"/>
          <w:szCs w:val="14"/>
          <w:b w:val="1"/>
          <w:bCs w:val="1"/>
          <w:color w:val="auto"/>
        </w:rPr>
        <w:t>For the Three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902335</wp:posOffset>
            </wp:positionH>
            <wp:positionV relativeFrom="paragraph">
              <wp:posOffset>18415</wp:posOffset>
            </wp:positionV>
            <wp:extent cx="621347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21347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5"/>
              </w:rPr>
              <w:t>Net Unrealized</w:t>
            </w:r>
          </w:p>
        </w:tc>
        <w:tc>
          <w:tcPr>
            <w:tcW w:w="80" w:type="dxa"/>
            <w:vAlign w:val="bottom"/>
          </w:tcPr>
          <w:p>
            <w:pPr>
              <w:spacing w:after="0"/>
              <w:rPr>
                <w:sz w:val="8"/>
                <w:szCs w:val="8"/>
                <w:color w:val="auto"/>
              </w:rPr>
            </w:pPr>
          </w:p>
        </w:tc>
        <w:tc>
          <w:tcPr>
            <w:tcW w:w="800" w:type="dxa"/>
            <w:vAlign w:val="bottom"/>
          </w:tcPr>
          <w:p>
            <w:pPr>
              <w:jc w:val="center"/>
              <w:ind w:right="30"/>
              <w:spacing w:after="0"/>
              <w:rPr>
                <w:sz w:val="20"/>
                <w:szCs w:val="20"/>
                <w:color w:val="auto"/>
              </w:rPr>
            </w:pPr>
            <w:r>
              <w:rPr>
                <w:rFonts w:ascii="Arial" w:cs="Arial" w:eastAsia="Arial" w:hAnsi="Arial"/>
                <w:sz w:val="9"/>
                <w:szCs w:val="9"/>
                <w:b w:val="1"/>
                <w:bCs w:val="1"/>
                <w:color w:val="auto"/>
                <w:w w:val="95"/>
              </w:rPr>
              <w:t>Net Unrealized</w:t>
            </w:r>
          </w:p>
        </w:tc>
        <w:tc>
          <w:tcPr>
            <w:tcW w:w="0" w:type="dxa"/>
            <w:vAlign w:val="bottom"/>
          </w:tcPr>
          <w:p>
            <w:pPr>
              <w:spacing w:after="0"/>
              <w:rPr>
                <w:sz w:val="1"/>
                <w:szCs w:val="1"/>
                <w:color w:val="auto"/>
              </w:rPr>
            </w:pPr>
          </w:p>
        </w:tc>
      </w:tr>
      <w:tr>
        <w:trPr>
          <w:trHeight w:val="111"/>
        </w:trPr>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gridSpan w:val="5"/>
          </w:tcPr>
          <w:p>
            <w:pPr>
              <w:ind w:left="120"/>
              <w:spacing w:after="0"/>
              <w:rPr>
                <w:sz w:val="20"/>
                <w:szCs w:val="20"/>
                <w:color w:val="auto"/>
              </w:rPr>
            </w:pPr>
            <w:r>
              <w:rPr>
                <w:rFonts w:ascii="Arial" w:cs="Arial" w:eastAsia="Arial" w:hAnsi="Arial"/>
                <w:sz w:val="9"/>
                <w:szCs w:val="9"/>
                <w:b w:val="1"/>
                <w:bCs w:val="1"/>
                <w:color w:val="auto"/>
              </w:rPr>
              <w:t>Total Gains (Losses)</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6"/>
              </w:rPr>
              <w:t>Gains (Losses)</w:t>
            </w:r>
          </w:p>
        </w:tc>
        <w:tc>
          <w:tcPr>
            <w:tcW w:w="80" w:type="dxa"/>
            <w:vAlign w:val="bottom"/>
          </w:tcPr>
          <w:p>
            <w:pPr>
              <w:spacing w:after="0"/>
              <w:rPr>
                <w:sz w:val="9"/>
                <w:szCs w:val="9"/>
                <w:color w:val="auto"/>
              </w:rPr>
            </w:pPr>
          </w:p>
        </w:tc>
        <w:tc>
          <w:tcPr>
            <w:tcW w:w="800" w:type="dxa"/>
            <w:vAlign w:val="bottom"/>
          </w:tcPr>
          <w:p>
            <w:pPr>
              <w:jc w:val="center"/>
              <w:ind w:right="10"/>
              <w:spacing w:after="0"/>
              <w:rPr>
                <w:sz w:val="20"/>
                <w:szCs w:val="20"/>
                <w:color w:val="auto"/>
              </w:rPr>
            </w:pPr>
            <w:r>
              <w:rPr>
                <w:rFonts w:ascii="Arial" w:cs="Arial" w:eastAsia="Arial" w:hAnsi="Arial"/>
                <w:sz w:val="9"/>
                <w:szCs w:val="9"/>
                <w:b w:val="1"/>
                <w:bCs w:val="1"/>
                <w:color w:val="auto"/>
                <w:w w:val="96"/>
              </w:rPr>
              <w:t>Gains (Losses)</w:t>
            </w:r>
          </w:p>
        </w:tc>
        <w:tc>
          <w:tcPr>
            <w:tcW w:w="0" w:type="dxa"/>
            <w:vAlign w:val="bottom"/>
          </w:tcPr>
          <w:p>
            <w:pPr>
              <w:spacing w:after="0"/>
              <w:rPr>
                <w:sz w:val="1"/>
                <w:szCs w:val="1"/>
                <w:color w:val="auto"/>
              </w:rPr>
            </w:pPr>
          </w:p>
        </w:tc>
      </w:tr>
      <w:tr>
        <w:trPr>
          <w:trHeight w:val="95"/>
        </w:trPr>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80" w:type="dxa"/>
            <w:vAlign w:val="bottom"/>
            <w:gridSpan w:val="5"/>
          </w:tcPr>
          <w:p>
            <w:pPr>
              <w:ind w:left="120"/>
              <w:spacing w:after="0" w:line="95" w:lineRule="exact"/>
              <w:rPr>
                <w:sz w:val="20"/>
                <w:szCs w:val="20"/>
                <w:color w:val="auto"/>
              </w:rPr>
            </w:pPr>
            <w:r>
              <w:rPr>
                <w:rFonts w:ascii="Arial" w:cs="Arial" w:eastAsia="Arial" w:hAnsi="Arial"/>
                <w:sz w:val="9"/>
                <w:szCs w:val="9"/>
                <w:b w:val="1"/>
                <w:bCs w:val="1"/>
                <w:color w:val="auto"/>
              </w:rPr>
              <w:t>(Realized/Unrealized)</w:t>
            </w: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gridSpan w:val="2"/>
          </w:tcPr>
          <w:p>
            <w:pPr>
              <w:jc w:val="center"/>
              <w:ind w:right="180"/>
              <w:spacing w:after="0" w:line="95" w:lineRule="exact"/>
              <w:rPr>
                <w:sz w:val="20"/>
                <w:szCs w:val="20"/>
                <w:color w:val="auto"/>
              </w:rPr>
            </w:pPr>
            <w:r>
              <w:rPr>
                <w:rFonts w:ascii="Arial" w:cs="Arial" w:eastAsia="Arial" w:hAnsi="Arial"/>
                <w:sz w:val="9"/>
                <w:szCs w:val="9"/>
                <w:b w:val="1"/>
                <w:bCs w:val="1"/>
                <w:color w:val="auto"/>
                <w:w w:val="96"/>
              </w:rPr>
              <w:t>Included in Net</w:t>
            </w:r>
          </w:p>
        </w:tc>
        <w:tc>
          <w:tcPr>
            <w:tcW w:w="80" w:type="dxa"/>
            <w:vAlign w:val="bottom"/>
          </w:tcPr>
          <w:p>
            <w:pPr>
              <w:spacing w:after="0"/>
              <w:rPr>
                <w:sz w:val="8"/>
                <w:szCs w:val="8"/>
                <w:color w:val="auto"/>
              </w:rPr>
            </w:pPr>
          </w:p>
        </w:tc>
        <w:tc>
          <w:tcPr>
            <w:tcW w:w="800" w:type="dxa"/>
            <w:vAlign w:val="bottom"/>
          </w:tcPr>
          <w:p>
            <w:pPr>
              <w:jc w:val="center"/>
              <w:ind w:right="10"/>
              <w:spacing w:after="0" w:line="95" w:lineRule="exact"/>
              <w:rPr>
                <w:sz w:val="20"/>
                <w:szCs w:val="20"/>
                <w:color w:val="auto"/>
              </w:rPr>
            </w:pPr>
            <w:r>
              <w:rPr>
                <w:rFonts w:ascii="Arial" w:cs="Arial" w:eastAsia="Arial" w:hAnsi="Arial"/>
                <w:sz w:val="9"/>
                <w:szCs w:val="9"/>
                <w:b w:val="1"/>
                <w:bCs w:val="1"/>
                <w:color w:val="auto"/>
                <w:w w:val="93"/>
              </w:rPr>
              <w:t>Included in OCI</w:t>
            </w:r>
          </w:p>
        </w:tc>
        <w:tc>
          <w:tcPr>
            <w:tcW w:w="0" w:type="dxa"/>
            <w:vAlign w:val="bottom"/>
          </w:tcPr>
          <w:p>
            <w:pPr>
              <w:spacing w:after="0"/>
              <w:rPr>
                <w:sz w:val="1"/>
                <w:szCs w:val="1"/>
                <w:color w:val="auto"/>
              </w:rPr>
            </w:pPr>
          </w:p>
        </w:tc>
      </w:tr>
      <w:tr>
        <w:trPr>
          <w:trHeight w:val="47"/>
        </w:trPr>
        <w:tc>
          <w:tcPr>
            <w:tcW w:w="13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Borders>
              <w:bottom w:val="single" w:sz="8" w:color="2C6937"/>
            </w:tcBorders>
          </w:tcPr>
          <w:p>
            <w:pPr>
              <w:spacing w:after="0"/>
              <w:rPr>
                <w:sz w:val="4"/>
                <w:szCs w:val="4"/>
                <w:color w:val="auto"/>
              </w:rPr>
            </w:pPr>
          </w:p>
        </w:tc>
        <w:tc>
          <w:tcPr>
            <w:tcW w:w="380" w:type="dxa"/>
            <w:vAlign w:val="bottom"/>
            <w:tcBorders>
              <w:bottom w:val="single" w:sz="8" w:color="2C6937"/>
            </w:tcBorders>
          </w:tcPr>
          <w:p>
            <w:pPr>
              <w:spacing w:after="0"/>
              <w:rPr>
                <w:sz w:val="4"/>
                <w:szCs w:val="4"/>
                <w:color w:val="auto"/>
              </w:rPr>
            </w:pPr>
          </w:p>
        </w:tc>
        <w:tc>
          <w:tcPr>
            <w:tcW w:w="340" w:type="dxa"/>
            <w:vAlign w:val="bottom"/>
            <w:tcBorders>
              <w:bottom w:val="single" w:sz="8" w:color="2C6937"/>
            </w:tcBorders>
          </w:tcPr>
          <w:p>
            <w:pPr>
              <w:spacing w:after="0"/>
              <w:rPr>
                <w:sz w:val="4"/>
                <w:szCs w:val="4"/>
                <w:color w:val="auto"/>
              </w:rPr>
            </w:pPr>
          </w:p>
        </w:tc>
        <w:tc>
          <w:tcPr>
            <w:tcW w:w="80" w:type="dxa"/>
            <w:vAlign w:val="bottom"/>
            <w:tcBorders>
              <w:bottom w:val="single" w:sz="8" w:color="2C6937"/>
            </w:tcBorders>
          </w:tcPr>
          <w:p>
            <w:pPr>
              <w:spacing w:after="0"/>
              <w:rPr>
                <w:sz w:val="4"/>
                <w:szCs w:val="4"/>
                <w:color w:val="auto"/>
              </w:rPr>
            </w:pPr>
          </w:p>
        </w:tc>
        <w:tc>
          <w:tcPr>
            <w:tcW w:w="480" w:type="dxa"/>
            <w:vAlign w:val="bottom"/>
            <w:tcBorders>
              <w:bottom w:val="single" w:sz="8" w:color="2C6937"/>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gridSpan w:val="3"/>
            <w:vMerge w:val="restart"/>
          </w:tcPr>
          <w:p>
            <w:pPr>
              <w:jc w:val="center"/>
              <w:ind w:right="80"/>
              <w:spacing w:after="0"/>
              <w:rPr>
                <w:sz w:val="20"/>
                <w:szCs w:val="20"/>
                <w:color w:val="auto"/>
              </w:rPr>
            </w:pPr>
            <w:r>
              <w:rPr>
                <w:rFonts w:ascii="Arial" w:cs="Arial" w:eastAsia="Arial" w:hAnsi="Arial"/>
                <w:sz w:val="9"/>
                <w:szCs w:val="9"/>
                <w:b w:val="1"/>
                <w:bCs w:val="1"/>
                <w:color w:val="auto"/>
                <w:w w:val="95"/>
              </w:rPr>
              <w:t>Income Related to</w:t>
            </w:r>
          </w:p>
        </w:tc>
        <w:tc>
          <w:tcPr>
            <w:tcW w:w="80" w:type="dxa"/>
            <w:vAlign w:val="bottom"/>
          </w:tcPr>
          <w:p>
            <w:pPr>
              <w:spacing w:after="0"/>
              <w:rPr>
                <w:sz w:val="4"/>
                <w:szCs w:val="4"/>
                <w:color w:val="auto"/>
              </w:rPr>
            </w:pPr>
          </w:p>
        </w:tc>
        <w:tc>
          <w:tcPr>
            <w:tcW w:w="800" w:type="dxa"/>
            <w:vAlign w:val="bottom"/>
            <w:vMerge w:val="restart"/>
          </w:tcPr>
          <w:p>
            <w:pPr>
              <w:jc w:val="center"/>
              <w:ind w:right="30"/>
              <w:spacing w:after="0"/>
              <w:rPr>
                <w:sz w:val="20"/>
                <w:szCs w:val="20"/>
                <w:color w:val="auto"/>
              </w:rPr>
            </w:pPr>
            <w:r>
              <w:rPr>
                <w:rFonts w:ascii="Arial" w:cs="Arial" w:eastAsia="Arial" w:hAnsi="Arial"/>
                <w:sz w:val="9"/>
                <w:szCs w:val="9"/>
                <w:b w:val="1"/>
                <w:bCs w:val="1"/>
                <w:color w:val="auto"/>
                <w:w w:val="95"/>
              </w:rPr>
              <w:t>Related to Assets</w:t>
            </w:r>
          </w:p>
        </w:tc>
        <w:tc>
          <w:tcPr>
            <w:tcW w:w="0" w:type="dxa"/>
            <w:vAlign w:val="bottom"/>
          </w:tcPr>
          <w:p>
            <w:pPr>
              <w:spacing w:after="0"/>
              <w:rPr>
                <w:sz w:val="1"/>
                <w:szCs w:val="1"/>
                <w:color w:val="auto"/>
              </w:rPr>
            </w:pPr>
          </w:p>
        </w:tc>
      </w:tr>
      <w:tr>
        <w:trPr>
          <w:trHeight w:val="36"/>
        </w:trPr>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5"/>
              </w:rPr>
              <w:t>Assets and</w:t>
            </w:r>
          </w:p>
        </w:tc>
        <w:tc>
          <w:tcPr>
            <w:tcW w:w="880" w:type="dxa"/>
            <w:vAlign w:val="bottom"/>
            <w:gridSpan w:val="2"/>
          </w:tcPr>
          <w:p>
            <w:pPr>
              <w:jc w:val="center"/>
              <w:spacing w:after="0"/>
              <w:rPr>
                <w:sz w:val="20"/>
                <w:szCs w:val="20"/>
                <w:color w:val="auto"/>
              </w:rPr>
            </w:pPr>
            <w:r>
              <w:rPr>
                <w:rFonts w:ascii="Arial" w:cs="Arial" w:eastAsia="Arial" w:hAnsi="Arial"/>
                <w:sz w:val="9"/>
                <w:szCs w:val="9"/>
                <w:b w:val="1"/>
                <w:bCs w:val="1"/>
                <w:color w:val="auto"/>
                <w:w w:val="93"/>
              </w:rPr>
              <w:t>and Liabilities Still</w:t>
            </w:r>
          </w:p>
        </w:tc>
        <w:tc>
          <w:tcPr>
            <w:tcW w:w="0" w:type="dxa"/>
            <w:vAlign w:val="bottom"/>
          </w:tcPr>
          <w:p>
            <w:pPr>
              <w:spacing w:after="0"/>
              <w:rPr>
                <w:sz w:val="1"/>
                <w:szCs w:val="1"/>
                <w:color w:val="auto"/>
              </w:rPr>
            </w:pPr>
          </w:p>
        </w:tc>
      </w:tr>
      <w:tr>
        <w:trPr>
          <w:trHeight w:val="103"/>
        </w:trPr>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2"/>
              </w:rPr>
              <w:t>Included in</w:t>
            </w: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gridSpan w:val="3"/>
          </w:tcPr>
          <w:p>
            <w:pPr>
              <w:jc w:val="center"/>
              <w:ind w:right="80"/>
              <w:spacing w:after="0"/>
              <w:rPr>
                <w:sz w:val="20"/>
                <w:szCs w:val="20"/>
                <w:color w:val="auto"/>
              </w:rPr>
            </w:pPr>
            <w:r>
              <w:rPr>
                <w:rFonts w:ascii="Arial" w:cs="Arial" w:eastAsia="Arial" w:hAnsi="Arial"/>
                <w:sz w:val="9"/>
                <w:szCs w:val="9"/>
                <w:b w:val="1"/>
                <w:bCs w:val="1"/>
                <w:color w:val="auto"/>
                <w:w w:val="94"/>
              </w:rPr>
              <w:t>Liabilities Still Held</w:t>
            </w:r>
          </w:p>
        </w:tc>
        <w:tc>
          <w:tcPr>
            <w:tcW w:w="80" w:type="dxa"/>
            <w:vAlign w:val="bottom"/>
          </w:tcPr>
          <w:p>
            <w:pPr>
              <w:spacing w:after="0"/>
              <w:rPr>
                <w:sz w:val="8"/>
                <w:szCs w:val="8"/>
                <w:color w:val="auto"/>
              </w:rPr>
            </w:pPr>
          </w:p>
        </w:tc>
        <w:tc>
          <w:tcPr>
            <w:tcW w:w="800" w:type="dxa"/>
            <w:vAlign w:val="bottom"/>
          </w:tcPr>
          <w:p>
            <w:pPr>
              <w:jc w:val="center"/>
              <w:ind w:right="10"/>
              <w:spacing w:after="0"/>
              <w:rPr>
                <w:sz w:val="20"/>
                <w:szCs w:val="20"/>
                <w:color w:val="auto"/>
              </w:rPr>
            </w:pPr>
            <w:r>
              <w:rPr>
                <w:rFonts w:ascii="Arial" w:cs="Arial" w:eastAsia="Arial" w:hAnsi="Arial"/>
                <w:sz w:val="9"/>
                <w:szCs w:val="9"/>
                <w:b w:val="1"/>
                <w:bCs w:val="1"/>
                <w:color w:val="auto"/>
                <w:w w:val="97"/>
              </w:rPr>
              <w:t>Held as of</w:t>
            </w:r>
          </w:p>
        </w:tc>
        <w:tc>
          <w:tcPr>
            <w:tcW w:w="0" w:type="dxa"/>
            <w:vAlign w:val="bottom"/>
          </w:tcPr>
          <w:p>
            <w:pPr>
              <w:spacing w:after="0"/>
              <w:rPr>
                <w:sz w:val="1"/>
                <w:szCs w:val="1"/>
                <w:color w:val="auto"/>
              </w:rPr>
            </w:pPr>
          </w:p>
        </w:tc>
      </w:tr>
      <w:tr>
        <w:trPr>
          <w:trHeight w:val="103"/>
        </w:trPr>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3"/>
          </w:tcPr>
          <w:p>
            <w:pPr>
              <w:ind w:left="40"/>
              <w:spacing w:after="0"/>
              <w:rPr>
                <w:sz w:val="20"/>
                <w:szCs w:val="20"/>
                <w:color w:val="auto"/>
              </w:rPr>
            </w:pPr>
            <w:r>
              <w:rPr>
                <w:rFonts w:ascii="Arial" w:cs="Arial" w:eastAsia="Arial" w:hAnsi="Arial"/>
                <w:sz w:val="9"/>
                <w:szCs w:val="9"/>
                <w:b w:val="1"/>
                <w:bCs w:val="1"/>
                <w:color w:val="auto"/>
              </w:rPr>
              <w:t>Balance, June 30,</w:t>
            </w:r>
          </w:p>
        </w:tc>
        <w:tc>
          <w:tcPr>
            <w:tcW w:w="580" w:type="dxa"/>
            <w:vAlign w:val="bottom"/>
            <w:gridSpan w:val="2"/>
          </w:tcPr>
          <w:p>
            <w:pPr>
              <w:jc w:val="right"/>
              <w:ind w:right="9"/>
              <w:spacing w:after="0"/>
              <w:rPr>
                <w:sz w:val="20"/>
                <w:szCs w:val="20"/>
                <w:color w:val="auto"/>
              </w:rPr>
            </w:pPr>
            <w:r>
              <w:rPr>
                <w:rFonts w:ascii="Arial" w:cs="Arial" w:eastAsia="Arial" w:hAnsi="Arial"/>
                <w:sz w:val="9"/>
                <w:szCs w:val="9"/>
                <w:b w:val="1"/>
                <w:bCs w:val="1"/>
                <w:color w:val="auto"/>
              </w:rPr>
              <w:t>Included in</w:t>
            </w: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w w:val="94"/>
              </w:rPr>
              <w:t>Total OCI</w:t>
            </w: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3"/>
          </w:tcPr>
          <w:p>
            <w:pPr>
              <w:ind w:left="40"/>
              <w:spacing w:after="0"/>
              <w:rPr>
                <w:sz w:val="20"/>
                <w:szCs w:val="20"/>
                <w:color w:val="auto"/>
              </w:rPr>
            </w:pPr>
            <w:r>
              <w:rPr>
                <w:rFonts w:ascii="Arial" w:cs="Arial" w:eastAsia="Arial" w:hAnsi="Arial"/>
                <w:sz w:val="9"/>
                <w:szCs w:val="9"/>
                <w:b w:val="1"/>
                <w:bCs w:val="1"/>
                <w:color w:val="auto"/>
              </w:rPr>
              <w:t>Transfers out</w:t>
            </w:r>
          </w:p>
        </w:tc>
        <w:tc>
          <w:tcPr>
            <w:tcW w:w="720" w:type="dxa"/>
            <w:vAlign w:val="bottom"/>
            <w:gridSpan w:val="3"/>
          </w:tcPr>
          <w:p>
            <w:pPr>
              <w:ind w:left="20"/>
              <w:spacing w:after="0"/>
              <w:rPr>
                <w:sz w:val="20"/>
                <w:szCs w:val="20"/>
                <w:color w:val="auto"/>
              </w:rPr>
            </w:pPr>
            <w:r>
              <w:rPr>
                <w:rFonts w:ascii="Arial" w:cs="Arial" w:eastAsia="Arial" w:hAnsi="Arial"/>
                <w:sz w:val="9"/>
                <w:szCs w:val="9"/>
                <w:b w:val="1"/>
                <w:bCs w:val="1"/>
                <w:color w:val="auto"/>
              </w:rPr>
              <w:t>Transfers into</w:t>
            </w:r>
          </w:p>
        </w:tc>
        <w:tc>
          <w:tcPr>
            <w:tcW w:w="160" w:type="dxa"/>
            <w:vAlign w:val="bottom"/>
          </w:tcPr>
          <w:p>
            <w:pPr>
              <w:spacing w:after="0"/>
              <w:rPr>
                <w:sz w:val="8"/>
                <w:szCs w:val="8"/>
                <w:color w:val="auto"/>
              </w:rPr>
            </w:pPr>
          </w:p>
        </w:tc>
        <w:tc>
          <w:tcPr>
            <w:tcW w:w="780" w:type="dxa"/>
            <w:vAlign w:val="bottom"/>
            <w:gridSpan w:val="2"/>
          </w:tcPr>
          <w:p>
            <w:pPr>
              <w:ind w:left="80"/>
              <w:spacing w:after="0"/>
              <w:rPr>
                <w:sz w:val="20"/>
                <w:szCs w:val="20"/>
                <w:color w:val="auto"/>
              </w:rPr>
            </w:pPr>
            <w:r>
              <w:rPr>
                <w:rFonts w:ascii="Arial" w:cs="Arial" w:eastAsia="Arial" w:hAnsi="Arial"/>
                <w:sz w:val="9"/>
                <w:szCs w:val="9"/>
                <w:b w:val="1"/>
                <w:bCs w:val="1"/>
                <w:color w:val="auto"/>
              </w:rPr>
              <w:t>Balance,</w:t>
            </w:r>
          </w:p>
        </w:tc>
        <w:tc>
          <w:tcPr>
            <w:tcW w:w="940" w:type="dxa"/>
            <w:vAlign w:val="bottom"/>
            <w:gridSpan w:val="3"/>
          </w:tcPr>
          <w:p>
            <w:pPr>
              <w:jc w:val="center"/>
              <w:ind w:right="80"/>
              <w:spacing w:after="0"/>
              <w:rPr>
                <w:sz w:val="20"/>
                <w:szCs w:val="20"/>
                <w:color w:val="auto"/>
              </w:rPr>
            </w:pPr>
            <w:r>
              <w:rPr>
                <w:rFonts w:ascii="Arial" w:cs="Arial" w:eastAsia="Arial" w:hAnsi="Arial"/>
                <w:sz w:val="9"/>
                <w:szCs w:val="9"/>
                <w:b w:val="1"/>
                <w:bCs w:val="1"/>
                <w:color w:val="auto"/>
                <w:w w:val="96"/>
              </w:rPr>
              <w:t>as of September 30,</w:t>
            </w:r>
          </w:p>
        </w:tc>
        <w:tc>
          <w:tcPr>
            <w:tcW w:w="80" w:type="dxa"/>
            <w:vAlign w:val="bottom"/>
          </w:tcPr>
          <w:p>
            <w:pPr>
              <w:spacing w:after="0"/>
              <w:rPr>
                <w:sz w:val="8"/>
                <w:szCs w:val="8"/>
                <w:color w:val="auto"/>
              </w:rPr>
            </w:pPr>
          </w:p>
        </w:tc>
        <w:tc>
          <w:tcPr>
            <w:tcW w:w="800" w:type="dxa"/>
            <w:vAlign w:val="bottom"/>
          </w:tcPr>
          <w:p>
            <w:pPr>
              <w:jc w:val="center"/>
              <w:ind w:right="10"/>
              <w:spacing w:after="0"/>
              <w:rPr>
                <w:sz w:val="20"/>
                <w:szCs w:val="20"/>
                <w:color w:val="auto"/>
              </w:rPr>
            </w:pPr>
            <w:r>
              <w:rPr>
                <w:rFonts w:ascii="Arial" w:cs="Arial" w:eastAsia="Arial" w:hAnsi="Arial"/>
                <w:sz w:val="9"/>
                <w:szCs w:val="9"/>
                <w:b w:val="1"/>
                <w:bCs w:val="1"/>
                <w:color w:val="auto"/>
                <w:w w:val="94"/>
              </w:rPr>
              <w:t>September 30,</w:t>
            </w:r>
          </w:p>
        </w:tc>
        <w:tc>
          <w:tcPr>
            <w:tcW w:w="0" w:type="dxa"/>
            <w:vAlign w:val="bottom"/>
          </w:tcPr>
          <w:p>
            <w:pPr>
              <w:spacing w:after="0"/>
              <w:rPr>
                <w:sz w:val="1"/>
                <w:szCs w:val="1"/>
                <w:color w:val="auto"/>
              </w:rPr>
            </w:pPr>
          </w:p>
        </w:tc>
      </w:tr>
      <w:tr>
        <w:trPr>
          <w:trHeight w:val="137"/>
        </w:trPr>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bottom w:val="single" w:sz="8" w:color="2C6937"/>
            </w:tcBorders>
          </w:tcPr>
          <w:p>
            <w:pPr>
              <w:spacing w:after="0"/>
              <w:rPr>
                <w:sz w:val="11"/>
                <w:szCs w:val="11"/>
                <w:color w:val="auto"/>
              </w:rPr>
            </w:pPr>
          </w:p>
        </w:tc>
        <w:tc>
          <w:tcPr>
            <w:tcW w:w="620" w:type="dxa"/>
            <w:vAlign w:val="bottom"/>
            <w:tcBorders>
              <w:bottom w:val="single" w:sz="8" w:color="2C6937"/>
            </w:tcBorders>
          </w:tcPr>
          <w:p>
            <w:pPr>
              <w:jc w:val="right"/>
              <w:ind w:right="265"/>
              <w:spacing w:after="0"/>
              <w:rPr>
                <w:sz w:val="20"/>
                <w:szCs w:val="20"/>
                <w:color w:val="auto"/>
              </w:rPr>
            </w:pPr>
            <w:r>
              <w:rPr>
                <w:rFonts w:ascii="Arial" w:cs="Arial" w:eastAsia="Arial" w:hAnsi="Arial"/>
                <w:sz w:val="9"/>
                <w:szCs w:val="9"/>
                <w:b w:val="1"/>
                <w:bCs w:val="1"/>
                <w:color w:val="auto"/>
              </w:rPr>
              <w:t>2024</w:t>
            </w:r>
          </w:p>
        </w:tc>
        <w:tc>
          <w:tcPr>
            <w:tcW w:w="80" w:type="dxa"/>
            <w:vAlign w:val="bottom"/>
            <w:tcBorders>
              <w:bottom w:val="single" w:sz="8" w:color="2C6937"/>
            </w:tcBorders>
          </w:tcPr>
          <w:p>
            <w:pPr>
              <w:spacing w:after="0"/>
              <w:rPr>
                <w:sz w:val="11"/>
                <w:szCs w:val="11"/>
                <w:color w:val="auto"/>
              </w:rPr>
            </w:pPr>
          </w:p>
        </w:tc>
        <w:tc>
          <w:tcPr>
            <w:tcW w:w="580" w:type="dxa"/>
            <w:vAlign w:val="bottom"/>
            <w:tcBorders>
              <w:bottom w:val="single" w:sz="8" w:color="2C6937"/>
            </w:tcBorders>
            <w:gridSpan w:val="2"/>
          </w:tcPr>
          <w:p>
            <w:pPr>
              <w:jc w:val="right"/>
              <w:ind w:right="9"/>
              <w:spacing w:after="0"/>
              <w:rPr>
                <w:sz w:val="20"/>
                <w:szCs w:val="20"/>
                <w:color w:val="auto"/>
              </w:rPr>
            </w:pPr>
            <w:r>
              <w:rPr>
                <w:rFonts w:ascii="Arial" w:cs="Arial" w:eastAsia="Arial" w:hAnsi="Arial"/>
                <w:sz w:val="9"/>
                <w:szCs w:val="9"/>
                <w:b w:val="1"/>
                <w:bCs w:val="1"/>
                <w:color w:val="auto"/>
              </w:rPr>
              <w:t>Net Income</w:t>
            </w:r>
          </w:p>
        </w:tc>
        <w:tc>
          <w:tcPr>
            <w:tcW w:w="340" w:type="dxa"/>
            <w:vAlign w:val="bottom"/>
            <w:tcBorders>
              <w:bottom w:val="single" w:sz="8" w:color="2C6937"/>
            </w:tcBorders>
          </w:tcPr>
          <w:p>
            <w:pPr>
              <w:spacing w:after="0"/>
              <w:rPr>
                <w:sz w:val="11"/>
                <w:szCs w:val="11"/>
                <w:color w:val="auto"/>
              </w:rPr>
            </w:pPr>
          </w:p>
        </w:tc>
        <w:tc>
          <w:tcPr>
            <w:tcW w:w="80" w:type="dxa"/>
            <w:vAlign w:val="bottom"/>
            <w:tcBorders>
              <w:bottom w:val="single" w:sz="8" w:color="2C6937"/>
            </w:tcBorders>
          </w:tcPr>
          <w:p>
            <w:pPr>
              <w:spacing w:after="0"/>
              <w:rPr>
                <w:sz w:val="11"/>
                <w:szCs w:val="11"/>
                <w:color w:val="auto"/>
              </w:rPr>
            </w:pPr>
          </w:p>
        </w:tc>
        <w:tc>
          <w:tcPr>
            <w:tcW w:w="580" w:type="dxa"/>
            <w:vAlign w:val="bottom"/>
            <w:tcBorders>
              <w:bottom w:val="single" w:sz="8" w:color="2C6937"/>
            </w:tcBorders>
            <w:gridSpan w:val="2"/>
          </w:tcPr>
          <w:p>
            <w:pPr>
              <w:jc w:val="center"/>
              <w:ind w:right="180"/>
              <w:spacing w:after="0"/>
              <w:rPr>
                <w:sz w:val="20"/>
                <w:szCs w:val="20"/>
                <w:color w:val="auto"/>
              </w:rPr>
            </w:pPr>
            <w:r>
              <w:rPr>
                <w:rFonts w:ascii="Arial" w:cs="Arial" w:eastAsia="Arial" w:hAnsi="Arial"/>
                <w:sz w:val="9"/>
                <w:szCs w:val="9"/>
                <w:b w:val="1"/>
                <w:bCs w:val="1"/>
                <w:color w:val="auto"/>
                <w:w w:val="88"/>
              </w:rPr>
              <w:t>(Loss)</w:t>
            </w:r>
            <w:r>
              <w:rPr>
                <w:rFonts w:ascii="Arial" w:cs="Arial" w:eastAsia="Arial" w:hAnsi="Arial"/>
                <w:sz w:val="11"/>
                <w:szCs w:val="11"/>
                <w:b w:val="1"/>
                <w:bCs w:val="1"/>
                <w:color w:val="auto"/>
                <w:w w:val="88"/>
                <w:vertAlign w:val="superscript"/>
              </w:rPr>
              <w:t>(1)</w:t>
            </w:r>
          </w:p>
        </w:tc>
        <w:tc>
          <w:tcPr>
            <w:tcW w:w="120" w:type="dxa"/>
            <w:vAlign w:val="bottom"/>
            <w:tcBorders>
              <w:bottom w:val="single" w:sz="8" w:color="2C6937"/>
            </w:tcBorders>
          </w:tcPr>
          <w:p>
            <w:pPr>
              <w:spacing w:after="0"/>
              <w:rPr>
                <w:sz w:val="11"/>
                <w:szCs w:val="11"/>
                <w:color w:val="auto"/>
              </w:rPr>
            </w:pPr>
          </w:p>
        </w:tc>
        <w:tc>
          <w:tcPr>
            <w:tcW w:w="760" w:type="dxa"/>
            <w:vAlign w:val="bottom"/>
            <w:tcBorders>
              <w:bottom w:val="single" w:sz="8" w:color="2C6937"/>
            </w:tcBorders>
            <w:gridSpan w:val="2"/>
          </w:tcPr>
          <w:p>
            <w:pPr>
              <w:ind w:left="20"/>
              <w:spacing w:after="0"/>
              <w:rPr>
                <w:sz w:val="20"/>
                <w:szCs w:val="20"/>
                <w:color w:val="auto"/>
              </w:rPr>
            </w:pPr>
            <w:r>
              <w:rPr>
                <w:rFonts w:ascii="Arial" w:cs="Arial" w:eastAsia="Arial" w:hAnsi="Arial"/>
                <w:sz w:val="9"/>
                <w:szCs w:val="9"/>
                <w:b w:val="1"/>
                <w:bCs w:val="1"/>
                <w:color w:val="auto"/>
              </w:rPr>
              <w:t>Purchases</w:t>
            </w:r>
            <w:r>
              <w:rPr>
                <w:rFonts w:ascii="Arial" w:cs="Arial" w:eastAsia="Arial" w:hAnsi="Arial"/>
                <w:sz w:val="11"/>
                <w:szCs w:val="11"/>
                <w:b w:val="1"/>
                <w:bCs w:val="1"/>
                <w:color w:val="auto"/>
                <w:vertAlign w:val="superscript"/>
              </w:rPr>
              <w:t>(2)</w:t>
            </w:r>
          </w:p>
        </w:tc>
        <w:tc>
          <w:tcPr>
            <w:tcW w:w="100" w:type="dxa"/>
            <w:vAlign w:val="bottom"/>
            <w:tcBorders>
              <w:bottom w:val="single" w:sz="8" w:color="2C6937"/>
            </w:tcBorders>
          </w:tcPr>
          <w:p>
            <w:pPr>
              <w:spacing w:after="0"/>
              <w:rPr>
                <w:sz w:val="11"/>
                <w:szCs w:val="11"/>
                <w:color w:val="auto"/>
              </w:rPr>
            </w:pPr>
          </w:p>
        </w:tc>
        <w:tc>
          <w:tcPr>
            <w:tcW w:w="520" w:type="dxa"/>
            <w:vAlign w:val="bottom"/>
            <w:tcBorders>
              <w:bottom w:val="single" w:sz="8" w:color="2C6937"/>
            </w:tcBorders>
            <w:gridSpan w:val="2"/>
          </w:tcPr>
          <w:p>
            <w:pPr>
              <w:ind w:left="20"/>
              <w:spacing w:after="0"/>
              <w:rPr>
                <w:sz w:val="20"/>
                <w:szCs w:val="20"/>
                <w:color w:val="auto"/>
              </w:rPr>
            </w:pPr>
            <w:r>
              <w:rPr>
                <w:rFonts w:ascii="Arial" w:cs="Arial" w:eastAsia="Arial" w:hAnsi="Arial"/>
                <w:sz w:val="9"/>
                <w:szCs w:val="9"/>
                <w:b w:val="1"/>
                <w:bCs w:val="1"/>
                <w:color w:val="auto"/>
              </w:rPr>
              <w:t>Sales</w:t>
            </w:r>
            <w:r>
              <w:rPr>
                <w:rFonts w:ascii="Arial" w:cs="Arial" w:eastAsia="Arial" w:hAnsi="Arial"/>
                <w:sz w:val="11"/>
                <w:szCs w:val="11"/>
                <w:b w:val="1"/>
                <w:bCs w:val="1"/>
                <w:color w:val="auto"/>
                <w:vertAlign w:val="superscript"/>
              </w:rPr>
              <w:t>(2)</w:t>
            </w:r>
          </w:p>
        </w:tc>
        <w:tc>
          <w:tcPr>
            <w:tcW w:w="80" w:type="dxa"/>
            <w:vAlign w:val="bottom"/>
            <w:tcBorders>
              <w:bottom w:val="single" w:sz="8" w:color="2C6937"/>
            </w:tcBorders>
          </w:tcPr>
          <w:p>
            <w:pPr>
              <w:spacing w:after="0"/>
              <w:rPr>
                <w:sz w:val="11"/>
                <w:szCs w:val="11"/>
                <w:color w:val="auto"/>
              </w:rPr>
            </w:pPr>
          </w:p>
        </w:tc>
        <w:tc>
          <w:tcPr>
            <w:tcW w:w="560" w:type="dxa"/>
            <w:vAlign w:val="bottom"/>
            <w:tcBorders>
              <w:bottom w:val="single" w:sz="8" w:color="2C6937"/>
            </w:tcBorders>
            <w:gridSpan w:val="2"/>
          </w:tcPr>
          <w:p>
            <w:pPr>
              <w:ind w:left="20"/>
              <w:spacing w:after="0"/>
              <w:rPr>
                <w:sz w:val="20"/>
                <w:szCs w:val="20"/>
                <w:color w:val="auto"/>
              </w:rPr>
            </w:pPr>
            <w:r>
              <w:rPr>
                <w:rFonts w:ascii="Arial" w:cs="Arial" w:eastAsia="Arial" w:hAnsi="Arial"/>
                <w:sz w:val="9"/>
                <w:szCs w:val="9"/>
                <w:b w:val="1"/>
                <w:bCs w:val="1"/>
                <w:color w:val="auto"/>
              </w:rPr>
              <w:t>Issues</w:t>
            </w:r>
            <w:r>
              <w:rPr>
                <w:rFonts w:ascii="Arial" w:cs="Arial" w:eastAsia="Arial" w:hAnsi="Arial"/>
                <w:sz w:val="11"/>
                <w:szCs w:val="11"/>
                <w:b w:val="1"/>
                <w:bCs w:val="1"/>
                <w:color w:val="auto"/>
                <w:vertAlign w:val="superscript"/>
              </w:rPr>
              <w:t>(3)</w:t>
            </w:r>
          </w:p>
        </w:tc>
        <w:tc>
          <w:tcPr>
            <w:tcW w:w="120" w:type="dxa"/>
            <w:vAlign w:val="bottom"/>
            <w:tcBorders>
              <w:bottom w:val="single" w:sz="8" w:color="2C6937"/>
            </w:tcBorders>
          </w:tcPr>
          <w:p>
            <w:pPr>
              <w:spacing w:after="0"/>
              <w:rPr>
                <w:sz w:val="11"/>
                <w:szCs w:val="11"/>
                <w:color w:val="auto"/>
              </w:rPr>
            </w:pPr>
          </w:p>
        </w:tc>
        <w:tc>
          <w:tcPr>
            <w:tcW w:w="820" w:type="dxa"/>
            <w:vAlign w:val="bottom"/>
            <w:tcBorders>
              <w:bottom w:val="single" w:sz="8" w:color="2C6937"/>
            </w:tcBorders>
            <w:gridSpan w:val="2"/>
          </w:tcPr>
          <w:p>
            <w:pPr>
              <w:ind w:left="40"/>
              <w:spacing w:after="0"/>
              <w:rPr>
                <w:sz w:val="20"/>
                <w:szCs w:val="20"/>
                <w:color w:val="auto"/>
              </w:rPr>
            </w:pPr>
            <w:r>
              <w:rPr>
                <w:rFonts w:ascii="Arial" w:cs="Arial" w:eastAsia="Arial" w:hAnsi="Arial"/>
                <w:sz w:val="9"/>
                <w:szCs w:val="9"/>
                <w:b w:val="1"/>
                <w:bCs w:val="1"/>
                <w:color w:val="auto"/>
              </w:rPr>
              <w:t>Settlements</w:t>
            </w:r>
            <w:r>
              <w:rPr>
                <w:rFonts w:ascii="Arial" w:cs="Arial" w:eastAsia="Arial" w:hAnsi="Arial"/>
                <w:sz w:val="11"/>
                <w:szCs w:val="11"/>
                <w:b w:val="1"/>
                <w:bCs w:val="1"/>
                <w:color w:val="auto"/>
                <w:vertAlign w:val="superscript"/>
              </w:rPr>
              <w:t>(3)</w:t>
            </w:r>
          </w:p>
        </w:tc>
        <w:tc>
          <w:tcPr>
            <w:tcW w:w="100" w:type="dxa"/>
            <w:vAlign w:val="bottom"/>
            <w:tcBorders>
              <w:bottom w:val="single" w:sz="8" w:color="2C6937"/>
            </w:tcBorders>
          </w:tcPr>
          <w:p>
            <w:pPr>
              <w:spacing w:after="0"/>
              <w:rPr>
                <w:sz w:val="11"/>
                <w:szCs w:val="11"/>
                <w:color w:val="auto"/>
              </w:rPr>
            </w:pPr>
          </w:p>
        </w:tc>
        <w:tc>
          <w:tcPr>
            <w:tcW w:w="640" w:type="dxa"/>
            <w:vAlign w:val="bottom"/>
            <w:tcBorders>
              <w:bottom w:val="single" w:sz="8" w:color="2C6937"/>
            </w:tcBorders>
            <w:gridSpan w:val="2"/>
          </w:tcPr>
          <w:p>
            <w:pPr>
              <w:ind w:left="20"/>
              <w:spacing w:after="0"/>
              <w:rPr>
                <w:sz w:val="20"/>
                <w:szCs w:val="20"/>
                <w:color w:val="auto"/>
              </w:rPr>
            </w:pPr>
            <w:r>
              <w:rPr>
                <w:rFonts w:ascii="Arial" w:cs="Arial" w:eastAsia="Arial" w:hAnsi="Arial"/>
                <w:sz w:val="9"/>
                <w:szCs w:val="9"/>
                <w:b w:val="1"/>
                <w:bCs w:val="1"/>
                <w:color w:val="auto"/>
              </w:rPr>
              <w:t>of Level 3</w:t>
            </w:r>
          </w:p>
        </w:tc>
        <w:tc>
          <w:tcPr>
            <w:tcW w:w="120" w:type="dxa"/>
            <w:vAlign w:val="bottom"/>
            <w:tcBorders>
              <w:bottom w:val="single" w:sz="8" w:color="2C6937"/>
            </w:tcBorders>
          </w:tcPr>
          <w:p>
            <w:pPr>
              <w:spacing w:after="0"/>
              <w:rPr>
                <w:sz w:val="11"/>
                <w:szCs w:val="11"/>
                <w:color w:val="auto"/>
              </w:rPr>
            </w:pPr>
          </w:p>
        </w:tc>
        <w:tc>
          <w:tcPr>
            <w:tcW w:w="600" w:type="dxa"/>
            <w:vAlign w:val="bottom"/>
            <w:tcBorders>
              <w:bottom w:val="single" w:sz="8" w:color="2C6937"/>
            </w:tcBorders>
            <w:gridSpan w:val="2"/>
          </w:tcPr>
          <w:p>
            <w:pPr>
              <w:ind w:left="40"/>
              <w:spacing w:after="0"/>
              <w:rPr>
                <w:sz w:val="20"/>
                <w:szCs w:val="20"/>
                <w:color w:val="auto"/>
              </w:rPr>
            </w:pPr>
            <w:r>
              <w:rPr>
                <w:rFonts w:ascii="Arial" w:cs="Arial" w:eastAsia="Arial" w:hAnsi="Arial"/>
                <w:sz w:val="9"/>
                <w:szCs w:val="9"/>
                <w:b w:val="1"/>
                <w:bCs w:val="1"/>
                <w:color w:val="auto"/>
              </w:rPr>
              <w:t>Level 3</w:t>
            </w:r>
          </w:p>
        </w:tc>
        <w:tc>
          <w:tcPr>
            <w:tcW w:w="940" w:type="dxa"/>
            <w:vAlign w:val="bottom"/>
            <w:tcBorders>
              <w:bottom w:val="single" w:sz="8" w:color="2C6937"/>
            </w:tcBorders>
            <w:gridSpan w:val="3"/>
          </w:tcPr>
          <w:p>
            <w:pPr>
              <w:ind w:left="20"/>
              <w:spacing w:after="0"/>
              <w:rPr>
                <w:sz w:val="20"/>
                <w:szCs w:val="20"/>
                <w:color w:val="auto"/>
              </w:rPr>
            </w:pPr>
            <w:r>
              <w:rPr>
                <w:rFonts w:ascii="Arial" w:cs="Arial" w:eastAsia="Arial" w:hAnsi="Arial"/>
                <w:sz w:val="9"/>
                <w:szCs w:val="9"/>
                <w:b w:val="1"/>
                <w:bCs w:val="1"/>
                <w:color w:val="auto"/>
              </w:rPr>
              <w:t>September 30, 2024</w:t>
            </w:r>
          </w:p>
        </w:tc>
        <w:tc>
          <w:tcPr>
            <w:tcW w:w="100" w:type="dxa"/>
            <w:vAlign w:val="bottom"/>
            <w:tcBorders>
              <w:bottom w:val="single" w:sz="8" w:color="2C6937"/>
            </w:tcBorders>
          </w:tcPr>
          <w:p>
            <w:pPr>
              <w:spacing w:after="0"/>
              <w:rPr>
                <w:sz w:val="11"/>
                <w:szCs w:val="11"/>
                <w:color w:val="auto"/>
              </w:rPr>
            </w:pPr>
          </w:p>
        </w:tc>
        <w:tc>
          <w:tcPr>
            <w:tcW w:w="760" w:type="dxa"/>
            <w:vAlign w:val="bottom"/>
            <w:tcBorders>
              <w:bottom w:val="single" w:sz="8" w:color="2C6937"/>
            </w:tcBorders>
          </w:tcPr>
          <w:p>
            <w:pPr>
              <w:jc w:val="center"/>
              <w:ind w:right="50"/>
              <w:spacing w:after="0" w:line="138" w:lineRule="exact"/>
              <w:rPr>
                <w:sz w:val="20"/>
                <w:szCs w:val="20"/>
                <w:color w:val="auto"/>
              </w:rPr>
            </w:pPr>
            <w:r>
              <w:rPr>
                <w:rFonts w:ascii="Arial" w:cs="Arial" w:eastAsia="Arial" w:hAnsi="Arial"/>
                <w:sz w:val="15"/>
                <w:szCs w:val="15"/>
                <w:b w:val="1"/>
                <w:bCs w:val="1"/>
                <w:color w:val="auto"/>
                <w:w w:val="98"/>
                <w:vertAlign w:val="subscript"/>
              </w:rPr>
              <w:t>2024</w:t>
            </w:r>
            <w:r>
              <w:rPr>
                <w:rFonts w:ascii="Arial" w:cs="Arial" w:eastAsia="Arial" w:hAnsi="Arial"/>
                <w:sz w:val="5"/>
                <w:szCs w:val="5"/>
                <w:b w:val="1"/>
                <w:bCs w:val="1"/>
                <w:color w:val="auto"/>
                <w:w w:val="98"/>
              </w:rPr>
              <w:t>(4)(5)</w:t>
            </w:r>
          </w:p>
        </w:tc>
        <w:tc>
          <w:tcPr>
            <w:tcW w:w="80" w:type="dxa"/>
            <w:vAlign w:val="bottom"/>
            <w:tcBorders>
              <w:bottom w:val="single" w:sz="8" w:color="2C6937"/>
            </w:tcBorders>
          </w:tcPr>
          <w:p>
            <w:pPr>
              <w:spacing w:after="0"/>
              <w:rPr>
                <w:sz w:val="11"/>
                <w:szCs w:val="11"/>
                <w:color w:val="auto"/>
              </w:rPr>
            </w:pPr>
          </w:p>
        </w:tc>
        <w:tc>
          <w:tcPr>
            <w:tcW w:w="80" w:type="dxa"/>
            <w:vAlign w:val="bottom"/>
            <w:tcBorders>
              <w:bottom w:val="single" w:sz="8" w:color="2C6937"/>
            </w:tcBorders>
          </w:tcPr>
          <w:p>
            <w:pPr>
              <w:spacing w:after="0"/>
              <w:rPr>
                <w:sz w:val="11"/>
                <w:szCs w:val="11"/>
                <w:color w:val="auto"/>
              </w:rPr>
            </w:pPr>
          </w:p>
        </w:tc>
        <w:tc>
          <w:tcPr>
            <w:tcW w:w="800" w:type="dxa"/>
            <w:vAlign w:val="bottom"/>
            <w:tcBorders>
              <w:bottom w:val="single" w:sz="8" w:color="2C6937"/>
            </w:tcBorders>
          </w:tcPr>
          <w:p>
            <w:pPr>
              <w:jc w:val="center"/>
              <w:ind w:right="10"/>
              <w:spacing w:after="0"/>
              <w:rPr>
                <w:sz w:val="20"/>
                <w:szCs w:val="20"/>
                <w:color w:val="auto"/>
              </w:rPr>
            </w:pPr>
            <w:r>
              <w:rPr>
                <w:rFonts w:ascii="Arial" w:cs="Arial" w:eastAsia="Arial" w:hAnsi="Arial"/>
                <w:sz w:val="9"/>
                <w:szCs w:val="9"/>
                <w:b w:val="1"/>
                <w:bCs w:val="1"/>
                <w:color w:val="auto"/>
                <w:w w:val="89"/>
              </w:rPr>
              <w:t>2024</w:t>
            </w:r>
            <w:r>
              <w:rPr>
                <w:rFonts w:ascii="Arial" w:cs="Arial" w:eastAsia="Arial" w:hAnsi="Arial"/>
                <w:sz w:val="11"/>
                <w:szCs w:val="11"/>
                <w:b w:val="1"/>
                <w:bCs w:val="1"/>
                <w:color w:val="auto"/>
                <w:w w:val="89"/>
                <w:vertAlign w:val="superscript"/>
              </w:rPr>
              <w:t>(1)</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5"/>
          </w:tcPr>
          <w:p>
            <w:pPr>
              <w:ind w:left="320"/>
              <w:spacing w:after="0"/>
              <w:rPr>
                <w:sz w:val="20"/>
                <w:szCs w:val="20"/>
                <w:color w:val="auto"/>
              </w:rPr>
            </w:pPr>
            <w:r>
              <w:rPr>
                <w:rFonts w:ascii="Arial" w:cs="Arial" w:eastAsia="Arial" w:hAnsi="Arial"/>
                <w:sz w:val="11"/>
                <w:szCs w:val="11"/>
                <w:b w:val="1"/>
                <w:bCs w:val="1"/>
                <w:color w:val="auto"/>
              </w:rPr>
              <w:t>(Dollars in millions)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420" w:type="dxa"/>
            <w:vAlign w:val="bottom"/>
            <w:gridSpan w:val="2"/>
          </w:tcPr>
          <w:p>
            <w:pPr>
              <w:ind w:left="20"/>
              <w:spacing w:after="0"/>
              <w:rPr>
                <w:sz w:val="20"/>
                <w:szCs w:val="20"/>
                <w:color w:val="auto"/>
              </w:rPr>
            </w:pPr>
            <w:r>
              <w:rPr>
                <w:rFonts w:ascii="Arial" w:cs="Arial" w:eastAsia="Arial" w:hAnsi="Arial"/>
                <w:sz w:val="11"/>
                <w:szCs w:val="11"/>
                <w:color w:val="auto"/>
              </w:rPr>
              <w:t>Trading securities:</w:t>
            </w: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20" w:type="dxa"/>
            <w:vAlign w:val="bottom"/>
            <w:gridSpan w:val="2"/>
          </w:tcPr>
          <w:p>
            <w:pPr>
              <w:ind w:left="60"/>
              <w:spacing w:after="0"/>
              <w:rPr>
                <w:sz w:val="20"/>
                <w:szCs w:val="20"/>
                <w:color w:val="auto"/>
              </w:rPr>
            </w:pPr>
            <w:r>
              <w:rPr>
                <w:rFonts w:ascii="Arial" w:cs="Arial" w:eastAsia="Arial" w:hAnsi="Arial"/>
                <w:sz w:val="11"/>
                <w:szCs w:val="11"/>
                <w:color w:val="auto"/>
              </w:rPr>
              <w:t>Mortgage-related</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32</w:t>
            </w:r>
          </w:p>
        </w:tc>
        <w:tc>
          <w:tcPr>
            <w:tcW w:w="80" w:type="dxa"/>
            <w:vAlign w:val="bottom"/>
          </w:tcPr>
          <w:p>
            <w:pPr>
              <w:spacing w:after="0"/>
              <w:rPr>
                <w:sz w:val="15"/>
                <w:szCs w:val="15"/>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380" w:type="dxa"/>
            <w:vAlign w:val="bottom"/>
          </w:tcPr>
          <w:p>
            <w:pPr>
              <w:jc w:val="right"/>
              <w:ind w:right="9"/>
              <w:spacing w:after="0"/>
              <w:rPr>
                <w:sz w:val="20"/>
                <w:szCs w:val="20"/>
                <w:color w:val="auto"/>
              </w:rPr>
            </w:pPr>
            <w:r>
              <w:rPr>
                <w:rFonts w:ascii="Arial" w:cs="Arial" w:eastAsia="Arial" w:hAnsi="Arial"/>
                <w:sz w:val="11"/>
                <w:szCs w:val="11"/>
                <w:color w:val="auto"/>
              </w:rPr>
              <w:t>2</w:t>
            </w:r>
          </w:p>
        </w:tc>
        <w:tc>
          <w:tcPr>
            <w:tcW w:w="340" w:type="dxa"/>
            <w:vAlign w:val="bottom"/>
          </w:tcPr>
          <w:p>
            <w:pPr>
              <w:spacing w:after="0"/>
              <w:rPr>
                <w:sz w:val="20"/>
                <w:szCs w:val="20"/>
                <w:color w:val="auto"/>
              </w:rPr>
            </w:pPr>
            <w:r>
              <w:rPr>
                <w:rFonts w:ascii="Arial" w:cs="Arial" w:eastAsia="Arial" w:hAnsi="Arial"/>
                <w:sz w:val="7"/>
                <w:szCs w:val="7"/>
                <w:color w:val="auto"/>
              </w:rPr>
              <w:t>(5)(6)</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ind w:left="380"/>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5"/>
              <w:spacing w:after="0"/>
              <w:rPr>
                <w:sz w:val="20"/>
                <w:szCs w:val="20"/>
                <w:color w:val="auto"/>
              </w:rPr>
            </w:pPr>
            <w:r>
              <w:rPr>
                <w:rFonts w:ascii="Arial" w:cs="Arial" w:eastAsia="Arial" w:hAnsi="Arial"/>
                <w:sz w:val="11"/>
                <w:szCs w:val="11"/>
                <w:color w:val="auto"/>
              </w:rPr>
              <w:t>35</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10"/>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1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04"/>
        </w:trPr>
        <w:tc>
          <w:tcPr>
            <w:tcW w:w="1420" w:type="dxa"/>
            <w:vAlign w:val="bottom"/>
            <w:gridSpan w:val="2"/>
          </w:tcPr>
          <w:p>
            <w:pPr>
              <w:ind w:left="20"/>
              <w:spacing w:after="0"/>
              <w:rPr>
                <w:sz w:val="20"/>
                <w:szCs w:val="20"/>
                <w:color w:val="auto"/>
              </w:rPr>
            </w:pPr>
            <w:r>
              <w:rPr>
                <w:rFonts w:ascii="Arial" w:cs="Arial" w:eastAsia="Arial" w:hAnsi="Arial"/>
                <w:sz w:val="11"/>
                <w:szCs w:val="11"/>
                <w:color w:val="auto"/>
              </w:rPr>
              <w:t>Available-for-sale</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1420" w:type="dxa"/>
            <w:vAlign w:val="bottom"/>
            <w:gridSpan w:val="2"/>
          </w:tcPr>
          <w:p>
            <w:pPr>
              <w:ind w:left="140"/>
              <w:spacing w:after="0"/>
              <w:rPr>
                <w:sz w:val="20"/>
                <w:szCs w:val="20"/>
                <w:color w:val="auto"/>
              </w:rPr>
            </w:pPr>
            <w:r>
              <w:rPr>
                <w:rFonts w:ascii="Arial" w:cs="Arial" w:eastAsia="Arial" w:hAnsi="Arial"/>
                <w:sz w:val="11"/>
                <w:szCs w:val="11"/>
                <w:color w:val="auto"/>
              </w:rPr>
              <w:t>securities:</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420" w:type="dxa"/>
            <w:vAlign w:val="bottom"/>
            <w:gridSpan w:val="2"/>
          </w:tcPr>
          <w:p>
            <w:pPr>
              <w:ind w:left="60"/>
              <w:spacing w:after="0"/>
              <w:rPr>
                <w:sz w:val="20"/>
                <w:szCs w:val="20"/>
                <w:color w:val="auto"/>
              </w:rPr>
            </w:pPr>
            <w:r>
              <w:rPr>
                <w:rFonts w:ascii="Arial" w:cs="Arial" w:eastAsia="Arial" w:hAnsi="Arial"/>
                <w:sz w:val="11"/>
                <w:szCs w:val="11"/>
                <w:color w:val="auto"/>
              </w:rPr>
              <w:t>Agency</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315</w:t>
            </w:r>
          </w:p>
        </w:tc>
        <w:tc>
          <w:tcPr>
            <w:tcW w:w="80" w:type="dxa"/>
            <w:vAlign w:val="bottom"/>
          </w:tcPr>
          <w:p>
            <w:pPr>
              <w:spacing w:after="0"/>
              <w:rPr>
                <w:sz w:val="15"/>
                <w:szCs w:val="15"/>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380" w:type="dxa"/>
            <w:vAlign w:val="bottom"/>
          </w:tcPr>
          <w:p>
            <w:pPr>
              <w:jc w:val="right"/>
              <w:ind w:right="9"/>
              <w:spacing w:after="0"/>
              <w:rPr>
                <w:sz w:val="20"/>
                <w:szCs w:val="20"/>
                <w:color w:val="auto"/>
              </w:rPr>
            </w:pPr>
            <w:r>
              <w:rPr>
                <w:rFonts w:ascii="Arial" w:cs="Arial" w:eastAsia="Arial" w:hAnsi="Arial"/>
                <w:sz w:val="11"/>
                <w:szCs w:val="11"/>
                <w:color w:val="auto"/>
              </w:rPr>
              <w:t>1</w:t>
            </w:r>
          </w:p>
        </w:tc>
        <w:tc>
          <w:tcPr>
            <w:tcW w:w="3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ind w:left="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5"/>
              <w:spacing w:after="0"/>
              <w:rPr>
                <w:sz w:val="20"/>
                <w:szCs w:val="20"/>
                <w:color w:val="auto"/>
              </w:rPr>
            </w:pPr>
            <w:r>
              <w:rPr>
                <w:rFonts w:ascii="Arial" w:cs="Arial" w:eastAsia="Arial" w:hAnsi="Arial"/>
                <w:sz w:val="11"/>
                <w:szCs w:val="11"/>
                <w:color w:val="auto"/>
              </w:rPr>
              <w:t>313</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10"/>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76"/>
        </w:trPr>
        <w:tc>
          <w:tcPr>
            <w:tcW w:w="1340" w:type="dxa"/>
            <w:vAlign w:val="bottom"/>
            <w:tcBorders>
              <w:bottom w:val="single" w:sz="8" w:color="2C6937"/>
            </w:tcBorders>
          </w:tcPr>
          <w:p>
            <w:pPr>
              <w:ind w:left="60"/>
              <w:spacing w:after="0"/>
              <w:rPr>
                <w:sz w:val="20"/>
                <w:szCs w:val="20"/>
                <w:color w:val="auto"/>
              </w:rPr>
            </w:pPr>
            <w:r>
              <w:rPr>
                <w:rFonts w:ascii="Arial" w:cs="Arial" w:eastAsia="Arial" w:hAnsi="Arial"/>
                <w:sz w:val="11"/>
                <w:szCs w:val="11"/>
                <w:color w:val="auto"/>
              </w:rPr>
              <w:t>Other mortgage-related</w:t>
            </w:r>
          </w:p>
        </w:tc>
        <w:tc>
          <w:tcPr>
            <w:tcW w:w="80" w:type="dxa"/>
            <w:vAlign w:val="bottom"/>
          </w:tcPr>
          <w:p>
            <w:pPr>
              <w:spacing w:after="0"/>
              <w:rPr>
                <w:sz w:val="15"/>
                <w:szCs w:val="15"/>
                <w:color w:val="auto"/>
              </w:rPr>
            </w:pPr>
          </w:p>
        </w:tc>
        <w:tc>
          <w:tcPr>
            <w:tcW w:w="200" w:type="dxa"/>
            <w:vAlign w:val="bottom"/>
            <w:tcBorders>
              <w:bottom w:val="single" w:sz="8" w:color="2C6937"/>
            </w:tcBorders>
          </w:tcPr>
          <w:p>
            <w:pPr>
              <w:spacing w:after="0"/>
              <w:rPr>
                <w:sz w:val="15"/>
                <w:szCs w:val="15"/>
                <w:color w:val="auto"/>
              </w:rPr>
            </w:pPr>
          </w:p>
        </w:tc>
        <w:tc>
          <w:tcPr>
            <w:tcW w:w="62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146</w:t>
            </w:r>
          </w:p>
        </w:tc>
        <w:tc>
          <w:tcPr>
            <w:tcW w:w="80" w:type="dxa"/>
            <w:vAlign w:val="bottom"/>
          </w:tcPr>
          <w:p>
            <w:pPr>
              <w:spacing w:after="0"/>
              <w:rPr>
                <w:sz w:val="15"/>
                <w:szCs w:val="15"/>
                <w:color w:val="auto"/>
              </w:rPr>
            </w:pPr>
          </w:p>
        </w:tc>
        <w:tc>
          <w:tcPr>
            <w:tcW w:w="200" w:type="dxa"/>
            <w:vAlign w:val="bottom"/>
            <w:tcBorders>
              <w:bottom w:val="single" w:sz="8" w:color="2C6937"/>
            </w:tcBorders>
          </w:tcPr>
          <w:p>
            <w:pPr>
              <w:spacing w:after="0"/>
              <w:rPr>
                <w:sz w:val="15"/>
                <w:szCs w:val="15"/>
                <w:color w:val="auto"/>
              </w:rPr>
            </w:pPr>
          </w:p>
        </w:tc>
        <w:tc>
          <w:tcPr>
            <w:tcW w:w="38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(1)</w:t>
            </w:r>
          </w:p>
        </w:tc>
        <w:tc>
          <w:tcPr>
            <w:tcW w:w="340" w:type="dxa"/>
            <w:vAlign w:val="bottom"/>
          </w:tcPr>
          <w:p>
            <w:pPr>
              <w:spacing w:after="0"/>
              <w:rPr>
                <w:sz w:val="15"/>
                <w:szCs w:val="15"/>
                <w:color w:val="auto"/>
              </w:rPr>
            </w:pPr>
          </w:p>
        </w:tc>
        <w:tc>
          <w:tcPr>
            <w:tcW w:w="80" w:type="dxa"/>
            <w:vAlign w:val="bottom"/>
            <w:tcBorders>
              <w:bottom w:val="single" w:sz="8" w:color="2C6937"/>
            </w:tcBorders>
          </w:tcPr>
          <w:p>
            <w:pPr>
              <w:spacing w:after="0"/>
              <w:rPr>
                <w:sz w:val="15"/>
                <w:szCs w:val="15"/>
                <w:color w:val="auto"/>
              </w:rPr>
            </w:pPr>
          </w:p>
        </w:tc>
        <w:tc>
          <w:tcPr>
            <w:tcW w:w="480" w:type="dxa"/>
            <w:vAlign w:val="bottom"/>
            <w:tcBorders>
              <w:bottom w:val="single" w:sz="8" w:color="2C6937"/>
            </w:tcBorders>
          </w:tcPr>
          <w:p>
            <w:pPr>
              <w:jc w:val="right"/>
              <w:ind w:right="7"/>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660" w:type="dxa"/>
            <w:vAlign w:val="bottom"/>
            <w:tcBorders>
              <w:bottom w:val="single" w:sz="8" w:color="2C6937"/>
            </w:tcBorders>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420" w:type="dxa"/>
            <w:vAlign w:val="bottom"/>
            <w:tcBorders>
              <w:bottom w:val="single" w:sz="8" w:color="2C6937"/>
            </w:tcBorders>
          </w:tcPr>
          <w:p>
            <w:pPr>
              <w:ind w:lef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0" w:type="dxa"/>
            <w:vAlign w:val="bottom"/>
            <w:tcBorders>
              <w:bottom w:val="single" w:sz="8" w:color="2C6937"/>
            </w:tcBorders>
          </w:tcPr>
          <w:p>
            <w:pPr>
              <w:spacing w:after="0"/>
              <w:rPr>
                <w:sz w:val="15"/>
                <w:szCs w:val="15"/>
                <w:color w:val="auto"/>
              </w:rPr>
            </w:pPr>
          </w:p>
        </w:tc>
        <w:tc>
          <w:tcPr>
            <w:tcW w:w="480" w:type="dxa"/>
            <w:vAlign w:val="bottom"/>
            <w:tcBorders>
              <w:bottom w:val="single" w:sz="8" w:color="2C6937"/>
            </w:tcBorders>
          </w:tcPr>
          <w:p>
            <w:pPr>
              <w:ind w:left="3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540" w:type="dxa"/>
            <w:vAlign w:val="bottom"/>
            <w:tcBorders>
              <w:bottom w:val="single" w:sz="8" w:color="2C6937"/>
            </w:tcBorders>
          </w:tcPr>
          <w:p>
            <w:pPr>
              <w:ind w:left="3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52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160" w:type="dxa"/>
            <w:vAlign w:val="bottom"/>
            <w:tcBorders>
              <w:bottom w:val="single" w:sz="8" w:color="2C6937"/>
            </w:tcBorders>
          </w:tcPr>
          <w:p>
            <w:pPr>
              <w:spacing w:after="0"/>
              <w:rPr>
                <w:sz w:val="15"/>
                <w:szCs w:val="15"/>
                <w:color w:val="auto"/>
              </w:rPr>
            </w:pPr>
          </w:p>
        </w:tc>
        <w:tc>
          <w:tcPr>
            <w:tcW w:w="68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135</w:t>
            </w:r>
          </w:p>
        </w:tc>
        <w:tc>
          <w:tcPr>
            <w:tcW w:w="10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760" w:type="dxa"/>
            <w:vAlign w:val="bottom"/>
            <w:tcBorders>
              <w:bottom w:val="single" w:sz="8" w:color="2C6937"/>
            </w:tcBorders>
          </w:tcPr>
          <w:p>
            <w:pPr>
              <w:jc w:val="right"/>
              <w:ind w:right="1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80" w:type="dxa"/>
            <w:vAlign w:val="bottom"/>
            <w:tcBorders>
              <w:bottom w:val="single" w:sz="8" w:color="2C6937"/>
            </w:tcBorders>
          </w:tcPr>
          <w:p>
            <w:pPr>
              <w:spacing w:after="0"/>
              <w:rPr>
                <w:sz w:val="15"/>
                <w:szCs w:val="15"/>
                <w:color w:val="auto"/>
              </w:rPr>
            </w:pPr>
          </w:p>
        </w:tc>
        <w:tc>
          <w:tcPr>
            <w:tcW w:w="800" w:type="dxa"/>
            <w:vAlign w:val="bottom"/>
            <w:tcBorders>
              <w:bottom w:val="single" w:sz="8" w:color="2C6937"/>
            </w:tcBorders>
          </w:tcPr>
          <w:p>
            <w:pPr>
              <w:jc w:val="right"/>
              <w:ind w:right="1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47"/>
        </w:trPr>
        <w:tc>
          <w:tcPr>
            <w:tcW w:w="1420" w:type="dxa"/>
            <w:vAlign w:val="bottom"/>
            <w:gridSpan w:val="2"/>
          </w:tcPr>
          <w:p>
            <w:pPr>
              <w:ind w:left="20"/>
              <w:spacing w:after="0"/>
              <w:rPr>
                <w:sz w:val="20"/>
                <w:szCs w:val="20"/>
                <w:color w:val="auto"/>
              </w:rPr>
            </w:pPr>
            <w:r>
              <w:rPr>
                <w:rFonts w:ascii="Arial" w:cs="Arial" w:eastAsia="Arial" w:hAnsi="Arial"/>
                <w:sz w:val="11"/>
                <w:szCs w:val="11"/>
                <w:color w:val="auto"/>
              </w:rPr>
              <w:t>Total available-for-sale</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20"/>
                <w:szCs w:val="20"/>
                <w:color w:val="auto"/>
              </w:rPr>
            </w:pPr>
            <w:r>
              <w:rPr>
                <w:rFonts w:ascii="Arial" w:cs="Arial" w:eastAsia="Arial" w:hAnsi="Arial"/>
                <w:sz w:val="7"/>
                <w:szCs w:val="7"/>
                <w:color w:val="auto"/>
              </w:rPr>
              <w:t>(6)(7)</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340" w:type="dxa"/>
            <w:vAlign w:val="bottom"/>
            <w:tcBorders>
              <w:bottom w:val="single" w:sz="8" w:color="2C6937"/>
            </w:tcBorders>
          </w:tcPr>
          <w:p>
            <w:pPr>
              <w:ind w:left="140"/>
              <w:spacing w:after="0"/>
              <w:rPr>
                <w:sz w:val="20"/>
                <w:szCs w:val="20"/>
                <w:color w:val="auto"/>
              </w:rPr>
            </w:pPr>
            <w:r>
              <w:rPr>
                <w:rFonts w:ascii="Arial" w:cs="Arial" w:eastAsia="Arial" w:hAnsi="Arial"/>
                <w:sz w:val="11"/>
                <w:szCs w:val="11"/>
                <w:color w:val="auto"/>
              </w:rPr>
              <w:t>securities</w:t>
            </w:r>
          </w:p>
        </w:tc>
        <w:tc>
          <w:tcPr>
            <w:tcW w:w="80" w:type="dxa"/>
            <w:vAlign w:val="bottom"/>
          </w:tcPr>
          <w:p>
            <w:pPr>
              <w:spacing w:after="0"/>
              <w:rPr>
                <w:sz w:val="14"/>
                <w:szCs w:val="14"/>
                <w:color w:val="auto"/>
              </w:rPr>
            </w:pPr>
          </w:p>
        </w:tc>
        <w:tc>
          <w:tcPr>
            <w:tcW w:w="200" w:type="dxa"/>
            <w:vAlign w:val="bottom"/>
            <w:tcBorders>
              <w:bottom w:val="single" w:sz="8" w:color="2C6937"/>
            </w:tcBorders>
          </w:tcPr>
          <w:p>
            <w:pPr>
              <w:jc w:val="right"/>
              <w:ind w:right="66"/>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461</w:t>
            </w:r>
          </w:p>
        </w:tc>
        <w:tc>
          <w:tcPr>
            <w:tcW w:w="80" w:type="dxa"/>
            <w:vAlign w:val="bottom"/>
          </w:tcPr>
          <w:p>
            <w:pPr>
              <w:spacing w:after="0"/>
              <w:rPr>
                <w:sz w:val="14"/>
                <w:szCs w:val="14"/>
                <w:color w:val="auto"/>
              </w:rPr>
            </w:pPr>
          </w:p>
        </w:tc>
        <w:tc>
          <w:tcPr>
            <w:tcW w:w="200" w:type="dxa"/>
            <w:vAlign w:val="bottom"/>
            <w:tcBorders>
              <w:bottom w:val="single" w:sz="8" w:color="2C6937"/>
            </w:tcBorders>
          </w:tcPr>
          <w:p>
            <w:pPr>
              <w:jc w:val="right"/>
              <w:ind w:right="67"/>
              <w:spacing w:after="0"/>
              <w:rPr>
                <w:sz w:val="20"/>
                <w:szCs w:val="20"/>
                <w:color w:val="auto"/>
              </w:rPr>
            </w:pPr>
            <w:r>
              <w:rPr>
                <w:rFonts w:ascii="Arial" w:cs="Arial" w:eastAsia="Arial" w:hAnsi="Arial"/>
                <w:sz w:val="11"/>
                <w:szCs w:val="11"/>
                <w:color w:val="auto"/>
                <w:w w:val="97"/>
              </w:rPr>
              <w:t>$</w:t>
            </w:r>
          </w:p>
        </w:tc>
        <w:tc>
          <w:tcPr>
            <w:tcW w:w="380" w:type="dxa"/>
            <w:vAlign w:val="bottom"/>
            <w:tcBorders>
              <w:bottom w:val="single" w:sz="8" w:color="2C6937"/>
            </w:tcBorders>
          </w:tcPr>
          <w:p>
            <w:pPr>
              <w:jc w:val="right"/>
              <w:ind w:right="9"/>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4"/>
                <w:szCs w:val="14"/>
                <w:color w:val="auto"/>
              </w:rPr>
            </w:pPr>
          </w:p>
        </w:tc>
        <w:tc>
          <w:tcPr>
            <w:tcW w:w="8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2C6937"/>
            </w:tcBorders>
          </w:tcPr>
          <w:p>
            <w:pPr>
              <w:jc w:val="right"/>
              <w:ind w:right="7"/>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14"/>
                <w:szCs w:val="14"/>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2C6937"/>
            </w:tcBorders>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2C6937"/>
            </w:tcBorders>
          </w:tcPr>
          <w:p>
            <w:pPr>
              <w:ind w:lef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2C6937"/>
            </w:tcBorders>
          </w:tcPr>
          <w:p>
            <w:pPr>
              <w:ind w:left="3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(19)</w:t>
            </w:r>
          </w:p>
        </w:tc>
        <w:tc>
          <w:tcPr>
            <w:tcW w:w="100" w:type="dxa"/>
            <w:vAlign w:val="bottom"/>
          </w:tcPr>
          <w:p>
            <w:pPr>
              <w:spacing w:after="0"/>
              <w:rPr>
                <w:sz w:val="14"/>
                <w:szCs w:val="14"/>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2C6937"/>
            </w:tcBorders>
          </w:tcPr>
          <w:p>
            <w:pPr>
              <w:ind w:left="3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20" w:type="dxa"/>
            <w:vAlign w:val="bottom"/>
            <w:tcBorders>
              <w:bottom w:val="single" w:sz="8" w:color="2C6937"/>
            </w:tcBorders>
          </w:tcPr>
          <w:p>
            <w:pPr>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60" w:type="dxa"/>
            <w:vAlign w:val="bottom"/>
            <w:tcBorders>
              <w:bottom w:val="single" w:sz="8" w:color="2C6937"/>
            </w:tcBorders>
          </w:tcPr>
          <w:p>
            <w:pPr>
              <w:ind w:left="2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448</w:t>
            </w:r>
          </w:p>
        </w:tc>
        <w:tc>
          <w:tcPr>
            <w:tcW w:w="100" w:type="dxa"/>
            <w:vAlign w:val="bottom"/>
          </w:tcPr>
          <w:p>
            <w:pPr>
              <w:spacing w:after="0"/>
              <w:rPr>
                <w:sz w:val="14"/>
                <w:szCs w:val="14"/>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2C6937"/>
            </w:tcBorders>
          </w:tcPr>
          <w:p>
            <w:pPr>
              <w:jc w:val="right"/>
              <w:ind w:right="1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2C6937"/>
            </w:tcBorders>
          </w:tcPr>
          <w:p>
            <w:pPr>
              <w:jc w:val="right"/>
              <w:ind w:right="10"/>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6"/>
        </w:trPr>
        <w:tc>
          <w:tcPr>
            <w:tcW w:w="134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62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380" w:type="dxa"/>
            <w:vAlign w:val="bottom"/>
            <w:tcBorders>
              <w:bottom w:val="single" w:sz="8" w:color="2C6937"/>
            </w:tcBorders>
          </w:tcPr>
          <w:p>
            <w:pPr>
              <w:spacing w:after="0"/>
              <w:rPr>
                <w:sz w:val="2"/>
                <w:szCs w:val="2"/>
                <w:color w:val="auto"/>
              </w:rPr>
            </w:pPr>
          </w:p>
        </w:tc>
        <w:tc>
          <w:tcPr>
            <w:tcW w:w="340" w:type="dxa"/>
            <w:vAlign w:val="bottom"/>
            <w:vMerge w:val="restart"/>
          </w:tcPr>
          <w:p>
            <w:pPr>
              <w:spacing w:after="0"/>
              <w:rPr>
                <w:sz w:val="20"/>
                <w:szCs w:val="20"/>
                <w:color w:val="auto"/>
              </w:rPr>
            </w:pPr>
            <w:r>
              <w:rPr>
                <w:rFonts w:ascii="Arial" w:cs="Arial" w:eastAsia="Arial" w:hAnsi="Arial"/>
                <w:sz w:val="7"/>
                <w:szCs w:val="7"/>
                <w:color w:val="auto"/>
              </w:rPr>
              <w:t>(5)(6)</w:t>
            </w:r>
          </w:p>
        </w:tc>
        <w:tc>
          <w:tcPr>
            <w:tcW w:w="80" w:type="dxa"/>
            <w:vAlign w:val="bottom"/>
            <w:tcBorders>
              <w:bottom w:val="single" w:sz="8" w:color="2C6937"/>
            </w:tcBorders>
          </w:tcPr>
          <w:p>
            <w:pPr>
              <w:spacing w:after="0"/>
              <w:rPr>
                <w:sz w:val="2"/>
                <w:szCs w:val="2"/>
                <w:color w:val="auto"/>
              </w:rPr>
            </w:pPr>
          </w:p>
        </w:tc>
        <w:tc>
          <w:tcPr>
            <w:tcW w:w="4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42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48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72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52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2C6937"/>
            </w:tcBorders>
          </w:tcPr>
          <w:p>
            <w:pPr>
              <w:spacing w:after="0"/>
              <w:rPr>
                <w:sz w:val="2"/>
                <w:szCs w:val="2"/>
                <w:color w:val="auto"/>
              </w:rPr>
            </w:pPr>
          </w:p>
        </w:tc>
        <w:tc>
          <w:tcPr>
            <w:tcW w:w="6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800" w:type="dxa"/>
            <w:vAlign w:val="bottom"/>
            <w:tcBorders>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r>
        <w:trPr>
          <w:trHeight w:val="274"/>
        </w:trPr>
        <w:tc>
          <w:tcPr>
            <w:tcW w:w="1420" w:type="dxa"/>
            <w:vAlign w:val="bottom"/>
            <w:gridSpan w:val="2"/>
          </w:tcPr>
          <w:p>
            <w:pPr>
              <w:ind w:left="20"/>
              <w:spacing w:after="0"/>
              <w:rPr>
                <w:sz w:val="20"/>
                <w:szCs w:val="20"/>
                <w:color w:val="auto"/>
              </w:rPr>
            </w:pPr>
            <w:r>
              <w:rPr>
                <w:rFonts w:ascii="Arial" w:cs="Arial" w:eastAsia="Arial" w:hAnsi="Arial"/>
                <w:sz w:val="11"/>
                <w:szCs w:val="11"/>
                <w:color w:val="auto"/>
              </w:rPr>
              <w:t>Mortgage loans</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425</w:t>
            </w:r>
          </w:p>
        </w:tc>
        <w:tc>
          <w:tcPr>
            <w:tcW w:w="80" w:type="dxa"/>
            <w:vAlign w:val="bottom"/>
          </w:tcPr>
          <w:p>
            <w:pPr>
              <w:spacing w:after="0"/>
              <w:rPr>
                <w:sz w:val="23"/>
                <w:szCs w:val="23"/>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380" w:type="dxa"/>
            <w:vAlign w:val="bottom"/>
          </w:tcPr>
          <w:p>
            <w:pPr>
              <w:jc w:val="right"/>
              <w:ind w:right="9"/>
              <w:spacing w:after="0"/>
              <w:rPr>
                <w:sz w:val="20"/>
                <w:szCs w:val="20"/>
                <w:color w:val="auto"/>
              </w:rPr>
            </w:pPr>
            <w:r>
              <w:rPr>
                <w:rFonts w:ascii="Arial" w:cs="Arial" w:eastAsia="Arial" w:hAnsi="Arial"/>
                <w:sz w:val="11"/>
                <w:szCs w:val="11"/>
                <w:color w:val="auto"/>
              </w:rPr>
              <w:t>18</w:t>
            </w:r>
          </w:p>
        </w:tc>
        <w:tc>
          <w:tcPr>
            <w:tcW w:w="340" w:type="dxa"/>
            <w:vAlign w:val="bottom"/>
            <w:vMerge w:val="continue"/>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(14)</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ind w:left="380"/>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23"/>
                <w:szCs w:val="23"/>
                <w:color w:val="auto"/>
              </w:rPr>
            </w:pP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9</w:t>
            </w:r>
          </w:p>
        </w:tc>
        <w:tc>
          <w:tcPr>
            <w:tcW w:w="80" w:type="dxa"/>
            <w:vAlign w:val="bottom"/>
          </w:tcPr>
          <w:p>
            <w:pPr>
              <w:spacing w:after="0"/>
              <w:rPr>
                <w:sz w:val="23"/>
                <w:szCs w:val="23"/>
                <w:color w:val="auto"/>
              </w:rPr>
            </w:pPr>
          </w:p>
        </w:tc>
        <w:tc>
          <w:tcPr>
            <w:tcW w:w="160" w:type="dxa"/>
            <w:vAlign w:val="bottom"/>
          </w:tcPr>
          <w:p>
            <w:pPr>
              <w:ind w:left="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5"/>
              <w:spacing w:after="0"/>
              <w:rPr>
                <w:sz w:val="20"/>
                <w:szCs w:val="20"/>
                <w:color w:val="auto"/>
              </w:rPr>
            </w:pPr>
            <w:r>
              <w:rPr>
                <w:rFonts w:ascii="Arial" w:cs="Arial" w:eastAsia="Arial" w:hAnsi="Arial"/>
                <w:sz w:val="11"/>
                <w:szCs w:val="11"/>
                <w:color w:val="auto"/>
              </w:rPr>
              <w:t>430</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10"/>
              <w:spacing w:after="0"/>
              <w:rPr>
                <w:sz w:val="20"/>
                <w:szCs w:val="20"/>
                <w:color w:val="auto"/>
              </w:rPr>
            </w:pPr>
            <w:r>
              <w:rPr>
                <w:rFonts w:ascii="Arial" w:cs="Arial" w:eastAsia="Arial" w:hAnsi="Arial"/>
                <w:sz w:val="11"/>
                <w:szCs w:val="11"/>
                <w:color w:val="auto"/>
              </w:rPr>
              <w:t>9</w:t>
            </w:r>
          </w:p>
        </w:tc>
        <w:tc>
          <w:tcPr>
            <w:tcW w:w="8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1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22"/>
        </w:trPr>
        <w:tc>
          <w:tcPr>
            <w:tcW w:w="1420" w:type="dxa"/>
            <w:vAlign w:val="bottom"/>
            <w:gridSpan w:val="2"/>
          </w:tcPr>
          <w:p>
            <w:pPr>
              <w:ind w:left="20"/>
              <w:spacing w:after="0"/>
              <w:rPr>
                <w:sz w:val="20"/>
                <w:szCs w:val="20"/>
                <w:color w:val="auto"/>
              </w:rPr>
            </w:pPr>
            <w:r>
              <w:rPr>
                <w:rFonts w:ascii="Arial" w:cs="Arial" w:eastAsia="Arial" w:hAnsi="Arial"/>
                <w:sz w:val="11"/>
                <w:szCs w:val="11"/>
                <w:color w:val="auto"/>
              </w:rPr>
              <w:t>Net derivatives</w:t>
            </w:r>
          </w:p>
        </w:tc>
        <w:tc>
          <w:tcPr>
            <w:tcW w:w="200" w:type="dxa"/>
            <w:vAlign w:val="bottom"/>
          </w:tcPr>
          <w:p>
            <w:pPr>
              <w:spacing w:after="0"/>
              <w:rPr>
                <w:sz w:val="24"/>
                <w:szCs w:val="24"/>
                <w:color w:val="auto"/>
              </w:rPr>
            </w:pP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94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(19)</w:t>
            </w:r>
          </w:p>
        </w:tc>
        <w:tc>
          <w:tcPr>
            <w:tcW w:w="340" w:type="dxa"/>
            <w:vAlign w:val="bottom"/>
          </w:tcPr>
          <w:p>
            <w:pPr>
              <w:spacing w:after="0"/>
              <w:rPr>
                <w:sz w:val="20"/>
                <w:szCs w:val="20"/>
                <w:color w:val="auto"/>
              </w:rPr>
            </w:pPr>
            <w:r>
              <w:rPr>
                <w:rFonts w:ascii="Arial" w:cs="Arial" w:eastAsia="Arial" w:hAnsi="Arial"/>
                <w:sz w:val="7"/>
                <w:szCs w:val="7"/>
                <w:color w:val="auto"/>
              </w:rPr>
              <w:t>(5)</w:t>
            </w:r>
          </w:p>
        </w:tc>
        <w:tc>
          <w:tcPr>
            <w:tcW w:w="8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76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52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56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4"/>
                <w:szCs w:val="24"/>
                <w:color w:val="auto"/>
              </w:rPr>
            </w:pPr>
          </w:p>
        </w:tc>
        <w:tc>
          <w:tcPr>
            <w:tcW w:w="680" w:type="dxa"/>
            <w:vAlign w:val="bottom"/>
          </w:tcPr>
          <w:p>
            <w:pPr>
              <w:jc w:val="right"/>
              <w:ind w:right="5"/>
              <w:spacing w:after="0"/>
              <w:rPr>
                <w:sz w:val="20"/>
                <w:szCs w:val="20"/>
                <w:color w:val="auto"/>
              </w:rPr>
            </w:pPr>
            <w:r>
              <w:rPr>
                <w:rFonts w:ascii="Arial" w:cs="Arial" w:eastAsia="Arial" w:hAnsi="Arial"/>
                <w:sz w:val="11"/>
                <w:szCs w:val="11"/>
                <w:color w:val="auto"/>
              </w:rPr>
              <w:t>80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ind w:right="1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09"/>
        </w:trPr>
        <w:tc>
          <w:tcPr>
            <w:tcW w:w="1420" w:type="dxa"/>
            <w:vAlign w:val="bottom"/>
            <w:gridSpan w:val="2"/>
          </w:tcPr>
          <w:p>
            <w:pPr>
              <w:ind w:left="20"/>
              <w:spacing w:after="0"/>
              <w:rPr>
                <w:sz w:val="20"/>
                <w:szCs w:val="20"/>
                <w:color w:val="auto"/>
              </w:rPr>
            </w:pPr>
            <w:r>
              <w:rPr>
                <w:rFonts w:ascii="Arial" w:cs="Arial" w:eastAsia="Arial" w:hAnsi="Arial"/>
                <w:sz w:val="11"/>
                <w:szCs w:val="11"/>
                <w:color w:val="auto"/>
              </w:rPr>
              <w:t>Long-term debt:</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420" w:type="dxa"/>
            <w:vAlign w:val="bottom"/>
            <w:gridSpan w:val="2"/>
          </w:tcPr>
          <w:p>
            <w:pPr>
              <w:ind w:left="100"/>
              <w:spacing w:after="0"/>
              <w:rPr>
                <w:sz w:val="20"/>
                <w:szCs w:val="20"/>
                <w:color w:val="auto"/>
              </w:rPr>
            </w:pPr>
            <w:r>
              <w:rPr>
                <w:rFonts w:ascii="Arial" w:cs="Arial" w:eastAsia="Arial" w:hAnsi="Arial"/>
                <w:sz w:val="11"/>
                <w:szCs w:val="11"/>
                <w:color w:val="auto"/>
              </w:rPr>
              <w:t>Of Fannie Mae</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(270)</w:t>
            </w:r>
          </w:p>
        </w:tc>
        <w:tc>
          <w:tcPr>
            <w:tcW w:w="80" w:type="dxa"/>
            <w:vAlign w:val="bottom"/>
          </w:tcPr>
          <w:p>
            <w:pPr>
              <w:spacing w:after="0"/>
              <w:rPr>
                <w:sz w:val="14"/>
                <w:szCs w:val="14"/>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380" w:type="dxa"/>
            <w:vAlign w:val="bottom"/>
          </w:tcPr>
          <w:p>
            <w:pPr>
              <w:jc w:val="right"/>
              <w:spacing w:after="0"/>
              <w:rPr>
                <w:sz w:val="20"/>
                <w:szCs w:val="20"/>
                <w:color w:val="auto"/>
              </w:rPr>
            </w:pPr>
            <w:r>
              <w:rPr>
                <w:rFonts w:ascii="Arial" w:cs="Arial" w:eastAsia="Arial" w:hAnsi="Arial"/>
                <w:sz w:val="11"/>
                <w:szCs w:val="11"/>
                <w:color w:val="auto"/>
              </w:rPr>
              <w:t>(14)</w:t>
            </w:r>
          </w:p>
        </w:tc>
        <w:tc>
          <w:tcPr>
            <w:tcW w:w="340" w:type="dxa"/>
            <w:vAlign w:val="bottom"/>
          </w:tcPr>
          <w:p>
            <w:pPr>
              <w:spacing w:after="0"/>
              <w:rPr>
                <w:sz w:val="20"/>
                <w:szCs w:val="20"/>
                <w:color w:val="auto"/>
              </w:rPr>
            </w:pPr>
            <w:r>
              <w:rPr>
                <w:rFonts w:ascii="Arial" w:cs="Arial" w:eastAsia="Arial" w:hAnsi="Arial"/>
                <w:sz w:val="7"/>
                <w:szCs w:val="7"/>
                <w:color w:val="auto"/>
              </w:rPr>
              <w:t>(5)</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ind w:lef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(284)</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(14)</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1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96"/>
        </w:trPr>
        <w:tc>
          <w:tcPr>
            <w:tcW w:w="1340" w:type="dxa"/>
            <w:vAlign w:val="bottom"/>
          </w:tcPr>
          <w:p>
            <w:pPr>
              <w:ind w:left="100"/>
              <w:spacing w:after="0"/>
              <w:rPr>
                <w:sz w:val="20"/>
                <w:szCs w:val="20"/>
                <w:color w:val="auto"/>
              </w:rPr>
            </w:pPr>
            <w:r>
              <w:rPr>
                <w:rFonts w:ascii="Arial" w:cs="Arial" w:eastAsia="Arial" w:hAnsi="Arial"/>
                <w:sz w:val="11"/>
                <w:szCs w:val="11"/>
                <w:color w:val="auto"/>
              </w:rPr>
              <w:t>Of consolidated trusts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(110)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ind w:right="126"/>
              <w:spacing w:after="0" w:line="197" w:lineRule="exact"/>
              <w:rPr>
                <w:sz w:val="20"/>
                <w:szCs w:val="20"/>
                <w:color w:val="auto"/>
              </w:rPr>
            </w:pPr>
            <w:r>
              <w:rPr>
                <w:rFonts w:ascii="Arial" w:cs="Arial" w:eastAsia="Arial" w:hAnsi="Arial"/>
                <w:sz w:val="22"/>
                <w:szCs w:val="22"/>
                <w:color w:val="auto"/>
                <w:vertAlign w:val="subscript"/>
              </w:rPr>
              <w:t>(4)</w:t>
            </w:r>
            <w:r>
              <w:rPr>
                <w:rFonts w:ascii="Arial" w:cs="Arial" w:eastAsia="Arial" w:hAnsi="Arial"/>
                <w:sz w:val="7"/>
                <w:szCs w:val="7"/>
                <w:color w:val="auto"/>
              </w:rPr>
              <w:t xml:space="preserve"> (5)(6)</w:t>
            </w:r>
          </w:p>
        </w:tc>
        <w:tc>
          <w:tcPr>
            <w:tcW w:w="8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76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7"/>
                <w:szCs w:val="17"/>
                <w:color w:val="auto"/>
              </w:rPr>
            </w:pPr>
          </w:p>
        </w:tc>
        <w:tc>
          <w:tcPr>
            <w:tcW w:w="52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7"/>
                <w:szCs w:val="17"/>
                <w:color w:val="auto"/>
              </w:rPr>
            </w:pPr>
          </w:p>
        </w:tc>
        <w:tc>
          <w:tcPr>
            <w:tcW w:w="56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(110)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ind w:right="1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6"/>
        </w:trPr>
        <w:tc>
          <w:tcPr>
            <w:tcW w:w="1340" w:type="dxa"/>
            <w:vAlign w:val="bottom"/>
            <w:tcBorders>
              <w:top w:val="single" w:sz="8" w:color="2C6937"/>
              <w:bottom w:val="single" w:sz="8" w:color="2C6937"/>
            </w:tcBorders>
          </w:tcPr>
          <w:p>
            <w:pPr>
              <w:ind w:left="20"/>
              <w:spacing w:after="0"/>
              <w:rPr>
                <w:sz w:val="20"/>
                <w:szCs w:val="20"/>
                <w:color w:val="auto"/>
              </w:rPr>
            </w:pPr>
            <w:r>
              <w:rPr>
                <w:rFonts w:ascii="Arial" w:cs="Arial" w:eastAsia="Arial" w:hAnsi="Arial"/>
                <w:sz w:val="11"/>
                <w:szCs w:val="11"/>
                <w:color w:val="auto"/>
              </w:rPr>
              <w:t>Total long-term debt</w:t>
            </w:r>
          </w:p>
        </w:tc>
        <w:tc>
          <w:tcPr>
            <w:tcW w:w="80" w:type="dxa"/>
            <w:vAlign w:val="bottom"/>
          </w:tcPr>
          <w:p>
            <w:pPr>
              <w:spacing w:after="0"/>
              <w:rPr>
                <w:sz w:val="14"/>
                <w:szCs w:val="14"/>
                <w:color w:val="auto"/>
              </w:rPr>
            </w:pPr>
          </w:p>
        </w:tc>
        <w:tc>
          <w:tcPr>
            <w:tcW w:w="200" w:type="dxa"/>
            <w:vAlign w:val="bottom"/>
            <w:tcBorders>
              <w:top w:val="single" w:sz="8" w:color="2C6937"/>
              <w:bottom w:val="single" w:sz="8" w:color="2C6937"/>
            </w:tcBorders>
          </w:tcPr>
          <w:p>
            <w:pPr>
              <w:jc w:val="right"/>
              <w:ind w:right="66"/>
              <w:spacing w:after="0"/>
              <w:rPr>
                <w:sz w:val="20"/>
                <w:szCs w:val="20"/>
                <w:color w:val="auto"/>
              </w:rPr>
            </w:pPr>
            <w:r>
              <w:rPr>
                <w:rFonts w:ascii="Arial" w:cs="Arial" w:eastAsia="Arial" w:hAnsi="Arial"/>
                <w:sz w:val="11"/>
                <w:szCs w:val="11"/>
                <w:color w:val="auto"/>
                <w:w w:val="97"/>
              </w:rPr>
              <w:t>$</w:t>
            </w:r>
          </w:p>
        </w:tc>
        <w:tc>
          <w:tcPr>
            <w:tcW w:w="6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1"/>
                <w:szCs w:val="11"/>
                <w:color w:val="auto"/>
              </w:rPr>
              <w:t>(380)</w:t>
            </w:r>
          </w:p>
        </w:tc>
        <w:tc>
          <w:tcPr>
            <w:tcW w:w="80" w:type="dxa"/>
            <w:vAlign w:val="bottom"/>
          </w:tcPr>
          <w:p>
            <w:pPr>
              <w:spacing w:after="0"/>
              <w:rPr>
                <w:sz w:val="14"/>
                <w:szCs w:val="14"/>
                <w:color w:val="auto"/>
              </w:rPr>
            </w:pPr>
          </w:p>
        </w:tc>
        <w:tc>
          <w:tcPr>
            <w:tcW w:w="200" w:type="dxa"/>
            <w:vAlign w:val="bottom"/>
            <w:tcBorders>
              <w:top w:val="single" w:sz="8" w:color="2C6937"/>
              <w:bottom w:val="single" w:sz="8" w:color="2C6937"/>
            </w:tcBorders>
          </w:tcPr>
          <w:p>
            <w:pPr>
              <w:jc w:val="right"/>
              <w:ind w:right="67"/>
              <w:spacing w:after="0"/>
              <w:rPr>
                <w:sz w:val="20"/>
                <w:szCs w:val="20"/>
                <w:color w:val="auto"/>
              </w:rPr>
            </w:pPr>
            <w:r>
              <w:rPr>
                <w:rFonts w:ascii="Arial" w:cs="Arial" w:eastAsia="Arial" w:hAnsi="Arial"/>
                <w:sz w:val="11"/>
                <w:szCs w:val="11"/>
                <w:color w:val="auto"/>
                <w:w w:val="97"/>
              </w:rPr>
              <w:t>$</w:t>
            </w:r>
          </w:p>
        </w:tc>
        <w:tc>
          <w:tcPr>
            <w:tcW w:w="3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1"/>
                <w:szCs w:val="11"/>
                <w:color w:val="auto"/>
              </w:rPr>
              <w:t>(18)</w:t>
            </w:r>
          </w:p>
        </w:tc>
        <w:tc>
          <w:tcPr>
            <w:tcW w:w="340" w:type="dxa"/>
            <w:vAlign w:val="bottom"/>
          </w:tcPr>
          <w:p>
            <w:pPr>
              <w:spacing w:after="0"/>
              <w:rPr>
                <w:sz w:val="14"/>
                <w:szCs w:val="14"/>
                <w:color w:val="auto"/>
              </w:rPr>
            </w:pPr>
          </w:p>
        </w:tc>
        <w:tc>
          <w:tcPr>
            <w:tcW w:w="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2C6937"/>
              <w:bottom w:val="single" w:sz="8" w:color="2C6937"/>
            </w:tcBorders>
          </w:tcPr>
          <w:p>
            <w:pPr>
              <w:jc w:val="right"/>
              <w:ind w:right="7"/>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2C6937"/>
              <w:bottom w:val="single" w:sz="8" w:color="2C6937"/>
            </w:tcBorders>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Borders>
              <w:top w:val="single" w:sz="8" w:color="2C6937"/>
              <w:bottom w:val="single" w:sz="8" w:color="2C6937"/>
            </w:tcBorders>
          </w:tcPr>
          <w:p>
            <w:pPr>
              <w:ind w:lef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2C6937"/>
              <w:bottom w:val="single" w:sz="8" w:color="2C6937"/>
            </w:tcBorders>
          </w:tcPr>
          <w:p>
            <w:pPr>
              <w:ind w:left="3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4"/>
                <w:szCs w:val="14"/>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top w:val="single" w:sz="8" w:color="2C6937"/>
              <w:bottom w:val="single" w:sz="8" w:color="2C6937"/>
            </w:tcBorders>
          </w:tcPr>
          <w:p>
            <w:pPr>
              <w:ind w:left="3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20" w:type="dxa"/>
            <w:vAlign w:val="bottom"/>
            <w:tcBorders>
              <w:top w:val="single" w:sz="8" w:color="2C6937"/>
              <w:bottom w:val="single" w:sz="8" w:color="2C6937"/>
            </w:tcBorders>
          </w:tcPr>
          <w:p>
            <w:pPr>
              <w:spacing w:after="0"/>
              <w:rPr>
                <w:sz w:val="20"/>
                <w:szCs w:val="20"/>
                <w:color w:val="auto"/>
              </w:rPr>
            </w:pPr>
            <w:r>
              <w:rPr>
                <w:rFonts w:ascii="Arial" w:cs="Arial" w:eastAsia="Arial" w:hAnsi="Arial"/>
                <w:sz w:val="11"/>
                <w:szCs w:val="11"/>
                <w:color w:val="auto"/>
              </w:rPr>
              <w:t>$</w:t>
            </w:r>
          </w:p>
        </w:tc>
        <w:tc>
          <w:tcPr>
            <w:tcW w:w="5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4"/>
                <w:szCs w:val="14"/>
                <w:color w:val="auto"/>
              </w:rPr>
            </w:pPr>
          </w:p>
        </w:tc>
        <w:tc>
          <w:tcPr>
            <w:tcW w:w="160" w:type="dxa"/>
            <w:vAlign w:val="bottom"/>
            <w:tcBorders>
              <w:top w:val="single" w:sz="8" w:color="2C6937"/>
              <w:bottom w:val="single" w:sz="8" w:color="2C6937"/>
            </w:tcBorders>
          </w:tcPr>
          <w:p>
            <w:pPr>
              <w:ind w:left="20"/>
              <w:spacing w:after="0"/>
              <w:rPr>
                <w:sz w:val="20"/>
                <w:szCs w:val="20"/>
                <w:color w:val="auto"/>
              </w:rPr>
            </w:pPr>
            <w:r>
              <w:rPr>
                <w:rFonts w:ascii="Arial" w:cs="Arial" w:eastAsia="Arial" w:hAnsi="Arial"/>
                <w:sz w:val="11"/>
                <w:szCs w:val="11"/>
                <w:color w:val="auto"/>
              </w:rPr>
              <w:t>$</w:t>
            </w:r>
          </w:p>
        </w:tc>
        <w:tc>
          <w:tcPr>
            <w:tcW w:w="6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1"/>
                <w:szCs w:val="11"/>
                <w:color w:val="auto"/>
              </w:rPr>
              <w:t>(394)</w:t>
            </w:r>
          </w:p>
        </w:tc>
        <w:tc>
          <w:tcPr>
            <w:tcW w:w="100" w:type="dxa"/>
            <w:vAlign w:val="bottom"/>
          </w:tcPr>
          <w:p>
            <w:pPr>
              <w:spacing w:after="0"/>
              <w:rPr>
                <w:sz w:val="14"/>
                <w:szCs w:val="14"/>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1"/>
                <w:szCs w:val="11"/>
                <w:color w:val="auto"/>
              </w:rPr>
              <w:t>(17)</w:t>
            </w:r>
          </w:p>
        </w:tc>
        <w:tc>
          <w:tcPr>
            <w:tcW w:w="80" w:type="dxa"/>
            <w:vAlign w:val="bottom"/>
          </w:tcPr>
          <w:p>
            <w:pPr>
              <w:spacing w:after="0"/>
              <w:rPr>
                <w:sz w:val="14"/>
                <w:szCs w:val="14"/>
                <w:color w:val="auto"/>
              </w:rPr>
            </w:pPr>
          </w:p>
        </w:tc>
        <w:tc>
          <w:tcPr>
            <w:tcW w:w="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6"/>
        </w:trPr>
        <w:tc>
          <w:tcPr>
            <w:tcW w:w="134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62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380" w:type="dxa"/>
            <w:vAlign w:val="bottom"/>
            <w:tcBorders>
              <w:bottom w:val="single" w:sz="8" w:color="2C6937"/>
            </w:tcBorders>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4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42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48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72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52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2C6937"/>
            </w:tcBorders>
          </w:tcPr>
          <w:p>
            <w:pPr>
              <w:spacing w:after="0"/>
              <w:rPr>
                <w:sz w:val="2"/>
                <w:szCs w:val="2"/>
                <w:color w:val="auto"/>
              </w:rPr>
            </w:pPr>
          </w:p>
        </w:tc>
        <w:tc>
          <w:tcPr>
            <w:tcW w:w="6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800" w:type="dxa"/>
            <w:vAlign w:val="bottom"/>
            <w:tcBorders>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916940</wp:posOffset>
            </wp:positionV>
            <wp:extent cx="680593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48" w:right="379" w:bottom="1440" w:gutter="0" w:footer="0" w:header="0"/>
        </w:sectPr>
      </w:pPr>
    </w:p>
    <w:bookmarkStart w:id="112" w:name="page113"/>
    <w:bookmarkEnd w:id="112"/>
    <w:p>
      <w:pPr>
        <w:jc w:val="right"/>
        <w:ind w:right="100"/>
        <w:spacing w:after="0"/>
        <w:rPr>
          <w:sz w:val="20"/>
          <w:szCs w:val="20"/>
          <w:color w:val="auto"/>
        </w:rPr>
      </w:pPr>
      <w:r>
        <w:rPr>
          <w:rFonts w:ascii="Arial" w:cs="Arial" w:eastAsia="Arial" w:hAnsi="Arial"/>
          <w:sz w:val="14"/>
          <w:szCs w:val="14"/>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17145</wp:posOffset>
            </wp:positionV>
            <wp:extent cx="701548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1420"/>
        <w:spacing w:after="0"/>
        <w:rPr>
          <w:sz w:val="20"/>
          <w:szCs w:val="20"/>
          <w:color w:val="auto"/>
        </w:rPr>
      </w:pPr>
      <w:r>
        <w:rPr>
          <w:rFonts w:ascii="Arial" w:cs="Arial" w:eastAsia="Arial" w:hAnsi="Arial"/>
          <w:sz w:val="13"/>
          <w:szCs w:val="13"/>
          <w:b w:val="1"/>
          <w:bCs w:val="1"/>
          <w:color w:val="auto"/>
        </w:rPr>
        <w:t>Fair Value Measurements Using Significant Unobservable Inputs (Level 3)</w:t>
      </w:r>
    </w:p>
    <w:p>
      <w:pPr>
        <w:spacing w:after="0" w:line="57" w:lineRule="exact"/>
        <w:rPr>
          <w:sz w:val="20"/>
          <w:szCs w:val="20"/>
          <w:color w:val="auto"/>
        </w:rPr>
      </w:pPr>
    </w:p>
    <w:p>
      <w:pPr>
        <w:jc w:val="center"/>
        <w:ind w:left="1420"/>
        <w:spacing w:after="0"/>
        <w:rPr>
          <w:sz w:val="20"/>
          <w:szCs w:val="20"/>
          <w:color w:val="auto"/>
        </w:rPr>
      </w:pPr>
      <w:r>
        <w:rPr>
          <w:rFonts w:ascii="Arial" w:cs="Arial" w:eastAsia="Arial" w:hAnsi="Arial"/>
          <w:sz w:val="14"/>
          <w:szCs w:val="14"/>
          <w:b w:val="1"/>
          <w:bCs w:val="1"/>
          <w:color w:val="auto"/>
        </w:rPr>
        <w:t>For the Nine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18415</wp:posOffset>
            </wp:positionV>
            <wp:extent cx="620522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205220" cy="8255"/>
                    </a:xfrm>
                    <a:prstGeom prst="rect">
                      <a:avLst/>
                    </a:prstGeom>
                    <a:noFill/>
                  </pic:spPr>
                </pic:pic>
              </a:graphicData>
            </a:graphic>
          </wp:anchor>
        </w:drawing>
      </w:r>
    </w:p>
    <w:p>
      <w:pPr>
        <w:sectPr>
          <w:pgSz w:w="11900" w:h="16838" w:orient="portrait"/>
          <w:cols w:equalWidth="0" w:num="1">
            <w:col w:w="11220"/>
          </w:cols>
          <w:pgMar w:left="340" w:top="2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
        <w:spacing w:after="0"/>
        <w:rPr>
          <w:sz w:val="20"/>
          <w:szCs w:val="20"/>
          <w:color w:val="auto"/>
        </w:rPr>
      </w:pPr>
      <w:r>
        <w:rPr>
          <w:rFonts w:ascii="Arial" w:cs="Arial" w:eastAsia="Arial" w:hAnsi="Arial"/>
          <w:sz w:val="11"/>
          <w:szCs w:val="11"/>
          <w:color w:val="auto"/>
        </w:rPr>
        <w:t>Trading securities:</w:t>
      </w:r>
    </w:p>
    <w:p>
      <w:pPr>
        <w:spacing w:after="0" w:line="54" w:lineRule="exact"/>
        <w:rPr>
          <w:sz w:val="20"/>
          <w:szCs w:val="20"/>
          <w:color w:val="auto"/>
        </w:rPr>
      </w:pPr>
    </w:p>
    <w:p>
      <w:pPr>
        <w:ind w:left="60"/>
        <w:spacing w:after="0"/>
        <w:rPr>
          <w:sz w:val="20"/>
          <w:szCs w:val="20"/>
          <w:color w:val="auto"/>
        </w:rPr>
      </w:pPr>
      <w:r>
        <w:rPr>
          <w:rFonts w:ascii="Arial" w:cs="Arial" w:eastAsia="Arial" w:hAnsi="Arial"/>
          <w:sz w:val="11"/>
          <w:szCs w:val="11"/>
          <w:color w:val="auto"/>
        </w:rPr>
        <w:t>Mortgage-related</w:t>
      </w:r>
    </w:p>
    <w:p>
      <w:pPr>
        <w:spacing w:after="0" w:line="196" w:lineRule="exact"/>
        <w:rPr>
          <w:sz w:val="20"/>
          <w:szCs w:val="20"/>
          <w:color w:val="auto"/>
        </w:rPr>
      </w:pPr>
    </w:p>
    <w:p>
      <w:pPr>
        <w:ind w:left="140" w:right="340" w:hanging="115"/>
        <w:spacing w:after="0" w:line="283" w:lineRule="auto"/>
        <w:rPr>
          <w:sz w:val="20"/>
          <w:szCs w:val="20"/>
          <w:color w:val="auto"/>
        </w:rPr>
      </w:pPr>
      <w:r>
        <w:rPr>
          <w:rFonts w:ascii="Arial" w:cs="Arial" w:eastAsia="Arial" w:hAnsi="Arial"/>
          <w:sz w:val="11"/>
          <w:szCs w:val="11"/>
          <w:color w:val="auto"/>
        </w:rPr>
        <w:t>Available-for-sale securities:</w:t>
      </w:r>
    </w:p>
    <w:p>
      <w:pPr>
        <w:spacing w:after="0" w:line="11" w:lineRule="exact"/>
        <w:rPr>
          <w:sz w:val="20"/>
          <w:szCs w:val="20"/>
          <w:color w:val="auto"/>
        </w:rPr>
      </w:pPr>
    </w:p>
    <w:p>
      <w:pPr>
        <w:ind w:left="60"/>
        <w:spacing w:after="0"/>
        <w:rPr>
          <w:sz w:val="20"/>
          <w:szCs w:val="20"/>
          <w:color w:val="auto"/>
        </w:rPr>
      </w:pPr>
      <w:r>
        <w:rPr>
          <w:rFonts w:ascii="Arial" w:cs="Arial" w:eastAsia="Arial" w:hAnsi="Arial"/>
          <w:sz w:val="11"/>
          <w:szCs w:val="11"/>
          <w:color w:val="auto"/>
        </w:rPr>
        <w:t>Agency</w:t>
      </w:r>
    </w:p>
    <w:p>
      <w:pPr>
        <w:spacing w:after="0" w:line="41" w:lineRule="exact"/>
        <w:rPr>
          <w:sz w:val="20"/>
          <w:szCs w:val="20"/>
          <w:color w:val="auto"/>
        </w:rPr>
      </w:pPr>
    </w:p>
    <w:p>
      <w:pPr>
        <w:ind w:left="60"/>
        <w:spacing w:after="0"/>
        <w:rPr>
          <w:sz w:val="20"/>
          <w:szCs w:val="20"/>
          <w:color w:val="auto"/>
        </w:rPr>
      </w:pPr>
      <w:r>
        <w:rPr>
          <w:rFonts w:ascii="Arial" w:cs="Arial" w:eastAsia="Arial" w:hAnsi="Arial"/>
          <w:sz w:val="11"/>
          <w:szCs w:val="11"/>
          <w:color w:val="auto"/>
        </w:rPr>
        <w:t>Other mortgage-related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22860</wp:posOffset>
            </wp:positionV>
            <wp:extent cx="85153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51535" cy="8255"/>
                    </a:xfrm>
                    <a:prstGeom prst="rect">
                      <a:avLst/>
                    </a:prstGeom>
                    <a:noFill/>
                  </pic:spPr>
                </pic:pic>
              </a:graphicData>
            </a:graphic>
          </wp:anchor>
        </w:drawing>
      </w:r>
    </w:p>
    <w:p>
      <w:pPr>
        <w:spacing w:after="0" w:line="47" w:lineRule="exact"/>
        <w:rPr>
          <w:sz w:val="20"/>
          <w:szCs w:val="20"/>
          <w:color w:val="auto"/>
        </w:rPr>
      </w:pPr>
    </w:p>
    <w:p>
      <w:pPr>
        <w:ind w:left="140" w:right="80" w:hanging="115"/>
        <w:spacing w:after="0" w:line="283" w:lineRule="auto"/>
        <w:rPr>
          <w:sz w:val="20"/>
          <w:szCs w:val="20"/>
          <w:color w:val="auto"/>
        </w:rPr>
      </w:pPr>
      <w:r>
        <w:rPr>
          <w:rFonts w:ascii="Arial" w:cs="Arial" w:eastAsia="Arial" w:hAnsi="Arial"/>
          <w:sz w:val="11"/>
          <w:szCs w:val="11"/>
          <w:color w:val="auto"/>
        </w:rPr>
        <w:t>Total available-for-sale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85153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5153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28575</wp:posOffset>
            </wp:positionV>
            <wp:extent cx="85153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51535" cy="8255"/>
                    </a:xfrm>
                    <a:prstGeom prst="rect">
                      <a:avLst/>
                    </a:prstGeom>
                    <a:noFill/>
                  </pic:spPr>
                </pic:pic>
              </a:graphicData>
            </a:graphic>
          </wp:anchor>
        </w:drawing>
      </w:r>
    </w:p>
    <w:p>
      <w:pPr>
        <w:spacing w:after="0" w:line="172" w:lineRule="exact"/>
        <w:rPr>
          <w:sz w:val="20"/>
          <w:szCs w:val="20"/>
          <w:color w:val="auto"/>
        </w:rPr>
      </w:pPr>
    </w:p>
    <w:p>
      <w:pPr>
        <w:ind w:left="20"/>
        <w:spacing w:after="0"/>
        <w:rPr>
          <w:sz w:val="20"/>
          <w:szCs w:val="20"/>
          <w:color w:val="auto"/>
        </w:rPr>
      </w:pPr>
      <w:r>
        <w:rPr>
          <w:rFonts w:ascii="Arial" w:cs="Arial" w:eastAsia="Arial" w:hAnsi="Arial"/>
          <w:sz w:val="11"/>
          <w:szCs w:val="11"/>
          <w:color w:val="auto"/>
        </w:rPr>
        <w:t>Mortgage loans</w:t>
      </w:r>
    </w:p>
    <w:p>
      <w:pPr>
        <w:spacing w:after="0" w:line="196" w:lineRule="exact"/>
        <w:rPr>
          <w:sz w:val="20"/>
          <w:szCs w:val="20"/>
          <w:color w:val="auto"/>
        </w:rPr>
      </w:pPr>
    </w:p>
    <w:p>
      <w:pPr>
        <w:ind w:left="20"/>
        <w:spacing w:after="0"/>
        <w:rPr>
          <w:sz w:val="20"/>
          <w:szCs w:val="20"/>
          <w:color w:val="auto"/>
        </w:rPr>
      </w:pPr>
      <w:r>
        <w:rPr>
          <w:rFonts w:ascii="Arial" w:cs="Arial" w:eastAsia="Arial" w:hAnsi="Arial"/>
          <w:sz w:val="11"/>
          <w:szCs w:val="11"/>
          <w:color w:val="auto"/>
        </w:rPr>
        <w:t>Net derivatives</w:t>
      </w:r>
    </w:p>
    <w:p>
      <w:pPr>
        <w:spacing w:after="0" w:line="183" w:lineRule="exact"/>
        <w:rPr>
          <w:sz w:val="20"/>
          <w:szCs w:val="20"/>
          <w:color w:val="auto"/>
        </w:rPr>
      </w:pPr>
    </w:p>
    <w:p>
      <w:pPr>
        <w:jc w:val="right"/>
        <w:ind w:left="20" w:right="380"/>
        <w:spacing w:after="0" w:line="330" w:lineRule="auto"/>
        <w:rPr>
          <w:sz w:val="20"/>
          <w:szCs w:val="20"/>
          <w:color w:val="auto"/>
        </w:rPr>
      </w:pPr>
      <w:r>
        <w:rPr>
          <w:rFonts w:ascii="Arial" w:cs="Arial" w:eastAsia="Arial" w:hAnsi="Arial"/>
          <w:sz w:val="11"/>
          <w:szCs w:val="11"/>
          <w:color w:val="auto"/>
        </w:rPr>
        <w:t>Long-term debt: Of Fannie Mae</w:t>
      </w:r>
    </w:p>
    <w:p>
      <w:pPr>
        <w:ind w:left="20" w:right="40" w:firstLine="77"/>
        <w:spacing w:after="0" w:line="405" w:lineRule="auto"/>
        <w:rPr>
          <w:sz w:val="20"/>
          <w:szCs w:val="20"/>
          <w:color w:val="auto"/>
        </w:rPr>
      </w:pPr>
      <w:r>
        <w:rPr>
          <w:rFonts w:ascii="Arial" w:cs="Arial" w:eastAsia="Arial" w:hAnsi="Arial"/>
          <w:sz w:val="11"/>
          <w:szCs w:val="11"/>
          <w:color w:val="auto"/>
        </w:rPr>
        <w:t>Of consolidated trusts Total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-44450</wp:posOffset>
            </wp:positionV>
            <wp:extent cx="85153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5153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-19685</wp:posOffset>
            </wp:positionV>
            <wp:extent cx="85153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5153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-167005</wp:posOffset>
            </wp:positionV>
            <wp:extent cx="85153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515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3"/>
        </w:trPr>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5"/>
              </w:rPr>
              <w:t>Net Unrealized</w:t>
            </w:r>
          </w:p>
        </w:tc>
        <w:tc>
          <w:tcPr>
            <w:tcW w:w="60" w:type="dxa"/>
            <w:vAlign w:val="bottom"/>
          </w:tcPr>
          <w:p>
            <w:pPr>
              <w:spacing w:after="0"/>
              <w:rPr>
                <w:sz w:val="8"/>
                <w:szCs w:val="8"/>
                <w:color w:val="auto"/>
              </w:rPr>
            </w:pPr>
          </w:p>
        </w:tc>
        <w:tc>
          <w:tcPr>
            <w:tcW w:w="820" w:type="dxa"/>
            <w:vAlign w:val="bottom"/>
          </w:tcPr>
          <w:p>
            <w:pPr>
              <w:jc w:val="center"/>
              <w:ind w:right="50"/>
              <w:spacing w:after="0"/>
              <w:rPr>
                <w:sz w:val="20"/>
                <w:szCs w:val="20"/>
                <w:color w:val="auto"/>
              </w:rPr>
            </w:pPr>
            <w:r>
              <w:rPr>
                <w:rFonts w:ascii="Arial" w:cs="Arial" w:eastAsia="Arial" w:hAnsi="Arial"/>
                <w:sz w:val="9"/>
                <w:szCs w:val="9"/>
                <w:b w:val="1"/>
                <w:bCs w:val="1"/>
                <w:color w:val="auto"/>
                <w:w w:val="95"/>
              </w:rPr>
              <w:t>Net Unrealized</w:t>
            </w:r>
          </w:p>
        </w:tc>
        <w:tc>
          <w:tcPr>
            <w:tcW w:w="0" w:type="dxa"/>
            <w:vAlign w:val="bottom"/>
          </w:tcPr>
          <w:p>
            <w:pPr>
              <w:spacing w:after="0"/>
              <w:rPr>
                <w:sz w:val="1"/>
                <w:szCs w:val="1"/>
                <w:color w:val="auto"/>
              </w:rPr>
            </w:pPr>
          </w:p>
        </w:tc>
      </w:tr>
      <w:tr>
        <w:trPr>
          <w:trHeight w:val="111"/>
        </w:trPr>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gridSpan w:val="5"/>
          </w:tcPr>
          <w:p>
            <w:pPr>
              <w:ind w:left="120"/>
              <w:spacing w:after="0"/>
              <w:rPr>
                <w:sz w:val="20"/>
                <w:szCs w:val="20"/>
                <w:color w:val="auto"/>
              </w:rPr>
            </w:pPr>
            <w:r>
              <w:rPr>
                <w:rFonts w:ascii="Arial" w:cs="Arial" w:eastAsia="Arial" w:hAnsi="Arial"/>
                <w:sz w:val="9"/>
                <w:szCs w:val="9"/>
                <w:b w:val="1"/>
                <w:bCs w:val="1"/>
                <w:color w:val="auto"/>
              </w:rPr>
              <w:t>Total Gains (Losses)</w:t>
            </w: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6"/>
              </w:rPr>
              <w:t>Gains (Losses)</w:t>
            </w:r>
          </w:p>
        </w:tc>
        <w:tc>
          <w:tcPr>
            <w:tcW w:w="60" w:type="dxa"/>
            <w:vAlign w:val="bottom"/>
          </w:tcPr>
          <w:p>
            <w:pPr>
              <w:spacing w:after="0"/>
              <w:rPr>
                <w:sz w:val="9"/>
                <w:szCs w:val="9"/>
                <w:color w:val="auto"/>
              </w:rPr>
            </w:pPr>
          </w:p>
        </w:tc>
        <w:tc>
          <w:tcPr>
            <w:tcW w:w="820" w:type="dxa"/>
            <w:vAlign w:val="bottom"/>
          </w:tcPr>
          <w:p>
            <w:pPr>
              <w:jc w:val="center"/>
              <w:ind w:right="30"/>
              <w:spacing w:after="0"/>
              <w:rPr>
                <w:sz w:val="20"/>
                <w:szCs w:val="20"/>
                <w:color w:val="auto"/>
              </w:rPr>
            </w:pPr>
            <w:r>
              <w:rPr>
                <w:rFonts w:ascii="Arial" w:cs="Arial" w:eastAsia="Arial" w:hAnsi="Arial"/>
                <w:sz w:val="9"/>
                <w:szCs w:val="9"/>
                <w:b w:val="1"/>
                <w:bCs w:val="1"/>
                <w:color w:val="auto"/>
                <w:w w:val="96"/>
              </w:rPr>
              <w:t>Gains (Losses)</w:t>
            </w:r>
          </w:p>
        </w:tc>
        <w:tc>
          <w:tcPr>
            <w:tcW w:w="0" w:type="dxa"/>
            <w:vAlign w:val="bottom"/>
          </w:tcPr>
          <w:p>
            <w:pPr>
              <w:spacing w:after="0"/>
              <w:rPr>
                <w:sz w:val="1"/>
                <w:szCs w:val="1"/>
                <w:color w:val="auto"/>
              </w:rPr>
            </w:pPr>
          </w:p>
        </w:tc>
      </w:tr>
      <w:tr>
        <w:trPr>
          <w:trHeight w:val="95"/>
        </w:trPr>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80" w:type="dxa"/>
            <w:vAlign w:val="bottom"/>
            <w:gridSpan w:val="5"/>
          </w:tcPr>
          <w:p>
            <w:pPr>
              <w:ind w:left="100"/>
              <w:spacing w:after="0" w:line="95" w:lineRule="exact"/>
              <w:rPr>
                <w:sz w:val="20"/>
                <w:szCs w:val="20"/>
                <w:color w:val="auto"/>
              </w:rPr>
            </w:pPr>
            <w:r>
              <w:rPr>
                <w:rFonts w:ascii="Arial" w:cs="Arial" w:eastAsia="Arial" w:hAnsi="Arial"/>
                <w:sz w:val="9"/>
                <w:szCs w:val="9"/>
                <w:b w:val="1"/>
                <w:bCs w:val="1"/>
                <w:color w:val="auto"/>
              </w:rPr>
              <w:t>(Realized/Unrealized)</w:t>
            </w: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tcPr>
          <w:p>
            <w:pPr>
              <w:jc w:val="center"/>
              <w:ind w:right="200"/>
              <w:spacing w:after="0" w:line="95" w:lineRule="exact"/>
              <w:rPr>
                <w:sz w:val="20"/>
                <w:szCs w:val="20"/>
                <w:color w:val="auto"/>
              </w:rPr>
            </w:pPr>
            <w:r>
              <w:rPr>
                <w:rFonts w:ascii="Arial" w:cs="Arial" w:eastAsia="Arial" w:hAnsi="Arial"/>
                <w:sz w:val="9"/>
                <w:szCs w:val="9"/>
                <w:b w:val="1"/>
                <w:bCs w:val="1"/>
                <w:color w:val="auto"/>
                <w:w w:val="96"/>
              </w:rPr>
              <w:t>Included in Net</w:t>
            </w:r>
          </w:p>
        </w:tc>
        <w:tc>
          <w:tcPr>
            <w:tcW w:w="60" w:type="dxa"/>
            <w:vAlign w:val="bottom"/>
          </w:tcPr>
          <w:p>
            <w:pPr>
              <w:spacing w:after="0"/>
              <w:rPr>
                <w:sz w:val="8"/>
                <w:szCs w:val="8"/>
                <w:color w:val="auto"/>
              </w:rPr>
            </w:pPr>
          </w:p>
        </w:tc>
        <w:tc>
          <w:tcPr>
            <w:tcW w:w="820" w:type="dxa"/>
            <w:vAlign w:val="bottom"/>
          </w:tcPr>
          <w:p>
            <w:pPr>
              <w:jc w:val="center"/>
              <w:ind w:right="30"/>
              <w:spacing w:after="0" w:line="95" w:lineRule="exact"/>
              <w:rPr>
                <w:sz w:val="20"/>
                <w:szCs w:val="20"/>
                <w:color w:val="auto"/>
              </w:rPr>
            </w:pPr>
            <w:r>
              <w:rPr>
                <w:rFonts w:ascii="Arial" w:cs="Arial" w:eastAsia="Arial" w:hAnsi="Arial"/>
                <w:sz w:val="9"/>
                <w:szCs w:val="9"/>
                <w:b w:val="1"/>
                <w:bCs w:val="1"/>
                <w:color w:val="auto"/>
                <w:w w:val="93"/>
              </w:rPr>
              <w:t>Included in OCI</w:t>
            </w:r>
          </w:p>
        </w:tc>
        <w:tc>
          <w:tcPr>
            <w:tcW w:w="0" w:type="dxa"/>
            <w:vAlign w:val="bottom"/>
          </w:tcPr>
          <w:p>
            <w:pPr>
              <w:spacing w:after="0"/>
              <w:rPr>
                <w:sz w:val="1"/>
                <w:szCs w:val="1"/>
                <w:color w:val="auto"/>
              </w:rPr>
            </w:pPr>
          </w:p>
        </w:tc>
      </w:tr>
      <w:tr>
        <w:trPr>
          <w:trHeight w:val="47"/>
        </w:trPr>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Borders>
              <w:bottom w:val="single" w:sz="8" w:color="2C6937"/>
            </w:tcBorders>
          </w:tcPr>
          <w:p>
            <w:pPr>
              <w:spacing w:after="0"/>
              <w:rPr>
                <w:sz w:val="4"/>
                <w:szCs w:val="4"/>
                <w:color w:val="auto"/>
              </w:rPr>
            </w:pPr>
          </w:p>
        </w:tc>
        <w:tc>
          <w:tcPr>
            <w:tcW w:w="360" w:type="dxa"/>
            <w:vAlign w:val="bottom"/>
            <w:tcBorders>
              <w:bottom w:val="single" w:sz="8" w:color="2C6937"/>
            </w:tcBorders>
          </w:tcPr>
          <w:p>
            <w:pPr>
              <w:spacing w:after="0"/>
              <w:rPr>
                <w:sz w:val="4"/>
                <w:szCs w:val="4"/>
                <w:color w:val="auto"/>
              </w:rPr>
            </w:pPr>
          </w:p>
        </w:tc>
        <w:tc>
          <w:tcPr>
            <w:tcW w:w="360" w:type="dxa"/>
            <w:vAlign w:val="bottom"/>
            <w:tcBorders>
              <w:bottom w:val="single" w:sz="8" w:color="2C6937"/>
            </w:tcBorders>
          </w:tcPr>
          <w:p>
            <w:pPr>
              <w:spacing w:after="0"/>
              <w:rPr>
                <w:sz w:val="4"/>
                <w:szCs w:val="4"/>
                <w:color w:val="auto"/>
              </w:rPr>
            </w:pPr>
          </w:p>
        </w:tc>
        <w:tc>
          <w:tcPr>
            <w:tcW w:w="80" w:type="dxa"/>
            <w:vAlign w:val="bottom"/>
            <w:tcBorders>
              <w:bottom w:val="single" w:sz="8" w:color="2C6937"/>
            </w:tcBorders>
          </w:tcPr>
          <w:p>
            <w:pPr>
              <w:spacing w:after="0"/>
              <w:rPr>
                <w:sz w:val="4"/>
                <w:szCs w:val="4"/>
                <w:color w:val="auto"/>
              </w:rPr>
            </w:pPr>
          </w:p>
        </w:tc>
        <w:tc>
          <w:tcPr>
            <w:tcW w:w="480" w:type="dxa"/>
            <w:vAlign w:val="bottom"/>
            <w:tcBorders>
              <w:bottom w:val="single" w:sz="8" w:color="2C6937"/>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gridSpan w:val="3"/>
            <w:vMerge w:val="restart"/>
          </w:tcPr>
          <w:p>
            <w:pPr>
              <w:jc w:val="center"/>
              <w:ind w:right="100"/>
              <w:spacing w:after="0"/>
              <w:rPr>
                <w:sz w:val="20"/>
                <w:szCs w:val="20"/>
                <w:color w:val="auto"/>
              </w:rPr>
            </w:pPr>
            <w:r>
              <w:rPr>
                <w:rFonts w:ascii="Arial" w:cs="Arial" w:eastAsia="Arial" w:hAnsi="Arial"/>
                <w:sz w:val="9"/>
                <w:szCs w:val="9"/>
                <w:b w:val="1"/>
                <w:bCs w:val="1"/>
                <w:color w:val="auto"/>
                <w:w w:val="95"/>
              </w:rPr>
              <w:t>Income Related to</w:t>
            </w:r>
          </w:p>
        </w:tc>
        <w:tc>
          <w:tcPr>
            <w:tcW w:w="60" w:type="dxa"/>
            <w:vAlign w:val="bottom"/>
          </w:tcPr>
          <w:p>
            <w:pPr>
              <w:spacing w:after="0"/>
              <w:rPr>
                <w:sz w:val="4"/>
                <w:szCs w:val="4"/>
                <w:color w:val="auto"/>
              </w:rPr>
            </w:pPr>
          </w:p>
        </w:tc>
        <w:tc>
          <w:tcPr>
            <w:tcW w:w="820" w:type="dxa"/>
            <w:vAlign w:val="bottom"/>
            <w:vMerge w:val="restart"/>
          </w:tcPr>
          <w:p>
            <w:pPr>
              <w:jc w:val="center"/>
              <w:ind w:right="50"/>
              <w:spacing w:after="0"/>
              <w:rPr>
                <w:sz w:val="20"/>
                <w:szCs w:val="20"/>
                <w:color w:val="auto"/>
              </w:rPr>
            </w:pPr>
            <w:r>
              <w:rPr>
                <w:rFonts w:ascii="Arial" w:cs="Arial" w:eastAsia="Arial" w:hAnsi="Arial"/>
                <w:sz w:val="9"/>
                <w:szCs w:val="9"/>
                <w:b w:val="1"/>
                <w:bCs w:val="1"/>
                <w:color w:val="auto"/>
                <w:w w:val="95"/>
              </w:rPr>
              <w:t>Related to Assets</w:t>
            </w:r>
          </w:p>
        </w:tc>
        <w:tc>
          <w:tcPr>
            <w:tcW w:w="0" w:type="dxa"/>
            <w:vAlign w:val="bottom"/>
          </w:tcPr>
          <w:p>
            <w:pPr>
              <w:spacing w:after="0"/>
              <w:rPr>
                <w:sz w:val="1"/>
                <w:szCs w:val="1"/>
                <w:color w:val="auto"/>
              </w:rPr>
            </w:pPr>
          </w:p>
        </w:tc>
      </w:tr>
      <w:tr>
        <w:trPr>
          <w:trHeight w:val="36"/>
        </w:trPr>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5"/>
              </w:rPr>
              <w:t>Assets and</w:t>
            </w:r>
          </w:p>
        </w:tc>
        <w:tc>
          <w:tcPr>
            <w:tcW w:w="880" w:type="dxa"/>
            <w:vAlign w:val="bottom"/>
            <w:gridSpan w:val="2"/>
          </w:tcPr>
          <w:p>
            <w:pPr>
              <w:jc w:val="center"/>
              <w:spacing w:after="0"/>
              <w:rPr>
                <w:sz w:val="20"/>
                <w:szCs w:val="20"/>
                <w:color w:val="auto"/>
              </w:rPr>
            </w:pPr>
            <w:r>
              <w:rPr>
                <w:rFonts w:ascii="Arial" w:cs="Arial" w:eastAsia="Arial" w:hAnsi="Arial"/>
                <w:sz w:val="9"/>
                <w:szCs w:val="9"/>
                <w:b w:val="1"/>
                <w:bCs w:val="1"/>
                <w:color w:val="auto"/>
                <w:w w:val="93"/>
              </w:rPr>
              <w:t>and Liabilities Still</w:t>
            </w:r>
          </w:p>
        </w:tc>
        <w:tc>
          <w:tcPr>
            <w:tcW w:w="0" w:type="dxa"/>
            <w:vAlign w:val="bottom"/>
          </w:tcPr>
          <w:p>
            <w:pPr>
              <w:spacing w:after="0"/>
              <w:rPr>
                <w:sz w:val="1"/>
                <w:szCs w:val="1"/>
                <w:color w:val="auto"/>
              </w:rPr>
            </w:pPr>
          </w:p>
        </w:tc>
      </w:tr>
      <w:tr>
        <w:trPr>
          <w:trHeight w:val="103"/>
        </w:trPr>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gridSpan w:val="3"/>
          </w:tcPr>
          <w:p>
            <w:pPr>
              <w:jc w:val="center"/>
              <w:ind w:right="120"/>
              <w:spacing w:after="0"/>
              <w:rPr>
                <w:sz w:val="20"/>
                <w:szCs w:val="20"/>
                <w:color w:val="auto"/>
              </w:rPr>
            </w:pPr>
            <w:r>
              <w:rPr>
                <w:rFonts w:ascii="Arial" w:cs="Arial" w:eastAsia="Arial" w:hAnsi="Arial"/>
                <w:sz w:val="9"/>
                <w:szCs w:val="9"/>
                <w:b w:val="1"/>
                <w:bCs w:val="1"/>
                <w:color w:val="auto"/>
                <w:w w:val="96"/>
              </w:rPr>
              <w:t>Included in</w:t>
            </w: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4"/>
              </w:rPr>
              <w:t>Liabilities Still Held</w:t>
            </w:r>
          </w:p>
        </w:tc>
        <w:tc>
          <w:tcPr>
            <w:tcW w:w="60" w:type="dxa"/>
            <w:vAlign w:val="bottom"/>
          </w:tcPr>
          <w:p>
            <w:pPr>
              <w:spacing w:after="0"/>
              <w:rPr>
                <w:sz w:val="8"/>
                <w:szCs w:val="8"/>
                <w:color w:val="auto"/>
              </w:rPr>
            </w:pPr>
          </w:p>
        </w:tc>
        <w:tc>
          <w:tcPr>
            <w:tcW w:w="820" w:type="dxa"/>
            <w:vAlign w:val="bottom"/>
          </w:tcPr>
          <w:p>
            <w:pPr>
              <w:jc w:val="center"/>
              <w:ind w:right="30"/>
              <w:spacing w:after="0"/>
              <w:rPr>
                <w:sz w:val="20"/>
                <w:szCs w:val="20"/>
                <w:color w:val="auto"/>
              </w:rPr>
            </w:pPr>
            <w:r>
              <w:rPr>
                <w:rFonts w:ascii="Arial" w:cs="Arial" w:eastAsia="Arial" w:hAnsi="Arial"/>
                <w:sz w:val="9"/>
                <w:szCs w:val="9"/>
                <w:b w:val="1"/>
                <w:bCs w:val="1"/>
                <w:color w:val="auto"/>
                <w:w w:val="97"/>
              </w:rPr>
              <w:t>Held as of</w:t>
            </w:r>
          </w:p>
        </w:tc>
        <w:tc>
          <w:tcPr>
            <w:tcW w:w="0" w:type="dxa"/>
            <w:vAlign w:val="bottom"/>
          </w:tcPr>
          <w:p>
            <w:pPr>
              <w:spacing w:after="0"/>
              <w:rPr>
                <w:sz w:val="1"/>
                <w:szCs w:val="1"/>
                <w:color w:val="auto"/>
              </w:rPr>
            </w:pPr>
          </w:p>
        </w:tc>
      </w:tr>
      <w:tr>
        <w:trPr>
          <w:trHeight w:val="103"/>
        </w:trPr>
        <w:tc>
          <w:tcPr>
            <w:tcW w:w="140" w:type="dxa"/>
            <w:vAlign w:val="bottom"/>
          </w:tcPr>
          <w:p>
            <w:pPr>
              <w:spacing w:after="0"/>
              <w:rPr>
                <w:sz w:val="8"/>
                <w:szCs w:val="8"/>
                <w:color w:val="auto"/>
              </w:rPr>
            </w:pP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Balance,</w:t>
            </w:r>
          </w:p>
        </w:tc>
        <w:tc>
          <w:tcPr>
            <w:tcW w:w="560" w:type="dxa"/>
            <w:vAlign w:val="bottom"/>
            <w:gridSpan w:val="2"/>
          </w:tcPr>
          <w:p>
            <w:pPr>
              <w:jc w:val="right"/>
              <w:ind w:right="11"/>
              <w:spacing w:after="0"/>
              <w:rPr>
                <w:sz w:val="20"/>
                <w:szCs w:val="20"/>
                <w:color w:val="auto"/>
              </w:rPr>
            </w:pPr>
            <w:r>
              <w:rPr>
                <w:rFonts w:ascii="Arial" w:cs="Arial" w:eastAsia="Arial" w:hAnsi="Arial"/>
                <w:sz w:val="9"/>
                <w:szCs w:val="9"/>
                <w:b w:val="1"/>
                <w:bCs w:val="1"/>
                <w:color w:val="auto"/>
              </w:rPr>
              <w:t>Included in</w:t>
            </w: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4"/>
              </w:rPr>
              <w:t>Total OCI</w:t>
            </w: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7"/>
              </w:rPr>
              <w:t>Transfers out</w:t>
            </w:r>
          </w:p>
        </w:tc>
        <w:tc>
          <w:tcPr>
            <w:tcW w:w="740" w:type="dxa"/>
            <w:vAlign w:val="bottom"/>
            <w:gridSpan w:val="3"/>
          </w:tcPr>
          <w:p>
            <w:pPr>
              <w:ind w:left="20"/>
              <w:spacing w:after="0"/>
              <w:rPr>
                <w:sz w:val="20"/>
                <w:szCs w:val="20"/>
                <w:color w:val="auto"/>
              </w:rPr>
            </w:pPr>
            <w:r>
              <w:rPr>
                <w:rFonts w:ascii="Arial" w:cs="Arial" w:eastAsia="Arial" w:hAnsi="Arial"/>
                <w:sz w:val="9"/>
                <w:szCs w:val="9"/>
                <w:b w:val="1"/>
                <w:bCs w:val="1"/>
                <w:color w:val="auto"/>
              </w:rPr>
              <w:t>Transfers into</w:t>
            </w:r>
          </w:p>
        </w:tc>
        <w:tc>
          <w:tcPr>
            <w:tcW w:w="140" w:type="dxa"/>
            <w:vAlign w:val="bottom"/>
          </w:tcPr>
          <w:p>
            <w:pPr>
              <w:spacing w:after="0"/>
              <w:rPr>
                <w:sz w:val="8"/>
                <w:szCs w:val="8"/>
                <w:color w:val="auto"/>
              </w:rPr>
            </w:pPr>
          </w:p>
        </w:tc>
        <w:tc>
          <w:tcPr>
            <w:tcW w:w="780" w:type="dxa"/>
            <w:vAlign w:val="bottom"/>
            <w:gridSpan w:val="2"/>
          </w:tcPr>
          <w:p>
            <w:pPr>
              <w:ind w:left="80"/>
              <w:spacing w:after="0"/>
              <w:rPr>
                <w:sz w:val="20"/>
                <w:szCs w:val="20"/>
                <w:color w:val="auto"/>
              </w:rPr>
            </w:pPr>
            <w:r>
              <w:rPr>
                <w:rFonts w:ascii="Arial" w:cs="Arial" w:eastAsia="Arial" w:hAnsi="Arial"/>
                <w:sz w:val="9"/>
                <w:szCs w:val="9"/>
                <w:b w:val="1"/>
                <w:bCs w:val="1"/>
                <w:color w:val="auto"/>
              </w:rPr>
              <w:t>Balance,</w:t>
            </w:r>
          </w:p>
        </w:tc>
        <w:tc>
          <w:tcPr>
            <w:tcW w:w="96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6"/>
              </w:rPr>
              <w:t>as of September 30,</w:t>
            </w:r>
          </w:p>
        </w:tc>
        <w:tc>
          <w:tcPr>
            <w:tcW w:w="60" w:type="dxa"/>
            <w:vAlign w:val="bottom"/>
          </w:tcPr>
          <w:p>
            <w:pPr>
              <w:spacing w:after="0"/>
              <w:rPr>
                <w:sz w:val="8"/>
                <w:szCs w:val="8"/>
                <w:color w:val="auto"/>
              </w:rPr>
            </w:pPr>
          </w:p>
        </w:tc>
        <w:tc>
          <w:tcPr>
            <w:tcW w:w="820" w:type="dxa"/>
            <w:vAlign w:val="bottom"/>
          </w:tcPr>
          <w:p>
            <w:pPr>
              <w:jc w:val="center"/>
              <w:ind w:right="30"/>
              <w:spacing w:after="0"/>
              <w:rPr>
                <w:sz w:val="20"/>
                <w:szCs w:val="20"/>
                <w:color w:val="auto"/>
              </w:rPr>
            </w:pPr>
            <w:r>
              <w:rPr>
                <w:rFonts w:ascii="Arial" w:cs="Arial" w:eastAsia="Arial" w:hAnsi="Arial"/>
                <w:sz w:val="9"/>
                <w:szCs w:val="9"/>
                <w:b w:val="1"/>
                <w:bCs w:val="1"/>
                <w:color w:val="auto"/>
                <w:w w:val="94"/>
              </w:rPr>
              <w:t>September 30,</w:t>
            </w:r>
          </w:p>
        </w:tc>
        <w:tc>
          <w:tcPr>
            <w:tcW w:w="0" w:type="dxa"/>
            <w:vAlign w:val="bottom"/>
          </w:tcPr>
          <w:p>
            <w:pPr>
              <w:spacing w:after="0"/>
              <w:rPr>
                <w:sz w:val="1"/>
                <w:szCs w:val="1"/>
                <w:color w:val="auto"/>
              </w:rPr>
            </w:pPr>
          </w:p>
        </w:tc>
      </w:tr>
      <w:tr>
        <w:trPr>
          <w:trHeight w:val="137"/>
        </w:trPr>
        <w:tc>
          <w:tcPr>
            <w:tcW w:w="900" w:type="dxa"/>
            <w:vAlign w:val="bottom"/>
            <w:tcBorders>
              <w:bottom w:val="single" w:sz="8" w:color="2C6937"/>
            </w:tcBorders>
            <w:gridSpan w:val="3"/>
          </w:tcPr>
          <w:p>
            <w:pPr>
              <w:ind w:left="20"/>
              <w:spacing w:after="0"/>
              <w:rPr>
                <w:sz w:val="20"/>
                <w:szCs w:val="20"/>
                <w:color w:val="auto"/>
              </w:rPr>
            </w:pPr>
            <w:r>
              <w:rPr>
                <w:rFonts w:ascii="Arial" w:cs="Arial" w:eastAsia="Arial" w:hAnsi="Arial"/>
                <w:sz w:val="9"/>
                <w:szCs w:val="9"/>
                <w:b w:val="1"/>
                <w:bCs w:val="1"/>
                <w:color w:val="auto"/>
              </w:rPr>
              <w:t>December 31, 2023</w:t>
            </w:r>
          </w:p>
        </w:tc>
        <w:tc>
          <w:tcPr>
            <w:tcW w:w="560" w:type="dxa"/>
            <w:vAlign w:val="bottom"/>
            <w:tcBorders>
              <w:bottom w:val="single" w:sz="8" w:color="2C6937"/>
            </w:tcBorders>
            <w:gridSpan w:val="2"/>
          </w:tcPr>
          <w:p>
            <w:pPr>
              <w:jc w:val="right"/>
              <w:spacing w:after="0"/>
              <w:rPr>
                <w:sz w:val="20"/>
                <w:szCs w:val="20"/>
                <w:color w:val="auto"/>
              </w:rPr>
            </w:pPr>
            <w:r>
              <w:rPr>
                <w:rFonts w:ascii="Arial" w:cs="Arial" w:eastAsia="Arial" w:hAnsi="Arial"/>
                <w:sz w:val="9"/>
                <w:szCs w:val="9"/>
                <w:b w:val="1"/>
                <w:bCs w:val="1"/>
                <w:color w:val="auto"/>
              </w:rPr>
              <w:t>Net Income</w:t>
            </w:r>
          </w:p>
        </w:tc>
        <w:tc>
          <w:tcPr>
            <w:tcW w:w="360" w:type="dxa"/>
            <w:vAlign w:val="bottom"/>
            <w:tcBorders>
              <w:bottom w:val="single" w:sz="8" w:color="2C6937"/>
            </w:tcBorders>
          </w:tcPr>
          <w:p>
            <w:pPr>
              <w:spacing w:after="0"/>
              <w:rPr>
                <w:sz w:val="11"/>
                <w:szCs w:val="11"/>
                <w:color w:val="auto"/>
              </w:rPr>
            </w:pPr>
          </w:p>
        </w:tc>
        <w:tc>
          <w:tcPr>
            <w:tcW w:w="80" w:type="dxa"/>
            <w:vAlign w:val="bottom"/>
            <w:tcBorders>
              <w:bottom w:val="single" w:sz="8" w:color="2C6937"/>
            </w:tcBorders>
          </w:tcPr>
          <w:p>
            <w:pPr>
              <w:spacing w:after="0"/>
              <w:rPr>
                <w:sz w:val="11"/>
                <w:szCs w:val="11"/>
                <w:color w:val="auto"/>
              </w:rPr>
            </w:pPr>
          </w:p>
        </w:tc>
        <w:tc>
          <w:tcPr>
            <w:tcW w:w="580" w:type="dxa"/>
            <w:vAlign w:val="bottom"/>
            <w:tcBorders>
              <w:bottom w:val="single" w:sz="8" w:color="2C6937"/>
            </w:tcBorders>
            <w:gridSpan w:val="2"/>
          </w:tcPr>
          <w:p>
            <w:pPr>
              <w:jc w:val="center"/>
              <w:ind w:right="180"/>
              <w:spacing w:after="0"/>
              <w:rPr>
                <w:sz w:val="20"/>
                <w:szCs w:val="20"/>
                <w:color w:val="auto"/>
              </w:rPr>
            </w:pPr>
            <w:r>
              <w:rPr>
                <w:rFonts w:ascii="Arial" w:cs="Arial" w:eastAsia="Arial" w:hAnsi="Arial"/>
                <w:sz w:val="9"/>
                <w:szCs w:val="9"/>
                <w:b w:val="1"/>
                <w:bCs w:val="1"/>
                <w:color w:val="auto"/>
                <w:w w:val="88"/>
              </w:rPr>
              <w:t>(Loss)</w:t>
            </w:r>
            <w:r>
              <w:rPr>
                <w:rFonts w:ascii="Arial" w:cs="Arial" w:eastAsia="Arial" w:hAnsi="Arial"/>
                <w:sz w:val="11"/>
                <w:szCs w:val="11"/>
                <w:b w:val="1"/>
                <w:bCs w:val="1"/>
                <w:color w:val="auto"/>
                <w:w w:val="88"/>
                <w:vertAlign w:val="superscript"/>
              </w:rPr>
              <w:t>(1)</w:t>
            </w:r>
          </w:p>
        </w:tc>
        <w:tc>
          <w:tcPr>
            <w:tcW w:w="100" w:type="dxa"/>
            <w:vAlign w:val="bottom"/>
            <w:tcBorders>
              <w:bottom w:val="single" w:sz="8" w:color="2C6937"/>
            </w:tcBorders>
          </w:tcPr>
          <w:p>
            <w:pPr>
              <w:spacing w:after="0"/>
              <w:rPr>
                <w:sz w:val="11"/>
                <w:szCs w:val="11"/>
                <w:color w:val="auto"/>
              </w:rPr>
            </w:pPr>
          </w:p>
        </w:tc>
        <w:tc>
          <w:tcPr>
            <w:tcW w:w="780" w:type="dxa"/>
            <w:vAlign w:val="bottom"/>
            <w:tcBorders>
              <w:bottom w:val="single" w:sz="8" w:color="2C6937"/>
            </w:tcBorders>
            <w:gridSpan w:val="2"/>
          </w:tcPr>
          <w:p>
            <w:pPr>
              <w:ind w:left="40"/>
              <w:spacing w:after="0"/>
              <w:rPr>
                <w:sz w:val="20"/>
                <w:szCs w:val="20"/>
                <w:color w:val="auto"/>
              </w:rPr>
            </w:pPr>
            <w:r>
              <w:rPr>
                <w:rFonts w:ascii="Arial" w:cs="Arial" w:eastAsia="Arial" w:hAnsi="Arial"/>
                <w:sz w:val="9"/>
                <w:szCs w:val="9"/>
                <w:b w:val="1"/>
                <w:bCs w:val="1"/>
                <w:color w:val="auto"/>
              </w:rPr>
              <w:t>Purchases</w:t>
            </w:r>
            <w:r>
              <w:rPr>
                <w:rFonts w:ascii="Arial" w:cs="Arial" w:eastAsia="Arial" w:hAnsi="Arial"/>
                <w:sz w:val="11"/>
                <w:szCs w:val="11"/>
                <w:b w:val="1"/>
                <w:bCs w:val="1"/>
                <w:color w:val="auto"/>
                <w:vertAlign w:val="superscript"/>
              </w:rPr>
              <w:t>(2)</w:t>
            </w:r>
          </w:p>
        </w:tc>
        <w:tc>
          <w:tcPr>
            <w:tcW w:w="80" w:type="dxa"/>
            <w:vAlign w:val="bottom"/>
            <w:tcBorders>
              <w:bottom w:val="single" w:sz="8" w:color="2C6937"/>
            </w:tcBorders>
          </w:tcPr>
          <w:p>
            <w:pPr>
              <w:spacing w:after="0"/>
              <w:rPr>
                <w:sz w:val="11"/>
                <w:szCs w:val="11"/>
                <w:color w:val="auto"/>
              </w:rPr>
            </w:pPr>
          </w:p>
        </w:tc>
        <w:tc>
          <w:tcPr>
            <w:tcW w:w="520" w:type="dxa"/>
            <w:vAlign w:val="bottom"/>
            <w:tcBorders>
              <w:bottom w:val="single" w:sz="8" w:color="2C6937"/>
            </w:tcBorders>
            <w:gridSpan w:val="2"/>
          </w:tcPr>
          <w:p>
            <w:pPr>
              <w:ind w:left="20"/>
              <w:spacing w:after="0"/>
              <w:rPr>
                <w:sz w:val="20"/>
                <w:szCs w:val="20"/>
                <w:color w:val="auto"/>
              </w:rPr>
            </w:pPr>
            <w:r>
              <w:rPr>
                <w:rFonts w:ascii="Arial" w:cs="Arial" w:eastAsia="Arial" w:hAnsi="Arial"/>
                <w:sz w:val="9"/>
                <w:szCs w:val="9"/>
                <w:b w:val="1"/>
                <w:bCs w:val="1"/>
                <w:color w:val="auto"/>
              </w:rPr>
              <w:t>Sales</w:t>
            </w:r>
            <w:r>
              <w:rPr>
                <w:rFonts w:ascii="Arial" w:cs="Arial" w:eastAsia="Arial" w:hAnsi="Arial"/>
                <w:sz w:val="11"/>
                <w:szCs w:val="11"/>
                <w:b w:val="1"/>
                <w:bCs w:val="1"/>
                <w:color w:val="auto"/>
                <w:vertAlign w:val="superscript"/>
              </w:rPr>
              <w:t>(2)</w:t>
            </w:r>
          </w:p>
        </w:tc>
        <w:tc>
          <w:tcPr>
            <w:tcW w:w="80" w:type="dxa"/>
            <w:vAlign w:val="bottom"/>
            <w:tcBorders>
              <w:bottom w:val="single" w:sz="8" w:color="2C6937"/>
            </w:tcBorders>
          </w:tcPr>
          <w:p>
            <w:pPr>
              <w:spacing w:after="0"/>
              <w:rPr>
                <w:sz w:val="11"/>
                <w:szCs w:val="11"/>
                <w:color w:val="auto"/>
              </w:rPr>
            </w:pPr>
          </w:p>
        </w:tc>
        <w:tc>
          <w:tcPr>
            <w:tcW w:w="580" w:type="dxa"/>
            <w:vAlign w:val="bottom"/>
            <w:tcBorders>
              <w:bottom w:val="single" w:sz="8" w:color="2C6937"/>
            </w:tcBorders>
            <w:gridSpan w:val="2"/>
          </w:tcPr>
          <w:p>
            <w:pPr>
              <w:ind w:left="20"/>
              <w:spacing w:after="0"/>
              <w:rPr>
                <w:sz w:val="20"/>
                <w:szCs w:val="20"/>
                <w:color w:val="auto"/>
              </w:rPr>
            </w:pPr>
            <w:r>
              <w:rPr>
                <w:rFonts w:ascii="Arial" w:cs="Arial" w:eastAsia="Arial" w:hAnsi="Arial"/>
                <w:sz w:val="9"/>
                <w:szCs w:val="9"/>
                <w:b w:val="1"/>
                <w:bCs w:val="1"/>
                <w:color w:val="auto"/>
              </w:rPr>
              <w:t>Issues</w:t>
            </w:r>
            <w:r>
              <w:rPr>
                <w:rFonts w:ascii="Arial" w:cs="Arial" w:eastAsia="Arial" w:hAnsi="Arial"/>
                <w:sz w:val="11"/>
                <w:szCs w:val="11"/>
                <w:b w:val="1"/>
                <w:bCs w:val="1"/>
                <w:color w:val="auto"/>
                <w:vertAlign w:val="superscript"/>
              </w:rPr>
              <w:t>(3)</w:t>
            </w:r>
          </w:p>
        </w:tc>
        <w:tc>
          <w:tcPr>
            <w:tcW w:w="100" w:type="dxa"/>
            <w:vAlign w:val="bottom"/>
            <w:tcBorders>
              <w:bottom w:val="single" w:sz="8" w:color="2C6937"/>
            </w:tcBorders>
          </w:tcPr>
          <w:p>
            <w:pPr>
              <w:spacing w:after="0"/>
              <w:rPr>
                <w:sz w:val="11"/>
                <w:szCs w:val="11"/>
                <w:color w:val="auto"/>
              </w:rPr>
            </w:pPr>
          </w:p>
        </w:tc>
        <w:tc>
          <w:tcPr>
            <w:tcW w:w="820" w:type="dxa"/>
            <w:vAlign w:val="bottom"/>
            <w:tcBorders>
              <w:bottom w:val="single" w:sz="8" w:color="2C6937"/>
            </w:tcBorders>
            <w:gridSpan w:val="2"/>
          </w:tcPr>
          <w:p>
            <w:pPr>
              <w:ind w:left="40"/>
              <w:spacing w:after="0"/>
              <w:rPr>
                <w:sz w:val="20"/>
                <w:szCs w:val="20"/>
                <w:color w:val="auto"/>
              </w:rPr>
            </w:pPr>
            <w:r>
              <w:rPr>
                <w:rFonts w:ascii="Arial" w:cs="Arial" w:eastAsia="Arial" w:hAnsi="Arial"/>
                <w:sz w:val="9"/>
                <w:szCs w:val="9"/>
                <w:b w:val="1"/>
                <w:bCs w:val="1"/>
                <w:color w:val="auto"/>
              </w:rPr>
              <w:t>Settlements</w:t>
            </w:r>
            <w:r>
              <w:rPr>
                <w:rFonts w:ascii="Arial" w:cs="Arial" w:eastAsia="Arial" w:hAnsi="Arial"/>
                <w:sz w:val="11"/>
                <w:szCs w:val="11"/>
                <w:b w:val="1"/>
                <w:bCs w:val="1"/>
                <w:color w:val="auto"/>
                <w:vertAlign w:val="superscript"/>
              </w:rPr>
              <w:t>(3)</w:t>
            </w:r>
          </w:p>
        </w:tc>
        <w:tc>
          <w:tcPr>
            <w:tcW w:w="100" w:type="dxa"/>
            <w:vAlign w:val="bottom"/>
            <w:tcBorders>
              <w:bottom w:val="single" w:sz="8" w:color="2C6937"/>
            </w:tcBorders>
          </w:tcPr>
          <w:p>
            <w:pPr>
              <w:spacing w:after="0"/>
              <w:rPr>
                <w:sz w:val="11"/>
                <w:szCs w:val="11"/>
                <w:color w:val="auto"/>
              </w:rPr>
            </w:pPr>
          </w:p>
        </w:tc>
        <w:tc>
          <w:tcPr>
            <w:tcW w:w="64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9"/>
                <w:szCs w:val="9"/>
                <w:b w:val="1"/>
                <w:bCs w:val="1"/>
                <w:color w:val="auto"/>
                <w:w w:val="96"/>
              </w:rPr>
              <w:t>of Level 3</w:t>
            </w:r>
          </w:p>
        </w:tc>
        <w:tc>
          <w:tcPr>
            <w:tcW w:w="120" w:type="dxa"/>
            <w:vAlign w:val="bottom"/>
            <w:tcBorders>
              <w:bottom w:val="single" w:sz="8" w:color="2C6937"/>
            </w:tcBorders>
          </w:tcPr>
          <w:p>
            <w:pPr>
              <w:spacing w:after="0"/>
              <w:rPr>
                <w:sz w:val="11"/>
                <w:szCs w:val="11"/>
                <w:color w:val="auto"/>
              </w:rPr>
            </w:pPr>
          </w:p>
        </w:tc>
        <w:tc>
          <w:tcPr>
            <w:tcW w:w="620" w:type="dxa"/>
            <w:vAlign w:val="bottom"/>
            <w:tcBorders>
              <w:bottom w:val="single" w:sz="8" w:color="2C6937"/>
            </w:tcBorders>
            <w:gridSpan w:val="2"/>
          </w:tcPr>
          <w:p>
            <w:pPr>
              <w:ind w:left="40"/>
              <w:spacing w:after="0"/>
              <w:rPr>
                <w:sz w:val="20"/>
                <w:szCs w:val="20"/>
                <w:color w:val="auto"/>
              </w:rPr>
            </w:pPr>
            <w:r>
              <w:rPr>
                <w:rFonts w:ascii="Arial" w:cs="Arial" w:eastAsia="Arial" w:hAnsi="Arial"/>
                <w:sz w:val="9"/>
                <w:szCs w:val="9"/>
                <w:b w:val="1"/>
                <w:bCs w:val="1"/>
                <w:color w:val="auto"/>
              </w:rPr>
              <w:t>Level 3</w:t>
            </w:r>
          </w:p>
        </w:tc>
        <w:tc>
          <w:tcPr>
            <w:tcW w:w="920" w:type="dxa"/>
            <w:vAlign w:val="bottom"/>
            <w:tcBorders>
              <w:bottom w:val="single" w:sz="8" w:color="2C6937"/>
            </w:tcBorders>
            <w:gridSpan w:val="3"/>
          </w:tcPr>
          <w:p>
            <w:pPr>
              <w:spacing w:after="0"/>
              <w:rPr>
                <w:sz w:val="20"/>
                <w:szCs w:val="20"/>
                <w:color w:val="auto"/>
              </w:rPr>
            </w:pPr>
            <w:r>
              <w:rPr>
                <w:rFonts w:ascii="Arial" w:cs="Arial" w:eastAsia="Arial" w:hAnsi="Arial"/>
                <w:sz w:val="9"/>
                <w:szCs w:val="9"/>
                <w:b w:val="1"/>
                <w:bCs w:val="1"/>
                <w:color w:val="auto"/>
              </w:rPr>
              <w:t>September 30, 2024</w:t>
            </w:r>
          </w:p>
        </w:tc>
        <w:tc>
          <w:tcPr>
            <w:tcW w:w="100" w:type="dxa"/>
            <w:vAlign w:val="bottom"/>
            <w:tcBorders>
              <w:bottom w:val="single" w:sz="8" w:color="2C6937"/>
            </w:tcBorders>
          </w:tcPr>
          <w:p>
            <w:pPr>
              <w:spacing w:after="0"/>
              <w:rPr>
                <w:sz w:val="11"/>
                <w:szCs w:val="11"/>
                <w:color w:val="auto"/>
              </w:rPr>
            </w:pPr>
          </w:p>
        </w:tc>
        <w:tc>
          <w:tcPr>
            <w:tcW w:w="760" w:type="dxa"/>
            <w:vAlign w:val="bottom"/>
            <w:tcBorders>
              <w:bottom w:val="single" w:sz="8" w:color="2C6937"/>
            </w:tcBorders>
          </w:tcPr>
          <w:p>
            <w:pPr>
              <w:jc w:val="center"/>
              <w:ind w:right="50"/>
              <w:spacing w:after="0" w:line="138" w:lineRule="exact"/>
              <w:rPr>
                <w:sz w:val="20"/>
                <w:szCs w:val="20"/>
                <w:color w:val="auto"/>
              </w:rPr>
            </w:pPr>
            <w:r>
              <w:rPr>
                <w:rFonts w:ascii="Arial" w:cs="Arial" w:eastAsia="Arial" w:hAnsi="Arial"/>
                <w:sz w:val="15"/>
                <w:szCs w:val="15"/>
                <w:b w:val="1"/>
                <w:bCs w:val="1"/>
                <w:color w:val="auto"/>
                <w:w w:val="98"/>
                <w:vertAlign w:val="subscript"/>
              </w:rPr>
              <w:t>2024</w:t>
            </w:r>
            <w:r>
              <w:rPr>
                <w:rFonts w:ascii="Arial" w:cs="Arial" w:eastAsia="Arial" w:hAnsi="Arial"/>
                <w:sz w:val="5"/>
                <w:szCs w:val="5"/>
                <w:b w:val="1"/>
                <w:bCs w:val="1"/>
                <w:color w:val="auto"/>
                <w:w w:val="98"/>
              </w:rPr>
              <w:t>(4)(5)</w:t>
            </w:r>
          </w:p>
        </w:tc>
        <w:tc>
          <w:tcPr>
            <w:tcW w:w="100" w:type="dxa"/>
            <w:vAlign w:val="bottom"/>
            <w:tcBorders>
              <w:bottom w:val="single" w:sz="8" w:color="2C6937"/>
            </w:tcBorders>
          </w:tcPr>
          <w:p>
            <w:pPr>
              <w:spacing w:after="0"/>
              <w:rPr>
                <w:sz w:val="11"/>
                <w:szCs w:val="11"/>
                <w:color w:val="auto"/>
              </w:rPr>
            </w:pPr>
          </w:p>
        </w:tc>
        <w:tc>
          <w:tcPr>
            <w:tcW w:w="60" w:type="dxa"/>
            <w:vAlign w:val="bottom"/>
            <w:tcBorders>
              <w:bottom w:val="single" w:sz="8" w:color="2C6937"/>
            </w:tcBorders>
          </w:tcPr>
          <w:p>
            <w:pPr>
              <w:spacing w:after="0"/>
              <w:rPr>
                <w:sz w:val="11"/>
                <w:szCs w:val="11"/>
                <w:color w:val="auto"/>
              </w:rPr>
            </w:pPr>
          </w:p>
        </w:tc>
        <w:tc>
          <w:tcPr>
            <w:tcW w:w="820" w:type="dxa"/>
            <w:vAlign w:val="bottom"/>
            <w:tcBorders>
              <w:bottom w:val="single" w:sz="8" w:color="2C6937"/>
            </w:tcBorders>
          </w:tcPr>
          <w:p>
            <w:pPr>
              <w:jc w:val="center"/>
              <w:ind w:right="30"/>
              <w:spacing w:after="0"/>
              <w:rPr>
                <w:sz w:val="20"/>
                <w:szCs w:val="20"/>
                <w:color w:val="auto"/>
              </w:rPr>
            </w:pPr>
            <w:r>
              <w:rPr>
                <w:rFonts w:ascii="Arial" w:cs="Arial" w:eastAsia="Arial" w:hAnsi="Arial"/>
                <w:sz w:val="9"/>
                <w:szCs w:val="9"/>
                <w:b w:val="1"/>
                <w:bCs w:val="1"/>
                <w:color w:val="auto"/>
                <w:w w:val="89"/>
              </w:rPr>
              <w:t>2024</w:t>
            </w:r>
            <w:r>
              <w:rPr>
                <w:rFonts w:ascii="Arial" w:cs="Arial" w:eastAsia="Arial" w:hAnsi="Arial"/>
                <w:sz w:val="11"/>
                <w:szCs w:val="11"/>
                <w:b w:val="1"/>
                <w:bCs w:val="1"/>
                <w:color w:val="auto"/>
                <w:w w:val="89"/>
                <w:vertAlign w:val="superscript"/>
              </w:rPr>
              <w:t>(1)</w:t>
            </w: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5"/>
          </w:tcPr>
          <w:p>
            <w:pPr>
              <w:ind w:left="320"/>
              <w:spacing w:after="0"/>
              <w:rPr>
                <w:sz w:val="20"/>
                <w:szCs w:val="20"/>
                <w:color w:val="auto"/>
              </w:rPr>
            </w:pPr>
            <w:r>
              <w:rPr>
                <w:rFonts w:ascii="Arial" w:cs="Arial" w:eastAsia="Arial" w:hAnsi="Arial"/>
                <w:sz w:val="11"/>
                <w:szCs w:val="11"/>
                <w:b w:val="1"/>
                <w:bCs w:val="1"/>
                <w:color w:val="auto"/>
              </w:rPr>
              <w:t>(Dollars in millions)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7"/>
        </w:trPr>
        <w:tc>
          <w:tcPr>
            <w:tcW w:w="140" w:type="dxa"/>
            <w:vAlign w:val="bottom"/>
          </w:tcPr>
          <w:p>
            <w:pPr>
              <w:ind w:left="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5"/>
              <w:spacing w:after="0"/>
              <w:rPr>
                <w:sz w:val="20"/>
                <w:szCs w:val="20"/>
                <w:color w:val="auto"/>
              </w:rPr>
            </w:pPr>
            <w:r>
              <w:rPr>
                <w:rFonts w:ascii="Arial" w:cs="Arial" w:eastAsia="Arial" w:hAnsi="Arial"/>
                <w:sz w:val="11"/>
                <w:szCs w:val="11"/>
                <w:color w:val="auto"/>
              </w:rPr>
              <w:t>26</w:t>
            </w:r>
          </w:p>
        </w:tc>
        <w:tc>
          <w:tcPr>
            <w:tcW w:w="80" w:type="dxa"/>
            <w:vAlign w:val="bottom"/>
          </w:tcPr>
          <w:p>
            <w:pPr>
              <w:spacing w:after="0"/>
              <w:rPr>
                <w:sz w:val="24"/>
                <w:szCs w:val="24"/>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720" w:type="dxa"/>
            <w:vAlign w:val="bottom"/>
            <w:gridSpan w:val="2"/>
          </w:tcPr>
          <w:p>
            <w:pPr>
              <w:jc w:val="right"/>
              <w:ind w:right="146"/>
              <w:spacing w:after="0"/>
              <w:rPr>
                <w:sz w:val="20"/>
                <w:szCs w:val="20"/>
                <w:color w:val="auto"/>
              </w:rPr>
            </w:pPr>
            <w:r>
              <w:rPr>
                <w:rFonts w:ascii="Arial" w:cs="Arial" w:eastAsia="Arial" w:hAnsi="Arial"/>
                <w:sz w:val="22"/>
                <w:szCs w:val="22"/>
                <w:color w:val="auto"/>
                <w:vertAlign w:val="subscript"/>
              </w:rPr>
              <w:t>1</w:t>
            </w:r>
            <w:r>
              <w:rPr>
                <w:rFonts w:ascii="Arial" w:cs="Arial" w:eastAsia="Arial" w:hAnsi="Arial"/>
                <w:sz w:val="7"/>
                <w:szCs w:val="7"/>
                <w:color w:val="auto"/>
              </w:rPr>
              <w:t xml:space="preserve"> (5)(6)</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13</w:t>
            </w:r>
          </w:p>
        </w:tc>
        <w:tc>
          <w:tcPr>
            <w:tcW w:w="10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25"/>
              <w:spacing w:after="0"/>
              <w:rPr>
                <w:sz w:val="20"/>
                <w:szCs w:val="20"/>
                <w:color w:val="auto"/>
              </w:rPr>
            </w:pPr>
            <w:r>
              <w:rPr>
                <w:rFonts w:ascii="Arial" w:cs="Arial" w:eastAsia="Arial" w:hAnsi="Arial"/>
                <w:sz w:val="11"/>
                <w:szCs w:val="11"/>
                <w:color w:val="auto"/>
              </w:rPr>
              <w:t>35</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10"/>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3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632"/>
        </w:trPr>
        <w:tc>
          <w:tcPr>
            <w:tcW w:w="140" w:type="dxa"/>
            <w:vAlign w:val="bottom"/>
          </w:tcPr>
          <w:p>
            <w:pPr>
              <w:ind w:left="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5"/>
              <w:spacing w:after="0"/>
              <w:rPr>
                <w:sz w:val="20"/>
                <w:szCs w:val="20"/>
                <w:color w:val="auto"/>
              </w:rPr>
            </w:pPr>
            <w:r>
              <w:rPr>
                <w:rFonts w:ascii="Arial" w:cs="Arial" w:eastAsia="Arial" w:hAnsi="Arial"/>
                <w:sz w:val="11"/>
                <w:szCs w:val="11"/>
                <w:color w:val="auto"/>
              </w:rPr>
              <w:t>331</w:t>
            </w:r>
          </w:p>
        </w:tc>
        <w:tc>
          <w:tcPr>
            <w:tcW w:w="80" w:type="dxa"/>
            <w:vAlign w:val="bottom"/>
          </w:tcPr>
          <w:p>
            <w:pPr>
              <w:spacing w:after="0"/>
              <w:rPr>
                <w:sz w:val="24"/>
                <w:szCs w:val="24"/>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360" w:type="dxa"/>
            <w:vAlign w:val="bottom"/>
          </w:tcPr>
          <w:p>
            <w:pPr>
              <w:jc w:val="right"/>
              <w:ind w:right="11"/>
              <w:spacing w:after="0"/>
              <w:rPr>
                <w:sz w:val="20"/>
                <w:szCs w:val="20"/>
                <w:color w:val="auto"/>
              </w:rPr>
            </w:pPr>
            <w:r>
              <w:rPr>
                <w:rFonts w:ascii="Arial" w:cs="Arial" w:eastAsia="Arial" w:hAnsi="Arial"/>
                <w:sz w:val="11"/>
                <w:szCs w:val="11"/>
                <w:color w:val="auto"/>
              </w:rPr>
              <w:t>1</w:t>
            </w:r>
          </w:p>
        </w:tc>
        <w:tc>
          <w:tcPr>
            <w:tcW w:w="36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(25)</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25"/>
              <w:spacing w:after="0"/>
              <w:rPr>
                <w:sz w:val="20"/>
                <w:szCs w:val="20"/>
                <w:color w:val="auto"/>
              </w:rPr>
            </w:pPr>
            <w:r>
              <w:rPr>
                <w:rFonts w:ascii="Arial" w:cs="Arial" w:eastAsia="Arial" w:hAnsi="Arial"/>
                <w:sz w:val="11"/>
                <w:szCs w:val="11"/>
                <w:color w:val="auto"/>
              </w:rPr>
              <w:t>313</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30"/>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76"/>
        </w:trPr>
        <w:tc>
          <w:tcPr>
            <w:tcW w:w="140" w:type="dxa"/>
            <w:vAlign w:val="bottom"/>
            <w:tcBorders>
              <w:bottom w:val="single" w:sz="8" w:color="2C6937"/>
            </w:tcBorders>
          </w:tcPr>
          <w:p>
            <w:pPr>
              <w:spacing w:after="0"/>
              <w:rPr>
                <w:sz w:val="15"/>
                <w:szCs w:val="15"/>
                <w:color w:val="auto"/>
              </w:rPr>
            </w:pPr>
          </w:p>
        </w:tc>
        <w:tc>
          <w:tcPr>
            <w:tcW w:w="680" w:type="dxa"/>
            <w:vAlign w:val="bottom"/>
            <w:tcBorders>
              <w:bottom w:val="single" w:sz="8" w:color="2C6937"/>
            </w:tcBorders>
          </w:tcPr>
          <w:p>
            <w:pPr>
              <w:jc w:val="right"/>
              <w:ind w:right="25"/>
              <w:spacing w:after="0"/>
              <w:rPr>
                <w:sz w:val="20"/>
                <w:szCs w:val="20"/>
                <w:color w:val="auto"/>
              </w:rPr>
            </w:pPr>
            <w:r>
              <w:rPr>
                <w:rFonts w:ascii="Arial" w:cs="Arial" w:eastAsia="Arial" w:hAnsi="Arial"/>
                <w:sz w:val="11"/>
                <w:szCs w:val="11"/>
                <w:color w:val="auto"/>
              </w:rPr>
              <w:t>183</w:t>
            </w:r>
          </w:p>
        </w:tc>
        <w:tc>
          <w:tcPr>
            <w:tcW w:w="80" w:type="dxa"/>
            <w:vAlign w:val="bottom"/>
          </w:tcPr>
          <w:p>
            <w:pPr>
              <w:spacing w:after="0"/>
              <w:rPr>
                <w:sz w:val="15"/>
                <w:szCs w:val="15"/>
                <w:color w:val="auto"/>
              </w:rPr>
            </w:pPr>
          </w:p>
        </w:tc>
        <w:tc>
          <w:tcPr>
            <w:tcW w:w="200" w:type="dxa"/>
            <w:vAlign w:val="bottom"/>
            <w:tcBorders>
              <w:bottom w:val="single" w:sz="8" w:color="2C6937"/>
            </w:tcBorders>
          </w:tcPr>
          <w:p>
            <w:pPr>
              <w:spacing w:after="0"/>
              <w:rPr>
                <w:sz w:val="15"/>
                <w:szCs w:val="15"/>
                <w:color w:val="auto"/>
              </w:rPr>
            </w:pPr>
          </w:p>
        </w:tc>
        <w:tc>
          <w:tcPr>
            <w:tcW w:w="360" w:type="dxa"/>
            <w:vAlign w:val="bottom"/>
            <w:tcBorders>
              <w:bottom w:val="single" w:sz="8" w:color="2C6937"/>
            </w:tcBorders>
          </w:tcPr>
          <w:p>
            <w:pPr>
              <w:jc w:val="right"/>
              <w:ind w:right="11"/>
              <w:spacing w:after="0"/>
              <w:rPr>
                <w:sz w:val="20"/>
                <w:szCs w:val="20"/>
                <w:color w:val="auto"/>
              </w:rPr>
            </w:pPr>
            <w:r>
              <w:rPr>
                <w:rFonts w:ascii="Arial" w:cs="Arial" w:eastAsia="Arial" w:hAnsi="Arial"/>
                <w:sz w:val="11"/>
                <w:szCs w:val="11"/>
                <w:color w:val="auto"/>
              </w:rPr>
              <w:t>1</w:t>
            </w:r>
          </w:p>
        </w:tc>
        <w:tc>
          <w:tcPr>
            <w:tcW w:w="360" w:type="dxa"/>
            <w:vAlign w:val="bottom"/>
          </w:tcPr>
          <w:p>
            <w:pPr>
              <w:spacing w:after="0"/>
              <w:rPr>
                <w:sz w:val="15"/>
                <w:szCs w:val="15"/>
                <w:color w:val="auto"/>
              </w:rPr>
            </w:pPr>
          </w:p>
        </w:tc>
        <w:tc>
          <w:tcPr>
            <w:tcW w:w="80" w:type="dxa"/>
            <w:vAlign w:val="bottom"/>
            <w:tcBorders>
              <w:bottom w:val="single" w:sz="8" w:color="2C6937"/>
            </w:tcBorders>
          </w:tcPr>
          <w:p>
            <w:pPr>
              <w:spacing w:after="0"/>
              <w:rPr>
                <w:sz w:val="15"/>
                <w:szCs w:val="15"/>
                <w:color w:val="auto"/>
              </w:rPr>
            </w:pPr>
          </w:p>
        </w:tc>
        <w:tc>
          <w:tcPr>
            <w:tcW w:w="480" w:type="dxa"/>
            <w:vAlign w:val="bottom"/>
            <w:tcBorders>
              <w:bottom w:val="single" w:sz="8" w:color="2C6937"/>
            </w:tcBorders>
          </w:tcPr>
          <w:p>
            <w:pPr>
              <w:jc w:val="right"/>
              <w:ind w:right="7"/>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680" w:type="dxa"/>
            <w:vAlign w:val="bottom"/>
            <w:tcBorders>
              <w:bottom w:val="single" w:sz="8" w:color="2C6937"/>
            </w:tcBorders>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0" w:type="dxa"/>
            <w:vAlign w:val="bottom"/>
            <w:tcBorders>
              <w:bottom w:val="single" w:sz="8" w:color="2C6937"/>
            </w:tcBorders>
          </w:tcPr>
          <w:p>
            <w:pPr>
              <w:spacing w:after="0"/>
              <w:rPr>
                <w:sz w:val="15"/>
                <w:szCs w:val="15"/>
                <w:color w:val="auto"/>
              </w:rPr>
            </w:pPr>
          </w:p>
        </w:tc>
        <w:tc>
          <w:tcPr>
            <w:tcW w:w="420" w:type="dxa"/>
            <w:vAlign w:val="bottom"/>
            <w:tcBorders>
              <w:bottom w:val="single" w:sz="8" w:color="2C6937"/>
            </w:tcBorders>
          </w:tcPr>
          <w:p>
            <w:pPr>
              <w:ind w:lef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0" w:type="dxa"/>
            <w:vAlign w:val="bottom"/>
            <w:tcBorders>
              <w:bottom w:val="single" w:sz="8" w:color="2C6937"/>
            </w:tcBorders>
          </w:tcPr>
          <w:p>
            <w:pPr>
              <w:spacing w:after="0"/>
              <w:rPr>
                <w:sz w:val="15"/>
                <w:szCs w:val="15"/>
                <w:color w:val="auto"/>
              </w:rPr>
            </w:pPr>
          </w:p>
        </w:tc>
        <w:tc>
          <w:tcPr>
            <w:tcW w:w="480" w:type="dxa"/>
            <w:vAlign w:val="bottom"/>
            <w:tcBorders>
              <w:bottom w:val="single" w:sz="8" w:color="2C6937"/>
            </w:tcBorders>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(49)</w:t>
            </w:r>
          </w:p>
        </w:tc>
        <w:tc>
          <w:tcPr>
            <w:tcW w:w="8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52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700" w:type="dxa"/>
            <w:vAlign w:val="bottom"/>
            <w:tcBorders>
              <w:bottom w:val="single" w:sz="8" w:color="2C6937"/>
            </w:tcBorders>
          </w:tcPr>
          <w:p>
            <w:pPr>
              <w:jc w:val="right"/>
              <w:ind w:right="25"/>
              <w:spacing w:after="0"/>
              <w:rPr>
                <w:sz w:val="20"/>
                <w:szCs w:val="20"/>
                <w:color w:val="auto"/>
              </w:rPr>
            </w:pPr>
            <w:r>
              <w:rPr>
                <w:rFonts w:ascii="Arial" w:cs="Arial" w:eastAsia="Arial" w:hAnsi="Arial"/>
                <w:sz w:val="11"/>
                <w:szCs w:val="11"/>
                <w:color w:val="auto"/>
              </w:rPr>
              <w:t>135</w:t>
            </w:r>
          </w:p>
        </w:tc>
        <w:tc>
          <w:tcPr>
            <w:tcW w:w="8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760" w:type="dxa"/>
            <w:vAlign w:val="bottom"/>
            <w:tcBorders>
              <w:bottom w:val="single" w:sz="8" w:color="2C6937"/>
            </w:tcBorders>
          </w:tcPr>
          <w:p>
            <w:pPr>
              <w:jc w:val="right"/>
              <w:ind w:right="1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60" w:type="dxa"/>
            <w:vAlign w:val="bottom"/>
            <w:tcBorders>
              <w:bottom w:val="single" w:sz="8" w:color="2C6937"/>
            </w:tcBorders>
          </w:tcPr>
          <w:p>
            <w:pPr>
              <w:spacing w:after="0"/>
              <w:rPr>
                <w:sz w:val="15"/>
                <w:szCs w:val="15"/>
                <w:color w:val="auto"/>
              </w:rPr>
            </w:pPr>
          </w:p>
        </w:tc>
        <w:tc>
          <w:tcPr>
            <w:tcW w:w="820" w:type="dxa"/>
            <w:vAlign w:val="bottom"/>
            <w:tcBorders>
              <w:bottom w:val="single" w:sz="8" w:color="2C6937"/>
            </w:tcBorders>
          </w:tcPr>
          <w:p>
            <w:pPr>
              <w:jc w:val="right"/>
              <w:ind w:right="3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62"/>
        </w:trPr>
        <w:tc>
          <w:tcPr>
            <w:tcW w:w="140" w:type="dxa"/>
            <w:vAlign w:val="bottom"/>
            <w:vMerge w:val="restart"/>
          </w:tcPr>
          <w:p>
            <w:pPr>
              <w:ind w:left="20"/>
              <w:spacing w:after="0"/>
              <w:rPr>
                <w:sz w:val="20"/>
                <w:szCs w:val="20"/>
                <w:color w:val="auto"/>
              </w:rPr>
            </w:pPr>
            <w:r>
              <w:rPr>
                <w:rFonts w:ascii="Arial" w:cs="Arial" w:eastAsia="Arial" w:hAnsi="Arial"/>
                <w:sz w:val="11"/>
                <w:szCs w:val="11"/>
                <w:color w:val="auto"/>
              </w:rPr>
              <w:t>$</w:t>
            </w:r>
          </w:p>
        </w:tc>
        <w:tc>
          <w:tcPr>
            <w:tcW w:w="680" w:type="dxa"/>
            <w:vAlign w:val="bottom"/>
            <w:vMerge w:val="restart"/>
          </w:tcPr>
          <w:p>
            <w:pPr>
              <w:jc w:val="right"/>
              <w:ind w:right="25"/>
              <w:spacing w:after="0"/>
              <w:rPr>
                <w:sz w:val="20"/>
                <w:szCs w:val="20"/>
                <w:color w:val="auto"/>
              </w:rPr>
            </w:pPr>
            <w:r>
              <w:rPr>
                <w:rFonts w:ascii="Arial" w:cs="Arial" w:eastAsia="Arial" w:hAnsi="Arial"/>
                <w:sz w:val="11"/>
                <w:szCs w:val="11"/>
                <w:color w:val="auto"/>
              </w:rPr>
              <w:t>514</w:t>
            </w:r>
          </w:p>
        </w:tc>
        <w:tc>
          <w:tcPr>
            <w:tcW w:w="80" w:type="dxa"/>
            <w:vAlign w:val="bottom"/>
          </w:tcPr>
          <w:p>
            <w:pPr>
              <w:spacing w:after="0"/>
              <w:rPr>
                <w:sz w:val="14"/>
                <w:szCs w:val="14"/>
                <w:color w:val="auto"/>
              </w:rPr>
            </w:pPr>
          </w:p>
        </w:tc>
        <w:tc>
          <w:tcPr>
            <w:tcW w:w="200" w:type="dxa"/>
            <w:vAlign w:val="bottom"/>
            <w:vMerge w:val="restart"/>
          </w:tcPr>
          <w:p>
            <w:pPr>
              <w:jc w:val="right"/>
              <w:ind w:right="67"/>
              <w:spacing w:after="0"/>
              <w:rPr>
                <w:sz w:val="20"/>
                <w:szCs w:val="20"/>
                <w:color w:val="auto"/>
              </w:rPr>
            </w:pPr>
            <w:r>
              <w:rPr>
                <w:rFonts w:ascii="Arial" w:cs="Arial" w:eastAsia="Arial" w:hAnsi="Arial"/>
                <w:sz w:val="11"/>
                <w:szCs w:val="11"/>
                <w:color w:val="auto"/>
                <w:w w:val="97"/>
              </w:rPr>
              <w:t>$</w:t>
            </w:r>
          </w:p>
        </w:tc>
        <w:tc>
          <w:tcPr>
            <w:tcW w:w="360" w:type="dxa"/>
            <w:vAlign w:val="bottom"/>
            <w:vMerge w:val="restart"/>
          </w:tcPr>
          <w:p>
            <w:pPr>
              <w:jc w:val="right"/>
              <w:ind w:right="11"/>
              <w:spacing w:after="0"/>
              <w:rPr>
                <w:sz w:val="20"/>
                <w:szCs w:val="20"/>
                <w:color w:val="auto"/>
              </w:rPr>
            </w:pPr>
            <w:r>
              <w:rPr>
                <w:rFonts w:ascii="Arial" w:cs="Arial" w:eastAsia="Arial" w:hAnsi="Arial"/>
                <w:sz w:val="11"/>
                <w:szCs w:val="11"/>
                <w:color w:val="auto"/>
              </w:rPr>
              <w:t>2</w:t>
            </w:r>
          </w:p>
        </w:tc>
        <w:tc>
          <w:tcPr>
            <w:tcW w:w="360" w:type="dxa"/>
            <w:vAlign w:val="bottom"/>
          </w:tcPr>
          <w:p>
            <w:pPr>
              <w:ind w:left="20"/>
              <w:spacing w:after="0"/>
              <w:rPr>
                <w:sz w:val="20"/>
                <w:szCs w:val="20"/>
                <w:color w:val="auto"/>
              </w:rPr>
            </w:pPr>
            <w:r>
              <w:rPr>
                <w:rFonts w:ascii="Arial" w:cs="Arial" w:eastAsia="Arial" w:hAnsi="Arial"/>
                <w:sz w:val="7"/>
                <w:szCs w:val="7"/>
                <w:color w:val="auto"/>
              </w:rPr>
              <w:t>(6)(7)</w:t>
            </w: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vMerge w:val="restart"/>
          </w:tcPr>
          <w:p>
            <w:pPr>
              <w:jc w:val="right"/>
              <w:ind w:right="7"/>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vMerge w:val="restart"/>
          </w:tcPr>
          <w:p>
            <w:pPr>
              <w:ind w:left="500"/>
              <w:spacing w:after="0"/>
              <w:rPr>
                <w:sz w:val="20"/>
                <w:szCs w:val="20"/>
                <w:color w:val="auto"/>
              </w:rPr>
            </w:pPr>
            <w:r>
              <w:rPr>
                <w:rFonts w:ascii="Arial" w:cs="Arial" w:eastAsia="Arial" w:hAnsi="Arial"/>
                <w:sz w:val="11"/>
                <w:szCs w:val="11"/>
                <w:color w:val="auto"/>
              </w:rPr>
              <w:t>—</w:t>
            </w:r>
          </w:p>
        </w:tc>
        <w:tc>
          <w:tcPr>
            <w:tcW w:w="100" w:type="dxa"/>
            <w:vAlign w:val="bottom"/>
            <w:vMerge w:val="restart"/>
          </w:tcPr>
          <w:p>
            <w:pPr>
              <w:spacing w:after="0"/>
              <w:rPr>
                <w:sz w:val="14"/>
                <w:szCs w:val="14"/>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vMerge w:val="restart"/>
          </w:tcPr>
          <w:p>
            <w:pPr>
              <w:ind w:left="260"/>
              <w:spacing w:after="0"/>
              <w:rPr>
                <w:sz w:val="20"/>
                <w:szCs w:val="20"/>
                <w:color w:val="auto"/>
              </w:rPr>
            </w:pPr>
            <w:r>
              <w:rPr>
                <w:rFonts w:ascii="Arial" w:cs="Arial" w:eastAsia="Arial" w:hAnsi="Arial"/>
                <w:sz w:val="11"/>
                <w:szCs w:val="11"/>
                <w:color w:val="auto"/>
              </w:rPr>
              <w:t>—</w:t>
            </w:r>
          </w:p>
        </w:tc>
        <w:tc>
          <w:tcPr>
            <w:tcW w:w="100" w:type="dxa"/>
            <w:vAlign w:val="bottom"/>
            <w:vMerge w:val="restart"/>
          </w:tcPr>
          <w:p>
            <w:pPr>
              <w:spacing w:after="0"/>
              <w:rPr>
                <w:sz w:val="14"/>
                <w:szCs w:val="14"/>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vMerge w:val="restart"/>
          </w:tcPr>
          <w:p>
            <w:pPr>
              <w:ind w:left="320"/>
              <w:spacing w:after="0"/>
              <w:rPr>
                <w:sz w:val="20"/>
                <w:szCs w:val="20"/>
                <w:color w:val="auto"/>
              </w:rPr>
            </w:pPr>
            <w:r>
              <w:rPr>
                <w:rFonts w:ascii="Arial" w:cs="Arial" w:eastAsia="Arial" w:hAnsi="Arial"/>
                <w:sz w:val="11"/>
                <w:szCs w:val="11"/>
                <w:color w:val="auto"/>
              </w:rPr>
              <w:t>—</w:t>
            </w:r>
          </w:p>
        </w:tc>
        <w:tc>
          <w:tcPr>
            <w:tcW w:w="100" w:type="dxa"/>
            <w:vAlign w:val="bottom"/>
            <w:vMerge w:val="restart"/>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(74)</w:t>
            </w:r>
          </w:p>
        </w:tc>
        <w:tc>
          <w:tcPr>
            <w:tcW w:w="8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4"/>
                <w:szCs w:val="14"/>
                <w:color w:val="auto"/>
              </w:rPr>
            </w:pPr>
          </w:p>
        </w:tc>
        <w:tc>
          <w:tcPr>
            <w:tcW w:w="120" w:type="dxa"/>
            <w:vAlign w:val="bottom"/>
            <w:vMerge w:val="restart"/>
          </w:tcPr>
          <w:p>
            <w:pPr>
              <w:spacing w:after="0"/>
              <w:rPr>
                <w:sz w:val="20"/>
                <w:szCs w:val="20"/>
                <w:color w:val="auto"/>
              </w:rPr>
            </w:pPr>
            <w:r>
              <w:rPr>
                <w:rFonts w:ascii="Arial" w:cs="Arial" w:eastAsia="Arial" w:hAnsi="Arial"/>
                <w:sz w:val="11"/>
                <w:szCs w:val="11"/>
                <w:color w:val="auto"/>
              </w:rPr>
              <w:t>$</w:t>
            </w:r>
          </w:p>
        </w:tc>
        <w:tc>
          <w:tcPr>
            <w:tcW w:w="520" w:type="dxa"/>
            <w:vAlign w:val="bottom"/>
            <w:vMerge w:val="restart"/>
          </w:tcPr>
          <w:p>
            <w:pPr>
              <w:jc w:val="right"/>
              <w:ind w:right="5"/>
              <w:spacing w:after="0"/>
              <w:rPr>
                <w:sz w:val="20"/>
                <w:szCs w:val="20"/>
                <w:color w:val="auto"/>
              </w:rPr>
            </w:pPr>
            <w:r>
              <w:rPr>
                <w:rFonts w:ascii="Arial" w:cs="Arial" w:eastAsia="Arial" w:hAnsi="Arial"/>
                <w:sz w:val="11"/>
                <w:szCs w:val="11"/>
                <w:color w:val="auto"/>
              </w:rPr>
              <w:t>—</w:t>
            </w:r>
          </w:p>
        </w:tc>
        <w:tc>
          <w:tcPr>
            <w:tcW w:w="100" w:type="dxa"/>
            <w:vAlign w:val="bottom"/>
            <w:vMerge w:val="restart"/>
          </w:tcPr>
          <w:p>
            <w:pPr>
              <w:spacing w:after="0"/>
              <w:rPr>
                <w:sz w:val="14"/>
                <w:szCs w:val="14"/>
                <w:color w:val="auto"/>
              </w:rPr>
            </w:pPr>
          </w:p>
        </w:tc>
        <w:tc>
          <w:tcPr>
            <w:tcW w:w="140" w:type="dxa"/>
            <w:vAlign w:val="bottom"/>
            <w:vMerge w:val="restart"/>
          </w:tcPr>
          <w:p>
            <w:pPr>
              <w:spacing w:after="0"/>
              <w:rPr>
                <w:sz w:val="20"/>
                <w:szCs w:val="20"/>
                <w:color w:val="auto"/>
              </w:rPr>
            </w:pPr>
            <w:r>
              <w:rPr>
                <w:rFonts w:ascii="Arial" w:cs="Arial" w:eastAsia="Arial" w:hAnsi="Arial"/>
                <w:sz w:val="11"/>
                <w:szCs w:val="11"/>
                <w:color w:val="auto"/>
              </w:rPr>
              <w:t>$</w:t>
            </w:r>
          </w:p>
        </w:tc>
        <w:tc>
          <w:tcPr>
            <w:tcW w:w="700" w:type="dxa"/>
            <w:vAlign w:val="bottom"/>
            <w:vMerge w:val="restart"/>
          </w:tcPr>
          <w:p>
            <w:pPr>
              <w:jc w:val="right"/>
              <w:ind w:right="25"/>
              <w:spacing w:after="0"/>
              <w:rPr>
                <w:sz w:val="20"/>
                <w:szCs w:val="20"/>
                <w:color w:val="auto"/>
              </w:rPr>
            </w:pPr>
            <w:r>
              <w:rPr>
                <w:rFonts w:ascii="Arial" w:cs="Arial" w:eastAsia="Arial" w:hAnsi="Arial"/>
                <w:sz w:val="11"/>
                <w:szCs w:val="11"/>
                <w:color w:val="auto"/>
              </w:rPr>
              <w:t>448</w:t>
            </w:r>
          </w:p>
        </w:tc>
        <w:tc>
          <w:tcPr>
            <w:tcW w:w="8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vMerge w:val="restart"/>
          </w:tcPr>
          <w:p>
            <w:pPr>
              <w:jc w:val="right"/>
              <w:ind w:right="10"/>
              <w:spacing w:after="0"/>
              <w:rPr>
                <w:sz w:val="20"/>
                <w:szCs w:val="20"/>
                <w:color w:val="auto"/>
              </w:rPr>
            </w:pPr>
            <w:r>
              <w:rPr>
                <w:rFonts w:ascii="Arial" w:cs="Arial" w:eastAsia="Arial" w:hAnsi="Arial"/>
                <w:sz w:val="11"/>
                <w:szCs w:val="11"/>
                <w:color w:val="auto"/>
              </w:rPr>
              <w:t>—</w:t>
            </w:r>
          </w:p>
        </w:tc>
        <w:tc>
          <w:tcPr>
            <w:tcW w:w="100" w:type="dxa"/>
            <w:vAlign w:val="bottom"/>
            <w:vMerge w:val="restart"/>
          </w:tcPr>
          <w:p>
            <w:pPr>
              <w:spacing w:after="0"/>
              <w:rPr>
                <w:sz w:val="14"/>
                <w:szCs w:val="14"/>
                <w:color w:val="auto"/>
              </w:rPr>
            </w:pPr>
          </w:p>
        </w:tc>
        <w:tc>
          <w:tcPr>
            <w:tcW w:w="6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vMerge w:val="restart"/>
          </w:tcPr>
          <w:p>
            <w:pPr>
              <w:jc w:val="right"/>
              <w:ind w:right="30"/>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58"/>
        </w:trPr>
        <w:tc>
          <w:tcPr>
            <w:tcW w:w="140" w:type="dxa"/>
            <w:vAlign w:val="bottom"/>
            <w:tcBorders>
              <w:bottom w:val="single" w:sz="8" w:color="2C6937"/>
            </w:tcBorders>
            <w:vMerge w:val="continue"/>
          </w:tcPr>
          <w:p>
            <w:pPr>
              <w:spacing w:after="0"/>
              <w:rPr>
                <w:sz w:val="13"/>
                <w:szCs w:val="13"/>
                <w:color w:val="auto"/>
              </w:rPr>
            </w:pPr>
          </w:p>
        </w:tc>
        <w:tc>
          <w:tcPr>
            <w:tcW w:w="680" w:type="dxa"/>
            <w:vAlign w:val="bottom"/>
            <w:tcBorders>
              <w:bottom w:val="single" w:sz="8" w:color="2C6937"/>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2C6937"/>
            </w:tcBorders>
            <w:vMerge w:val="continue"/>
          </w:tcPr>
          <w:p>
            <w:pPr>
              <w:spacing w:after="0"/>
              <w:rPr>
                <w:sz w:val="13"/>
                <w:szCs w:val="13"/>
                <w:color w:val="auto"/>
              </w:rPr>
            </w:pPr>
          </w:p>
        </w:tc>
        <w:tc>
          <w:tcPr>
            <w:tcW w:w="360" w:type="dxa"/>
            <w:vAlign w:val="bottom"/>
            <w:tcBorders>
              <w:bottom w:val="single" w:sz="8" w:color="2C6937"/>
            </w:tcBorders>
            <w:vMerge w:val="continue"/>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Borders>
              <w:bottom w:val="single" w:sz="8" w:color="2C6937"/>
            </w:tcBorders>
            <w:vMerge w:val="continue"/>
          </w:tcPr>
          <w:p>
            <w:pPr>
              <w:spacing w:after="0"/>
              <w:rPr>
                <w:sz w:val="13"/>
                <w:szCs w:val="13"/>
                <w:color w:val="auto"/>
              </w:rPr>
            </w:pPr>
          </w:p>
        </w:tc>
        <w:tc>
          <w:tcPr>
            <w:tcW w:w="480" w:type="dxa"/>
            <w:vAlign w:val="bottom"/>
            <w:tcBorders>
              <w:bottom w:val="single" w:sz="8" w:color="2C6937"/>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2C6937"/>
            </w:tcBorders>
            <w:vMerge w:val="continue"/>
          </w:tcPr>
          <w:p>
            <w:pPr>
              <w:spacing w:after="0"/>
              <w:rPr>
                <w:sz w:val="13"/>
                <w:szCs w:val="13"/>
                <w:color w:val="auto"/>
              </w:rPr>
            </w:pPr>
          </w:p>
        </w:tc>
        <w:tc>
          <w:tcPr>
            <w:tcW w:w="680" w:type="dxa"/>
            <w:vAlign w:val="bottom"/>
            <w:tcBorders>
              <w:bottom w:val="single" w:sz="8" w:color="2C6937"/>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80" w:type="dxa"/>
            <w:vAlign w:val="bottom"/>
            <w:tcBorders>
              <w:bottom w:val="single" w:sz="8" w:color="2C6937"/>
            </w:tcBorders>
            <w:vMerge w:val="continue"/>
          </w:tcPr>
          <w:p>
            <w:pPr>
              <w:spacing w:after="0"/>
              <w:rPr>
                <w:sz w:val="13"/>
                <w:szCs w:val="13"/>
                <w:color w:val="auto"/>
              </w:rPr>
            </w:pPr>
          </w:p>
        </w:tc>
        <w:tc>
          <w:tcPr>
            <w:tcW w:w="420" w:type="dxa"/>
            <w:vAlign w:val="bottom"/>
            <w:tcBorders>
              <w:bottom w:val="single" w:sz="8" w:color="2C6937"/>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80" w:type="dxa"/>
            <w:vAlign w:val="bottom"/>
            <w:tcBorders>
              <w:bottom w:val="single" w:sz="8" w:color="2C6937"/>
            </w:tcBorders>
            <w:vMerge w:val="continue"/>
          </w:tcPr>
          <w:p>
            <w:pPr>
              <w:spacing w:after="0"/>
              <w:rPr>
                <w:sz w:val="13"/>
                <w:szCs w:val="13"/>
                <w:color w:val="auto"/>
              </w:rPr>
            </w:pPr>
          </w:p>
        </w:tc>
        <w:tc>
          <w:tcPr>
            <w:tcW w:w="480" w:type="dxa"/>
            <w:vAlign w:val="bottom"/>
            <w:tcBorders>
              <w:bottom w:val="single" w:sz="8" w:color="2C6937"/>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00" w:type="dxa"/>
            <w:vAlign w:val="bottom"/>
            <w:tcBorders>
              <w:bottom w:val="single" w:sz="8" w:color="2C6937"/>
            </w:tcBorders>
            <w:vMerge w:val="continue"/>
          </w:tcPr>
          <w:p>
            <w:pPr>
              <w:spacing w:after="0"/>
              <w:rPr>
                <w:sz w:val="13"/>
                <w:szCs w:val="13"/>
                <w:color w:val="auto"/>
              </w:rPr>
            </w:pPr>
          </w:p>
        </w:tc>
        <w:tc>
          <w:tcPr>
            <w:tcW w:w="740" w:type="dxa"/>
            <w:vAlign w:val="bottom"/>
            <w:tcBorders>
              <w:bottom w:val="single" w:sz="8" w:color="2C6937"/>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2C6937"/>
            </w:tcBorders>
            <w:vMerge w:val="continue"/>
          </w:tcPr>
          <w:p>
            <w:pPr>
              <w:spacing w:after="0"/>
              <w:rPr>
                <w:sz w:val="13"/>
                <w:szCs w:val="13"/>
                <w:color w:val="auto"/>
              </w:rPr>
            </w:pPr>
          </w:p>
        </w:tc>
        <w:tc>
          <w:tcPr>
            <w:tcW w:w="540" w:type="dxa"/>
            <w:vAlign w:val="bottom"/>
            <w:tcBorders>
              <w:bottom w:val="single" w:sz="8" w:color="2C6937"/>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2C6937"/>
            </w:tcBorders>
            <w:vMerge w:val="continue"/>
          </w:tcPr>
          <w:p>
            <w:pPr>
              <w:spacing w:after="0"/>
              <w:rPr>
                <w:sz w:val="13"/>
                <w:szCs w:val="13"/>
                <w:color w:val="auto"/>
              </w:rPr>
            </w:pPr>
          </w:p>
        </w:tc>
        <w:tc>
          <w:tcPr>
            <w:tcW w:w="520" w:type="dxa"/>
            <w:vAlign w:val="bottom"/>
            <w:tcBorders>
              <w:bottom w:val="single" w:sz="8" w:color="2C6937"/>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40" w:type="dxa"/>
            <w:vAlign w:val="bottom"/>
            <w:tcBorders>
              <w:bottom w:val="single" w:sz="8" w:color="2C6937"/>
            </w:tcBorders>
            <w:vMerge w:val="continue"/>
          </w:tcPr>
          <w:p>
            <w:pPr>
              <w:spacing w:after="0"/>
              <w:rPr>
                <w:sz w:val="13"/>
                <w:szCs w:val="13"/>
                <w:color w:val="auto"/>
              </w:rPr>
            </w:pPr>
          </w:p>
        </w:tc>
        <w:tc>
          <w:tcPr>
            <w:tcW w:w="700" w:type="dxa"/>
            <w:vAlign w:val="bottom"/>
            <w:tcBorders>
              <w:bottom w:val="single" w:sz="8" w:color="2C6937"/>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2C6937"/>
            </w:tcBorders>
            <w:vMerge w:val="continue"/>
          </w:tcPr>
          <w:p>
            <w:pPr>
              <w:spacing w:after="0"/>
              <w:rPr>
                <w:sz w:val="13"/>
                <w:szCs w:val="13"/>
                <w:color w:val="auto"/>
              </w:rPr>
            </w:pPr>
          </w:p>
        </w:tc>
        <w:tc>
          <w:tcPr>
            <w:tcW w:w="760" w:type="dxa"/>
            <w:vAlign w:val="bottom"/>
            <w:tcBorders>
              <w:bottom w:val="single" w:sz="8" w:color="2C6937"/>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60" w:type="dxa"/>
            <w:vAlign w:val="bottom"/>
            <w:tcBorders>
              <w:bottom w:val="single" w:sz="8" w:color="2C6937"/>
            </w:tcBorders>
            <w:vMerge w:val="continue"/>
          </w:tcPr>
          <w:p>
            <w:pPr>
              <w:spacing w:after="0"/>
              <w:rPr>
                <w:sz w:val="13"/>
                <w:szCs w:val="13"/>
                <w:color w:val="auto"/>
              </w:rPr>
            </w:pPr>
          </w:p>
        </w:tc>
        <w:tc>
          <w:tcPr>
            <w:tcW w:w="820" w:type="dxa"/>
            <w:vAlign w:val="bottom"/>
            <w:tcBorders>
              <w:bottom w:val="single" w:sz="8" w:color="2C6937"/>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40" w:type="dxa"/>
            <w:vAlign w:val="bottom"/>
            <w:tcBorders>
              <w:bottom w:val="single" w:sz="8" w:color="2C6937"/>
            </w:tcBorders>
          </w:tcPr>
          <w:p>
            <w:pPr>
              <w:spacing w:after="0"/>
              <w:rPr>
                <w:sz w:val="2"/>
                <w:szCs w:val="2"/>
                <w:color w:val="auto"/>
              </w:rPr>
            </w:pPr>
          </w:p>
        </w:tc>
        <w:tc>
          <w:tcPr>
            <w:tcW w:w="68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360" w:type="dxa"/>
            <w:vAlign w:val="bottom"/>
            <w:tcBorders>
              <w:bottom w:val="single" w:sz="8" w:color="2C6937"/>
            </w:tcBorders>
          </w:tcPr>
          <w:p>
            <w:pPr>
              <w:spacing w:after="0"/>
              <w:rPr>
                <w:sz w:val="2"/>
                <w:szCs w:val="2"/>
                <w:color w:val="auto"/>
              </w:rPr>
            </w:pPr>
          </w:p>
        </w:tc>
        <w:tc>
          <w:tcPr>
            <w:tcW w:w="360" w:type="dxa"/>
            <w:vAlign w:val="bottom"/>
            <w:vMerge w:val="restart"/>
          </w:tcPr>
          <w:p>
            <w:pPr>
              <w:ind w:left="20"/>
              <w:spacing w:after="0"/>
              <w:rPr>
                <w:sz w:val="20"/>
                <w:szCs w:val="20"/>
                <w:color w:val="auto"/>
              </w:rPr>
            </w:pPr>
            <w:r>
              <w:rPr>
                <w:rFonts w:ascii="Arial" w:cs="Arial" w:eastAsia="Arial" w:hAnsi="Arial"/>
                <w:sz w:val="7"/>
                <w:szCs w:val="7"/>
                <w:color w:val="auto"/>
              </w:rPr>
              <w:t>(5)(6)</w:t>
            </w:r>
          </w:p>
        </w:tc>
        <w:tc>
          <w:tcPr>
            <w:tcW w:w="80" w:type="dxa"/>
            <w:vAlign w:val="bottom"/>
            <w:tcBorders>
              <w:bottom w:val="single" w:sz="8" w:color="2C6937"/>
            </w:tcBorders>
          </w:tcPr>
          <w:p>
            <w:pPr>
              <w:spacing w:after="0"/>
              <w:rPr>
                <w:sz w:val="2"/>
                <w:szCs w:val="2"/>
                <w:color w:val="auto"/>
              </w:rPr>
            </w:pPr>
          </w:p>
        </w:tc>
        <w:tc>
          <w:tcPr>
            <w:tcW w:w="4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6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42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4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52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70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6937"/>
            </w:tcBorders>
          </w:tcPr>
          <w:p>
            <w:pPr>
              <w:spacing w:after="0"/>
              <w:rPr>
                <w:sz w:val="2"/>
                <w:szCs w:val="2"/>
                <w:color w:val="auto"/>
              </w:rPr>
            </w:pPr>
          </w:p>
        </w:tc>
        <w:tc>
          <w:tcPr>
            <w:tcW w:w="820" w:type="dxa"/>
            <w:vAlign w:val="bottom"/>
            <w:tcBorders>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r>
        <w:trPr>
          <w:trHeight w:val="274"/>
        </w:trPr>
        <w:tc>
          <w:tcPr>
            <w:tcW w:w="140" w:type="dxa"/>
            <w:vAlign w:val="bottom"/>
          </w:tcPr>
          <w:p>
            <w:pPr>
              <w:ind w:left="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5"/>
              <w:spacing w:after="0"/>
              <w:rPr>
                <w:sz w:val="20"/>
                <w:szCs w:val="20"/>
                <w:color w:val="auto"/>
              </w:rPr>
            </w:pPr>
            <w:r>
              <w:rPr>
                <w:rFonts w:ascii="Arial" w:cs="Arial" w:eastAsia="Arial" w:hAnsi="Arial"/>
                <w:sz w:val="11"/>
                <w:szCs w:val="11"/>
                <w:color w:val="auto"/>
              </w:rPr>
              <w:t>477</w:t>
            </w:r>
          </w:p>
        </w:tc>
        <w:tc>
          <w:tcPr>
            <w:tcW w:w="80" w:type="dxa"/>
            <w:vAlign w:val="bottom"/>
          </w:tcPr>
          <w:p>
            <w:pPr>
              <w:spacing w:after="0"/>
              <w:rPr>
                <w:sz w:val="23"/>
                <w:szCs w:val="23"/>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360" w:type="dxa"/>
            <w:vAlign w:val="bottom"/>
          </w:tcPr>
          <w:p>
            <w:pPr>
              <w:jc w:val="right"/>
              <w:ind w:right="11"/>
              <w:spacing w:after="0"/>
              <w:rPr>
                <w:sz w:val="20"/>
                <w:szCs w:val="20"/>
                <w:color w:val="auto"/>
              </w:rPr>
            </w:pPr>
            <w:r>
              <w:rPr>
                <w:rFonts w:ascii="Arial" w:cs="Arial" w:eastAsia="Arial" w:hAnsi="Arial"/>
                <w:sz w:val="11"/>
                <w:szCs w:val="11"/>
                <w:color w:val="auto"/>
              </w:rPr>
              <w:t>15</w:t>
            </w:r>
          </w:p>
        </w:tc>
        <w:tc>
          <w:tcPr>
            <w:tcW w:w="360" w:type="dxa"/>
            <w:vAlign w:val="bottom"/>
            <w:vMerge w:val="continue"/>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ind w:left="260"/>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(47)</w:t>
            </w:r>
          </w:p>
        </w:tc>
        <w:tc>
          <w:tcPr>
            <w:tcW w:w="8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(47)</w:t>
            </w:r>
          </w:p>
        </w:tc>
        <w:tc>
          <w:tcPr>
            <w:tcW w:w="100" w:type="dxa"/>
            <w:vAlign w:val="bottom"/>
          </w:tcPr>
          <w:p>
            <w:pPr>
              <w:spacing w:after="0"/>
              <w:rPr>
                <w:sz w:val="23"/>
                <w:szCs w:val="23"/>
                <w:color w:val="auto"/>
              </w:rPr>
            </w:pP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38</w:t>
            </w:r>
          </w:p>
        </w:tc>
        <w:tc>
          <w:tcPr>
            <w:tcW w:w="100" w:type="dxa"/>
            <w:vAlign w:val="bottom"/>
          </w:tcPr>
          <w:p>
            <w:pPr>
              <w:spacing w:after="0"/>
              <w:rPr>
                <w:sz w:val="23"/>
                <w:szCs w:val="23"/>
                <w:color w:val="auto"/>
              </w:rPr>
            </w:pP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25"/>
              <w:spacing w:after="0"/>
              <w:rPr>
                <w:sz w:val="20"/>
                <w:szCs w:val="20"/>
                <w:color w:val="auto"/>
              </w:rPr>
            </w:pPr>
            <w:r>
              <w:rPr>
                <w:rFonts w:ascii="Arial" w:cs="Arial" w:eastAsia="Arial" w:hAnsi="Arial"/>
                <w:sz w:val="11"/>
                <w:szCs w:val="11"/>
                <w:color w:val="auto"/>
              </w:rPr>
              <w:t>430</w:t>
            </w:r>
          </w:p>
        </w:tc>
        <w:tc>
          <w:tcPr>
            <w:tcW w:w="8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10"/>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3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22"/>
        </w:trPr>
        <w:tc>
          <w:tcPr>
            <w:tcW w:w="140" w:type="dxa"/>
            <w:vAlign w:val="bottom"/>
          </w:tcPr>
          <w:p>
            <w:pPr>
              <w:spacing w:after="0"/>
              <w:rPr>
                <w:sz w:val="24"/>
                <w:szCs w:val="24"/>
                <w:color w:val="auto"/>
              </w:rPr>
            </w:pPr>
          </w:p>
        </w:tc>
        <w:tc>
          <w:tcPr>
            <w:tcW w:w="680" w:type="dxa"/>
            <w:vAlign w:val="bottom"/>
          </w:tcPr>
          <w:p>
            <w:pPr>
              <w:jc w:val="right"/>
              <w:ind w:right="25"/>
              <w:spacing w:after="0"/>
              <w:rPr>
                <w:sz w:val="20"/>
                <w:szCs w:val="20"/>
                <w:color w:val="auto"/>
              </w:rPr>
            </w:pPr>
            <w:r>
              <w:rPr>
                <w:rFonts w:ascii="Arial" w:cs="Arial" w:eastAsia="Arial" w:hAnsi="Arial"/>
                <w:sz w:val="11"/>
                <w:szCs w:val="11"/>
                <w:color w:val="auto"/>
              </w:rPr>
              <w:t>77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(31)</w:t>
            </w:r>
          </w:p>
        </w:tc>
        <w:tc>
          <w:tcPr>
            <w:tcW w:w="360" w:type="dxa"/>
            <w:vAlign w:val="bottom"/>
          </w:tcPr>
          <w:p>
            <w:pPr>
              <w:ind w:left="20"/>
              <w:spacing w:after="0"/>
              <w:rPr>
                <w:sz w:val="20"/>
                <w:szCs w:val="20"/>
                <w:color w:val="auto"/>
              </w:rPr>
            </w:pPr>
            <w:r>
              <w:rPr>
                <w:rFonts w:ascii="Arial" w:cs="Arial" w:eastAsia="Arial" w:hAnsi="Arial"/>
                <w:sz w:val="7"/>
                <w:szCs w:val="7"/>
                <w:color w:val="auto"/>
              </w:rPr>
              <w:t>(5)</w:t>
            </w:r>
          </w:p>
        </w:tc>
        <w:tc>
          <w:tcPr>
            <w:tcW w:w="8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78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52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740" w:type="dxa"/>
            <w:vAlign w:val="bottom"/>
          </w:tcPr>
          <w:p>
            <w:pPr>
              <w:jc w:val="right"/>
              <w:ind w:right="5"/>
              <w:spacing w:after="0"/>
              <w:rPr>
                <w:sz w:val="20"/>
                <w:szCs w:val="20"/>
                <w:color w:val="auto"/>
              </w:rPr>
            </w:pPr>
            <w:r>
              <w:rPr>
                <w:rFonts w:ascii="Arial" w:cs="Arial" w:eastAsia="Arial" w:hAnsi="Arial"/>
                <w:sz w:val="11"/>
                <w:szCs w:val="11"/>
                <w:color w:val="auto"/>
              </w:rPr>
              <w:t>34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700" w:type="dxa"/>
            <w:vAlign w:val="bottom"/>
          </w:tcPr>
          <w:p>
            <w:pPr>
              <w:jc w:val="right"/>
              <w:ind w:right="25"/>
              <w:spacing w:after="0"/>
              <w:rPr>
                <w:sz w:val="20"/>
                <w:szCs w:val="20"/>
                <w:color w:val="auto"/>
              </w:rPr>
            </w:pPr>
            <w:r>
              <w:rPr>
                <w:rFonts w:ascii="Arial" w:cs="Arial" w:eastAsia="Arial" w:hAnsi="Arial"/>
                <w:sz w:val="11"/>
                <w:szCs w:val="11"/>
                <w:color w:val="auto"/>
              </w:rPr>
              <w:t>80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jc w:val="right"/>
              <w:ind w:right="3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477"/>
        </w:trPr>
        <w:tc>
          <w:tcPr>
            <w:tcW w:w="140" w:type="dxa"/>
            <w:vAlign w:val="bottom"/>
          </w:tcPr>
          <w:p>
            <w:pPr>
              <w:ind w:lef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(268)</w:t>
            </w:r>
          </w:p>
        </w:tc>
        <w:tc>
          <w:tcPr>
            <w:tcW w:w="80" w:type="dxa"/>
            <w:vAlign w:val="bottom"/>
          </w:tcPr>
          <w:p>
            <w:pPr>
              <w:spacing w:after="0"/>
              <w:rPr>
                <w:sz w:val="24"/>
                <w:szCs w:val="24"/>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360" w:type="dxa"/>
            <w:vAlign w:val="bottom"/>
          </w:tcPr>
          <w:p>
            <w:pPr>
              <w:jc w:val="right"/>
              <w:spacing w:after="0"/>
              <w:rPr>
                <w:sz w:val="20"/>
                <w:szCs w:val="20"/>
                <w:color w:val="auto"/>
              </w:rPr>
            </w:pPr>
            <w:r>
              <w:rPr>
                <w:rFonts w:ascii="Arial" w:cs="Arial" w:eastAsia="Arial" w:hAnsi="Arial"/>
                <w:sz w:val="11"/>
                <w:szCs w:val="11"/>
                <w:color w:val="auto"/>
              </w:rPr>
              <w:t>(16)</w:t>
            </w:r>
          </w:p>
        </w:tc>
        <w:tc>
          <w:tcPr>
            <w:tcW w:w="360" w:type="dxa"/>
            <w:vAlign w:val="bottom"/>
          </w:tcPr>
          <w:p>
            <w:pPr>
              <w:ind w:left="20"/>
              <w:spacing w:after="0"/>
              <w:rPr>
                <w:sz w:val="20"/>
                <w:szCs w:val="20"/>
                <w:color w:val="auto"/>
              </w:rPr>
            </w:pPr>
            <w:r>
              <w:rPr>
                <w:rFonts w:ascii="Arial" w:cs="Arial" w:eastAsia="Arial" w:hAnsi="Arial"/>
                <w:sz w:val="7"/>
                <w:szCs w:val="7"/>
                <w:color w:val="auto"/>
              </w:rPr>
              <w:t>(5)</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(284)</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(16)</w:t>
            </w:r>
          </w:p>
        </w:tc>
        <w:tc>
          <w:tcPr>
            <w:tcW w:w="10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3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(117)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ind w:right="146"/>
              <w:spacing w:after="0" w:line="197" w:lineRule="exact"/>
              <w:rPr>
                <w:sz w:val="20"/>
                <w:szCs w:val="20"/>
                <w:color w:val="auto"/>
              </w:rPr>
            </w:pPr>
            <w:r>
              <w:rPr>
                <w:rFonts w:ascii="Arial" w:cs="Arial" w:eastAsia="Arial" w:hAnsi="Arial"/>
                <w:sz w:val="22"/>
                <w:szCs w:val="22"/>
                <w:color w:val="auto"/>
                <w:vertAlign w:val="subscript"/>
              </w:rPr>
              <w:t>(5)</w:t>
            </w:r>
            <w:r>
              <w:rPr>
                <w:rFonts w:ascii="Arial" w:cs="Arial" w:eastAsia="Arial" w:hAnsi="Arial"/>
                <w:sz w:val="7"/>
                <w:szCs w:val="7"/>
                <w:color w:val="auto"/>
              </w:rPr>
              <w:t xml:space="preserve"> (5)(6)</w:t>
            </w:r>
          </w:p>
        </w:tc>
        <w:tc>
          <w:tcPr>
            <w:tcW w:w="8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7"/>
                <w:szCs w:val="17"/>
                <w:color w:val="auto"/>
              </w:rPr>
            </w:pPr>
          </w:p>
        </w:tc>
        <w:tc>
          <w:tcPr>
            <w:tcW w:w="78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7"/>
                <w:szCs w:val="17"/>
                <w:color w:val="auto"/>
              </w:rPr>
            </w:pPr>
          </w:p>
        </w:tc>
        <w:tc>
          <w:tcPr>
            <w:tcW w:w="52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7"/>
                <w:szCs w:val="17"/>
                <w:color w:val="auto"/>
              </w:rPr>
            </w:pP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7"/>
                <w:szCs w:val="17"/>
                <w:color w:val="auto"/>
              </w:rPr>
            </w:pPr>
          </w:p>
        </w:tc>
        <w:tc>
          <w:tcPr>
            <w:tcW w:w="740" w:type="dxa"/>
            <w:vAlign w:val="bottom"/>
          </w:tcPr>
          <w:p>
            <w:pPr>
              <w:jc w:val="right"/>
              <w:ind w:right="5"/>
              <w:spacing w:after="0"/>
              <w:rPr>
                <w:sz w:val="20"/>
                <w:szCs w:val="20"/>
                <w:color w:val="auto"/>
              </w:rPr>
            </w:pPr>
            <w:r>
              <w:rPr>
                <w:rFonts w:ascii="Arial" w:cs="Arial" w:eastAsia="Arial" w:hAnsi="Arial"/>
                <w:sz w:val="11"/>
                <w:szCs w:val="11"/>
                <w:color w:val="auto"/>
              </w:rPr>
              <w:t>12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ind w:right="5"/>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(110)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right"/>
              <w:ind w:right="3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6"/>
        </w:trPr>
        <w:tc>
          <w:tcPr>
            <w:tcW w:w="140" w:type="dxa"/>
            <w:vAlign w:val="bottom"/>
            <w:tcBorders>
              <w:top w:val="single" w:sz="8" w:color="2C6937"/>
              <w:bottom w:val="single" w:sz="8" w:color="2C6937"/>
            </w:tcBorders>
          </w:tcPr>
          <w:p>
            <w:pPr>
              <w:ind w:left="20"/>
              <w:spacing w:after="0"/>
              <w:rPr>
                <w:sz w:val="20"/>
                <w:szCs w:val="20"/>
                <w:color w:val="auto"/>
              </w:rPr>
            </w:pPr>
            <w:r>
              <w:rPr>
                <w:rFonts w:ascii="Arial" w:cs="Arial" w:eastAsia="Arial" w:hAnsi="Arial"/>
                <w:sz w:val="11"/>
                <w:szCs w:val="11"/>
                <w:color w:val="auto"/>
              </w:rPr>
              <w:t>$</w:t>
            </w:r>
          </w:p>
        </w:tc>
        <w:tc>
          <w:tcPr>
            <w:tcW w:w="6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1"/>
                <w:szCs w:val="11"/>
                <w:color w:val="auto"/>
              </w:rPr>
              <w:t>(385)</w:t>
            </w:r>
          </w:p>
        </w:tc>
        <w:tc>
          <w:tcPr>
            <w:tcW w:w="80" w:type="dxa"/>
            <w:vAlign w:val="bottom"/>
          </w:tcPr>
          <w:p>
            <w:pPr>
              <w:spacing w:after="0"/>
              <w:rPr>
                <w:sz w:val="14"/>
                <w:szCs w:val="14"/>
                <w:color w:val="auto"/>
              </w:rPr>
            </w:pPr>
          </w:p>
        </w:tc>
        <w:tc>
          <w:tcPr>
            <w:tcW w:w="200" w:type="dxa"/>
            <w:vAlign w:val="bottom"/>
            <w:tcBorders>
              <w:top w:val="single" w:sz="8" w:color="2C6937"/>
              <w:bottom w:val="single" w:sz="8" w:color="2C6937"/>
            </w:tcBorders>
          </w:tcPr>
          <w:p>
            <w:pPr>
              <w:jc w:val="right"/>
              <w:ind w:right="67"/>
              <w:spacing w:after="0"/>
              <w:rPr>
                <w:sz w:val="20"/>
                <w:szCs w:val="20"/>
                <w:color w:val="auto"/>
              </w:rPr>
            </w:pPr>
            <w:r>
              <w:rPr>
                <w:rFonts w:ascii="Arial" w:cs="Arial" w:eastAsia="Arial" w:hAnsi="Arial"/>
                <w:sz w:val="11"/>
                <w:szCs w:val="11"/>
                <w:color w:val="auto"/>
                <w:w w:val="97"/>
              </w:rPr>
              <w:t>$</w:t>
            </w:r>
          </w:p>
        </w:tc>
        <w:tc>
          <w:tcPr>
            <w:tcW w:w="3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1"/>
                <w:szCs w:val="11"/>
                <w:color w:val="auto"/>
              </w:rPr>
              <w:t>(21)</w:t>
            </w:r>
          </w:p>
        </w:tc>
        <w:tc>
          <w:tcPr>
            <w:tcW w:w="360" w:type="dxa"/>
            <w:vAlign w:val="bottom"/>
          </w:tcPr>
          <w:p>
            <w:pPr>
              <w:spacing w:after="0"/>
              <w:rPr>
                <w:sz w:val="14"/>
                <w:szCs w:val="14"/>
                <w:color w:val="auto"/>
              </w:rPr>
            </w:pPr>
          </w:p>
        </w:tc>
        <w:tc>
          <w:tcPr>
            <w:tcW w:w="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2C6937"/>
              <w:bottom w:val="single" w:sz="8" w:color="2C6937"/>
            </w:tcBorders>
          </w:tcPr>
          <w:p>
            <w:pPr>
              <w:jc w:val="right"/>
              <w:ind w:right="7"/>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2C6937"/>
              <w:bottom w:val="single" w:sz="8" w:color="2C6937"/>
            </w:tcBorders>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2C6937"/>
              <w:bottom w:val="single" w:sz="8" w:color="2C6937"/>
            </w:tcBorders>
          </w:tcPr>
          <w:p>
            <w:pPr>
              <w:ind w:lef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2C6937"/>
              <w:bottom w:val="single" w:sz="8" w:color="2C6937"/>
            </w:tcBorders>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2C6937"/>
              <w:bottom w:val="single" w:sz="8" w:color="2C6937"/>
            </w:tcBorders>
          </w:tcPr>
          <w:p>
            <w:pPr>
              <w:jc w:val="right"/>
              <w:ind w:right="5"/>
              <w:spacing w:after="0"/>
              <w:rPr>
                <w:sz w:val="20"/>
                <w:szCs w:val="20"/>
                <w:color w:val="auto"/>
              </w:rPr>
            </w:pPr>
            <w:r>
              <w:rPr>
                <w:rFonts w:ascii="Arial" w:cs="Arial" w:eastAsia="Arial" w:hAnsi="Arial"/>
                <w:sz w:val="11"/>
                <w:szCs w:val="11"/>
                <w:color w:val="auto"/>
              </w:rPr>
              <w:t>12</w:t>
            </w:r>
          </w:p>
        </w:tc>
        <w:tc>
          <w:tcPr>
            <w:tcW w:w="80" w:type="dxa"/>
            <w:vAlign w:val="bottom"/>
          </w:tcPr>
          <w:p>
            <w:pPr>
              <w:spacing w:after="0"/>
              <w:rPr>
                <w:sz w:val="14"/>
                <w:szCs w:val="14"/>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top w:val="single" w:sz="8" w:color="2C6937"/>
              <w:bottom w:val="single" w:sz="8" w:color="2C6937"/>
            </w:tcBorders>
          </w:tcPr>
          <w:p>
            <w:pPr>
              <w:jc w:val="right"/>
              <w:ind w:right="5"/>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4"/>
                <w:szCs w:val="14"/>
                <w:color w:val="auto"/>
              </w:rPr>
            </w:pPr>
          </w:p>
        </w:tc>
        <w:tc>
          <w:tcPr>
            <w:tcW w:w="120" w:type="dxa"/>
            <w:vAlign w:val="bottom"/>
            <w:tcBorders>
              <w:top w:val="single" w:sz="8" w:color="2C6937"/>
              <w:bottom w:val="single" w:sz="8" w:color="2C6937"/>
            </w:tcBorders>
          </w:tcPr>
          <w:p>
            <w:pPr>
              <w:spacing w:after="0"/>
              <w:rPr>
                <w:sz w:val="20"/>
                <w:szCs w:val="20"/>
                <w:color w:val="auto"/>
              </w:rPr>
            </w:pPr>
            <w:r>
              <w:rPr>
                <w:rFonts w:ascii="Arial" w:cs="Arial" w:eastAsia="Arial" w:hAnsi="Arial"/>
                <w:sz w:val="11"/>
                <w:szCs w:val="11"/>
                <w:color w:val="auto"/>
              </w:rPr>
              <w:t>$</w:t>
            </w:r>
          </w:p>
        </w:tc>
        <w:tc>
          <w:tcPr>
            <w:tcW w:w="5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4"/>
                <w:szCs w:val="14"/>
                <w:color w:val="auto"/>
              </w:rPr>
            </w:pPr>
          </w:p>
        </w:tc>
        <w:tc>
          <w:tcPr>
            <w:tcW w:w="140" w:type="dxa"/>
            <w:vAlign w:val="bottom"/>
            <w:tcBorders>
              <w:top w:val="single" w:sz="8" w:color="2C6937"/>
              <w:bottom w:val="single" w:sz="8" w:color="2C6937"/>
            </w:tcBorders>
          </w:tcPr>
          <w:p>
            <w:pPr>
              <w:spacing w:after="0"/>
              <w:rPr>
                <w:sz w:val="20"/>
                <w:szCs w:val="20"/>
                <w:color w:val="auto"/>
              </w:rPr>
            </w:pPr>
            <w:r>
              <w:rPr>
                <w:rFonts w:ascii="Arial" w:cs="Arial" w:eastAsia="Arial" w:hAnsi="Arial"/>
                <w:sz w:val="11"/>
                <w:szCs w:val="11"/>
                <w:color w:val="auto"/>
              </w:rPr>
              <w:t>$</w:t>
            </w:r>
          </w:p>
        </w:tc>
        <w:tc>
          <w:tcPr>
            <w:tcW w:w="7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1"/>
                <w:szCs w:val="11"/>
                <w:color w:val="auto"/>
              </w:rPr>
              <w:t>(394)</w:t>
            </w:r>
          </w:p>
        </w:tc>
        <w:tc>
          <w:tcPr>
            <w:tcW w:w="80" w:type="dxa"/>
            <w:vAlign w:val="bottom"/>
          </w:tcPr>
          <w:p>
            <w:pPr>
              <w:spacing w:after="0"/>
              <w:rPr>
                <w:sz w:val="14"/>
                <w:szCs w:val="14"/>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1"/>
                <w:szCs w:val="11"/>
                <w:color w:val="auto"/>
              </w:rPr>
              <w:t>(21)</w:t>
            </w:r>
          </w:p>
        </w:tc>
        <w:tc>
          <w:tcPr>
            <w:tcW w:w="100" w:type="dxa"/>
            <w:vAlign w:val="bottom"/>
          </w:tcPr>
          <w:p>
            <w:pPr>
              <w:spacing w:after="0"/>
              <w:rPr>
                <w:sz w:val="14"/>
                <w:szCs w:val="14"/>
                <w:color w:val="auto"/>
              </w:rPr>
            </w:pPr>
          </w:p>
        </w:tc>
        <w:tc>
          <w:tcPr>
            <w:tcW w:w="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2C6937"/>
              <w:bottom w:val="single" w:sz="8" w:color="2C6937"/>
            </w:tcBorders>
          </w:tcPr>
          <w:p>
            <w:pPr>
              <w:jc w:val="right"/>
              <w:ind w:right="3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6"/>
        </w:trPr>
        <w:tc>
          <w:tcPr>
            <w:tcW w:w="140" w:type="dxa"/>
            <w:vAlign w:val="bottom"/>
            <w:tcBorders>
              <w:bottom w:val="single" w:sz="8" w:color="2C6937"/>
            </w:tcBorders>
          </w:tcPr>
          <w:p>
            <w:pPr>
              <w:spacing w:after="0"/>
              <w:rPr>
                <w:sz w:val="2"/>
                <w:szCs w:val="2"/>
                <w:color w:val="auto"/>
              </w:rPr>
            </w:pPr>
          </w:p>
        </w:tc>
        <w:tc>
          <w:tcPr>
            <w:tcW w:w="68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360" w:type="dxa"/>
            <w:vAlign w:val="bottom"/>
            <w:tcBorders>
              <w:bottom w:val="single" w:sz="8" w:color="2C6937"/>
            </w:tcBorders>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4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6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42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4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52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70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6937"/>
            </w:tcBorders>
          </w:tcPr>
          <w:p>
            <w:pPr>
              <w:spacing w:after="0"/>
              <w:rPr>
                <w:sz w:val="2"/>
                <w:szCs w:val="2"/>
                <w:color w:val="auto"/>
              </w:rPr>
            </w:pPr>
          </w:p>
        </w:tc>
        <w:tc>
          <w:tcPr>
            <w:tcW w:w="820" w:type="dxa"/>
            <w:vAlign w:val="bottom"/>
            <w:tcBorders>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Fair Value Measurements Using Significant Unobservable Inputs (Level 3)</w:t>
      </w:r>
    </w:p>
    <w:p>
      <w:pPr>
        <w:spacing w:after="0" w:line="45"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For the Three Months Ended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18415</wp:posOffset>
            </wp:positionV>
            <wp:extent cx="621347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2134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220" w:space="220"/>
            <w:col w:w="9780"/>
          </w:cols>
          <w:pgMar w:left="340" w:top="248" w:right="339" w:bottom="1440" w:gutter="0" w:footer="0" w:header="0"/>
          <w:type w:val="continuous"/>
        </w:sect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5"/>
              </w:rPr>
              <w:t>Net Unrealized</w:t>
            </w:r>
          </w:p>
        </w:tc>
        <w:tc>
          <w:tcPr>
            <w:tcW w:w="60" w:type="dxa"/>
            <w:vAlign w:val="bottom"/>
          </w:tcPr>
          <w:p>
            <w:pPr>
              <w:spacing w:after="0"/>
              <w:rPr>
                <w:sz w:val="8"/>
                <w:szCs w:val="8"/>
                <w:color w:val="auto"/>
              </w:rPr>
            </w:pPr>
          </w:p>
        </w:tc>
        <w:tc>
          <w:tcPr>
            <w:tcW w:w="820" w:type="dxa"/>
            <w:vAlign w:val="bottom"/>
          </w:tcPr>
          <w:p>
            <w:pPr>
              <w:jc w:val="center"/>
              <w:ind w:right="50"/>
              <w:spacing w:after="0"/>
              <w:rPr>
                <w:sz w:val="20"/>
                <w:szCs w:val="20"/>
                <w:color w:val="auto"/>
              </w:rPr>
            </w:pPr>
            <w:r>
              <w:rPr>
                <w:rFonts w:ascii="Arial" w:cs="Arial" w:eastAsia="Arial" w:hAnsi="Arial"/>
                <w:sz w:val="9"/>
                <w:szCs w:val="9"/>
                <w:b w:val="1"/>
                <w:bCs w:val="1"/>
                <w:color w:val="auto"/>
                <w:w w:val="95"/>
              </w:rPr>
              <w:t>Net Unrealized</w:t>
            </w:r>
          </w:p>
        </w:tc>
        <w:tc>
          <w:tcPr>
            <w:tcW w:w="0" w:type="dxa"/>
            <w:vAlign w:val="bottom"/>
          </w:tcPr>
          <w:p>
            <w:pPr>
              <w:spacing w:after="0"/>
              <w:rPr>
                <w:sz w:val="1"/>
                <w:szCs w:val="1"/>
                <w:color w:val="auto"/>
              </w:rPr>
            </w:pPr>
          </w:p>
        </w:tc>
      </w:tr>
      <w:tr>
        <w:trPr>
          <w:trHeight w:val="111"/>
        </w:trPr>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0" w:type="dxa"/>
            <w:vAlign w:val="bottom"/>
            <w:gridSpan w:val="5"/>
          </w:tcPr>
          <w:p>
            <w:pPr>
              <w:ind w:left="120"/>
              <w:spacing w:after="0"/>
              <w:rPr>
                <w:sz w:val="20"/>
                <w:szCs w:val="20"/>
                <w:color w:val="auto"/>
              </w:rPr>
            </w:pPr>
            <w:r>
              <w:rPr>
                <w:rFonts w:ascii="Arial" w:cs="Arial" w:eastAsia="Arial" w:hAnsi="Arial"/>
                <w:sz w:val="9"/>
                <w:szCs w:val="9"/>
                <w:b w:val="1"/>
                <w:bCs w:val="1"/>
                <w:color w:val="auto"/>
              </w:rPr>
              <w:t>Total Gains (Losses)</w:t>
            </w: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6"/>
              </w:rPr>
              <w:t>Gains (Losses)</w:t>
            </w:r>
          </w:p>
        </w:tc>
        <w:tc>
          <w:tcPr>
            <w:tcW w:w="60" w:type="dxa"/>
            <w:vAlign w:val="bottom"/>
          </w:tcPr>
          <w:p>
            <w:pPr>
              <w:spacing w:after="0"/>
              <w:rPr>
                <w:sz w:val="9"/>
                <w:szCs w:val="9"/>
                <w:color w:val="auto"/>
              </w:rPr>
            </w:pPr>
          </w:p>
        </w:tc>
        <w:tc>
          <w:tcPr>
            <w:tcW w:w="820" w:type="dxa"/>
            <w:vAlign w:val="bottom"/>
          </w:tcPr>
          <w:p>
            <w:pPr>
              <w:jc w:val="center"/>
              <w:ind w:right="30"/>
              <w:spacing w:after="0"/>
              <w:rPr>
                <w:sz w:val="20"/>
                <w:szCs w:val="20"/>
                <w:color w:val="auto"/>
              </w:rPr>
            </w:pPr>
            <w:r>
              <w:rPr>
                <w:rFonts w:ascii="Arial" w:cs="Arial" w:eastAsia="Arial" w:hAnsi="Arial"/>
                <w:sz w:val="9"/>
                <w:szCs w:val="9"/>
                <w:b w:val="1"/>
                <w:bCs w:val="1"/>
                <w:color w:val="auto"/>
                <w:w w:val="96"/>
              </w:rPr>
              <w:t>Gains (Losses)</w:t>
            </w:r>
          </w:p>
        </w:tc>
        <w:tc>
          <w:tcPr>
            <w:tcW w:w="0" w:type="dxa"/>
            <w:vAlign w:val="bottom"/>
          </w:tcPr>
          <w:p>
            <w:pPr>
              <w:spacing w:after="0"/>
              <w:rPr>
                <w:sz w:val="1"/>
                <w:szCs w:val="1"/>
                <w:color w:val="auto"/>
              </w:rPr>
            </w:pPr>
          </w:p>
        </w:tc>
      </w:tr>
      <w:tr>
        <w:trPr>
          <w:trHeight w:val="95"/>
        </w:trPr>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0" w:type="dxa"/>
            <w:vAlign w:val="bottom"/>
            <w:gridSpan w:val="5"/>
          </w:tcPr>
          <w:p>
            <w:pPr>
              <w:ind w:left="120"/>
              <w:spacing w:after="0" w:line="95" w:lineRule="exact"/>
              <w:rPr>
                <w:sz w:val="20"/>
                <w:szCs w:val="20"/>
                <w:color w:val="auto"/>
              </w:rPr>
            </w:pPr>
            <w:r>
              <w:rPr>
                <w:rFonts w:ascii="Arial" w:cs="Arial" w:eastAsia="Arial" w:hAnsi="Arial"/>
                <w:sz w:val="9"/>
                <w:szCs w:val="9"/>
                <w:b w:val="1"/>
                <w:bCs w:val="1"/>
                <w:color w:val="auto"/>
              </w:rPr>
              <w:t>(Realized/Unrealized)</w:t>
            </w: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tcPr>
          <w:p>
            <w:pPr>
              <w:jc w:val="center"/>
              <w:ind w:right="200"/>
              <w:spacing w:after="0" w:line="95" w:lineRule="exact"/>
              <w:rPr>
                <w:sz w:val="20"/>
                <w:szCs w:val="20"/>
                <w:color w:val="auto"/>
              </w:rPr>
            </w:pPr>
            <w:r>
              <w:rPr>
                <w:rFonts w:ascii="Arial" w:cs="Arial" w:eastAsia="Arial" w:hAnsi="Arial"/>
                <w:sz w:val="9"/>
                <w:szCs w:val="9"/>
                <w:b w:val="1"/>
                <w:bCs w:val="1"/>
                <w:color w:val="auto"/>
                <w:w w:val="96"/>
              </w:rPr>
              <w:t>Included in Net</w:t>
            </w:r>
          </w:p>
        </w:tc>
        <w:tc>
          <w:tcPr>
            <w:tcW w:w="60" w:type="dxa"/>
            <w:vAlign w:val="bottom"/>
          </w:tcPr>
          <w:p>
            <w:pPr>
              <w:spacing w:after="0"/>
              <w:rPr>
                <w:sz w:val="8"/>
                <w:szCs w:val="8"/>
                <w:color w:val="auto"/>
              </w:rPr>
            </w:pPr>
          </w:p>
        </w:tc>
        <w:tc>
          <w:tcPr>
            <w:tcW w:w="820" w:type="dxa"/>
            <w:vAlign w:val="bottom"/>
          </w:tcPr>
          <w:p>
            <w:pPr>
              <w:jc w:val="center"/>
              <w:ind w:right="30"/>
              <w:spacing w:after="0" w:line="95" w:lineRule="exact"/>
              <w:rPr>
                <w:sz w:val="20"/>
                <w:szCs w:val="20"/>
                <w:color w:val="auto"/>
              </w:rPr>
            </w:pPr>
            <w:r>
              <w:rPr>
                <w:rFonts w:ascii="Arial" w:cs="Arial" w:eastAsia="Arial" w:hAnsi="Arial"/>
                <w:sz w:val="9"/>
                <w:szCs w:val="9"/>
                <w:b w:val="1"/>
                <w:bCs w:val="1"/>
                <w:color w:val="auto"/>
                <w:w w:val="93"/>
              </w:rPr>
              <w:t>Included in OCI</w:t>
            </w:r>
          </w:p>
        </w:tc>
        <w:tc>
          <w:tcPr>
            <w:tcW w:w="0" w:type="dxa"/>
            <w:vAlign w:val="bottom"/>
          </w:tcPr>
          <w:p>
            <w:pPr>
              <w:spacing w:after="0"/>
              <w:rPr>
                <w:sz w:val="1"/>
                <w:szCs w:val="1"/>
                <w:color w:val="auto"/>
              </w:rPr>
            </w:pPr>
          </w:p>
        </w:tc>
      </w:tr>
      <w:tr>
        <w:trPr>
          <w:trHeight w:val="47"/>
        </w:trPr>
        <w:tc>
          <w:tcPr>
            <w:tcW w:w="13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Borders>
              <w:bottom w:val="single" w:sz="8" w:color="2C6937"/>
            </w:tcBorders>
          </w:tcPr>
          <w:p>
            <w:pPr>
              <w:spacing w:after="0"/>
              <w:rPr>
                <w:sz w:val="4"/>
                <w:szCs w:val="4"/>
                <w:color w:val="auto"/>
              </w:rPr>
            </w:pPr>
          </w:p>
        </w:tc>
        <w:tc>
          <w:tcPr>
            <w:tcW w:w="380" w:type="dxa"/>
            <w:vAlign w:val="bottom"/>
            <w:tcBorders>
              <w:bottom w:val="single" w:sz="8" w:color="2C6937"/>
            </w:tcBorders>
          </w:tcPr>
          <w:p>
            <w:pPr>
              <w:spacing w:after="0"/>
              <w:rPr>
                <w:sz w:val="4"/>
                <w:szCs w:val="4"/>
                <w:color w:val="auto"/>
              </w:rPr>
            </w:pPr>
          </w:p>
        </w:tc>
        <w:tc>
          <w:tcPr>
            <w:tcW w:w="340" w:type="dxa"/>
            <w:vAlign w:val="bottom"/>
            <w:tcBorders>
              <w:bottom w:val="single" w:sz="8" w:color="2C6937"/>
            </w:tcBorders>
          </w:tcPr>
          <w:p>
            <w:pPr>
              <w:spacing w:after="0"/>
              <w:rPr>
                <w:sz w:val="4"/>
                <w:szCs w:val="4"/>
                <w:color w:val="auto"/>
              </w:rPr>
            </w:pPr>
          </w:p>
        </w:tc>
        <w:tc>
          <w:tcPr>
            <w:tcW w:w="80" w:type="dxa"/>
            <w:vAlign w:val="bottom"/>
            <w:tcBorders>
              <w:bottom w:val="single" w:sz="8" w:color="2C6937"/>
            </w:tcBorders>
          </w:tcPr>
          <w:p>
            <w:pPr>
              <w:spacing w:after="0"/>
              <w:rPr>
                <w:sz w:val="4"/>
                <w:szCs w:val="4"/>
                <w:color w:val="auto"/>
              </w:rPr>
            </w:pPr>
          </w:p>
        </w:tc>
        <w:tc>
          <w:tcPr>
            <w:tcW w:w="500" w:type="dxa"/>
            <w:vAlign w:val="bottom"/>
            <w:tcBorders>
              <w:bottom w:val="single" w:sz="8" w:color="2C6937"/>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gridSpan w:val="3"/>
            <w:vMerge w:val="restart"/>
          </w:tcPr>
          <w:p>
            <w:pPr>
              <w:jc w:val="center"/>
              <w:ind w:right="100"/>
              <w:spacing w:after="0"/>
              <w:rPr>
                <w:sz w:val="20"/>
                <w:szCs w:val="20"/>
                <w:color w:val="auto"/>
              </w:rPr>
            </w:pPr>
            <w:r>
              <w:rPr>
                <w:rFonts w:ascii="Arial" w:cs="Arial" w:eastAsia="Arial" w:hAnsi="Arial"/>
                <w:sz w:val="9"/>
                <w:szCs w:val="9"/>
                <w:b w:val="1"/>
                <w:bCs w:val="1"/>
                <w:color w:val="auto"/>
                <w:w w:val="95"/>
              </w:rPr>
              <w:t>Income Related to</w:t>
            </w:r>
          </w:p>
        </w:tc>
        <w:tc>
          <w:tcPr>
            <w:tcW w:w="60" w:type="dxa"/>
            <w:vAlign w:val="bottom"/>
          </w:tcPr>
          <w:p>
            <w:pPr>
              <w:spacing w:after="0"/>
              <w:rPr>
                <w:sz w:val="4"/>
                <w:szCs w:val="4"/>
                <w:color w:val="auto"/>
              </w:rPr>
            </w:pPr>
          </w:p>
        </w:tc>
        <w:tc>
          <w:tcPr>
            <w:tcW w:w="820" w:type="dxa"/>
            <w:vAlign w:val="bottom"/>
            <w:vMerge w:val="restart"/>
          </w:tcPr>
          <w:p>
            <w:pPr>
              <w:jc w:val="center"/>
              <w:ind w:right="50"/>
              <w:spacing w:after="0"/>
              <w:rPr>
                <w:sz w:val="20"/>
                <w:szCs w:val="20"/>
                <w:color w:val="auto"/>
              </w:rPr>
            </w:pPr>
            <w:r>
              <w:rPr>
                <w:rFonts w:ascii="Arial" w:cs="Arial" w:eastAsia="Arial" w:hAnsi="Arial"/>
                <w:sz w:val="9"/>
                <w:szCs w:val="9"/>
                <w:b w:val="1"/>
                <w:bCs w:val="1"/>
                <w:color w:val="auto"/>
                <w:w w:val="95"/>
              </w:rPr>
              <w:t>Related to Assets</w:t>
            </w:r>
          </w:p>
        </w:tc>
        <w:tc>
          <w:tcPr>
            <w:tcW w:w="0" w:type="dxa"/>
            <w:vAlign w:val="bottom"/>
          </w:tcPr>
          <w:p>
            <w:pPr>
              <w:spacing w:after="0"/>
              <w:rPr>
                <w:sz w:val="1"/>
                <w:szCs w:val="1"/>
                <w:color w:val="auto"/>
              </w:rPr>
            </w:pPr>
          </w:p>
        </w:tc>
      </w:tr>
      <w:tr>
        <w:trPr>
          <w:trHeight w:val="36"/>
        </w:trPr>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5"/>
              </w:rPr>
              <w:t>Assets and</w:t>
            </w:r>
          </w:p>
        </w:tc>
        <w:tc>
          <w:tcPr>
            <w:tcW w:w="880" w:type="dxa"/>
            <w:vAlign w:val="bottom"/>
            <w:gridSpan w:val="2"/>
          </w:tcPr>
          <w:p>
            <w:pPr>
              <w:jc w:val="center"/>
              <w:spacing w:after="0"/>
              <w:rPr>
                <w:sz w:val="20"/>
                <w:szCs w:val="20"/>
                <w:color w:val="auto"/>
              </w:rPr>
            </w:pPr>
            <w:r>
              <w:rPr>
                <w:rFonts w:ascii="Arial" w:cs="Arial" w:eastAsia="Arial" w:hAnsi="Arial"/>
                <w:sz w:val="9"/>
                <w:szCs w:val="9"/>
                <w:b w:val="1"/>
                <w:bCs w:val="1"/>
                <w:color w:val="auto"/>
                <w:w w:val="93"/>
              </w:rPr>
              <w:t>and Liabilities Still</w:t>
            </w:r>
          </w:p>
        </w:tc>
        <w:tc>
          <w:tcPr>
            <w:tcW w:w="0" w:type="dxa"/>
            <w:vAlign w:val="bottom"/>
          </w:tcPr>
          <w:p>
            <w:pPr>
              <w:spacing w:after="0"/>
              <w:rPr>
                <w:sz w:val="1"/>
                <w:szCs w:val="1"/>
                <w:color w:val="auto"/>
              </w:rPr>
            </w:pPr>
          </w:p>
        </w:tc>
      </w:tr>
      <w:tr>
        <w:trPr>
          <w:trHeight w:val="103"/>
        </w:trPr>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gridSpan w:val="3"/>
          </w:tcPr>
          <w:p>
            <w:pPr>
              <w:jc w:val="center"/>
              <w:ind w:right="120"/>
              <w:spacing w:after="0"/>
              <w:rPr>
                <w:sz w:val="20"/>
                <w:szCs w:val="20"/>
                <w:color w:val="auto"/>
              </w:rPr>
            </w:pPr>
            <w:r>
              <w:rPr>
                <w:rFonts w:ascii="Arial" w:cs="Arial" w:eastAsia="Arial" w:hAnsi="Arial"/>
                <w:sz w:val="9"/>
                <w:szCs w:val="9"/>
                <w:b w:val="1"/>
                <w:bCs w:val="1"/>
                <w:color w:val="auto"/>
                <w:w w:val="92"/>
              </w:rPr>
              <w:t>Included in</w:t>
            </w: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4"/>
              </w:rPr>
              <w:t>Liabilities Still Held</w:t>
            </w:r>
          </w:p>
        </w:tc>
        <w:tc>
          <w:tcPr>
            <w:tcW w:w="60" w:type="dxa"/>
            <w:vAlign w:val="bottom"/>
          </w:tcPr>
          <w:p>
            <w:pPr>
              <w:spacing w:after="0"/>
              <w:rPr>
                <w:sz w:val="8"/>
                <w:szCs w:val="8"/>
                <w:color w:val="auto"/>
              </w:rPr>
            </w:pPr>
          </w:p>
        </w:tc>
        <w:tc>
          <w:tcPr>
            <w:tcW w:w="820" w:type="dxa"/>
            <w:vAlign w:val="bottom"/>
          </w:tcPr>
          <w:p>
            <w:pPr>
              <w:jc w:val="center"/>
              <w:ind w:right="30"/>
              <w:spacing w:after="0"/>
              <w:rPr>
                <w:sz w:val="20"/>
                <w:szCs w:val="20"/>
                <w:color w:val="auto"/>
              </w:rPr>
            </w:pPr>
            <w:r>
              <w:rPr>
                <w:rFonts w:ascii="Arial" w:cs="Arial" w:eastAsia="Arial" w:hAnsi="Arial"/>
                <w:sz w:val="9"/>
                <w:szCs w:val="9"/>
                <w:b w:val="1"/>
                <w:bCs w:val="1"/>
                <w:color w:val="auto"/>
                <w:w w:val="97"/>
              </w:rPr>
              <w:t>Held as of</w:t>
            </w:r>
          </w:p>
        </w:tc>
        <w:tc>
          <w:tcPr>
            <w:tcW w:w="0" w:type="dxa"/>
            <w:vAlign w:val="bottom"/>
          </w:tcPr>
          <w:p>
            <w:pPr>
              <w:spacing w:after="0"/>
              <w:rPr>
                <w:sz w:val="1"/>
                <w:szCs w:val="1"/>
                <w:color w:val="auto"/>
              </w:rPr>
            </w:pPr>
          </w:p>
        </w:tc>
      </w:tr>
      <w:tr>
        <w:trPr>
          <w:trHeight w:val="96"/>
        </w:trPr>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3"/>
          </w:tcPr>
          <w:p>
            <w:pPr>
              <w:ind w:left="40"/>
              <w:spacing w:after="0" w:line="96" w:lineRule="exact"/>
              <w:rPr>
                <w:sz w:val="20"/>
                <w:szCs w:val="20"/>
                <w:color w:val="auto"/>
              </w:rPr>
            </w:pPr>
            <w:r>
              <w:rPr>
                <w:rFonts w:ascii="Arial" w:cs="Arial" w:eastAsia="Arial" w:hAnsi="Arial"/>
                <w:sz w:val="9"/>
                <w:szCs w:val="9"/>
                <w:b w:val="1"/>
                <w:bCs w:val="1"/>
                <w:color w:val="auto"/>
              </w:rPr>
              <w:t>Balance, June 30,</w:t>
            </w:r>
          </w:p>
        </w:tc>
        <w:tc>
          <w:tcPr>
            <w:tcW w:w="580" w:type="dxa"/>
            <w:vAlign w:val="bottom"/>
            <w:gridSpan w:val="2"/>
          </w:tcPr>
          <w:p>
            <w:pPr>
              <w:jc w:val="right"/>
              <w:ind w:right="11"/>
              <w:spacing w:after="0" w:line="96" w:lineRule="exact"/>
              <w:rPr>
                <w:sz w:val="20"/>
                <w:szCs w:val="20"/>
                <w:color w:val="auto"/>
              </w:rPr>
            </w:pPr>
            <w:r>
              <w:rPr>
                <w:rFonts w:ascii="Arial" w:cs="Arial" w:eastAsia="Arial" w:hAnsi="Arial"/>
                <w:sz w:val="9"/>
                <w:szCs w:val="9"/>
                <w:b w:val="1"/>
                <w:bCs w:val="1"/>
                <w:color w:val="auto"/>
              </w:rPr>
              <w:t>Included in</w:t>
            </w: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tcPr>
          <w:p>
            <w:pPr>
              <w:jc w:val="center"/>
              <w:ind w:right="200"/>
              <w:spacing w:after="0" w:line="96" w:lineRule="exact"/>
              <w:rPr>
                <w:sz w:val="20"/>
                <w:szCs w:val="20"/>
                <w:color w:val="auto"/>
              </w:rPr>
            </w:pPr>
            <w:r>
              <w:rPr>
                <w:rFonts w:ascii="Arial" w:cs="Arial" w:eastAsia="Arial" w:hAnsi="Arial"/>
                <w:sz w:val="9"/>
                <w:szCs w:val="9"/>
                <w:b w:val="1"/>
                <w:bCs w:val="1"/>
                <w:color w:val="auto"/>
                <w:w w:val="89"/>
              </w:rPr>
              <w:t>Total OCI</w:t>
            </w: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3"/>
          </w:tcPr>
          <w:p>
            <w:pPr>
              <w:jc w:val="center"/>
              <w:ind w:right="100"/>
              <w:spacing w:after="0" w:line="96" w:lineRule="exact"/>
              <w:rPr>
                <w:sz w:val="20"/>
                <w:szCs w:val="20"/>
                <w:color w:val="auto"/>
              </w:rPr>
            </w:pPr>
            <w:r>
              <w:rPr>
                <w:rFonts w:ascii="Arial" w:cs="Arial" w:eastAsia="Arial" w:hAnsi="Arial"/>
                <w:sz w:val="9"/>
                <w:szCs w:val="9"/>
                <w:b w:val="1"/>
                <w:bCs w:val="1"/>
                <w:color w:val="auto"/>
                <w:w w:val="97"/>
              </w:rPr>
              <w:t>Transfers out</w:t>
            </w:r>
          </w:p>
        </w:tc>
        <w:tc>
          <w:tcPr>
            <w:tcW w:w="740" w:type="dxa"/>
            <w:vAlign w:val="bottom"/>
            <w:gridSpan w:val="3"/>
          </w:tcPr>
          <w:p>
            <w:pPr>
              <w:ind w:left="20"/>
              <w:spacing w:after="0" w:line="96" w:lineRule="exact"/>
              <w:rPr>
                <w:sz w:val="20"/>
                <w:szCs w:val="20"/>
                <w:color w:val="auto"/>
              </w:rPr>
            </w:pPr>
            <w:r>
              <w:rPr>
                <w:rFonts w:ascii="Arial" w:cs="Arial" w:eastAsia="Arial" w:hAnsi="Arial"/>
                <w:sz w:val="9"/>
                <w:szCs w:val="9"/>
                <w:b w:val="1"/>
                <w:bCs w:val="1"/>
                <w:color w:val="auto"/>
              </w:rPr>
              <w:t>Transfers into</w:t>
            </w:r>
          </w:p>
        </w:tc>
        <w:tc>
          <w:tcPr>
            <w:tcW w:w="140" w:type="dxa"/>
            <w:vAlign w:val="bottom"/>
          </w:tcPr>
          <w:p>
            <w:pPr>
              <w:spacing w:after="0"/>
              <w:rPr>
                <w:sz w:val="8"/>
                <w:szCs w:val="8"/>
                <w:color w:val="auto"/>
              </w:rPr>
            </w:pPr>
          </w:p>
        </w:tc>
        <w:tc>
          <w:tcPr>
            <w:tcW w:w="780" w:type="dxa"/>
            <w:vAlign w:val="bottom"/>
            <w:gridSpan w:val="2"/>
          </w:tcPr>
          <w:p>
            <w:pPr>
              <w:ind w:left="80"/>
              <w:spacing w:after="0" w:line="96" w:lineRule="exact"/>
              <w:rPr>
                <w:sz w:val="20"/>
                <w:szCs w:val="20"/>
                <w:color w:val="auto"/>
              </w:rPr>
            </w:pPr>
            <w:r>
              <w:rPr>
                <w:rFonts w:ascii="Arial" w:cs="Arial" w:eastAsia="Arial" w:hAnsi="Arial"/>
                <w:sz w:val="9"/>
                <w:szCs w:val="9"/>
                <w:b w:val="1"/>
                <w:bCs w:val="1"/>
                <w:color w:val="auto"/>
              </w:rPr>
              <w:t>Balance,</w:t>
            </w:r>
          </w:p>
        </w:tc>
        <w:tc>
          <w:tcPr>
            <w:tcW w:w="960" w:type="dxa"/>
            <w:vAlign w:val="bottom"/>
            <w:gridSpan w:val="3"/>
          </w:tcPr>
          <w:p>
            <w:pPr>
              <w:jc w:val="center"/>
              <w:ind w:right="100"/>
              <w:spacing w:after="0" w:line="96" w:lineRule="exact"/>
              <w:rPr>
                <w:sz w:val="20"/>
                <w:szCs w:val="20"/>
                <w:color w:val="auto"/>
              </w:rPr>
            </w:pPr>
            <w:r>
              <w:rPr>
                <w:rFonts w:ascii="Arial" w:cs="Arial" w:eastAsia="Arial" w:hAnsi="Arial"/>
                <w:sz w:val="9"/>
                <w:szCs w:val="9"/>
                <w:b w:val="1"/>
                <w:bCs w:val="1"/>
                <w:color w:val="auto"/>
                <w:w w:val="96"/>
              </w:rPr>
              <w:t>as of September 30,</w:t>
            </w:r>
          </w:p>
        </w:tc>
        <w:tc>
          <w:tcPr>
            <w:tcW w:w="60" w:type="dxa"/>
            <w:vAlign w:val="bottom"/>
          </w:tcPr>
          <w:p>
            <w:pPr>
              <w:spacing w:after="0"/>
              <w:rPr>
                <w:sz w:val="8"/>
                <w:szCs w:val="8"/>
                <w:color w:val="auto"/>
              </w:rPr>
            </w:pPr>
          </w:p>
        </w:tc>
        <w:tc>
          <w:tcPr>
            <w:tcW w:w="820" w:type="dxa"/>
            <w:vAlign w:val="bottom"/>
          </w:tcPr>
          <w:p>
            <w:pPr>
              <w:jc w:val="center"/>
              <w:ind w:right="30"/>
              <w:spacing w:after="0" w:line="96" w:lineRule="exact"/>
              <w:rPr>
                <w:sz w:val="20"/>
                <w:szCs w:val="20"/>
                <w:color w:val="auto"/>
              </w:rPr>
            </w:pPr>
            <w:r>
              <w:rPr>
                <w:rFonts w:ascii="Arial" w:cs="Arial" w:eastAsia="Arial" w:hAnsi="Arial"/>
                <w:sz w:val="9"/>
                <w:szCs w:val="9"/>
                <w:b w:val="1"/>
                <w:bCs w:val="1"/>
                <w:color w:val="auto"/>
                <w:w w:val="94"/>
              </w:rPr>
              <w:t>September 30,</w:t>
            </w:r>
          </w:p>
        </w:tc>
        <w:tc>
          <w:tcPr>
            <w:tcW w:w="0" w:type="dxa"/>
            <w:vAlign w:val="bottom"/>
          </w:tcPr>
          <w:p>
            <w:pPr>
              <w:spacing w:after="0"/>
              <w:rPr>
                <w:sz w:val="1"/>
                <w:szCs w:val="1"/>
                <w:color w:val="auto"/>
              </w:rPr>
            </w:pPr>
          </w:p>
        </w:tc>
      </w:tr>
      <w:tr>
        <w:trPr>
          <w:trHeight w:val="145"/>
        </w:trPr>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2C6937"/>
            </w:tcBorders>
          </w:tcPr>
          <w:p>
            <w:pPr>
              <w:spacing w:after="0"/>
              <w:rPr>
                <w:sz w:val="12"/>
                <w:szCs w:val="12"/>
                <w:color w:val="auto"/>
              </w:rPr>
            </w:pPr>
          </w:p>
        </w:tc>
        <w:tc>
          <w:tcPr>
            <w:tcW w:w="620" w:type="dxa"/>
            <w:vAlign w:val="bottom"/>
            <w:tcBorders>
              <w:bottom w:val="single" w:sz="8" w:color="2C6937"/>
            </w:tcBorders>
          </w:tcPr>
          <w:p>
            <w:pPr>
              <w:jc w:val="right"/>
              <w:ind w:right="265"/>
              <w:spacing w:after="0"/>
              <w:rPr>
                <w:sz w:val="20"/>
                <w:szCs w:val="20"/>
                <w:color w:val="auto"/>
              </w:rPr>
            </w:pPr>
            <w:r>
              <w:rPr>
                <w:rFonts w:ascii="Arial" w:cs="Arial" w:eastAsia="Arial" w:hAnsi="Arial"/>
                <w:sz w:val="9"/>
                <w:szCs w:val="9"/>
                <w:b w:val="1"/>
                <w:bCs w:val="1"/>
                <w:color w:val="auto"/>
              </w:rPr>
              <w:t>2023</w:t>
            </w:r>
          </w:p>
        </w:tc>
        <w:tc>
          <w:tcPr>
            <w:tcW w:w="80" w:type="dxa"/>
            <w:vAlign w:val="bottom"/>
            <w:tcBorders>
              <w:bottom w:val="single" w:sz="8" w:color="2C6937"/>
            </w:tcBorders>
          </w:tcPr>
          <w:p>
            <w:pPr>
              <w:spacing w:after="0"/>
              <w:rPr>
                <w:sz w:val="12"/>
                <w:szCs w:val="12"/>
                <w:color w:val="auto"/>
              </w:rPr>
            </w:pPr>
          </w:p>
        </w:tc>
        <w:tc>
          <w:tcPr>
            <w:tcW w:w="580" w:type="dxa"/>
            <w:vAlign w:val="bottom"/>
            <w:tcBorders>
              <w:bottom w:val="single" w:sz="8" w:color="2C6937"/>
            </w:tcBorders>
            <w:gridSpan w:val="2"/>
          </w:tcPr>
          <w:p>
            <w:pPr>
              <w:jc w:val="right"/>
              <w:ind w:right="11"/>
              <w:spacing w:after="0"/>
              <w:rPr>
                <w:sz w:val="20"/>
                <w:szCs w:val="20"/>
                <w:color w:val="auto"/>
              </w:rPr>
            </w:pPr>
            <w:r>
              <w:rPr>
                <w:rFonts w:ascii="Arial" w:cs="Arial" w:eastAsia="Arial" w:hAnsi="Arial"/>
                <w:sz w:val="9"/>
                <w:szCs w:val="9"/>
                <w:b w:val="1"/>
                <w:bCs w:val="1"/>
                <w:color w:val="auto"/>
              </w:rPr>
              <w:t>Net Income</w:t>
            </w:r>
          </w:p>
        </w:tc>
        <w:tc>
          <w:tcPr>
            <w:tcW w:w="340" w:type="dxa"/>
            <w:vAlign w:val="bottom"/>
            <w:tcBorders>
              <w:bottom w:val="single" w:sz="8" w:color="2C6937"/>
            </w:tcBorders>
          </w:tcPr>
          <w:p>
            <w:pPr>
              <w:spacing w:after="0"/>
              <w:rPr>
                <w:sz w:val="12"/>
                <w:szCs w:val="12"/>
                <w:color w:val="auto"/>
              </w:rPr>
            </w:pPr>
          </w:p>
        </w:tc>
        <w:tc>
          <w:tcPr>
            <w:tcW w:w="80" w:type="dxa"/>
            <w:vAlign w:val="bottom"/>
            <w:tcBorders>
              <w:bottom w:val="single" w:sz="8" w:color="2C6937"/>
            </w:tcBorders>
          </w:tcPr>
          <w:p>
            <w:pPr>
              <w:spacing w:after="0"/>
              <w:rPr>
                <w:sz w:val="12"/>
                <w:szCs w:val="12"/>
                <w:color w:val="auto"/>
              </w:rPr>
            </w:pPr>
          </w:p>
        </w:tc>
        <w:tc>
          <w:tcPr>
            <w:tcW w:w="60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9"/>
                <w:szCs w:val="9"/>
                <w:b w:val="1"/>
                <w:bCs w:val="1"/>
                <w:color w:val="auto"/>
                <w:w w:val="88"/>
              </w:rPr>
              <w:t>(Loss)</w:t>
            </w:r>
            <w:r>
              <w:rPr>
                <w:rFonts w:ascii="Arial" w:cs="Arial" w:eastAsia="Arial" w:hAnsi="Arial"/>
                <w:sz w:val="11"/>
                <w:szCs w:val="11"/>
                <w:b w:val="1"/>
                <w:bCs w:val="1"/>
                <w:color w:val="auto"/>
                <w:w w:val="88"/>
                <w:vertAlign w:val="superscript"/>
              </w:rPr>
              <w:t>(1)</w:t>
            </w:r>
          </w:p>
        </w:tc>
        <w:tc>
          <w:tcPr>
            <w:tcW w:w="100" w:type="dxa"/>
            <w:vAlign w:val="bottom"/>
            <w:tcBorders>
              <w:bottom w:val="single" w:sz="8" w:color="2C6937"/>
            </w:tcBorders>
          </w:tcPr>
          <w:p>
            <w:pPr>
              <w:spacing w:after="0"/>
              <w:rPr>
                <w:sz w:val="12"/>
                <w:szCs w:val="12"/>
                <w:color w:val="auto"/>
              </w:rPr>
            </w:pPr>
          </w:p>
        </w:tc>
        <w:tc>
          <w:tcPr>
            <w:tcW w:w="760" w:type="dxa"/>
            <w:vAlign w:val="bottom"/>
            <w:tcBorders>
              <w:bottom w:val="single" w:sz="8" w:color="2C6937"/>
            </w:tcBorders>
            <w:gridSpan w:val="2"/>
          </w:tcPr>
          <w:p>
            <w:pPr>
              <w:ind w:left="20"/>
              <w:spacing w:after="0"/>
              <w:rPr>
                <w:sz w:val="20"/>
                <w:szCs w:val="20"/>
                <w:color w:val="auto"/>
              </w:rPr>
            </w:pPr>
            <w:r>
              <w:rPr>
                <w:rFonts w:ascii="Arial" w:cs="Arial" w:eastAsia="Arial" w:hAnsi="Arial"/>
                <w:sz w:val="9"/>
                <w:szCs w:val="9"/>
                <w:b w:val="1"/>
                <w:bCs w:val="1"/>
                <w:color w:val="auto"/>
              </w:rPr>
              <w:t>Purchases</w:t>
            </w:r>
            <w:r>
              <w:rPr>
                <w:rFonts w:ascii="Arial" w:cs="Arial" w:eastAsia="Arial" w:hAnsi="Arial"/>
                <w:sz w:val="11"/>
                <w:szCs w:val="11"/>
                <w:b w:val="1"/>
                <w:bCs w:val="1"/>
                <w:color w:val="auto"/>
                <w:vertAlign w:val="superscript"/>
              </w:rPr>
              <w:t>(2)</w:t>
            </w:r>
          </w:p>
        </w:tc>
        <w:tc>
          <w:tcPr>
            <w:tcW w:w="100" w:type="dxa"/>
            <w:vAlign w:val="bottom"/>
            <w:tcBorders>
              <w:bottom w:val="single" w:sz="8" w:color="2C6937"/>
            </w:tcBorders>
          </w:tcPr>
          <w:p>
            <w:pPr>
              <w:spacing w:after="0"/>
              <w:rPr>
                <w:sz w:val="12"/>
                <w:szCs w:val="12"/>
                <w:color w:val="auto"/>
              </w:rPr>
            </w:pPr>
          </w:p>
        </w:tc>
        <w:tc>
          <w:tcPr>
            <w:tcW w:w="520" w:type="dxa"/>
            <w:vAlign w:val="bottom"/>
            <w:tcBorders>
              <w:bottom w:val="single" w:sz="8" w:color="2C6937"/>
            </w:tcBorders>
            <w:gridSpan w:val="2"/>
          </w:tcPr>
          <w:p>
            <w:pPr>
              <w:ind w:left="20"/>
              <w:spacing w:after="0"/>
              <w:rPr>
                <w:sz w:val="20"/>
                <w:szCs w:val="20"/>
                <w:color w:val="auto"/>
              </w:rPr>
            </w:pPr>
            <w:r>
              <w:rPr>
                <w:rFonts w:ascii="Arial" w:cs="Arial" w:eastAsia="Arial" w:hAnsi="Arial"/>
                <w:sz w:val="9"/>
                <w:szCs w:val="9"/>
                <w:b w:val="1"/>
                <w:bCs w:val="1"/>
                <w:color w:val="auto"/>
              </w:rPr>
              <w:t>Sales</w:t>
            </w:r>
            <w:r>
              <w:rPr>
                <w:rFonts w:ascii="Arial" w:cs="Arial" w:eastAsia="Arial" w:hAnsi="Arial"/>
                <w:sz w:val="11"/>
                <w:szCs w:val="11"/>
                <w:b w:val="1"/>
                <w:bCs w:val="1"/>
                <w:color w:val="auto"/>
                <w:vertAlign w:val="superscript"/>
              </w:rPr>
              <w:t>(2)</w:t>
            </w:r>
          </w:p>
        </w:tc>
        <w:tc>
          <w:tcPr>
            <w:tcW w:w="80" w:type="dxa"/>
            <w:vAlign w:val="bottom"/>
            <w:tcBorders>
              <w:bottom w:val="single" w:sz="8" w:color="2C6937"/>
            </w:tcBorders>
          </w:tcPr>
          <w:p>
            <w:pPr>
              <w:spacing w:after="0"/>
              <w:rPr>
                <w:sz w:val="12"/>
                <w:szCs w:val="12"/>
                <w:color w:val="auto"/>
              </w:rPr>
            </w:pPr>
          </w:p>
        </w:tc>
        <w:tc>
          <w:tcPr>
            <w:tcW w:w="580" w:type="dxa"/>
            <w:vAlign w:val="bottom"/>
            <w:tcBorders>
              <w:bottom w:val="single" w:sz="8" w:color="2C6937"/>
            </w:tcBorders>
            <w:gridSpan w:val="2"/>
          </w:tcPr>
          <w:p>
            <w:pPr>
              <w:ind w:left="20"/>
              <w:spacing w:after="0"/>
              <w:rPr>
                <w:sz w:val="20"/>
                <w:szCs w:val="20"/>
                <w:color w:val="auto"/>
              </w:rPr>
            </w:pPr>
            <w:r>
              <w:rPr>
                <w:rFonts w:ascii="Arial" w:cs="Arial" w:eastAsia="Arial" w:hAnsi="Arial"/>
                <w:sz w:val="9"/>
                <w:szCs w:val="9"/>
                <w:b w:val="1"/>
                <w:bCs w:val="1"/>
                <w:color w:val="auto"/>
              </w:rPr>
              <w:t>Issues</w:t>
            </w:r>
            <w:r>
              <w:rPr>
                <w:rFonts w:ascii="Arial" w:cs="Arial" w:eastAsia="Arial" w:hAnsi="Arial"/>
                <w:sz w:val="11"/>
                <w:szCs w:val="11"/>
                <w:b w:val="1"/>
                <w:bCs w:val="1"/>
                <w:color w:val="auto"/>
                <w:vertAlign w:val="superscript"/>
              </w:rPr>
              <w:t>(3)</w:t>
            </w:r>
          </w:p>
        </w:tc>
        <w:tc>
          <w:tcPr>
            <w:tcW w:w="100" w:type="dxa"/>
            <w:vAlign w:val="bottom"/>
            <w:tcBorders>
              <w:bottom w:val="single" w:sz="8" w:color="2C6937"/>
            </w:tcBorders>
          </w:tcPr>
          <w:p>
            <w:pPr>
              <w:spacing w:after="0"/>
              <w:rPr>
                <w:sz w:val="12"/>
                <w:szCs w:val="12"/>
                <w:color w:val="auto"/>
              </w:rPr>
            </w:pPr>
          </w:p>
        </w:tc>
        <w:tc>
          <w:tcPr>
            <w:tcW w:w="820" w:type="dxa"/>
            <w:vAlign w:val="bottom"/>
            <w:tcBorders>
              <w:bottom w:val="single" w:sz="8" w:color="2C6937"/>
            </w:tcBorders>
            <w:gridSpan w:val="2"/>
          </w:tcPr>
          <w:p>
            <w:pPr>
              <w:ind w:left="40"/>
              <w:spacing w:after="0"/>
              <w:rPr>
                <w:sz w:val="20"/>
                <w:szCs w:val="20"/>
                <w:color w:val="auto"/>
              </w:rPr>
            </w:pPr>
            <w:r>
              <w:rPr>
                <w:rFonts w:ascii="Arial" w:cs="Arial" w:eastAsia="Arial" w:hAnsi="Arial"/>
                <w:sz w:val="9"/>
                <w:szCs w:val="9"/>
                <w:b w:val="1"/>
                <w:bCs w:val="1"/>
                <w:color w:val="auto"/>
              </w:rPr>
              <w:t>Settlements</w:t>
            </w:r>
            <w:r>
              <w:rPr>
                <w:rFonts w:ascii="Arial" w:cs="Arial" w:eastAsia="Arial" w:hAnsi="Arial"/>
                <w:sz w:val="11"/>
                <w:szCs w:val="11"/>
                <w:b w:val="1"/>
                <w:bCs w:val="1"/>
                <w:color w:val="auto"/>
                <w:vertAlign w:val="superscript"/>
              </w:rPr>
              <w:t>(3)</w:t>
            </w:r>
          </w:p>
        </w:tc>
        <w:tc>
          <w:tcPr>
            <w:tcW w:w="100" w:type="dxa"/>
            <w:vAlign w:val="bottom"/>
            <w:tcBorders>
              <w:bottom w:val="single" w:sz="8" w:color="2C6937"/>
            </w:tcBorders>
          </w:tcPr>
          <w:p>
            <w:pPr>
              <w:spacing w:after="0"/>
              <w:rPr>
                <w:sz w:val="12"/>
                <w:szCs w:val="12"/>
                <w:color w:val="auto"/>
              </w:rPr>
            </w:pPr>
          </w:p>
        </w:tc>
        <w:tc>
          <w:tcPr>
            <w:tcW w:w="64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9"/>
                <w:szCs w:val="9"/>
                <w:b w:val="1"/>
                <w:bCs w:val="1"/>
                <w:color w:val="auto"/>
                <w:w w:val="96"/>
              </w:rPr>
              <w:t>of Level 3</w:t>
            </w:r>
          </w:p>
        </w:tc>
        <w:tc>
          <w:tcPr>
            <w:tcW w:w="120" w:type="dxa"/>
            <w:vAlign w:val="bottom"/>
            <w:tcBorders>
              <w:bottom w:val="single" w:sz="8" w:color="2C6937"/>
            </w:tcBorders>
          </w:tcPr>
          <w:p>
            <w:pPr>
              <w:spacing w:after="0"/>
              <w:rPr>
                <w:sz w:val="12"/>
                <w:szCs w:val="12"/>
                <w:color w:val="auto"/>
              </w:rPr>
            </w:pPr>
          </w:p>
        </w:tc>
        <w:tc>
          <w:tcPr>
            <w:tcW w:w="620" w:type="dxa"/>
            <w:vAlign w:val="bottom"/>
            <w:tcBorders>
              <w:bottom w:val="single" w:sz="8" w:color="2C6937"/>
            </w:tcBorders>
            <w:gridSpan w:val="2"/>
          </w:tcPr>
          <w:p>
            <w:pPr>
              <w:ind w:left="40"/>
              <w:spacing w:after="0"/>
              <w:rPr>
                <w:sz w:val="20"/>
                <w:szCs w:val="20"/>
                <w:color w:val="auto"/>
              </w:rPr>
            </w:pPr>
            <w:r>
              <w:rPr>
                <w:rFonts w:ascii="Arial" w:cs="Arial" w:eastAsia="Arial" w:hAnsi="Arial"/>
                <w:sz w:val="9"/>
                <w:szCs w:val="9"/>
                <w:b w:val="1"/>
                <w:bCs w:val="1"/>
                <w:color w:val="auto"/>
              </w:rPr>
              <w:t>Level 3</w:t>
            </w:r>
          </w:p>
        </w:tc>
        <w:tc>
          <w:tcPr>
            <w:tcW w:w="920" w:type="dxa"/>
            <w:vAlign w:val="bottom"/>
            <w:tcBorders>
              <w:bottom w:val="single" w:sz="8" w:color="2C6937"/>
            </w:tcBorders>
            <w:gridSpan w:val="3"/>
          </w:tcPr>
          <w:p>
            <w:pPr>
              <w:spacing w:after="0"/>
              <w:rPr>
                <w:sz w:val="20"/>
                <w:szCs w:val="20"/>
                <w:color w:val="auto"/>
              </w:rPr>
            </w:pPr>
            <w:r>
              <w:rPr>
                <w:rFonts w:ascii="Arial" w:cs="Arial" w:eastAsia="Arial" w:hAnsi="Arial"/>
                <w:sz w:val="9"/>
                <w:szCs w:val="9"/>
                <w:b w:val="1"/>
                <w:bCs w:val="1"/>
                <w:color w:val="auto"/>
              </w:rPr>
              <w:t>September 30, 2023</w:t>
            </w:r>
          </w:p>
        </w:tc>
        <w:tc>
          <w:tcPr>
            <w:tcW w:w="100" w:type="dxa"/>
            <w:vAlign w:val="bottom"/>
            <w:tcBorders>
              <w:bottom w:val="single" w:sz="8" w:color="2C6937"/>
            </w:tcBorders>
          </w:tcPr>
          <w:p>
            <w:pPr>
              <w:spacing w:after="0"/>
              <w:rPr>
                <w:sz w:val="12"/>
                <w:szCs w:val="12"/>
                <w:color w:val="auto"/>
              </w:rPr>
            </w:pPr>
          </w:p>
        </w:tc>
        <w:tc>
          <w:tcPr>
            <w:tcW w:w="760" w:type="dxa"/>
            <w:vAlign w:val="bottom"/>
            <w:tcBorders>
              <w:bottom w:val="single" w:sz="8" w:color="2C6937"/>
            </w:tcBorders>
          </w:tcPr>
          <w:p>
            <w:pPr>
              <w:jc w:val="center"/>
              <w:ind w:right="50"/>
              <w:spacing w:after="0" w:line="145" w:lineRule="exact"/>
              <w:rPr>
                <w:sz w:val="20"/>
                <w:szCs w:val="20"/>
                <w:color w:val="auto"/>
              </w:rPr>
            </w:pPr>
            <w:r>
              <w:rPr>
                <w:rFonts w:ascii="Arial" w:cs="Arial" w:eastAsia="Arial" w:hAnsi="Arial"/>
                <w:sz w:val="16"/>
                <w:szCs w:val="16"/>
                <w:b w:val="1"/>
                <w:bCs w:val="1"/>
                <w:color w:val="auto"/>
                <w:w w:val="94"/>
                <w:vertAlign w:val="subscript"/>
              </w:rPr>
              <w:t>2023</w:t>
            </w:r>
            <w:r>
              <w:rPr>
                <w:rFonts w:ascii="Arial" w:cs="Arial" w:eastAsia="Arial" w:hAnsi="Arial"/>
                <w:sz w:val="5"/>
                <w:szCs w:val="5"/>
                <w:b w:val="1"/>
                <w:bCs w:val="1"/>
                <w:color w:val="auto"/>
                <w:w w:val="94"/>
              </w:rPr>
              <w:t>(4)(5)</w:t>
            </w:r>
          </w:p>
        </w:tc>
        <w:tc>
          <w:tcPr>
            <w:tcW w:w="100" w:type="dxa"/>
            <w:vAlign w:val="bottom"/>
            <w:tcBorders>
              <w:bottom w:val="single" w:sz="8" w:color="2C6937"/>
            </w:tcBorders>
          </w:tcPr>
          <w:p>
            <w:pPr>
              <w:spacing w:after="0"/>
              <w:rPr>
                <w:sz w:val="12"/>
                <w:szCs w:val="12"/>
                <w:color w:val="auto"/>
              </w:rPr>
            </w:pPr>
          </w:p>
        </w:tc>
        <w:tc>
          <w:tcPr>
            <w:tcW w:w="60" w:type="dxa"/>
            <w:vAlign w:val="bottom"/>
            <w:tcBorders>
              <w:bottom w:val="single" w:sz="8" w:color="2C6937"/>
            </w:tcBorders>
          </w:tcPr>
          <w:p>
            <w:pPr>
              <w:spacing w:after="0"/>
              <w:rPr>
                <w:sz w:val="12"/>
                <w:szCs w:val="12"/>
                <w:color w:val="auto"/>
              </w:rPr>
            </w:pPr>
          </w:p>
        </w:tc>
        <w:tc>
          <w:tcPr>
            <w:tcW w:w="820" w:type="dxa"/>
            <w:vAlign w:val="bottom"/>
            <w:tcBorders>
              <w:bottom w:val="single" w:sz="8" w:color="2C6937"/>
            </w:tcBorders>
          </w:tcPr>
          <w:p>
            <w:pPr>
              <w:jc w:val="center"/>
              <w:ind w:right="30"/>
              <w:spacing w:after="0"/>
              <w:rPr>
                <w:sz w:val="20"/>
                <w:szCs w:val="20"/>
                <w:color w:val="auto"/>
              </w:rPr>
            </w:pPr>
            <w:r>
              <w:rPr>
                <w:rFonts w:ascii="Arial" w:cs="Arial" w:eastAsia="Arial" w:hAnsi="Arial"/>
                <w:sz w:val="9"/>
                <w:szCs w:val="9"/>
                <w:b w:val="1"/>
                <w:bCs w:val="1"/>
                <w:color w:val="auto"/>
                <w:w w:val="89"/>
              </w:rPr>
              <w:t>2023</w:t>
            </w:r>
            <w:r>
              <w:rPr>
                <w:rFonts w:ascii="Arial" w:cs="Arial" w:eastAsia="Arial" w:hAnsi="Arial"/>
                <w:sz w:val="11"/>
                <w:szCs w:val="11"/>
                <w:b w:val="1"/>
                <w:bCs w:val="1"/>
                <w:color w:val="auto"/>
                <w:w w:val="89"/>
                <w:vertAlign w:val="superscript"/>
              </w:rPr>
              <w:t>(1)</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5"/>
          </w:tcPr>
          <w:p>
            <w:pPr>
              <w:ind w:left="320"/>
              <w:spacing w:after="0"/>
              <w:rPr>
                <w:sz w:val="20"/>
                <w:szCs w:val="20"/>
                <w:color w:val="auto"/>
              </w:rPr>
            </w:pPr>
            <w:r>
              <w:rPr>
                <w:rFonts w:ascii="Arial" w:cs="Arial" w:eastAsia="Arial" w:hAnsi="Arial"/>
                <w:sz w:val="11"/>
                <w:szCs w:val="11"/>
                <w:b w:val="1"/>
                <w:bCs w:val="1"/>
                <w:color w:val="auto"/>
              </w:rPr>
              <w:t>(Dollars in millions)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420" w:type="dxa"/>
            <w:vAlign w:val="bottom"/>
            <w:gridSpan w:val="2"/>
          </w:tcPr>
          <w:p>
            <w:pPr>
              <w:ind w:left="20"/>
              <w:spacing w:after="0"/>
              <w:rPr>
                <w:sz w:val="20"/>
                <w:szCs w:val="20"/>
                <w:color w:val="auto"/>
              </w:rPr>
            </w:pPr>
            <w:r>
              <w:rPr>
                <w:rFonts w:ascii="Arial" w:cs="Arial" w:eastAsia="Arial" w:hAnsi="Arial"/>
                <w:sz w:val="11"/>
                <w:szCs w:val="11"/>
                <w:color w:val="auto"/>
              </w:rPr>
              <w:t>Trading securities:</w:t>
            </w: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1420" w:type="dxa"/>
            <w:vAlign w:val="bottom"/>
            <w:gridSpan w:val="2"/>
          </w:tcPr>
          <w:p>
            <w:pPr>
              <w:ind w:left="60"/>
              <w:spacing w:after="0"/>
              <w:rPr>
                <w:sz w:val="20"/>
                <w:szCs w:val="20"/>
                <w:color w:val="auto"/>
              </w:rPr>
            </w:pPr>
            <w:r>
              <w:rPr>
                <w:rFonts w:ascii="Arial" w:cs="Arial" w:eastAsia="Arial" w:hAnsi="Arial"/>
                <w:sz w:val="11"/>
                <w:szCs w:val="11"/>
                <w:color w:val="auto"/>
              </w:rPr>
              <w:t>Mortgage-related</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28</w:t>
            </w:r>
          </w:p>
        </w:tc>
        <w:tc>
          <w:tcPr>
            <w:tcW w:w="80" w:type="dxa"/>
            <w:vAlign w:val="bottom"/>
          </w:tcPr>
          <w:p>
            <w:pPr>
              <w:spacing w:after="0"/>
              <w:rPr>
                <w:sz w:val="18"/>
                <w:szCs w:val="18"/>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720" w:type="dxa"/>
            <w:vAlign w:val="bottom"/>
            <w:gridSpan w:val="2"/>
          </w:tcPr>
          <w:p>
            <w:pPr>
              <w:jc w:val="right"/>
              <w:ind w:right="129"/>
              <w:spacing w:after="0" w:line="213" w:lineRule="exact"/>
              <w:rPr>
                <w:sz w:val="20"/>
                <w:szCs w:val="20"/>
                <w:color w:val="auto"/>
              </w:rPr>
            </w:pPr>
            <w:r>
              <w:rPr>
                <w:rFonts w:ascii="Arial" w:cs="Arial" w:eastAsia="Arial" w:hAnsi="Arial"/>
                <w:sz w:val="22"/>
                <w:szCs w:val="22"/>
                <w:color w:val="auto"/>
                <w:vertAlign w:val="subscript"/>
              </w:rPr>
              <w:t>(4)</w:t>
            </w:r>
            <w:r>
              <w:rPr>
                <w:rFonts w:ascii="Arial" w:cs="Arial" w:eastAsia="Arial" w:hAnsi="Arial"/>
                <w:sz w:val="7"/>
                <w:szCs w:val="7"/>
                <w:color w:val="auto"/>
              </w:rPr>
              <w:t xml:space="preserve"> (5)(6)</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gridSpan w:val="2"/>
          </w:tcPr>
          <w:p>
            <w:pPr>
              <w:jc w:val="center"/>
              <w:ind w:left="87"/>
              <w:spacing w:after="0"/>
              <w:rPr>
                <w:sz w:val="20"/>
                <w:szCs w:val="20"/>
                <w:color w:val="auto"/>
              </w:rPr>
            </w:pPr>
            <w:r>
              <w:rPr>
                <w:rFonts w:ascii="Arial" w:cs="Arial" w:eastAsia="Arial" w:hAnsi="Arial"/>
                <w:sz w:val="11"/>
                <w:szCs w:val="11"/>
                <w:color w:val="auto"/>
                <w:w w:val="90"/>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25"/>
              <w:spacing w:after="0"/>
              <w:rPr>
                <w:sz w:val="20"/>
                <w:szCs w:val="20"/>
                <w:color w:val="auto"/>
              </w:rPr>
            </w:pPr>
            <w:r>
              <w:rPr>
                <w:rFonts w:ascii="Arial" w:cs="Arial" w:eastAsia="Arial" w:hAnsi="Arial"/>
                <w:sz w:val="11"/>
                <w:szCs w:val="11"/>
                <w:color w:val="auto"/>
              </w:rPr>
              <w:t>24</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center"/>
              <w:ind w:left="510"/>
              <w:spacing w:after="0"/>
              <w:rPr>
                <w:sz w:val="20"/>
                <w:szCs w:val="20"/>
                <w:color w:val="auto"/>
              </w:rPr>
            </w:pPr>
            <w:r>
              <w:rPr>
                <w:rFonts w:ascii="Arial" w:cs="Arial" w:eastAsia="Arial" w:hAnsi="Arial"/>
                <w:sz w:val="11"/>
                <w:szCs w:val="11"/>
                <w:color w:val="auto"/>
                <w:w w:val="90"/>
              </w:rPr>
              <w:t>—</w:t>
            </w:r>
          </w:p>
        </w:tc>
        <w:tc>
          <w:tcPr>
            <w:tcW w:w="0" w:type="dxa"/>
            <w:vAlign w:val="bottom"/>
          </w:tcPr>
          <w:p>
            <w:pPr>
              <w:spacing w:after="0"/>
              <w:rPr>
                <w:sz w:val="1"/>
                <w:szCs w:val="1"/>
                <w:color w:val="auto"/>
              </w:rPr>
            </w:pPr>
          </w:p>
        </w:tc>
      </w:tr>
      <w:tr>
        <w:trPr>
          <w:trHeight w:val="129"/>
        </w:trPr>
        <w:tc>
          <w:tcPr>
            <w:tcW w:w="1420" w:type="dxa"/>
            <w:vAlign w:val="bottom"/>
            <w:gridSpan w:val="2"/>
          </w:tcPr>
          <w:p>
            <w:pPr>
              <w:ind w:left="20"/>
              <w:spacing w:after="0"/>
              <w:rPr>
                <w:sz w:val="20"/>
                <w:szCs w:val="20"/>
                <w:color w:val="auto"/>
              </w:rPr>
            </w:pPr>
            <w:r>
              <w:rPr>
                <w:rFonts w:ascii="Arial" w:cs="Arial" w:eastAsia="Arial" w:hAnsi="Arial"/>
                <w:sz w:val="11"/>
                <w:szCs w:val="11"/>
                <w:color w:val="auto"/>
              </w:rPr>
              <w:t>Available-for-sale</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420" w:type="dxa"/>
            <w:vAlign w:val="bottom"/>
            <w:gridSpan w:val="2"/>
          </w:tcPr>
          <w:p>
            <w:pPr>
              <w:ind w:left="140"/>
              <w:spacing w:after="0"/>
              <w:rPr>
                <w:sz w:val="20"/>
                <w:szCs w:val="20"/>
                <w:color w:val="auto"/>
              </w:rPr>
            </w:pPr>
            <w:r>
              <w:rPr>
                <w:rFonts w:ascii="Arial" w:cs="Arial" w:eastAsia="Arial" w:hAnsi="Arial"/>
                <w:sz w:val="11"/>
                <w:szCs w:val="11"/>
                <w:color w:val="auto"/>
              </w:rPr>
              <w:t>securities:</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420" w:type="dxa"/>
            <w:vAlign w:val="bottom"/>
            <w:gridSpan w:val="2"/>
          </w:tcPr>
          <w:p>
            <w:pPr>
              <w:ind w:left="60"/>
              <w:spacing w:after="0"/>
              <w:rPr>
                <w:sz w:val="20"/>
                <w:szCs w:val="20"/>
                <w:color w:val="auto"/>
              </w:rPr>
            </w:pPr>
            <w:r>
              <w:rPr>
                <w:rFonts w:ascii="Arial" w:cs="Arial" w:eastAsia="Arial" w:hAnsi="Arial"/>
                <w:sz w:val="11"/>
                <w:szCs w:val="11"/>
                <w:color w:val="auto"/>
              </w:rPr>
              <w:t>Agency</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356</w:t>
            </w:r>
          </w:p>
        </w:tc>
        <w:tc>
          <w:tcPr>
            <w:tcW w:w="80" w:type="dxa"/>
            <w:vAlign w:val="bottom"/>
          </w:tcPr>
          <w:p>
            <w:pPr>
              <w:spacing w:after="0"/>
              <w:rPr>
                <w:sz w:val="15"/>
                <w:szCs w:val="15"/>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380" w:type="dxa"/>
            <w:vAlign w:val="bottom"/>
          </w:tcPr>
          <w:p>
            <w:pPr>
              <w:jc w:val="right"/>
              <w:ind w:right="11"/>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center"/>
              <w:ind w:left="167"/>
              <w:spacing w:after="0"/>
              <w:rPr>
                <w:sz w:val="20"/>
                <w:szCs w:val="20"/>
                <w:color w:val="auto"/>
              </w:rPr>
            </w:pPr>
            <w:r>
              <w:rPr>
                <w:rFonts w:ascii="Arial" w:cs="Arial" w:eastAsia="Arial" w:hAnsi="Arial"/>
                <w:sz w:val="11"/>
                <w:szCs w:val="11"/>
                <w:color w:val="auto"/>
              </w:rPr>
              <w:t>(19)</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(8)</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(117)</w:t>
            </w:r>
          </w:p>
        </w:tc>
        <w:tc>
          <w:tcPr>
            <w:tcW w:w="10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25"/>
              <w:spacing w:after="0"/>
              <w:rPr>
                <w:sz w:val="20"/>
                <w:szCs w:val="20"/>
                <w:color w:val="auto"/>
              </w:rPr>
            </w:pPr>
            <w:r>
              <w:rPr>
                <w:rFonts w:ascii="Arial" w:cs="Arial" w:eastAsia="Arial" w:hAnsi="Arial"/>
                <w:sz w:val="11"/>
                <w:szCs w:val="11"/>
                <w:color w:val="auto"/>
              </w:rPr>
              <w:t>212</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center"/>
              <w:ind w:left="490"/>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76"/>
        </w:trPr>
        <w:tc>
          <w:tcPr>
            <w:tcW w:w="1340" w:type="dxa"/>
            <w:vAlign w:val="bottom"/>
            <w:tcBorders>
              <w:bottom w:val="single" w:sz="8" w:color="2C6937"/>
            </w:tcBorders>
          </w:tcPr>
          <w:p>
            <w:pPr>
              <w:ind w:left="60"/>
              <w:spacing w:after="0"/>
              <w:rPr>
                <w:sz w:val="20"/>
                <w:szCs w:val="20"/>
                <w:color w:val="auto"/>
              </w:rPr>
            </w:pPr>
            <w:r>
              <w:rPr>
                <w:rFonts w:ascii="Arial" w:cs="Arial" w:eastAsia="Arial" w:hAnsi="Arial"/>
                <w:sz w:val="11"/>
                <w:szCs w:val="11"/>
                <w:color w:val="auto"/>
              </w:rPr>
              <w:t>Other mortgage-related</w:t>
            </w:r>
          </w:p>
        </w:tc>
        <w:tc>
          <w:tcPr>
            <w:tcW w:w="80" w:type="dxa"/>
            <w:vAlign w:val="bottom"/>
          </w:tcPr>
          <w:p>
            <w:pPr>
              <w:spacing w:after="0"/>
              <w:rPr>
                <w:sz w:val="15"/>
                <w:szCs w:val="15"/>
                <w:color w:val="auto"/>
              </w:rPr>
            </w:pPr>
          </w:p>
        </w:tc>
        <w:tc>
          <w:tcPr>
            <w:tcW w:w="200" w:type="dxa"/>
            <w:vAlign w:val="bottom"/>
            <w:tcBorders>
              <w:bottom w:val="single" w:sz="8" w:color="2C6937"/>
            </w:tcBorders>
          </w:tcPr>
          <w:p>
            <w:pPr>
              <w:spacing w:after="0"/>
              <w:rPr>
                <w:sz w:val="15"/>
                <w:szCs w:val="15"/>
                <w:color w:val="auto"/>
              </w:rPr>
            </w:pPr>
          </w:p>
        </w:tc>
        <w:tc>
          <w:tcPr>
            <w:tcW w:w="62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235</w:t>
            </w:r>
          </w:p>
        </w:tc>
        <w:tc>
          <w:tcPr>
            <w:tcW w:w="80" w:type="dxa"/>
            <w:vAlign w:val="bottom"/>
          </w:tcPr>
          <w:p>
            <w:pPr>
              <w:spacing w:after="0"/>
              <w:rPr>
                <w:sz w:val="15"/>
                <w:szCs w:val="15"/>
                <w:color w:val="auto"/>
              </w:rPr>
            </w:pPr>
          </w:p>
        </w:tc>
        <w:tc>
          <w:tcPr>
            <w:tcW w:w="200" w:type="dxa"/>
            <w:vAlign w:val="bottom"/>
            <w:tcBorders>
              <w:bottom w:val="single" w:sz="8" w:color="2C6937"/>
            </w:tcBorders>
          </w:tcPr>
          <w:p>
            <w:pPr>
              <w:spacing w:after="0"/>
              <w:rPr>
                <w:sz w:val="15"/>
                <w:szCs w:val="15"/>
                <w:color w:val="auto"/>
              </w:rPr>
            </w:pPr>
          </w:p>
        </w:tc>
        <w:tc>
          <w:tcPr>
            <w:tcW w:w="380" w:type="dxa"/>
            <w:vAlign w:val="bottom"/>
            <w:tcBorders>
              <w:bottom w:val="single" w:sz="8" w:color="2C6937"/>
            </w:tcBorders>
          </w:tcPr>
          <w:p>
            <w:pPr>
              <w:jc w:val="right"/>
              <w:ind w:right="11"/>
              <w:spacing w:after="0"/>
              <w:rPr>
                <w:sz w:val="20"/>
                <w:szCs w:val="20"/>
                <w:color w:val="auto"/>
              </w:rPr>
            </w:pPr>
            <w:r>
              <w:rPr>
                <w:rFonts w:ascii="Arial" w:cs="Arial" w:eastAsia="Arial" w:hAnsi="Arial"/>
                <w:sz w:val="11"/>
                <w:szCs w:val="11"/>
                <w:color w:val="auto"/>
              </w:rPr>
              <w:t>1</w:t>
            </w:r>
          </w:p>
        </w:tc>
        <w:tc>
          <w:tcPr>
            <w:tcW w:w="340" w:type="dxa"/>
            <w:vAlign w:val="bottom"/>
          </w:tcPr>
          <w:p>
            <w:pPr>
              <w:spacing w:after="0"/>
              <w:rPr>
                <w:sz w:val="15"/>
                <w:szCs w:val="15"/>
                <w:color w:val="auto"/>
              </w:rPr>
            </w:pPr>
          </w:p>
        </w:tc>
        <w:tc>
          <w:tcPr>
            <w:tcW w:w="80" w:type="dxa"/>
            <w:vAlign w:val="bottom"/>
            <w:tcBorders>
              <w:bottom w:val="single" w:sz="8" w:color="2C6937"/>
            </w:tcBorders>
          </w:tcPr>
          <w:p>
            <w:pPr>
              <w:spacing w:after="0"/>
              <w:rPr>
                <w:sz w:val="15"/>
                <w:szCs w:val="15"/>
                <w:color w:val="auto"/>
              </w:rPr>
            </w:pPr>
          </w:p>
        </w:tc>
        <w:tc>
          <w:tcPr>
            <w:tcW w:w="500" w:type="dxa"/>
            <w:vAlign w:val="bottom"/>
            <w:tcBorders>
              <w:bottom w:val="single" w:sz="8" w:color="2C6937"/>
            </w:tcBorders>
          </w:tcPr>
          <w:p>
            <w:pPr>
              <w:jc w:val="center"/>
              <w:ind w:left="187"/>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660" w:type="dxa"/>
            <w:vAlign w:val="bottom"/>
            <w:tcBorders>
              <w:bottom w:val="single" w:sz="8" w:color="2C6937"/>
            </w:tcBorders>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420" w:type="dxa"/>
            <w:vAlign w:val="bottom"/>
            <w:tcBorders>
              <w:bottom w:val="single" w:sz="8" w:color="2C6937"/>
            </w:tcBorders>
          </w:tcPr>
          <w:p>
            <w:pPr>
              <w:ind w:lef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0" w:type="dxa"/>
            <w:vAlign w:val="bottom"/>
            <w:tcBorders>
              <w:bottom w:val="single" w:sz="8" w:color="2C6937"/>
            </w:tcBorders>
          </w:tcPr>
          <w:p>
            <w:pPr>
              <w:spacing w:after="0"/>
              <w:rPr>
                <w:sz w:val="15"/>
                <w:szCs w:val="15"/>
                <w:color w:val="auto"/>
              </w:rPr>
            </w:pPr>
          </w:p>
        </w:tc>
        <w:tc>
          <w:tcPr>
            <w:tcW w:w="480" w:type="dxa"/>
            <w:vAlign w:val="bottom"/>
            <w:tcBorders>
              <w:bottom w:val="single" w:sz="8" w:color="2C6937"/>
            </w:tcBorders>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(34)</w:t>
            </w:r>
          </w:p>
        </w:tc>
        <w:tc>
          <w:tcPr>
            <w:tcW w:w="8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54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52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700" w:type="dxa"/>
            <w:vAlign w:val="bottom"/>
            <w:tcBorders>
              <w:bottom w:val="single" w:sz="8" w:color="2C6937"/>
            </w:tcBorders>
          </w:tcPr>
          <w:p>
            <w:pPr>
              <w:jc w:val="right"/>
              <w:ind w:right="25"/>
              <w:spacing w:after="0"/>
              <w:rPr>
                <w:sz w:val="20"/>
                <w:szCs w:val="20"/>
                <w:color w:val="auto"/>
              </w:rPr>
            </w:pPr>
            <w:r>
              <w:rPr>
                <w:rFonts w:ascii="Arial" w:cs="Arial" w:eastAsia="Arial" w:hAnsi="Arial"/>
                <w:sz w:val="11"/>
                <w:szCs w:val="11"/>
                <w:color w:val="auto"/>
              </w:rPr>
              <w:t>203</w:t>
            </w:r>
          </w:p>
        </w:tc>
        <w:tc>
          <w:tcPr>
            <w:tcW w:w="8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760" w:type="dxa"/>
            <w:vAlign w:val="bottom"/>
            <w:tcBorders>
              <w:bottom w:val="single" w:sz="8" w:color="2C6937"/>
            </w:tcBorders>
          </w:tcPr>
          <w:p>
            <w:pPr>
              <w:jc w:val="right"/>
              <w:ind w:right="1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60" w:type="dxa"/>
            <w:vAlign w:val="bottom"/>
            <w:tcBorders>
              <w:bottom w:val="single" w:sz="8" w:color="2C6937"/>
            </w:tcBorders>
          </w:tcPr>
          <w:p>
            <w:pPr>
              <w:spacing w:after="0"/>
              <w:rPr>
                <w:sz w:val="15"/>
                <w:szCs w:val="15"/>
                <w:color w:val="auto"/>
              </w:rPr>
            </w:pPr>
          </w:p>
        </w:tc>
        <w:tc>
          <w:tcPr>
            <w:tcW w:w="820" w:type="dxa"/>
            <w:vAlign w:val="bottom"/>
            <w:tcBorders>
              <w:bottom w:val="single" w:sz="8" w:color="2C6937"/>
            </w:tcBorders>
          </w:tcPr>
          <w:p>
            <w:pPr>
              <w:jc w:val="center"/>
              <w:ind w:left="510"/>
              <w:spacing w:after="0"/>
              <w:rPr>
                <w:sz w:val="20"/>
                <w:szCs w:val="20"/>
                <w:color w:val="auto"/>
              </w:rPr>
            </w:pPr>
            <w:r>
              <w:rPr>
                <w:rFonts w:ascii="Arial" w:cs="Arial" w:eastAsia="Arial" w:hAnsi="Arial"/>
                <w:sz w:val="11"/>
                <w:szCs w:val="11"/>
                <w:color w:val="auto"/>
                <w:w w:val="90"/>
              </w:rPr>
              <w:t>—</w:t>
            </w:r>
          </w:p>
        </w:tc>
        <w:tc>
          <w:tcPr>
            <w:tcW w:w="0" w:type="dxa"/>
            <w:vAlign w:val="bottom"/>
          </w:tcPr>
          <w:p>
            <w:pPr>
              <w:spacing w:after="0"/>
              <w:rPr>
                <w:sz w:val="1"/>
                <w:szCs w:val="1"/>
                <w:color w:val="auto"/>
              </w:rPr>
            </w:pPr>
          </w:p>
        </w:tc>
      </w:tr>
      <w:tr>
        <w:trPr>
          <w:trHeight w:val="147"/>
        </w:trPr>
        <w:tc>
          <w:tcPr>
            <w:tcW w:w="1420" w:type="dxa"/>
            <w:vAlign w:val="bottom"/>
            <w:gridSpan w:val="2"/>
          </w:tcPr>
          <w:p>
            <w:pPr>
              <w:ind w:left="20"/>
              <w:spacing w:after="0"/>
              <w:rPr>
                <w:sz w:val="20"/>
                <w:szCs w:val="20"/>
                <w:color w:val="auto"/>
              </w:rPr>
            </w:pPr>
            <w:r>
              <w:rPr>
                <w:rFonts w:ascii="Arial" w:cs="Arial" w:eastAsia="Arial" w:hAnsi="Arial"/>
                <w:sz w:val="11"/>
                <w:szCs w:val="11"/>
                <w:color w:val="auto"/>
              </w:rPr>
              <w:t>Total available-for-sale</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jc w:val="right"/>
              <w:ind w:right="129"/>
              <w:spacing w:after="0"/>
              <w:rPr>
                <w:sz w:val="20"/>
                <w:szCs w:val="20"/>
                <w:color w:val="auto"/>
              </w:rPr>
            </w:pPr>
            <w:r>
              <w:rPr>
                <w:rFonts w:ascii="Arial" w:cs="Arial" w:eastAsia="Arial" w:hAnsi="Arial"/>
                <w:sz w:val="7"/>
                <w:szCs w:val="7"/>
                <w:color w:val="auto"/>
                <w:w w:val="93"/>
              </w:rPr>
              <w:t>(6)(7)</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340" w:type="dxa"/>
            <w:vAlign w:val="bottom"/>
            <w:tcBorders>
              <w:bottom w:val="single" w:sz="8" w:color="2C6937"/>
            </w:tcBorders>
          </w:tcPr>
          <w:p>
            <w:pPr>
              <w:ind w:left="140"/>
              <w:spacing w:after="0"/>
              <w:rPr>
                <w:sz w:val="20"/>
                <w:szCs w:val="20"/>
                <w:color w:val="auto"/>
              </w:rPr>
            </w:pPr>
            <w:r>
              <w:rPr>
                <w:rFonts w:ascii="Arial" w:cs="Arial" w:eastAsia="Arial" w:hAnsi="Arial"/>
                <w:sz w:val="11"/>
                <w:szCs w:val="11"/>
                <w:color w:val="auto"/>
              </w:rPr>
              <w:t>securities</w:t>
            </w:r>
          </w:p>
        </w:tc>
        <w:tc>
          <w:tcPr>
            <w:tcW w:w="80" w:type="dxa"/>
            <w:vAlign w:val="bottom"/>
          </w:tcPr>
          <w:p>
            <w:pPr>
              <w:spacing w:after="0"/>
              <w:rPr>
                <w:sz w:val="14"/>
                <w:szCs w:val="14"/>
                <w:color w:val="auto"/>
              </w:rPr>
            </w:pPr>
          </w:p>
        </w:tc>
        <w:tc>
          <w:tcPr>
            <w:tcW w:w="200" w:type="dxa"/>
            <w:vAlign w:val="bottom"/>
            <w:tcBorders>
              <w:bottom w:val="single" w:sz="8" w:color="2C6937"/>
            </w:tcBorders>
          </w:tcPr>
          <w:p>
            <w:pPr>
              <w:jc w:val="right"/>
              <w:ind w:right="66"/>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591</w:t>
            </w:r>
          </w:p>
        </w:tc>
        <w:tc>
          <w:tcPr>
            <w:tcW w:w="80" w:type="dxa"/>
            <w:vAlign w:val="bottom"/>
          </w:tcPr>
          <w:p>
            <w:pPr>
              <w:spacing w:after="0"/>
              <w:rPr>
                <w:sz w:val="14"/>
                <w:szCs w:val="14"/>
                <w:color w:val="auto"/>
              </w:rPr>
            </w:pPr>
          </w:p>
        </w:tc>
        <w:tc>
          <w:tcPr>
            <w:tcW w:w="200" w:type="dxa"/>
            <w:vAlign w:val="bottom"/>
            <w:tcBorders>
              <w:bottom w:val="single" w:sz="8" w:color="2C6937"/>
            </w:tcBorders>
          </w:tcPr>
          <w:p>
            <w:pPr>
              <w:jc w:val="right"/>
              <w:ind w:right="67"/>
              <w:spacing w:after="0"/>
              <w:rPr>
                <w:sz w:val="20"/>
                <w:szCs w:val="20"/>
                <w:color w:val="auto"/>
              </w:rPr>
            </w:pPr>
            <w:r>
              <w:rPr>
                <w:rFonts w:ascii="Arial" w:cs="Arial" w:eastAsia="Arial" w:hAnsi="Arial"/>
                <w:sz w:val="11"/>
                <w:szCs w:val="11"/>
                <w:color w:val="auto"/>
                <w:w w:val="97"/>
              </w:rPr>
              <w:t>$</w:t>
            </w:r>
          </w:p>
        </w:tc>
        <w:tc>
          <w:tcPr>
            <w:tcW w:w="380" w:type="dxa"/>
            <w:vAlign w:val="bottom"/>
            <w:tcBorders>
              <w:bottom w:val="single" w:sz="8" w:color="2C6937"/>
            </w:tcBorders>
          </w:tcPr>
          <w:p>
            <w:pPr>
              <w:jc w:val="right"/>
              <w:ind w:right="11"/>
              <w:spacing w:after="0"/>
              <w:rPr>
                <w:sz w:val="20"/>
                <w:szCs w:val="20"/>
                <w:color w:val="auto"/>
              </w:rPr>
            </w:pPr>
            <w:r>
              <w:rPr>
                <w:rFonts w:ascii="Arial" w:cs="Arial" w:eastAsia="Arial" w:hAnsi="Arial"/>
                <w:sz w:val="11"/>
                <w:szCs w:val="11"/>
                <w:color w:val="auto"/>
              </w:rPr>
              <w:t>1</w:t>
            </w:r>
          </w:p>
        </w:tc>
        <w:tc>
          <w:tcPr>
            <w:tcW w:w="340" w:type="dxa"/>
            <w:vAlign w:val="bottom"/>
          </w:tcPr>
          <w:p>
            <w:pPr>
              <w:spacing w:after="0"/>
              <w:rPr>
                <w:sz w:val="14"/>
                <w:szCs w:val="14"/>
                <w:color w:val="auto"/>
              </w:rPr>
            </w:pPr>
          </w:p>
        </w:tc>
        <w:tc>
          <w:tcPr>
            <w:tcW w:w="8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2C6937"/>
            </w:tcBorders>
          </w:tcPr>
          <w:p>
            <w:pPr>
              <w:jc w:val="center"/>
              <w:ind w:left="167"/>
              <w:spacing w:after="0"/>
              <w:rPr>
                <w:sz w:val="20"/>
                <w:szCs w:val="20"/>
                <w:color w:val="auto"/>
              </w:rPr>
            </w:pPr>
            <w:r>
              <w:rPr>
                <w:rFonts w:ascii="Arial" w:cs="Arial" w:eastAsia="Arial" w:hAnsi="Arial"/>
                <w:sz w:val="11"/>
                <w:szCs w:val="11"/>
                <w:color w:val="auto"/>
              </w:rPr>
              <w:t>(19)</w:t>
            </w:r>
          </w:p>
        </w:tc>
        <w:tc>
          <w:tcPr>
            <w:tcW w:w="100" w:type="dxa"/>
            <w:vAlign w:val="bottom"/>
          </w:tcPr>
          <w:p>
            <w:pPr>
              <w:spacing w:after="0"/>
              <w:rPr>
                <w:sz w:val="14"/>
                <w:szCs w:val="14"/>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2C6937"/>
            </w:tcBorders>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2C6937"/>
            </w:tcBorders>
          </w:tcPr>
          <w:p>
            <w:pPr>
              <w:ind w:lef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2C6937"/>
            </w:tcBorders>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(42)</w:t>
            </w:r>
          </w:p>
        </w:tc>
        <w:tc>
          <w:tcPr>
            <w:tcW w:w="80" w:type="dxa"/>
            <w:vAlign w:val="bottom"/>
          </w:tcPr>
          <w:p>
            <w:pPr>
              <w:spacing w:after="0"/>
              <w:rPr>
                <w:sz w:val="14"/>
                <w:szCs w:val="14"/>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(117)</w:t>
            </w:r>
          </w:p>
        </w:tc>
        <w:tc>
          <w:tcPr>
            <w:tcW w:w="100" w:type="dxa"/>
            <w:vAlign w:val="bottom"/>
          </w:tcPr>
          <w:p>
            <w:pPr>
              <w:spacing w:after="0"/>
              <w:rPr>
                <w:sz w:val="14"/>
                <w:szCs w:val="14"/>
                <w:color w:val="auto"/>
              </w:rPr>
            </w:pPr>
          </w:p>
        </w:tc>
        <w:tc>
          <w:tcPr>
            <w:tcW w:w="120" w:type="dxa"/>
            <w:vAlign w:val="bottom"/>
            <w:tcBorders>
              <w:bottom w:val="single" w:sz="8" w:color="2C6937"/>
            </w:tcBorders>
          </w:tcPr>
          <w:p>
            <w:pPr>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4"/>
                <w:szCs w:val="14"/>
                <w:color w:val="auto"/>
              </w:rPr>
            </w:pPr>
          </w:p>
        </w:tc>
        <w:tc>
          <w:tcPr>
            <w:tcW w:w="140" w:type="dxa"/>
            <w:vAlign w:val="bottom"/>
            <w:tcBorders>
              <w:bottom w:val="single" w:sz="8" w:color="2C6937"/>
            </w:tcBorders>
          </w:tcPr>
          <w:p>
            <w:pPr>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2C6937"/>
            </w:tcBorders>
          </w:tcPr>
          <w:p>
            <w:pPr>
              <w:jc w:val="right"/>
              <w:ind w:right="25"/>
              <w:spacing w:after="0"/>
              <w:rPr>
                <w:sz w:val="20"/>
                <w:szCs w:val="20"/>
                <w:color w:val="auto"/>
              </w:rPr>
            </w:pPr>
            <w:r>
              <w:rPr>
                <w:rFonts w:ascii="Arial" w:cs="Arial" w:eastAsia="Arial" w:hAnsi="Arial"/>
                <w:sz w:val="11"/>
                <w:szCs w:val="11"/>
                <w:color w:val="auto"/>
              </w:rPr>
              <w:t>415</w:t>
            </w:r>
          </w:p>
        </w:tc>
        <w:tc>
          <w:tcPr>
            <w:tcW w:w="80" w:type="dxa"/>
            <w:vAlign w:val="bottom"/>
          </w:tcPr>
          <w:p>
            <w:pPr>
              <w:spacing w:after="0"/>
              <w:rPr>
                <w:sz w:val="14"/>
                <w:szCs w:val="14"/>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2C6937"/>
            </w:tcBorders>
          </w:tcPr>
          <w:p>
            <w:pPr>
              <w:jc w:val="right"/>
              <w:ind w:right="1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0" w:type="dxa"/>
            <w:vAlign w:val="bottom"/>
            <w:tcBorders>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2C6937"/>
            </w:tcBorders>
          </w:tcPr>
          <w:p>
            <w:pPr>
              <w:jc w:val="center"/>
              <w:ind w:left="490"/>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26"/>
        </w:trPr>
        <w:tc>
          <w:tcPr>
            <w:tcW w:w="134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62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380" w:type="dxa"/>
            <w:vAlign w:val="bottom"/>
            <w:tcBorders>
              <w:bottom w:val="single" w:sz="8" w:color="2C6937"/>
            </w:tcBorders>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50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42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4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52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70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6937"/>
            </w:tcBorders>
          </w:tcPr>
          <w:p>
            <w:pPr>
              <w:spacing w:after="0"/>
              <w:rPr>
                <w:sz w:val="2"/>
                <w:szCs w:val="2"/>
                <w:color w:val="auto"/>
              </w:rPr>
            </w:pPr>
          </w:p>
        </w:tc>
        <w:tc>
          <w:tcPr>
            <w:tcW w:w="820" w:type="dxa"/>
            <w:vAlign w:val="bottom"/>
            <w:tcBorders>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1420" w:type="dxa"/>
            <w:vAlign w:val="bottom"/>
            <w:gridSpan w:val="2"/>
          </w:tcPr>
          <w:p>
            <w:pPr>
              <w:ind w:left="20"/>
              <w:spacing w:after="0"/>
              <w:rPr>
                <w:sz w:val="20"/>
                <w:szCs w:val="20"/>
                <w:color w:val="auto"/>
              </w:rPr>
            </w:pPr>
            <w:r>
              <w:rPr>
                <w:rFonts w:ascii="Arial" w:cs="Arial" w:eastAsia="Arial" w:hAnsi="Arial"/>
                <w:sz w:val="11"/>
                <w:szCs w:val="11"/>
                <w:color w:val="auto"/>
              </w:rPr>
              <w:t>Mortgage loans</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510</w:t>
            </w:r>
          </w:p>
        </w:tc>
        <w:tc>
          <w:tcPr>
            <w:tcW w:w="80" w:type="dxa"/>
            <w:vAlign w:val="bottom"/>
          </w:tcPr>
          <w:p>
            <w:pPr>
              <w:spacing w:after="0"/>
              <w:rPr>
                <w:sz w:val="24"/>
                <w:szCs w:val="24"/>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720" w:type="dxa"/>
            <w:vAlign w:val="bottom"/>
            <w:gridSpan w:val="2"/>
          </w:tcPr>
          <w:p>
            <w:pPr>
              <w:jc w:val="right"/>
              <w:ind w:right="129"/>
              <w:spacing w:after="0"/>
              <w:rPr>
                <w:sz w:val="20"/>
                <w:szCs w:val="20"/>
                <w:color w:val="auto"/>
              </w:rPr>
            </w:pPr>
            <w:r>
              <w:rPr>
                <w:rFonts w:ascii="Arial" w:cs="Arial" w:eastAsia="Arial" w:hAnsi="Arial"/>
                <w:sz w:val="22"/>
                <w:szCs w:val="22"/>
                <w:color w:val="auto"/>
                <w:vertAlign w:val="subscript"/>
              </w:rPr>
              <w:t>(2)</w:t>
            </w:r>
            <w:r>
              <w:rPr>
                <w:rFonts w:ascii="Arial" w:cs="Arial" w:eastAsia="Arial" w:hAnsi="Arial"/>
                <w:sz w:val="7"/>
                <w:szCs w:val="7"/>
                <w:color w:val="auto"/>
              </w:rPr>
              <w:t xml:space="preserve"> (5)(6)</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gridSpan w:val="2"/>
          </w:tcPr>
          <w:p>
            <w:pPr>
              <w:jc w:val="center"/>
              <w:ind w:left="87"/>
              <w:spacing w:after="0"/>
              <w:rPr>
                <w:sz w:val="20"/>
                <w:szCs w:val="20"/>
                <w:color w:val="auto"/>
              </w:rPr>
            </w:pPr>
            <w:r>
              <w:rPr>
                <w:rFonts w:ascii="Arial" w:cs="Arial" w:eastAsia="Arial" w:hAnsi="Arial"/>
                <w:sz w:val="11"/>
                <w:szCs w:val="11"/>
                <w:color w:val="auto"/>
                <w:w w:val="90"/>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(19)</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(15)</w:t>
            </w:r>
          </w:p>
        </w:tc>
        <w:tc>
          <w:tcPr>
            <w:tcW w:w="1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17</w:t>
            </w:r>
          </w:p>
        </w:tc>
        <w:tc>
          <w:tcPr>
            <w:tcW w:w="10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25"/>
              <w:spacing w:after="0"/>
              <w:rPr>
                <w:sz w:val="20"/>
                <w:szCs w:val="20"/>
                <w:color w:val="auto"/>
              </w:rPr>
            </w:pPr>
            <w:r>
              <w:rPr>
                <w:rFonts w:ascii="Arial" w:cs="Arial" w:eastAsia="Arial" w:hAnsi="Arial"/>
                <w:sz w:val="11"/>
                <w:szCs w:val="11"/>
                <w:color w:val="auto"/>
              </w:rPr>
              <w:t>491</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center"/>
              <w:ind w:left="510"/>
              <w:spacing w:after="0"/>
              <w:rPr>
                <w:sz w:val="20"/>
                <w:szCs w:val="20"/>
                <w:color w:val="auto"/>
              </w:rPr>
            </w:pPr>
            <w:r>
              <w:rPr>
                <w:rFonts w:ascii="Arial" w:cs="Arial" w:eastAsia="Arial" w:hAnsi="Arial"/>
                <w:sz w:val="11"/>
                <w:szCs w:val="11"/>
                <w:color w:val="auto"/>
                <w:w w:val="90"/>
              </w:rPr>
              <w:t>—</w:t>
            </w:r>
          </w:p>
        </w:tc>
        <w:tc>
          <w:tcPr>
            <w:tcW w:w="0" w:type="dxa"/>
            <w:vAlign w:val="bottom"/>
          </w:tcPr>
          <w:p>
            <w:pPr>
              <w:spacing w:after="0"/>
              <w:rPr>
                <w:sz w:val="1"/>
                <w:szCs w:val="1"/>
                <w:color w:val="auto"/>
              </w:rPr>
            </w:pPr>
          </w:p>
        </w:tc>
      </w:tr>
      <w:tr>
        <w:trPr>
          <w:trHeight w:val="305"/>
        </w:trPr>
        <w:tc>
          <w:tcPr>
            <w:tcW w:w="1420" w:type="dxa"/>
            <w:vAlign w:val="bottom"/>
            <w:gridSpan w:val="2"/>
          </w:tcPr>
          <w:p>
            <w:pPr>
              <w:ind w:left="20"/>
              <w:spacing w:after="0"/>
              <w:rPr>
                <w:sz w:val="20"/>
                <w:szCs w:val="20"/>
                <w:color w:val="auto"/>
              </w:rPr>
            </w:pPr>
            <w:r>
              <w:rPr>
                <w:rFonts w:ascii="Arial" w:cs="Arial" w:eastAsia="Arial" w:hAnsi="Arial"/>
                <w:sz w:val="11"/>
                <w:szCs w:val="11"/>
                <w:color w:val="auto"/>
              </w:rPr>
              <w:t>Net derivatives</w:t>
            </w:r>
          </w:p>
        </w:tc>
        <w:tc>
          <w:tcPr>
            <w:tcW w:w="200" w:type="dxa"/>
            <w:vAlign w:val="bottom"/>
          </w:tcPr>
          <w:p>
            <w:pPr>
              <w:spacing w:after="0"/>
              <w:rPr>
                <w:sz w:val="24"/>
                <w:szCs w:val="24"/>
                <w:color w:val="auto"/>
              </w:rPr>
            </w:pP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12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jc w:val="right"/>
              <w:ind w:right="11"/>
              <w:spacing w:after="0"/>
              <w:rPr>
                <w:sz w:val="20"/>
                <w:szCs w:val="20"/>
                <w:color w:val="auto"/>
              </w:rPr>
            </w:pPr>
            <w:r>
              <w:rPr>
                <w:rFonts w:ascii="Arial" w:cs="Arial" w:eastAsia="Arial" w:hAnsi="Arial"/>
                <w:sz w:val="11"/>
                <w:szCs w:val="11"/>
                <w:color w:val="auto"/>
              </w:rPr>
              <w:t>28</w:t>
            </w:r>
          </w:p>
        </w:tc>
        <w:tc>
          <w:tcPr>
            <w:tcW w:w="340" w:type="dxa"/>
            <w:vAlign w:val="bottom"/>
          </w:tcPr>
          <w:p>
            <w:pPr>
              <w:jc w:val="right"/>
              <w:ind w:right="229"/>
              <w:spacing w:after="0"/>
              <w:rPr>
                <w:sz w:val="20"/>
                <w:szCs w:val="20"/>
                <w:color w:val="auto"/>
              </w:rPr>
            </w:pPr>
            <w:r>
              <w:rPr>
                <w:rFonts w:ascii="Arial" w:cs="Arial" w:eastAsia="Arial" w:hAnsi="Arial"/>
                <w:sz w:val="6"/>
                <w:szCs w:val="6"/>
                <w:color w:val="auto"/>
                <w:w w:val="81"/>
              </w:rPr>
              <w:t>(5)</w:t>
            </w:r>
          </w:p>
        </w:tc>
        <w:tc>
          <w:tcPr>
            <w:tcW w:w="80" w:type="dxa"/>
            <w:vAlign w:val="bottom"/>
          </w:tcPr>
          <w:p>
            <w:pPr>
              <w:spacing w:after="0"/>
              <w:rPr>
                <w:sz w:val="24"/>
                <w:szCs w:val="24"/>
                <w:color w:val="auto"/>
              </w:rPr>
            </w:pPr>
          </w:p>
        </w:tc>
        <w:tc>
          <w:tcPr>
            <w:tcW w:w="600" w:type="dxa"/>
            <w:vAlign w:val="bottom"/>
            <w:gridSpan w:val="2"/>
          </w:tcPr>
          <w:p>
            <w:pPr>
              <w:jc w:val="center"/>
              <w:ind w:left="87"/>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24"/>
                <w:szCs w:val="24"/>
                <w:color w:val="auto"/>
              </w:rPr>
            </w:pPr>
          </w:p>
        </w:tc>
        <w:tc>
          <w:tcPr>
            <w:tcW w:w="76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52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700" w:type="dxa"/>
            <w:vAlign w:val="bottom"/>
          </w:tcPr>
          <w:p>
            <w:pPr>
              <w:jc w:val="right"/>
              <w:ind w:right="25"/>
              <w:spacing w:after="0"/>
              <w:rPr>
                <w:sz w:val="20"/>
                <w:szCs w:val="20"/>
                <w:color w:val="auto"/>
              </w:rPr>
            </w:pPr>
            <w:r>
              <w:rPr>
                <w:rFonts w:ascii="Arial" w:cs="Arial" w:eastAsia="Arial" w:hAnsi="Arial"/>
                <w:sz w:val="11"/>
                <w:szCs w:val="11"/>
                <w:color w:val="auto"/>
              </w:rPr>
              <w:t>39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Arial" w:cs="Arial" w:eastAsia="Arial" w:hAnsi="Arial"/>
                <w:sz w:val="11"/>
                <w:szCs w:val="11"/>
                <w:color w:val="auto"/>
              </w:rPr>
              <w:t>26</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jc w:val="center"/>
              <w:ind w:left="510"/>
              <w:spacing w:after="0"/>
              <w:rPr>
                <w:sz w:val="20"/>
                <w:szCs w:val="20"/>
                <w:color w:val="auto"/>
              </w:rPr>
            </w:pPr>
            <w:r>
              <w:rPr>
                <w:rFonts w:ascii="Arial" w:cs="Arial" w:eastAsia="Arial" w:hAnsi="Arial"/>
                <w:sz w:val="11"/>
                <w:szCs w:val="11"/>
                <w:color w:val="auto"/>
                <w:w w:val="90"/>
              </w:rPr>
              <w:t>—</w:t>
            </w:r>
          </w:p>
        </w:tc>
        <w:tc>
          <w:tcPr>
            <w:tcW w:w="0" w:type="dxa"/>
            <w:vAlign w:val="bottom"/>
          </w:tcPr>
          <w:p>
            <w:pPr>
              <w:spacing w:after="0"/>
              <w:rPr>
                <w:sz w:val="1"/>
                <w:szCs w:val="1"/>
                <w:color w:val="auto"/>
              </w:rPr>
            </w:pPr>
          </w:p>
        </w:tc>
      </w:tr>
      <w:tr>
        <w:trPr>
          <w:trHeight w:val="309"/>
        </w:trPr>
        <w:tc>
          <w:tcPr>
            <w:tcW w:w="1420" w:type="dxa"/>
            <w:vAlign w:val="bottom"/>
            <w:gridSpan w:val="2"/>
          </w:tcPr>
          <w:p>
            <w:pPr>
              <w:ind w:left="20"/>
              <w:spacing w:after="0"/>
              <w:rPr>
                <w:sz w:val="20"/>
                <w:szCs w:val="20"/>
                <w:color w:val="auto"/>
              </w:rPr>
            </w:pPr>
            <w:r>
              <w:rPr>
                <w:rFonts w:ascii="Arial" w:cs="Arial" w:eastAsia="Arial" w:hAnsi="Arial"/>
                <w:sz w:val="11"/>
                <w:szCs w:val="11"/>
                <w:color w:val="auto"/>
              </w:rPr>
              <w:t>Long-term debt:</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420" w:type="dxa"/>
            <w:vAlign w:val="bottom"/>
            <w:gridSpan w:val="2"/>
          </w:tcPr>
          <w:p>
            <w:pPr>
              <w:ind w:left="100"/>
              <w:spacing w:after="0"/>
              <w:rPr>
                <w:sz w:val="20"/>
                <w:szCs w:val="20"/>
                <w:color w:val="auto"/>
              </w:rPr>
            </w:pPr>
            <w:r>
              <w:rPr>
                <w:rFonts w:ascii="Arial" w:cs="Arial" w:eastAsia="Arial" w:hAnsi="Arial"/>
                <w:sz w:val="11"/>
                <w:szCs w:val="11"/>
                <w:color w:val="auto"/>
              </w:rPr>
              <w:t>Of Fannie Mae</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(256)</w:t>
            </w:r>
          </w:p>
        </w:tc>
        <w:tc>
          <w:tcPr>
            <w:tcW w:w="80" w:type="dxa"/>
            <w:vAlign w:val="bottom"/>
          </w:tcPr>
          <w:p>
            <w:pPr>
              <w:spacing w:after="0"/>
              <w:rPr>
                <w:sz w:val="14"/>
                <w:szCs w:val="14"/>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380" w:type="dxa"/>
            <w:vAlign w:val="bottom"/>
          </w:tcPr>
          <w:p>
            <w:pPr>
              <w:jc w:val="right"/>
              <w:ind w:right="11"/>
              <w:spacing w:after="0"/>
              <w:rPr>
                <w:sz w:val="20"/>
                <w:szCs w:val="20"/>
                <w:color w:val="auto"/>
              </w:rPr>
            </w:pPr>
            <w:r>
              <w:rPr>
                <w:rFonts w:ascii="Arial" w:cs="Arial" w:eastAsia="Arial" w:hAnsi="Arial"/>
                <w:sz w:val="11"/>
                <w:szCs w:val="11"/>
                <w:color w:val="auto"/>
              </w:rPr>
              <w:t>16</w:t>
            </w:r>
          </w:p>
        </w:tc>
        <w:tc>
          <w:tcPr>
            <w:tcW w:w="340" w:type="dxa"/>
            <w:vAlign w:val="bottom"/>
          </w:tcPr>
          <w:p>
            <w:pPr>
              <w:jc w:val="right"/>
              <w:ind w:right="229"/>
              <w:spacing w:after="0"/>
              <w:rPr>
                <w:sz w:val="20"/>
                <w:szCs w:val="20"/>
                <w:color w:val="auto"/>
              </w:rPr>
            </w:pPr>
            <w:r>
              <w:rPr>
                <w:rFonts w:ascii="Arial" w:cs="Arial" w:eastAsia="Arial" w:hAnsi="Arial"/>
                <w:sz w:val="6"/>
                <w:szCs w:val="6"/>
                <w:color w:val="auto"/>
                <w:w w:val="81"/>
              </w:rPr>
              <w:t>(5)</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gridSpan w:val="2"/>
          </w:tcPr>
          <w:p>
            <w:pPr>
              <w:jc w:val="center"/>
              <w:ind w:left="87"/>
              <w:spacing w:after="0"/>
              <w:rPr>
                <w:sz w:val="20"/>
                <w:szCs w:val="20"/>
                <w:color w:val="auto"/>
              </w:rPr>
            </w:pPr>
            <w:r>
              <w:rPr>
                <w:rFonts w:ascii="Arial" w:cs="Arial" w:eastAsia="Arial" w:hAnsi="Arial"/>
                <w:sz w:val="11"/>
                <w:szCs w:val="11"/>
                <w:color w:val="auto"/>
                <w:w w:val="90"/>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(240)</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10"/>
              <w:spacing w:after="0"/>
              <w:rPr>
                <w:sz w:val="20"/>
                <w:szCs w:val="20"/>
                <w:color w:val="auto"/>
              </w:rPr>
            </w:pPr>
            <w:r>
              <w:rPr>
                <w:rFonts w:ascii="Arial" w:cs="Arial" w:eastAsia="Arial" w:hAnsi="Arial"/>
                <w:sz w:val="11"/>
                <w:szCs w:val="11"/>
                <w:color w:val="auto"/>
              </w:rPr>
              <w:t>16</w:t>
            </w:r>
          </w:p>
        </w:tc>
        <w:tc>
          <w:tcPr>
            <w:tcW w:w="10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center"/>
              <w:ind w:left="510"/>
              <w:spacing w:after="0"/>
              <w:rPr>
                <w:sz w:val="20"/>
                <w:szCs w:val="20"/>
                <w:color w:val="auto"/>
              </w:rPr>
            </w:pPr>
            <w:r>
              <w:rPr>
                <w:rFonts w:ascii="Arial" w:cs="Arial" w:eastAsia="Arial" w:hAnsi="Arial"/>
                <w:sz w:val="11"/>
                <w:szCs w:val="11"/>
                <w:color w:val="auto"/>
                <w:w w:val="90"/>
              </w:rPr>
              <w:t>—</w:t>
            </w:r>
          </w:p>
        </w:tc>
        <w:tc>
          <w:tcPr>
            <w:tcW w:w="0" w:type="dxa"/>
            <w:vAlign w:val="bottom"/>
          </w:tcPr>
          <w:p>
            <w:pPr>
              <w:spacing w:after="0"/>
              <w:rPr>
                <w:sz w:val="1"/>
                <w:szCs w:val="1"/>
                <w:color w:val="auto"/>
              </w:rPr>
            </w:pPr>
          </w:p>
        </w:tc>
      </w:tr>
      <w:tr>
        <w:trPr>
          <w:trHeight w:val="189"/>
        </w:trPr>
        <w:tc>
          <w:tcPr>
            <w:tcW w:w="1340" w:type="dxa"/>
            <w:vAlign w:val="bottom"/>
            <w:tcBorders>
              <w:bottom w:val="single" w:sz="8" w:color="2C6937"/>
            </w:tcBorders>
          </w:tcPr>
          <w:p>
            <w:pPr>
              <w:ind w:left="100"/>
              <w:spacing w:after="0"/>
              <w:rPr>
                <w:sz w:val="20"/>
                <w:szCs w:val="20"/>
                <w:color w:val="auto"/>
              </w:rPr>
            </w:pPr>
            <w:r>
              <w:rPr>
                <w:rFonts w:ascii="Arial" w:cs="Arial" w:eastAsia="Arial" w:hAnsi="Arial"/>
                <w:sz w:val="11"/>
                <w:szCs w:val="11"/>
                <w:color w:val="auto"/>
              </w:rPr>
              <w:t>Of consolidated trusts</w:t>
            </w:r>
          </w:p>
        </w:tc>
        <w:tc>
          <w:tcPr>
            <w:tcW w:w="8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(125)</w:t>
            </w:r>
          </w:p>
        </w:tc>
        <w:tc>
          <w:tcPr>
            <w:tcW w:w="8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380" w:type="dxa"/>
            <w:vAlign w:val="bottom"/>
            <w:tcBorders>
              <w:bottom w:val="single" w:sz="8" w:color="2C6937"/>
            </w:tcBorders>
          </w:tcPr>
          <w:p>
            <w:pPr>
              <w:jc w:val="right"/>
              <w:ind w:right="11"/>
              <w:spacing w:after="0"/>
              <w:rPr>
                <w:sz w:val="20"/>
                <w:szCs w:val="20"/>
                <w:color w:val="auto"/>
              </w:rPr>
            </w:pPr>
            <w:r>
              <w:rPr>
                <w:rFonts w:ascii="Arial" w:cs="Arial" w:eastAsia="Arial" w:hAnsi="Arial"/>
                <w:sz w:val="11"/>
                <w:szCs w:val="11"/>
                <w:color w:val="auto"/>
              </w:rPr>
              <w:t>1</w:t>
            </w:r>
          </w:p>
        </w:tc>
        <w:tc>
          <w:tcPr>
            <w:tcW w:w="340" w:type="dxa"/>
            <w:vAlign w:val="bottom"/>
          </w:tcPr>
          <w:p>
            <w:pPr>
              <w:jc w:val="right"/>
              <w:ind w:right="129"/>
              <w:spacing w:after="0"/>
              <w:rPr>
                <w:sz w:val="20"/>
                <w:szCs w:val="20"/>
                <w:color w:val="auto"/>
              </w:rPr>
            </w:pPr>
            <w:r>
              <w:rPr>
                <w:rFonts w:ascii="Arial" w:cs="Arial" w:eastAsia="Arial" w:hAnsi="Arial"/>
                <w:sz w:val="7"/>
                <w:szCs w:val="7"/>
                <w:color w:val="auto"/>
                <w:w w:val="93"/>
              </w:rPr>
              <w:t>(5)(6)</w:t>
            </w:r>
          </w:p>
        </w:tc>
        <w:tc>
          <w:tcPr>
            <w:tcW w:w="80" w:type="dxa"/>
            <w:vAlign w:val="bottom"/>
            <w:tcBorders>
              <w:bottom w:val="single" w:sz="8" w:color="2C6937"/>
            </w:tcBorders>
          </w:tcPr>
          <w:p>
            <w:pPr>
              <w:spacing w:after="0"/>
              <w:rPr>
                <w:sz w:val="16"/>
                <w:szCs w:val="16"/>
                <w:color w:val="auto"/>
              </w:rPr>
            </w:pPr>
          </w:p>
        </w:tc>
        <w:tc>
          <w:tcPr>
            <w:tcW w:w="500" w:type="dxa"/>
            <w:vAlign w:val="bottom"/>
            <w:tcBorders>
              <w:bottom w:val="single" w:sz="8" w:color="2C6937"/>
            </w:tcBorders>
          </w:tcPr>
          <w:p>
            <w:pPr>
              <w:jc w:val="center"/>
              <w:ind w:left="187"/>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660" w:type="dxa"/>
            <w:vAlign w:val="bottom"/>
            <w:tcBorders>
              <w:bottom w:val="single" w:sz="8" w:color="2C6937"/>
            </w:tcBorders>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420" w:type="dxa"/>
            <w:vAlign w:val="bottom"/>
            <w:tcBorders>
              <w:bottom w:val="single" w:sz="8" w:color="2C6937"/>
            </w:tcBorders>
          </w:tcPr>
          <w:p>
            <w:pPr>
              <w:ind w:lef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480" w:type="dxa"/>
            <w:vAlign w:val="bottom"/>
            <w:tcBorders>
              <w:bottom w:val="single" w:sz="8" w:color="2C6937"/>
            </w:tcBorders>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54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52</w:t>
            </w:r>
          </w:p>
        </w:tc>
        <w:tc>
          <w:tcPr>
            <w:tcW w:w="10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52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(69)</w:t>
            </w:r>
          </w:p>
        </w:tc>
        <w:tc>
          <w:tcPr>
            <w:tcW w:w="8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jc w:val="right"/>
              <w:ind w:right="1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6"/>
                <w:szCs w:val="16"/>
                <w:color w:val="auto"/>
              </w:rPr>
            </w:pPr>
          </w:p>
        </w:tc>
        <w:tc>
          <w:tcPr>
            <w:tcW w:w="60" w:type="dxa"/>
            <w:vAlign w:val="bottom"/>
            <w:tcBorders>
              <w:bottom w:val="single" w:sz="8" w:color="2C6937"/>
            </w:tcBorders>
          </w:tcPr>
          <w:p>
            <w:pPr>
              <w:spacing w:after="0"/>
              <w:rPr>
                <w:sz w:val="16"/>
                <w:szCs w:val="16"/>
                <w:color w:val="auto"/>
              </w:rPr>
            </w:pPr>
          </w:p>
        </w:tc>
        <w:tc>
          <w:tcPr>
            <w:tcW w:w="820" w:type="dxa"/>
            <w:vAlign w:val="bottom"/>
            <w:tcBorders>
              <w:bottom w:val="single" w:sz="8" w:color="2C6937"/>
            </w:tcBorders>
          </w:tcPr>
          <w:p>
            <w:pPr>
              <w:jc w:val="center"/>
              <w:ind w:left="510"/>
              <w:spacing w:after="0"/>
              <w:rPr>
                <w:sz w:val="20"/>
                <w:szCs w:val="20"/>
                <w:color w:val="auto"/>
              </w:rPr>
            </w:pPr>
            <w:r>
              <w:rPr>
                <w:rFonts w:ascii="Arial" w:cs="Arial" w:eastAsia="Arial" w:hAnsi="Arial"/>
                <w:sz w:val="11"/>
                <w:szCs w:val="11"/>
                <w:color w:val="auto"/>
                <w:w w:val="90"/>
              </w:rPr>
              <w:t>—</w:t>
            </w:r>
          </w:p>
        </w:tc>
        <w:tc>
          <w:tcPr>
            <w:tcW w:w="0" w:type="dxa"/>
            <w:vAlign w:val="bottom"/>
          </w:tcPr>
          <w:p>
            <w:pPr>
              <w:spacing w:after="0"/>
              <w:rPr>
                <w:sz w:val="1"/>
                <w:szCs w:val="1"/>
                <w:color w:val="auto"/>
              </w:rPr>
            </w:pPr>
          </w:p>
        </w:tc>
      </w:tr>
      <w:tr>
        <w:trPr>
          <w:trHeight w:val="173"/>
        </w:trPr>
        <w:tc>
          <w:tcPr>
            <w:tcW w:w="1420" w:type="dxa"/>
            <w:vAlign w:val="bottom"/>
            <w:gridSpan w:val="2"/>
          </w:tcPr>
          <w:p>
            <w:pPr>
              <w:ind w:left="20"/>
              <w:spacing w:after="0"/>
              <w:rPr>
                <w:sz w:val="20"/>
                <w:szCs w:val="20"/>
                <w:color w:val="auto"/>
              </w:rPr>
            </w:pPr>
            <w:r>
              <w:rPr>
                <w:rFonts w:ascii="Arial" w:cs="Arial" w:eastAsia="Arial" w:hAnsi="Arial"/>
                <w:sz w:val="11"/>
                <w:szCs w:val="11"/>
                <w:color w:val="auto"/>
              </w:rPr>
              <w:t>Total long-term debt</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(381)</w:t>
            </w:r>
          </w:p>
        </w:tc>
        <w:tc>
          <w:tcPr>
            <w:tcW w:w="80" w:type="dxa"/>
            <w:vAlign w:val="bottom"/>
          </w:tcPr>
          <w:p>
            <w:pPr>
              <w:spacing w:after="0"/>
              <w:rPr>
                <w:sz w:val="15"/>
                <w:szCs w:val="15"/>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380" w:type="dxa"/>
            <w:vAlign w:val="bottom"/>
          </w:tcPr>
          <w:p>
            <w:pPr>
              <w:jc w:val="right"/>
              <w:ind w:right="11"/>
              <w:spacing w:after="0"/>
              <w:rPr>
                <w:sz w:val="20"/>
                <w:szCs w:val="20"/>
                <w:color w:val="auto"/>
              </w:rPr>
            </w:pPr>
            <w:r>
              <w:rPr>
                <w:rFonts w:ascii="Arial" w:cs="Arial" w:eastAsia="Arial" w:hAnsi="Arial"/>
                <w:sz w:val="11"/>
                <w:szCs w:val="11"/>
                <w:color w:val="auto"/>
              </w:rPr>
              <w:t>17</w:t>
            </w:r>
          </w:p>
        </w:tc>
        <w:tc>
          <w:tcPr>
            <w:tcW w:w="3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gridSpan w:val="2"/>
          </w:tcPr>
          <w:p>
            <w:pPr>
              <w:jc w:val="center"/>
              <w:ind w:left="87"/>
              <w:spacing w:after="0"/>
              <w:rPr>
                <w:sz w:val="20"/>
                <w:szCs w:val="20"/>
                <w:color w:val="auto"/>
              </w:rPr>
            </w:pPr>
            <w:r>
              <w:rPr>
                <w:rFonts w:ascii="Arial" w:cs="Arial" w:eastAsia="Arial" w:hAnsi="Arial"/>
                <w:sz w:val="11"/>
                <w:szCs w:val="11"/>
                <w:color w:val="auto"/>
                <w:w w:val="90"/>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5"/>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5"/>
              <w:spacing w:after="0"/>
              <w:rPr>
                <w:sz w:val="20"/>
                <w:szCs w:val="20"/>
                <w:color w:val="auto"/>
              </w:rPr>
            </w:pPr>
            <w:r>
              <w:rPr>
                <w:rFonts w:ascii="Arial" w:cs="Arial" w:eastAsia="Arial" w:hAnsi="Arial"/>
                <w:sz w:val="11"/>
                <w:szCs w:val="11"/>
                <w:color w:val="auto"/>
              </w:rPr>
              <w:t>52</w:t>
            </w:r>
          </w:p>
        </w:tc>
        <w:tc>
          <w:tcPr>
            <w:tcW w:w="10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(309)</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10"/>
              <w:spacing w:after="0"/>
              <w:rPr>
                <w:sz w:val="20"/>
                <w:szCs w:val="20"/>
                <w:color w:val="auto"/>
              </w:rPr>
            </w:pPr>
            <w:r>
              <w:rPr>
                <w:rFonts w:ascii="Arial" w:cs="Arial" w:eastAsia="Arial" w:hAnsi="Arial"/>
                <w:sz w:val="11"/>
                <w:szCs w:val="11"/>
                <w:color w:val="auto"/>
              </w:rPr>
              <w:t>16</w:t>
            </w:r>
          </w:p>
        </w:tc>
        <w:tc>
          <w:tcPr>
            <w:tcW w:w="10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center"/>
              <w:ind w:left="510"/>
              <w:spacing w:after="0"/>
              <w:rPr>
                <w:sz w:val="20"/>
                <w:szCs w:val="20"/>
                <w:color w:val="auto"/>
              </w:rPr>
            </w:pPr>
            <w:r>
              <w:rPr>
                <w:rFonts w:ascii="Arial" w:cs="Arial" w:eastAsia="Arial" w:hAnsi="Arial"/>
                <w:sz w:val="11"/>
                <w:szCs w:val="11"/>
                <w:color w:val="auto"/>
                <w:w w:val="90"/>
              </w:rPr>
              <w:t>—</w:t>
            </w:r>
          </w:p>
        </w:tc>
        <w:tc>
          <w:tcPr>
            <w:tcW w:w="0" w:type="dxa"/>
            <w:vAlign w:val="bottom"/>
          </w:tcPr>
          <w:p>
            <w:pPr>
              <w:spacing w:after="0"/>
              <w:rPr>
                <w:sz w:val="1"/>
                <w:szCs w:val="1"/>
                <w:color w:val="auto"/>
              </w:rPr>
            </w:pPr>
          </w:p>
        </w:tc>
      </w:tr>
      <w:tr>
        <w:trPr>
          <w:trHeight w:val="26"/>
        </w:trPr>
        <w:tc>
          <w:tcPr>
            <w:tcW w:w="1340" w:type="dxa"/>
            <w:vAlign w:val="bottom"/>
            <w:tcBorders>
              <w:top w:val="single" w:sz="8" w:color="2C6937"/>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2C6937"/>
              <w:bottom w:val="single" w:sz="8" w:color="2C6937"/>
            </w:tcBorders>
          </w:tcPr>
          <w:p>
            <w:pPr>
              <w:spacing w:after="0"/>
              <w:rPr>
                <w:sz w:val="2"/>
                <w:szCs w:val="2"/>
                <w:color w:val="auto"/>
              </w:rPr>
            </w:pPr>
          </w:p>
        </w:tc>
        <w:tc>
          <w:tcPr>
            <w:tcW w:w="620" w:type="dxa"/>
            <w:vAlign w:val="bottom"/>
            <w:tcBorders>
              <w:top w:val="single" w:sz="8" w:color="2C6937"/>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2C6937"/>
              <w:bottom w:val="single" w:sz="8" w:color="2C6937"/>
            </w:tcBorders>
          </w:tcPr>
          <w:p>
            <w:pPr>
              <w:spacing w:after="0"/>
              <w:rPr>
                <w:sz w:val="2"/>
                <w:szCs w:val="2"/>
                <w:color w:val="auto"/>
              </w:rPr>
            </w:pPr>
          </w:p>
        </w:tc>
        <w:tc>
          <w:tcPr>
            <w:tcW w:w="380" w:type="dxa"/>
            <w:vAlign w:val="bottom"/>
            <w:tcBorders>
              <w:top w:val="single" w:sz="8" w:color="2C6937"/>
              <w:bottom w:val="single" w:sz="8" w:color="2C6937"/>
            </w:tcBorders>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Borders>
              <w:top w:val="single" w:sz="8" w:color="2C6937"/>
              <w:bottom w:val="single" w:sz="8" w:color="2C6937"/>
            </w:tcBorders>
          </w:tcPr>
          <w:p>
            <w:pPr>
              <w:spacing w:after="0"/>
              <w:rPr>
                <w:sz w:val="2"/>
                <w:szCs w:val="2"/>
                <w:color w:val="auto"/>
              </w:rPr>
            </w:pPr>
          </w:p>
        </w:tc>
        <w:tc>
          <w:tcPr>
            <w:tcW w:w="50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66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42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2C6937"/>
              <w:bottom w:val="single" w:sz="8" w:color="2C6937"/>
            </w:tcBorders>
          </w:tcPr>
          <w:p>
            <w:pPr>
              <w:spacing w:after="0"/>
              <w:rPr>
                <w:sz w:val="2"/>
                <w:szCs w:val="2"/>
                <w:color w:val="auto"/>
              </w:rPr>
            </w:pPr>
          </w:p>
        </w:tc>
        <w:tc>
          <w:tcPr>
            <w:tcW w:w="48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740" w:type="dxa"/>
            <w:vAlign w:val="bottom"/>
            <w:tcBorders>
              <w:top w:val="single" w:sz="8" w:color="2C6937"/>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54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2C6937"/>
              <w:bottom w:val="single" w:sz="8" w:color="2C6937"/>
            </w:tcBorders>
          </w:tcPr>
          <w:p>
            <w:pPr>
              <w:spacing w:after="0"/>
              <w:rPr>
                <w:sz w:val="2"/>
                <w:szCs w:val="2"/>
                <w:color w:val="auto"/>
              </w:rPr>
            </w:pPr>
          </w:p>
        </w:tc>
        <w:tc>
          <w:tcPr>
            <w:tcW w:w="52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2C6937"/>
              <w:bottom w:val="single" w:sz="8" w:color="2C6937"/>
            </w:tcBorders>
          </w:tcPr>
          <w:p>
            <w:pPr>
              <w:spacing w:after="0"/>
              <w:rPr>
                <w:sz w:val="2"/>
                <w:szCs w:val="2"/>
                <w:color w:val="auto"/>
              </w:rPr>
            </w:pPr>
          </w:p>
        </w:tc>
        <w:tc>
          <w:tcPr>
            <w:tcW w:w="700" w:type="dxa"/>
            <w:vAlign w:val="bottom"/>
            <w:tcBorders>
              <w:top w:val="single" w:sz="8" w:color="2C6937"/>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76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6937"/>
              <w:bottom w:val="single" w:sz="8" w:color="2C6937"/>
            </w:tcBorders>
          </w:tcPr>
          <w:p>
            <w:pPr>
              <w:spacing w:after="0"/>
              <w:rPr>
                <w:sz w:val="2"/>
                <w:szCs w:val="2"/>
                <w:color w:val="auto"/>
              </w:rPr>
            </w:pPr>
          </w:p>
        </w:tc>
        <w:tc>
          <w:tcPr>
            <w:tcW w:w="820" w:type="dxa"/>
            <w:vAlign w:val="bottom"/>
            <w:tcBorders>
              <w:top w:val="single" w:sz="8" w:color="2C6937"/>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540385</wp:posOffset>
            </wp:positionV>
            <wp:extent cx="680593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20"/>
        <w:spacing w:after="0"/>
        <w:rPr>
          <w:sz w:val="20"/>
          <w:szCs w:val="20"/>
          <w:color w:val="auto"/>
        </w:rPr>
      </w:pPr>
      <w:r>
        <w:rPr>
          <w:rFonts w:ascii="Arial" w:cs="Arial" w:eastAsia="Arial" w:hAnsi="Arial"/>
          <w:sz w:val="14"/>
          <w:szCs w:val="14"/>
          <w:color w:val="05314D"/>
        </w:rPr>
        <w:t>Fannie Mae (In conservatorship)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151765</wp:posOffset>
            </wp:positionV>
            <wp:extent cx="7164070" cy="4191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248" w:right="339" w:bottom="1440" w:gutter="0" w:footer="0" w:header="0"/>
          <w:type w:val="continuous"/>
        </w:sectPr>
      </w:pPr>
    </w:p>
    <w:bookmarkStart w:id="113" w:name="page114"/>
    <w:bookmarkEnd w:id="113"/>
    <w:p>
      <w:pPr>
        <w:ind w:left="6977"/>
        <w:spacing w:after="0"/>
        <w:rPr>
          <w:sz w:val="20"/>
          <w:szCs w:val="20"/>
          <w:color w:val="auto"/>
        </w:rPr>
      </w:pPr>
      <w:r>
        <w:rPr>
          <w:rFonts w:ascii="Arial" w:cs="Arial" w:eastAsia="Arial" w:hAnsi="Arial"/>
          <w:sz w:val="14"/>
          <w:szCs w:val="14"/>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17145</wp:posOffset>
            </wp:positionV>
            <wp:extent cx="701548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1420"/>
        <w:spacing w:after="0"/>
        <w:rPr>
          <w:sz w:val="20"/>
          <w:szCs w:val="20"/>
          <w:color w:val="auto"/>
        </w:rPr>
      </w:pPr>
      <w:r>
        <w:rPr>
          <w:rFonts w:ascii="Arial" w:cs="Arial" w:eastAsia="Arial" w:hAnsi="Arial"/>
          <w:sz w:val="14"/>
          <w:szCs w:val="14"/>
          <w:b w:val="1"/>
          <w:bCs w:val="1"/>
          <w:color w:val="auto"/>
        </w:rPr>
        <w:t>Fair Value Measurements Using Significant Unobservable Inputs (Level 3)</w:t>
      </w:r>
    </w:p>
    <w:p>
      <w:pPr>
        <w:spacing w:after="0" w:line="45" w:lineRule="exact"/>
        <w:rPr>
          <w:sz w:val="20"/>
          <w:szCs w:val="20"/>
          <w:color w:val="auto"/>
        </w:rPr>
      </w:pPr>
    </w:p>
    <w:p>
      <w:pPr>
        <w:jc w:val="center"/>
        <w:ind w:left="1420"/>
        <w:spacing w:after="0"/>
        <w:rPr>
          <w:sz w:val="20"/>
          <w:szCs w:val="20"/>
          <w:color w:val="auto"/>
        </w:rPr>
      </w:pPr>
      <w:r>
        <w:rPr>
          <w:rFonts w:ascii="Arial" w:cs="Arial" w:eastAsia="Arial" w:hAnsi="Arial"/>
          <w:sz w:val="14"/>
          <w:szCs w:val="14"/>
          <w:b w:val="1"/>
          <w:bCs w:val="1"/>
          <w:color w:val="auto"/>
        </w:rPr>
        <w:t>For the Nine Months Ended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925195</wp:posOffset>
            </wp:positionH>
            <wp:positionV relativeFrom="paragraph">
              <wp:posOffset>18415</wp:posOffset>
            </wp:positionV>
            <wp:extent cx="620522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205220"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tbl>
      <w:tblPr>
        <w:tblLayout w:type="fixed"/>
        <w:tblInd w:w="17" w:type="dxa"/>
        <w:tblCellMar>
          <w:top w:w="0" w:type="dxa"/>
          <w:left w:w="0" w:type="dxa"/>
          <w:bottom w:w="0" w:type="dxa"/>
          <w:right w:w="0" w:type="dxa"/>
        </w:tblCellMar>
      </w:tblPr>
      <w:tr>
        <w:trPr>
          <w:trHeight w:val="103"/>
        </w:trPr>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5"/>
              </w:rPr>
              <w:t>Net Unrealized</w:t>
            </w:r>
          </w:p>
        </w:tc>
        <w:tc>
          <w:tcPr>
            <w:tcW w:w="60" w:type="dxa"/>
            <w:vAlign w:val="bottom"/>
          </w:tcPr>
          <w:p>
            <w:pPr>
              <w:spacing w:after="0"/>
              <w:rPr>
                <w:sz w:val="8"/>
                <w:szCs w:val="8"/>
                <w:color w:val="auto"/>
              </w:rPr>
            </w:pPr>
          </w:p>
        </w:tc>
        <w:tc>
          <w:tcPr>
            <w:tcW w:w="820" w:type="dxa"/>
            <w:vAlign w:val="bottom"/>
          </w:tcPr>
          <w:p>
            <w:pPr>
              <w:jc w:val="center"/>
              <w:ind w:right="50"/>
              <w:spacing w:after="0"/>
              <w:rPr>
                <w:sz w:val="20"/>
                <w:szCs w:val="20"/>
                <w:color w:val="auto"/>
              </w:rPr>
            </w:pPr>
            <w:r>
              <w:rPr>
                <w:rFonts w:ascii="Arial" w:cs="Arial" w:eastAsia="Arial" w:hAnsi="Arial"/>
                <w:sz w:val="9"/>
                <w:szCs w:val="9"/>
                <w:b w:val="1"/>
                <w:bCs w:val="1"/>
                <w:color w:val="auto"/>
                <w:w w:val="95"/>
              </w:rPr>
              <w:t>Net Unrealized</w:t>
            </w:r>
          </w:p>
        </w:tc>
        <w:tc>
          <w:tcPr>
            <w:tcW w:w="0" w:type="dxa"/>
            <w:vAlign w:val="bottom"/>
          </w:tcPr>
          <w:p>
            <w:pPr>
              <w:spacing w:after="0"/>
              <w:rPr>
                <w:sz w:val="1"/>
                <w:szCs w:val="1"/>
                <w:color w:val="auto"/>
              </w:rPr>
            </w:pPr>
          </w:p>
        </w:tc>
      </w:tr>
      <w:tr>
        <w:trPr>
          <w:trHeight w:val="111"/>
        </w:trPr>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gridSpan w:val="5"/>
          </w:tcPr>
          <w:p>
            <w:pPr>
              <w:ind w:left="120"/>
              <w:spacing w:after="0"/>
              <w:rPr>
                <w:sz w:val="20"/>
                <w:szCs w:val="20"/>
                <w:color w:val="auto"/>
              </w:rPr>
            </w:pPr>
            <w:r>
              <w:rPr>
                <w:rFonts w:ascii="Arial" w:cs="Arial" w:eastAsia="Arial" w:hAnsi="Arial"/>
                <w:sz w:val="9"/>
                <w:szCs w:val="9"/>
                <w:b w:val="1"/>
                <w:bCs w:val="1"/>
                <w:color w:val="auto"/>
              </w:rPr>
              <w:t>Total Gains (Losses)</w:t>
            </w: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6"/>
              </w:rPr>
              <w:t>Gains (Losses)</w:t>
            </w:r>
          </w:p>
        </w:tc>
        <w:tc>
          <w:tcPr>
            <w:tcW w:w="60" w:type="dxa"/>
            <w:vAlign w:val="bottom"/>
          </w:tcPr>
          <w:p>
            <w:pPr>
              <w:spacing w:after="0"/>
              <w:rPr>
                <w:sz w:val="9"/>
                <w:szCs w:val="9"/>
                <w:color w:val="auto"/>
              </w:rPr>
            </w:pPr>
          </w:p>
        </w:tc>
        <w:tc>
          <w:tcPr>
            <w:tcW w:w="820" w:type="dxa"/>
            <w:vAlign w:val="bottom"/>
          </w:tcPr>
          <w:p>
            <w:pPr>
              <w:jc w:val="center"/>
              <w:ind w:right="30"/>
              <w:spacing w:after="0"/>
              <w:rPr>
                <w:sz w:val="20"/>
                <w:szCs w:val="20"/>
                <w:color w:val="auto"/>
              </w:rPr>
            </w:pPr>
            <w:r>
              <w:rPr>
                <w:rFonts w:ascii="Arial" w:cs="Arial" w:eastAsia="Arial" w:hAnsi="Arial"/>
                <w:sz w:val="9"/>
                <w:szCs w:val="9"/>
                <w:b w:val="1"/>
                <w:bCs w:val="1"/>
                <w:color w:val="auto"/>
                <w:w w:val="96"/>
              </w:rPr>
              <w:t>Gains (Losses)</w:t>
            </w:r>
          </w:p>
        </w:tc>
        <w:tc>
          <w:tcPr>
            <w:tcW w:w="0" w:type="dxa"/>
            <w:vAlign w:val="bottom"/>
          </w:tcPr>
          <w:p>
            <w:pPr>
              <w:spacing w:after="0"/>
              <w:rPr>
                <w:sz w:val="1"/>
                <w:szCs w:val="1"/>
                <w:color w:val="auto"/>
              </w:rPr>
            </w:pPr>
          </w:p>
        </w:tc>
      </w:tr>
      <w:tr>
        <w:trPr>
          <w:trHeight w:val="95"/>
        </w:trPr>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80" w:type="dxa"/>
            <w:vAlign w:val="bottom"/>
            <w:gridSpan w:val="5"/>
          </w:tcPr>
          <w:p>
            <w:pPr>
              <w:ind w:left="100"/>
              <w:spacing w:after="0" w:line="95" w:lineRule="exact"/>
              <w:rPr>
                <w:sz w:val="20"/>
                <w:szCs w:val="20"/>
                <w:color w:val="auto"/>
              </w:rPr>
            </w:pPr>
            <w:r>
              <w:rPr>
                <w:rFonts w:ascii="Arial" w:cs="Arial" w:eastAsia="Arial" w:hAnsi="Arial"/>
                <w:sz w:val="9"/>
                <w:szCs w:val="9"/>
                <w:b w:val="1"/>
                <w:bCs w:val="1"/>
                <w:color w:val="auto"/>
              </w:rPr>
              <w:t>(Realized/Unrealized)</w:t>
            </w: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tcPr>
          <w:p>
            <w:pPr>
              <w:jc w:val="center"/>
              <w:ind w:right="200"/>
              <w:spacing w:after="0" w:line="95" w:lineRule="exact"/>
              <w:rPr>
                <w:sz w:val="20"/>
                <w:szCs w:val="20"/>
                <w:color w:val="auto"/>
              </w:rPr>
            </w:pPr>
            <w:r>
              <w:rPr>
                <w:rFonts w:ascii="Arial" w:cs="Arial" w:eastAsia="Arial" w:hAnsi="Arial"/>
                <w:sz w:val="9"/>
                <w:szCs w:val="9"/>
                <w:b w:val="1"/>
                <w:bCs w:val="1"/>
                <w:color w:val="auto"/>
                <w:w w:val="96"/>
              </w:rPr>
              <w:t>Included in Net</w:t>
            </w:r>
          </w:p>
        </w:tc>
        <w:tc>
          <w:tcPr>
            <w:tcW w:w="60" w:type="dxa"/>
            <w:vAlign w:val="bottom"/>
          </w:tcPr>
          <w:p>
            <w:pPr>
              <w:spacing w:after="0"/>
              <w:rPr>
                <w:sz w:val="8"/>
                <w:szCs w:val="8"/>
                <w:color w:val="auto"/>
              </w:rPr>
            </w:pPr>
          </w:p>
        </w:tc>
        <w:tc>
          <w:tcPr>
            <w:tcW w:w="820" w:type="dxa"/>
            <w:vAlign w:val="bottom"/>
          </w:tcPr>
          <w:p>
            <w:pPr>
              <w:jc w:val="center"/>
              <w:ind w:right="30"/>
              <w:spacing w:after="0" w:line="95" w:lineRule="exact"/>
              <w:rPr>
                <w:sz w:val="20"/>
                <w:szCs w:val="20"/>
                <w:color w:val="auto"/>
              </w:rPr>
            </w:pPr>
            <w:r>
              <w:rPr>
                <w:rFonts w:ascii="Arial" w:cs="Arial" w:eastAsia="Arial" w:hAnsi="Arial"/>
                <w:sz w:val="9"/>
                <w:szCs w:val="9"/>
                <w:b w:val="1"/>
                <w:bCs w:val="1"/>
                <w:color w:val="auto"/>
                <w:w w:val="93"/>
              </w:rPr>
              <w:t>Included in OCI</w:t>
            </w:r>
          </w:p>
        </w:tc>
        <w:tc>
          <w:tcPr>
            <w:tcW w:w="0" w:type="dxa"/>
            <w:vAlign w:val="bottom"/>
          </w:tcPr>
          <w:p>
            <w:pPr>
              <w:spacing w:after="0"/>
              <w:rPr>
                <w:sz w:val="1"/>
                <w:szCs w:val="1"/>
                <w:color w:val="auto"/>
              </w:rPr>
            </w:pPr>
          </w:p>
        </w:tc>
      </w:tr>
      <w:tr>
        <w:trPr>
          <w:trHeight w:val="47"/>
        </w:trPr>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Borders>
              <w:bottom w:val="single" w:sz="8" w:color="2C6937"/>
            </w:tcBorders>
          </w:tcPr>
          <w:p>
            <w:pPr>
              <w:spacing w:after="0"/>
              <w:rPr>
                <w:sz w:val="4"/>
                <w:szCs w:val="4"/>
                <w:color w:val="auto"/>
              </w:rPr>
            </w:pPr>
          </w:p>
        </w:tc>
        <w:tc>
          <w:tcPr>
            <w:tcW w:w="360" w:type="dxa"/>
            <w:vAlign w:val="bottom"/>
            <w:tcBorders>
              <w:bottom w:val="single" w:sz="8" w:color="2C6937"/>
            </w:tcBorders>
          </w:tcPr>
          <w:p>
            <w:pPr>
              <w:spacing w:after="0"/>
              <w:rPr>
                <w:sz w:val="4"/>
                <w:szCs w:val="4"/>
                <w:color w:val="auto"/>
              </w:rPr>
            </w:pPr>
          </w:p>
        </w:tc>
        <w:tc>
          <w:tcPr>
            <w:tcW w:w="360" w:type="dxa"/>
            <w:vAlign w:val="bottom"/>
            <w:tcBorders>
              <w:bottom w:val="single" w:sz="8" w:color="2C6937"/>
            </w:tcBorders>
          </w:tcPr>
          <w:p>
            <w:pPr>
              <w:spacing w:after="0"/>
              <w:rPr>
                <w:sz w:val="4"/>
                <w:szCs w:val="4"/>
                <w:color w:val="auto"/>
              </w:rPr>
            </w:pPr>
          </w:p>
        </w:tc>
        <w:tc>
          <w:tcPr>
            <w:tcW w:w="80" w:type="dxa"/>
            <w:vAlign w:val="bottom"/>
            <w:tcBorders>
              <w:bottom w:val="single" w:sz="8" w:color="2C6937"/>
            </w:tcBorders>
          </w:tcPr>
          <w:p>
            <w:pPr>
              <w:spacing w:after="0"/>
              <w:rPr>
                <w:sz w:val="4"/>
                <w:szCs w:val="4"/>
                <w:color w:val="auto"/>
              </w:rPr>
            </w:pPr>
          </w:p>
        </w:tc>
        <w:tc>
          <w:tcPr>
            <w:tcW w:w="480" w:type="dxa"/>
            <w:vAlign w:val="bottom"/>
            <w:tcBorders>
              <w:bottom w:val="single" w:sz="8" w:color="2C6937"/>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gridSpan w:val="3"/>
            <w:vMerge w:val="restart"/>
          </w:tcPr>
          <w:p>
            <w:pPr>
              <w:jc w:val="center"/>
              <w:ind w:right="100"/>
              <w:spacing w:after="0"/>
              <w:rPr>
                <w:sz w:val="20"/>
                <w:szCs w:val="20"/>
                <w:color w:val="auto"/>
              </w:rPr>
            </w:pPr>
            <w:r>
              <w:rPr>
                <w:rFonts w:ascii="Arial" w:cs="Arial" w:eastAsia="Arial" w:hAnsi="Arial"/>
                <w:sz w:val="9"/>
                <w:szCs w:val="9"/>
                <w:b w:val="1"/>
                <w:bCs w:val="1"/>
                <w:color w:val="auto"/>
                <w:w w:val="95"/>
              </w:rPr>
              <w:t>Income Related to</w:t>
            </w:r>
          </w:p>
        </w:tc>
        <w:tc>
          <w:tcPr>
            <w:tcW w:w="60" w:type="dxa"/>
            <w:vAlign w:val="bottom"/>
          </w:tcPr>
          <w:p>
            <w:pPr>
              <w:spacing w:after="0"/>
              <w:rPr>
                <w:sz w:val="4"/>
                <w:szCs w:val="4"/>
                <w:color w:val="auto"/>
              </w:rPr>
            </w:pPr>
          </w:p>
        </w:tc>
        <w:tc>
          <w:tcPr>
            <w:tcW w:w="820" w:type="dxa"/>
            <w:vAlign w:val="bottom"/>
            <w:vMerge w:val="restart"/>
          </w:tcPr>
          <w:p>
            <w:pPr>
              <w:jc w:val="center"/>
              <w:ind w:right="50"/>
              <w:spacing w:after="0"/>
              <w:rPr>
                <w:sz w:val="20"/>
                <w:szCs w:val="20"/>
                <w:color w:val="auto"/>
              </w:rPr>
            </w:pPr>
            <w:r>
              <w:rPr>
                <w:rFonts w:ascii="Arial" w:cs="Arial" w:eastAsia="Arial" w:hAnsi="Arial"/>
                <w:sz w:val="9"/>
                <w:szCs w:val="9"/>
                <w:b w:val="1"/>
                <w:bCs w:val="1"/>
                <w:color w:val="auto"/>
                <w:w w:val="95"/>
              </w:rPr>
              <w:t>Related to Assets</w:t>
            </w:r>
          </w:p>
        </w:tc>
        <w:tc>
          <w:tcPr>
            <w:tcW w:w="0" w:type="dxa"/>
            <w:vAlign w:val="bottom"/>
          </w:tcPr>
          <w:p>
            <w:pPr>
              <w:spacing w:after="0"/>
              <w:rPr>
                <w:sz w:val="1"/>
                <w:szCs w:val="1"/>
                <w:color w:val="auto"/>
              </w:rPr>
            </w:pPr>
          </w:p>
        </w:tc>
      </w:tr>
      <w:tr>
        <w:trPr>
          <w:trHeight w:val="36"/>
        </w:trPr>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5"/>
              </w:rPr>
              <w:t>Assets and</w:t>
            </w:r>
          </w:p>
        </w:tc>
        <w:tc>
          <w:tcPr>
            <w:tcW w:w="880" w:type="dxa"/>
            <w:vAlign w:val="bottom"/>
            <w:gridSpan w:val="2"/>
          </w:tcPr>
          <w:p>
            <w:pPr>
              <w:jc w:val="center"/>
              <w:spacing w:after="0"/>
              <w:rPr>
                <w:sz w:val="20"/>
                <w:szCs w:val="20"/>
                <w:color w:val="auto"/>
              </w:rPr>
            </w:pPr>
            <w:r>
              <w:rPr>
                <w:rFonts w:ascii="Arial" w:cs="Arial" w:eastAsia="Arial" w:hAnsi="Arial"/>
                <w:sz w:val="9"/>
                <w:szCs w:val="9"/>
                <w:b w:val="1"/>
                <w:bCs w:val="1"/>
                <w:color w:val="auto"/>
                <w:w w:val="93"/>
              </w:rPr>
              <w:t>and Liabilities Still</w:t>
            </w:r>
          </w:p>
        </w:tc>
        <w:tc>
          <w:tcPr>
            <w:tcW w:w="0" w:type="dxa"/>
            <w:vAlign w:val="bottom"/>
          </w:tcPr>
          <w:p>
            <w:pPr>
              <w:spacing w:after="0"/>
              <w:rPr>
                <w:sz w:val="1"/>
                <w:szCs w:val="1"/>
                <w:color w:val="auto"/>
              </w:rPr>
            </w:pPr>
          </w:p>
        </w:tc>
      </w:tr>
      <w:tr>
        <w:trPr>
          <w:trHeight w:val="103"/>
        </w:trPr>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gridSpan w:val="3"/>
          </w:tcPr>
          <w:p>
            <w:pPr>
              <w:jc w:val="center"/>
              <w:ind w:right="120"/>
              <w:spacing w:after="0"/>
              <w:rPr>
                <w:sz w:val="20"/>
                <w:szCs w:val="20"/>
                <w:color w:val="auto"/>
              </w:rPr>
            </w:pPr>
            <w:r>
              <w:rPr>
                <w:rFonts w:ascii="Arial" w:cs="Arial" w:eastAsia="Arial" w:hAnsi="Arial"/>
                <w:sz w:val="9"/>
                <w:szCs w:val="9"/>
                <w:b w:val="1"/>
                <w:bCs w:val="1"/>
                <w:color w:val="auto"/>
                <w:w w:val="96"/>
              </w:rPr>
              <w:t>Included in</w:t>
            </w: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4"/>
              </w:rPr>
              <w:t>Liabilities Still Held</w:t>
            </w:r>
          </w:p>
        </w:tc>
        <w:tc>
          <w:tcPr>
            <w:tcW w:w="60" w:type="dxa"/>
            <w:vAlign w:val="bottom"/>
          </w:tcPr>
          <w:p>
            <w:pPr>
              <w:spacing w:after="0"/>
              <w:rPr>
                <w:sz w:val="8"/>
                <w:szCs w:val="8"/>
                <w:color w:val="auto"/>
              </w:rPr>
            </w:pPr>
          </w:p>
        </w:tc>
        <w:tc>
          <w:tcPr>
            <w:tcW w:w="820" w:type="dxa"/>
            <w:vAlign w:val="bottom"/>
          </w:tcPr>
          <w:p>
            <w:pPr>
              <w:jc w:val="center"/>
              <w:ind w:right="30"/>
              <w:spacing w:after="0"/>
              <w:rPr>
                <w:sz w:val="20"/>
                <w:szCs w:val="20"/>
                <w:color w:val="auto"/>
              </w:rPr>
            </w:pPr>
            <w:r>
              <w:rPr>
                <w:rFonts w:ascii="Arial" w:cs="Arial" w:eastAsia="Arial" w:hAnsi="Arial"/>
                <w:sz w:val="9"/>
                <w:szCs w:val="9"/>
                <w:b w:val="1"/>
                <w:bCs w:val="1"/>
                <w:color w:val="auto"/>
                <w:w w:val="97"/>
              </w:rPr>
              <w:t>Held as of</w:t>
            </w:r>
          </w:p>
        </w:tc>
        <w:tc>
          <w:tcPr>
            <w:tcW w:w="0" w:type="dxa"/>
            <w:vAlign w:val="bottom"/>
          </w:tcPr>
          <w:p>
            <w:pPr>
              <w:spacing w:after="0"/>
              <w:rPr>
                <w:sz w:val="1"/>
                <w:szCs w:val="1"/>
                <w:color w:val="auto"/>
              </w:rPr>
            </w:pPr>
          </w:p>
        </w:tc>
      </w:tr>
      <w:tr>
        <w:trPr>
          <w:trHeight w:val="103"/>
        </w:trPr>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Balance,</w:t>
            </w:r>
          </w:p>
        </w:tc>
        <w:tc>
          <w:tcPr>
            <w:tcW w:w="560" w:type="dxa"/>
            <w:vAlign w:val="bottom"/>
            <w:gridSpan w:val="2"/>
          </w:tcPr>
          <w:p>
            <w:pPr>
              <w:jc w:val="right"/>
              <w:ind w:right="9"/>
              <w:spacing w:after="0"/>
              <w:rPr>
                <w:sz w:val="20"/>
                <w:szCs w:val="20"/>
                <w:color w:val="auto"/>
              </w:rPr>
            </w:pPr>
            <w:r>
              <w:rPr>
                <w:rFonts w:ascii="Arial" w:cs="Arial" w:eastAsia="Arial" w:hAnsi="Arial"/>
                <w:sz w:val="9"/>
                <w:szCs w:val="9"/>
                <w:b w:val="1"/>
                <w:bCs w:val="1"/>
                <w:color w:val="auto"/>
              </w:rPr>
              <w:t>Included in</w:t>
            </w: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4"/>
              </w:rPr>
              <w:t>Total OCI</w:t>
            </w: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7"/>
              </w:rPr>
              <w:t>Transfers out</w:t>
            </w:r>
          </w:p>
        </w:tc>
        <w:tc>
          <w:tcPr>
            <w:tcW w:w="740" w:type="dxa"/>
            <w:vAlign w:val="bottom"/>
            <w:gridSpan w:val="3"/>
          </w:tcPr>
          <w:p>
            <w:pPr>
              <w:ind w:left="20"/>
              <w:spacing w:after="0"/>
              <w:rPr>
                <w:sz w:val="20"/>
                <w:szCs w:val="20"/>
                <w:color w:val="auto"/>
              </w:rPr>
            </w:pPr>
            <w:r>
              <w:rPr>
                <w:rFonts w:ascii="Arial" w:cs="Arial" w:eastAsia="Arial" w:hAnsi="Arial"/>
                <w:sz w:val="9"/>
                <w:szCs w:val="9"/>
                <w:b w:val="1"/>
                <w:bCs w:val="1"/>
                <w:color w:val="auto"/>
              </w:rPr>
              <w:t>Transfers into</w:t>
            </w:r>
          </w:p>
        </w:tc>
        <w:tc>
          <w:tcPr>
            <w:tcW w:w="140" w:type="dxa"/>
            <w:vAlign w:val="bottom"/>
          </w:tcPr>
          <w:p>
            <w:pPr>
              <w:spacing w:after="0"/>
              <w:rPr>
                <w:sz w:val="8"/>
                <w:szCs w:val="8"/>
                <w:color w:val="auto"/>
              </w:rPr>
            </w:pPr>
          </w:p>
        </w:tc>
        <w:tc>
          <w:tcPr>
            <w:tcW w:w="780" w:type="dxa"/>
            <w:vAlign w:val="bottom"/>
            <w:gridSpan w:val="2"/>
          </w:tcPr>
          <w:p>
            <w:pPr>
              <w:ind w:left="80"/>
              <w:spacing w:after="0"/>
              <w:rPr>
                <w:sz w:val="20"/>
                <w:szCs w:val="20"/>
                <w:color w:val="auto"/>
              </w:rPr>
            </w:pPr>
            <w:r>
              <w:rPr>
                <w:rFonts w:ascii="Arial" w:cs="Arial" w:eastAsia="Arial" w:hAnsi="Arial"/>
                <w:sz w:val="9"/>
                <w:szCs w:val="9"/>
                <w:b w:val="1"/>
                <w:bCs w:val="1"/>
                <w:color w:val="auto"/>
              </w:rPr>
              <w:t>Balance,</w:t>
            </w:r>
          </w:p>
        </w:tc>
        <w:tc>
          <w:tcPr>
            <w:tcW w:w="96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6"/>
              </w:rPr>
              <w:t>as of September 30,</w:t>
            </w:r>
          </w:p>
        </w:tc>
        <w:tc>
          <w:tcPr>
            <w:tcW w:w="60" w:type="dxa"/>
            <w:vAlign w:val="bottom"/>
          </w:tcPr>
          <w:p>
            <w:pPr>
              <w:spacing w:after="0"/>
              <w:rPr>
                <w:sz w:val="8"/>
                <w:szCs w:val="8"/>
                <w:color w:val="auto"/>
              </w:rPr>
            </w:pPr>
          </w:p>
        </w:tc>
        <w:tc>
          <w:tcPr>
            <w:tcW w:w="820" w:type="dxa"/>
            <w:vAlign w:val="bottom"/>
          </w:tcPr>
          <w:p>
            <w:pPr>
              <w:jc w:val="center"/>
              <w:ind w:right="30"/>
              <w:spacing w:after="0"/>
              <w:rPr>
                <w:sz w:val="20"/>
                <w:szCs w:val="20"/>
                <w:color w:val="auto"/>
              </w:rPr>
            </w:pPr>
            <w:r>
              <w:rPr>
                <w:rFonts w:ascii="Arial" w:cs="Arial" w:eastAsia="Arial" w:hAnsi="Arial"/>
                <w:sz w:val="9"/>
                <w:szCs w:val="9"/>
                <w:b w:val="1"/>
                <w:bCs w:val="1"/>
                <w:color w:val="auto"/>
                <w:w w:val="94"/>
              </w:rPr>
              <w:t>September 30,</w:t>
            </w:r>
          </w:p>
        </w:tc>
        <w:tc>
          <w:tcPr>
            <w:tcW w:w="0" w:type="dxa"/>
            <w:vAlign w:val="bottom"/>
          </w:tcPr>
          <w:p>
            <w:pPr>
              <w:spacing w:after="0"/>
              <w:rPr>
                <w:sz w:val="1"/>
                <w:szCs w:val="1"/>
                <w:color w:val="auto"/>
              </w:rPr>
            </w:pPr>
          </w:p>
        </w:tc>
      </w:tr>
      <w:tr>
        <w:trPr>
          <w:trHeight w:val="137"/>
        </w:trPr>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Borders>
              <w:bottom w:val="single" w:sz="8" w:color="2C6937"/>
            </w:tcBorders>
            <w:gridSpan w:val="3"/>
          </w:tcPr>
          <w:p>
            <w:pPr>
              <w:ind w:left="20"/>
              <w:spacing w:after="0"/>
              <w:rPr>
                <w:sz w:val="20"/>
                <w:szCs w:val="20"/>
                <w:color w:val="auto"/>
              </w:rPr>
            </w:pPr>
            <w:r>
              <w:rPr>
                <w:rFonts w:ascii="Arial" w:cs="Arial" w:eastAsia="Arial" w:hAnsi="Arial"/>
                <w:sz w:val="9"/>
                <w:szCs w:val="9"/>
                <w:b w:val="1"/>
                <w:bCs w:val="1"/>
                <w:color w:val="auto"/>
              </w:rPr>
              <w:t>December 31, 2022</w:t>
            </w:r>
          </w:p>
        </w:tc>
        <w:tc>
          <w:tcPr>
            <w:tcW w:w="560" w:type="dxa"/>
            <w:vAlign w:val="bottom"/>
            <w:tcBorders>
              <w:bottom w:val="single" w:sz="8" w:color="2C6937"/>
            </w:tcBorders>
            <w:gridSpan w:val="2"/>
          </w:tcPr>
          <w:p>
            <w:pPr>
              <w:jc w:val="right"/>
              <w:spacing w:after="0"/>
              <w:rPr>
                <w:sz w:val="20"/>
                <w:szCs w:val="20"/>
                <w:color w:val="auto"/>
              </w:rPr>
            </w:pPr>
            <w:r>
              <w:rPr>
                <w:rFonts w:ascii="Arial" w:cs="Arial" w:eastAsia="Arial" w:hAnsi="Arial"/>
                <w:sz w:val="9"/>
                <w:szCs w:val="9"/>
                <w:b w:val="1"/>
                <w:bCs w:val="1"/>
                <w:color w:val="auto"/>
              </w:rPr>
              <w:t>Net Income</w:t>
            </w:r>
          </w:p>
        </w:tc>
        <w:tc>
          <w:tcPr>
            <w:tcW w:w="360" w:type="dxa"/>
            <w:vAlign w:val="bottom"/>
            <w:tcBorders>
              <w:bottom w:val="single" w:sz="8" w:color="2C6937"/>
            </w:tcBorders>
          </w:tcPr>
          <w:p>
            <w:pPr>
              <w:spacing w:after="0"/>
              <w:rPr>
                <w:sz w:val="11"/>
                <w:szCs w:val="11"/>
                <w:color w:val="auto"/>
              </w:rPr>
            </w:pPr>
          </w:p>
        </w:tc>
        <w:tc>
          <w:tcPr>
            <w:tcW w:w="80" w:type="dxa"/>
            <w:vAlign w:val="bottom"/>
            <w:tcBorders>
              <w:bottom w:val="single" w:sz="8" w:color="2C6937"/>
            </w:tcBorders>
          </w:tcPr>
          <w:p>
            <w:pPr>
              <w:spacing w:after="0"/>
              <w:rPr>
                <w:sz w:val="11"/>
                <w:szCs w:val="11"/>
                <w:color w:val="auto"/>
              </w:rPr>
            </w:pPr>
          </w:p>
        </w:tc>
        <w:tc>
          <w:tcPr>
            <w:tcW w:w="580" w:type="dxa"/>
            <w:vAlign w:val="bottom"/>
            <w:tcBorders>
              <w:bottom w:val="single" w:sz="8" w:color="2C6937"/>
            </w:tcBorders>
            <w:gridSpan w:val="2"/>
          </w:tcPr>
          <w:p>
            <w:pPr>
              <w:jc w:val="center"/>
              <w:ind w:right="180"/>
              <w:spacing w:after="0"/>
              <w:rPr>
                <w:sz w:val="20"/>
                <w:szCs w:val="20"/>
                <w:color w:val="auto"/>
              </w:rPr>
            </w:pPr>
            <w:r>
              <w:rPr>
                <w:rFonts w:ascii="Arial" w:cs="Arial" w:eastAsia="Arial" w:hAnsi="Arial"/>
                <w:sz w:val="9"/>
                <w:szCs w:val="9"/>
                <w:b w:val="1"/>
                <w:bCs w:val="1"/>
                <w:color w:val="auto"/>
                <w:w w:val="88"/>
              </w:rPr>
              <w:t>(Loss)</w:t>
            </w:r>
            <w:r>
              <w:rPr>
                <w:rFonts w:ascii="Arial" w:cs="Arial" w:eastAsia="Arial" w:hAnsi="Arial"/>
                <w:sz w:val="11"/>
                <w:szCs w:val="11"/>
                <w:b w:val="1"/>
                <w:bCs w:val="1"/>
                <w:color w:val="auto"/>
                <w:w w:val="88"/>
                <w:vertAlign w:val="superscript"/>
              </w:rPr>
              <w:t>(1)</w:t>
            </w:r>
          </w:p>
        </w:tc>
        <w:tc>
          <w:tcPr>
            <w:tcW w:w="100" w:type="dxa"/>
            <w:vAlign w:val="bottom"/>
            <w:tcBorders>
              <w:bottom w:val="single" w:sz="8" w:color="2C6937"/>
            </w:tcBorders>
          </w:tcPr>
          <w:p>
            <w:pPr>
              <w:spacing w:after="0"/>
              <w:rPr>
                <w:sz w:val="11"/>
                <w:szCs w:val="11"/>
                <w:color w:val="auto"/>
              </w:rPr>
            </w:pPr>
          </w:p>
        </w:tc>
        <w:tc>
          <w:tcPr>
            <w:tcW w:w="780" w:type="dxa"/>
            <w:vAlign w:val="bottom"/>
            <w:tcBorders>
              <w:bottom w:val="single" w:sz="8" w:color="2C6937"/>
            </w:tcBorders>
            <w:gridSpan w:val="2"/>
          </w:tcPr>
          <w:p>
            <w:pPr>
              <w:ind w:left="40"/>
              <w:spacing w:after="0"/>
              <w:rPr>
                <w:sz w:val="20"/>
                <w:szCs w:val="20"/>
                <w:color w:val="auto"/>
              </w:rPr>
            </w:pPr>
            <w:r>
              <w:rPr>
                <w:rFonts w:ascii="Arial" w:cs="Arial" w:eastAsia="Arial" w:hAnsi="Arial"/>
                <w:sz w:val="9"/>
                <w:szCs w:val="9"/>
                <w:b w:val="1"/>
                <w:bCs w:val="1"/>
                <w:color w:val="auto"/>
              </w:rPr>
              <w:t>Purchases</w:t>
            </w:r>
            <w:r>
              <w:rPr>
                <w:rFonts w:ascii="Arial" w:cs="Arial" w:eastAsia="Arial" w:hAnsi="Arial"/>
                <w:sz w:val="11"/>
                <w:szCs w:val="11"/>
                <w:b w:val="1"/>
                <w:bCs w:val="1"/>
                <w:color w:val="auto"/>
                <w:vertAlign w:val="superscript"/>
              </w:rPr>
              <w:t>(2)</w:t>
            </w:r>
          </w:p>
        </w:tc>
        <w:tc>
          <w:tcPr>
            <w:tcW w:w="80" w:type="dxa"/>
            <w:vAlign w:val="bottom"/>
            <w:tcBorders>
              <w:bottom w:val="single" w:sz="8" w:color="2C6937"/>
            </w:tcBorders>
          </w:tcPr>
          <w:p>
            <w:pPr>
              <w:spacing w:after="0"/>
              <w:rPr>
                <w:sz w:val="11"/>
                <w:szCs w:val="11"/>
                <w:color w:val="auto"/>
              </w:rPr>
            </w:pPr>
          </w:p>
        </w:tc>
        <w:tc>
          <w:tcPr>
            <w:tcW w:w="520" w:type="dxa"/>
            <w:vAlign w:val="bottom"/>
            <w:tcBorders>
              <w:bottom w:val="single" w:sz="8" w:color="2C6937"/>
            </w:tcBorders>
            <w:gridSpan w:val="2"/>
          </w:tcPr>
          <w:p>
            <w:pPr>
              <w:ind w:left="20"/>
              <w:spacing w:after="0"/>
              <w:rPr>
                <w:sz w:val="20"/>
                <w:szCs w:val="20"/>
                <w:color w:val="auto"/>
              </w:rPr>
            </w:pPr>
            <w:r>
              <w:rPr>
                <w:rFonts w:ascii="Arial" w:cs="Arial" w:eastAsia="Arial" w:hAnsi="Arial"/>
                <w:sz w:val="9"/>
                <w:szCs w:val="9"/>
                <w:b w:val="1"/>
                <w:bCs w:val="1"/>
                <w:color w:val="auto"/>
              </w:rPr>
              <w:t>Sales</w:t>
            </w:r>
            <w:r>
              <w:rPr>
                <w:rFonts w:ascii="Arial" w:cs="Arial" w:eastAsia="Arial" w:hAnsi="Arial"/>
                <w:sz w:val="11"/>
                <w:szCs w:val="11"/>
                <w:b w:val="1"/>
                <w:bCs w:val="1"/>
                <w:color w:val="auto"/>
                <w:vertAlign w:val="superscript"/>
              </w:rPr>
              <w:t>(2)</w:t>
            </w:r>
          </w:p>
        </w:tc>
        <w:tc>
          <w:tcPr>
            <w:tcW w:w="80" w:type="dxa"/>
            <w:vAlign w:val="bottom"/>
            <w:tcBorders>
              <w:bottom w:val="single" w:sz="8" w:color="2C6937"/>
            </w:tcBorders>
          </w:tcPr>
          <w:p>
            <w:pPr>
              <w:spacing w:after="0"/>
              <w:rPr>
                <w:sz w:val="11"/>
                <w:szCs w:val="11"/>
                <w:color w:val="auto"/>
              </w:rPr>
            </w:pPr>
          </w:p>
        </w:tc>
        <w:tc>
          <w:tcPr>
            <w:tcW w:w="580" w:type="dxa"/>
            <w:vAlign w:val="bottom"/>
            <w:tcBorders>
              <w:bottom w:val="single" w:sz="8" w:color="2C6937"/>
            </w:tcBorders>
            <w:gridSpan w:val="2"/>
          </w:tcPr>
          <w:p>
            <w:pPr>
              <w:ind w:left="20"/>
              <w:spacing w:after="0"/>
              <w:rPr>
                <w:sz w:val="20"/>
                <w:szCs w:val="20"/>
                <w:color w:val="auto"/>
              </w:rPr>
            </w:pPr>
            <w:r>
              <w:rPr>
                <w:rFonts w:ascii="Arial" w:cs="Arial" w:eastAsia="Arial" w:hAnsi="Arial"/>
                <w:sz w:val="9"/>
                <w:szCs w:val="9"/>
                <w:b w:val="1"/>
                <w:bCs w:val="1"/>
                <w:color w:val="auto"/>
              </w:rPr>
              <w:t>Issues</w:t>
            </w:r>
            <w:r>
              <w:rPr>
                <w:rFonts w:ascii="Arial" w:cs="Arial" w:eastAsia="Arial" w:hAnsi="Arial"/>
                <w:sz w:val="11"/>
                <w:szCs w:val="11"/>
                <w:b w:val="1"/>
                <w:bCs w:val="1"/>
                <w:color w:val="auto"/>
                <w:vertAlign w:val="superscript"/>
              </w:rPr>
              <w:t>(3)</w:t>
            </w:r>
          </w:p>
        </w:tc>
        <w:tc>
          <w:tcPr>
            <w:tcW w:w="100" w:type="dxa"/>
            <w:vAlign w:val="bottom"/>
            <w:tcBorders>
              <w:bottom w:val="single" w:sz="8" w:color="2C6937"/>
            </w:tcBorders>
          </w:tcPr>
          <w:p>
            <w:pPr>
              <w:spacing w:after="0"/>
              <w:rPr>
                <w:sz w:val="11"/>
                <w:szCs w:val="11"/>
                <w:color w:val="auto"/>
              </w:rPr>
            </w:pPr>
          </w:p>
        </w:tc>
        <w:tc>
          <w:tcPr>
            <w:tcW w:w="820" w:type="dxa"/>
            <w:vAlign w:val="bottom"/>
            <w:tcBorders>
              <w:bottom w:val="single" w:sz="8" w:color="2C6937"/>
            </w:tcBorders>
            <w:gridSpan w:val="2"/>
          </w:tcPr>
          <w:p>
            <w:pPr>
              <w:ind w:left="40"/>
              <w:spacing w:after="0"/>
              <w:rPr>
                <w:sz w:val="20"/>
                <w:szCs w:val="20"/>
                <w:color w:val="auto"/>
              </w:rPr>
            </w:pPr>
            <w:r>
              <w:rPr>
                <w:rFonts w:ascii="Arial" w:cs="Arial" w:eastAsia="Arial" w:hAnsi="Arial"/>
                <w:sz w:val="9"/>
                <w:szCs w:val="9"/>
                <w:b w:val="1"/>
                <w:bCs w:val="1"/>
                <w:color w:val="auto"/>
              </w:rPr>
              <w:t>Settlements</w:t>
            </w:r>
            <w:r>
              <w:rPr>
                <w:rFonts w:ascii="Arial" w:cs="Arial" w:eastAsia="Arial" w:hAnsi="Arial"/>
                <w:sz w:val="11"/>
                <w:szCs w:val="11"/>
                <w:b w:val="1"/>
                <w:bCs w:val="1"/>
                <w:color w:val="auto"/>
                <w:vertAlign w:val="superscript"/>
              </w:rPr>
              <w:t>(3)</w:t>
            </w:r>
          </w:p>
        </w:tc>
        <w:tc>
          <w:tcPr>
            <w:tcW w:w="100" w:type="dxa"/>
            <w:vAlign w:val="bottom"/>
            <w:tcBorders>
              <w:bottom w:val="single" w:sz="8" w:color="2C6937"/>
            </w:tcBorders>
          </w:tcPr>
          <w:p>
            <w:pPr>
              <w:spacing w:after="0"/>
              <w:rPr>
                <w:sz w:val="11"/>
                <w:szCs w:val="11"/>
                <w:color w:val="auto"/>
              </w:rPr>
            </w:pPr>
          </w:p>
        </w:tc>
        <w:tc>
          <w:tcPr>
            <w:tcW w:w="64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9"/>
                <w:szCs w:val="9"/>
                <w:b w:val="1"/>
                <w:bCs w:val="1"/>
                <w:color w:val="auto"/>
                <w:w w:val="96"/>
              </w:rPr>
              <w:t>of Level 3</w:t>
            </w:r>
          </w:p>
        </w:tc>
        <w:tc>
          <w:tcPr>
            <w:tcW w:w="120" w:type="dxa"/>
            <w:vAlign w:val="bottom"/>
            <w:tcBorders>
              <w:bottom w:val="single" w:sz="8" w:color="2C6937"/>
            </w:tcBorders>
          </w:tcPr>
          <w:p>
            <w:pPr>
              <w:spacing w:after="0"/>
              <w:rPr>
                <w:sz w:val="11"/>
                <w:szCs w:val="11"/>
                <w:color w:val="auto"/>
              </w:rPr>
            </w:pPr>
          </w:p>
        </w:tc>
        <w:tc>
          <w:tcPr>
            <w:tcW w:w="620" w:type="dxa"/>
            <w:vAlign w:val="bottom"/>
            <w:tcBorders>
              <w:bottom w:val="single" w:sz="8" w:color="2C6937"/>
            </w:tcBorders>
            <w:gridSpan w:val="2"/>
          </w:tcPr>
          <w:p>
            <w:pPr>
              <w:ind w:left="40"/>
              <w:spacing w:after="0"/>
              <w:rPr>
                <w:sz w:val="20"/>
                <w:szCs w:val="20"/>
                <w:color w:val="auto"/>
              </w:rPr>
            </w:pPr>
            <w:r>
              <w:rPr>
                <w:rFonts w:ascii="Arial" w:cs="Arial" w:eastAsia="Arial" w:hAnsi="Arial"/>
                <w:sz w:val="9"/>
                <w:szCs w:val="9"/>
                <w:b w:val="1"/>
                <w:bCs w:val="1"/>
                <w:color w:val="auto"/>
              </w:rPr>
              <w:t>Level 3</w:t>
            </w:r>
          </w:p>
        </w:tc>
        <w:tc>
          <w:tcPr>
            <w:tcW w:w="920" w:type="dxa"/>
            <w:vAlign w:val="bottom"/>
            <w:tcBorders>
              <w:bottom w:val="single" w:sz="8" w:color="2C6937"/>
            </w:tcBorders>
            <w:gridSpan w:val="3"/>
          </w:tcPr>
          <w:p>
            <w:pPr>
              <w:spacing w:after="0"/>
              <w:rPr>
                <w:sz w:val="20"/>
                <w:szCs w:val="20"/>
                <w:color w:val="auto"/>
              </w:rPr>
            </w:pPr>
            <w:r>
              <w:rPr>
                <w:rFonts w:ascii="Arial" w:cs="Arial" w:eastAsia="Arial" w:hAnsi="Arial"/>
                <w:sz w:val="9"/>
                <w:szCs w:val="9"/>
                <w:b w:val="1"/>
                <w:bCs w:val="1"/>
                <w:color w:val="auto"/>
              </w:rPr>
              <w:t>September 30, 2023</w:t>
            </w:r>
          </w:p>
        </w:tc>
        <w:tc>
          <w:tcPr>
            <w:tcW w:w="100" w:type="dxa"/>
            <w:vAlign w:val="bottom"/>
            <w:tcBorders>
              <w:bottom w:val="single" w:sz="8" w:color="2C6937"/>
            </w:tcBorders>
          </w:tcPr>
          <w:p>
            <w:pPr>
              <w:spacing w:after="0"/>
              <w:rPr>
                <w:sz w:val="11"/>
                <w:szCs w:val="11"/>
                <w:color w:val="auto"/>
              </w:rPr>
            </w:pPr>
          </w:p>
        </w:tc>
        <w:tc>
          <w:tcPr>
            <w:tcW w:w="760" w:type="dxa"/>
            <w:vAlign w:val="bottom"/>
            <w:tcBorders>
              <w:bottom w:val="single" w:sz="8" w:color="2C6937"/>
            </w:tcBorders>
          </w:tcPr>
          <w:p>
            <w:pPr>
              <w:jc w:val="center"/>
              <w:ind w:right="50"/>
              <w:spacing w:after="0" w:line="138" w:lineRule="exact"/>
              <w:rPr>
                <w:sz w:val="20"/>
                <w:szCs w:val="20"/>
                <w:color w:val="auto"/>
              </w:rPr>
            </w:pPr>
            <w:r>
              <w:rPr>
                <w:rFonts w:ascii="Arial" w:cs="Arial" w:eastAsia="Arial" w:hAnsi="Arial"/>
                <w:sz w:val="15"/>
                <w:szCs w:val="15"/>
                <w:b w:val="1"/>
                <w:bCs w:val="1"/>
                <w:color w:val="auto"/>
                <w:w w:val="98"/>
                <w:vertAlign w:val="subscript"/>
              </w:rPr>
              <w:t>2023</w:t>
            </w:r>
            <w:r>
              <w:rPr>
                <w:rFonts w:ascii="Arial" w:cs="Arial" w:eastAsia="Arial" w:hAnsi="Arial"/>
                <w:sz w:val="5"/>
                <w:szCs w:val="5"/>
                <w:b w:val="1"/>
                <w:bCs w:val="1"/>
                <w:color w:val="auto"/>
                <w:w w:val="98"/>
              </w:rPr>
              <w:t>(4)(5)</w:t>
            </w:r>
          </w:p>
        </w:tc>
        <w:tc>
          <w:tcPr>
            <w:tcW w:w="100" w:type="dxa"/>
            <w:vAlign w:val="bottom"/>
            <w:tcBorders>
              <w:bottom w:val="single" w:sz="8" w:color="2C6937"/>
            </w:tcBorders>
          </w:tcPr>
          <w:p>
            <w:pPr>
              <w:spacing w:after="0"/>
              <w:rPr>
                <w:sz w:val="11"/>
                <w:szCs w:val="11"/>
                <w:color w:val="auto"/>
              </w:rPr>
            </w:pPr>
          </w:p>
        </w:tc>
        <w:tc>
          <w:tcPr>
            <w:tcW w:w="60" w:type="dxa"/>
            <w:vAlign w:val="bottom"/>
            <w:tcBorders>
              <w:bottom w:val="single" w:sz="8" w:color="2C6937"/>
            </w:tcBorders>
          </w:tcPr>
          <w:p>
            <w:pPr>
              <w:spacing w:after="0"/>
              <w:rPr>
                <w:sz w:val="11"/>
                <w:szCs w:val="11"/>
                <w:color w:val="auto"/>
              </w:rPr>
            </w:pPr>
          </w:p>
        </w:tc>
        <w:tc>
          <w:tcPr>
            <w:tcW w:w="820" w:type="dxa"/>
            <w:vAlign w:val="bottom"/>
            <w:tcBorders>
              <w:bottom w:val="single" w:sz="8" w:color="2C6937"/>
            </w:tcBorders>
          </w:tcPr>
          <w:p>
            <w:pPr>
              <w:jc w:val="center"/>
              <w:ind w:right="30"/>
              <w:spacing w:after="0"/>
              <w:rPr>
                <w:sz w:val="20"/>
                <w:szCs w:val="20"/>
                <w:color w:val="auto"/>
              </w:rPr>
            </w:pPr>
            <w:r>
              <w:rPr>
                <w:rFonts w:ascii="Arial" w:cs="Arial" w:eastAsia="Arial" w:hAnsi="Arial"/>
                <w:sz w:val="9"/>
                <w:szCs w:val="9"/>
                <w:b w:val="1"/>
                <w:bCs w:val="1"/>
                <w:color w:val="auto"/>
                <w:w w:val="89"/>
              </w:rPr>
              <w:t>2023</w:t>
            </w:r>
            <w:r>
              <w:rPr>
                <w:rFonts w:ascii="Arial" w:cs="Arial" w:eastAsia="Arial" w:hAnsi="Arial"/>
                <w:sz w:val="11"/>
                <w:szCs w:val="11"/>
                <w:b w:val="1"/>
                <w:bCs w:val="1"/>
                <w:color w:val="auto"/>
                <w:w w:val="89"/>
                <w:vertAlign w:val="superscript"/>
              </w:rPr>
              <w:t>(1)</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5"/>
          </w:tcPr>
          <w:p>
            <w:pPr>
              <w:ind w:left="320"/>
              <w:spacing w:after="0"/>
              <w:rPr>
                <w:sz w:val="20"/>
                <w:szCs w:val="20"/>
                <w:color w:val="auto"/>
              </w:rPr>
            </w:pPr>
            <w:r>
              <w:rPr>
                <w:rFonts w:ascii="Arial" w:cs="Arial" w:eastAsia="Arial" w:hAnsi="Arial"/>
                <w:sz w:val="11"/>
                <w:szCs w:val="11"/>
                <w:b w:val="1"/>
                <w:bCs w:val="1"/>
                <w:color w:val="auto"/>
              </w:rPr>
              <w:t>(Dollars in millions)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Trading securities:</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1440" w:type="dxa"/>
            <w:vAlign w:val="bottom"/>
            <w:gridSpan w:val="2"/>
          </w:tcPr>
          <w:p>
            <w:pPr>
              <w:ind w:left="60"/>
              <w:spacing w:after="0"/>
              <w:rPr>
                <w:sz w:val="20"/>
                <w:szCs w:val="20"/>
                <w:color w:val="auto"/>
              </w:rPr>
            </w:pPr>
            <w:r>
              <w:rPr>
                <w:rFonts w:ascii="Arial" w:cs="Arial" w:eastAsia="Arial" w:hAnsi="Arial"/>
                <w:sz w:val="11"/>
                <w:szCs w:val="11"/>
                <w:color w:val="auto"/>
              </w:rPr>
              <w:t>Mortgage-related</w:t>
            </w:r>
          </w:p>
        </w:tc>
        <w:tc>
          <w:tcPr>
            <w:tcW w:w="140" w:type="dxa"/>
            <w:vAlign w:val="bottom"/>
          </w:tcPr>
          <w:p>
            <w:pPr>
              <w:ind w:left="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5"/>
              <w:spacing w:after="0"/>
              <w:rPr>
                <w:sz w:val="20"/>
                <w:szCs w:val="20"/>
                <w:color w:val="auto"/>
              </w:rPr>
            </w:pPr>
            <w:r>
              <w:rPr>
                <w:rFonts w:ascii="Arial" w:cs="Arial" w:eastAsia="Arial" w:hAnsi="Arial"/>
                <w:sz w:val="11"/>
                <w:szCs w:val="11"/>
                <w:color w:val="auto"/>
              </w:rPr>
              <w:t>47</w:t>
            </w:r>
          </w:p>
        </w:tc>
        <w:tc>
          <w:tcPr>
            <w:tcW w:w="80" w:type="dxa"/>
            <w:vAlign w:val="bottom"/>
          </w:tcPr>
          <w:p>
            <w:pPr>
              <w:spacing w:after="0"/>
              <w:rPr>
                <w:sz w:val="24"/>
                <w:szCs w:val="24"/>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720" w:type="dxa"/>
            <w:vAlign w:val="bottom"/>
            <w:gridSpan w:val="2"/>
          </w:tcPr>
          <w:p>
            <w:pPr>
              <w:jc w:val="right"/>
              <w:ind w:right="146"/>
              <w:spacing w:after="0"/>
              <w:rPr>
                <w:sz w:val="20"/>
                <w:szCs w:val="20"/>
                <w:color w:val="auto"/>
              </w:rPr>
            </w:pPr>
            <w:r>
              <w:rPr>
                <w:rFonts w:ascii="Arial" w:cs="Arial" w:eastAsia="Arial" w:hAnsi="Arial"/>
                <w:sz w:val="22"/>
                <w:szCs w:val="22"/>
                <w:color w:val="auto"/>
                <w:vertAlign w:val="subscript"/>
              </w:rPr>
              <w:t>(12)</w:t>
            </w:r>
            <w:r>
              <w:rPr>
                <w:rFonts w:ascii="Arial" w:cs="Arial" w:eastAsia="Arial" w:hAnsi="Arial"/>
                <w:sz w:val="7"/>
                <w:szCs w:val="7"/>
                <w:color w:val="auto"/>
              </w:rPr>
              <w:t xml:space="preserve"> (5)(6)</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(15)</w:t>
            </w:r>
          </w:p>
        </w:tc>
        <w:tc>
          <w:tcPr>
            <w:tcW w:w="1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25"/>
              <w:spacing w:after="0"/>
              <w:rPr>
                <w:sz w:val="20"/>
                <w:szCs w:val="20"/>
                <w:color w:val="auto"/>
              </w:rPr>
            </w:pPr>
            <w:r>
              <w:rPr>
                <w:rFonts w:ascii="Arial" w:cs="Arial" w:eastAsia="Arial" w:hAnsi="Arial"/>
                <w:sz w:val="11"/>
                <w:szCs w:val="11"/>
                <w:color w:val="auto"/>
              </w:rPr>
              <w:t>24</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3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6"/>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Available-for-sale</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440" w:type="dxa"/>
            <w:vAlign w:val="bottom"/>
            <w:gridSpan w:val="2"/>
          </w:tcPr>
          <w:p>
            <w:pPr>
              <w:ind w:left="140"/>
              <w:spacing w:after="0"/>
              <w:rPr>
                <w:sz w:val="20"/>
                <w:szCs w:val="20"/>
                <w:color w:val="auto"/>
              </w:rPr>
            </w:pPr>
            <w:r>
              <w:rPr>
                <w:rFonts w:ascii="Arial" w:cs="Arial" w:eastAsia="Arial" w:hAnsi="Arial"/>
                <w:sz w:val="11"/>
                <w:szCs w:val="11"/>
                <w:color w:val="auto"/>
              </w:rPr>
              <w:t>securities:</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440" w:type="dxa"/>
            <w:vAlign w:val="bottom"/>
            <w:gridSpan w:val="2"/>
          </w:tcPr>
          <w:p>
            <w:pPr>
              <w:ind w:left="60"/>
              <w:spacing w:after="0"/>
              <w:rPr>
                <w:sz w:val="20"/>
                <w:szCs w:val="20"/>
                <w:color w:val="auto"/>
              </w:rPr>
            </w:pPr>
            <w:r>
              <w:rPr>
                <w:rFonts w:ascii="Arial" w:cs="Arial" w:eastAsia="Arial" w:hAnsi="Arial"/>
                <w:sz w:val="11"/>
                <w:szCs w:val="11"/>
                <w:color w:val="auto"/>
              </w:rPr>
              <w:t>Agency</w:t>
            </w:r>
          </w:p>
        </w:tc>
        <w:tc>
          <w:tcPr>
            <w:tcW w:w="140" w:type="dxa"/>
            <w:vAlign w:val="bottom"/>
          </w:tcPr>
          <w:p>
            <w:pPr>
              <w:ind w:left="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5"/>
              <w:spacing w:after="0"/>
              <w:rPr>
                <w:sz w:val="20"/>
                <w:szCs w:val="20"/>
                <w:color w:val="auto"/>
              </w:rPr>
            </w:pPr>
            <w:r>
              <w:rPr>
                <w:rFonts w:ascii="Arial" w:cs="Arial" w:eastAsia="Arial" w:hAnsi="Arial"/>
                <w:sz w:val="11"/>
                <w:szCs w:val="11"/>
                <w:color w:val="auto"/>
              </w:rPr>
              <w:t>371</w:t>
            </w:r>
          </w:p>
        </w:tc>
        <w:tc>
          <w:tcPr>
            <w:tcW w:w="80" w:type="dxa"/>
            <w:vAlign w:val="bottom"/>
          </w:tcPr>
          <w:p>
            <w:pPr>
              <w:spacing w:after="0"/>
              <w:rPr>
                <w:sz w:val="15"/>
                <w:szCs w:val="15"/>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360" w:type="dxa"/>
            <w:vAlign w:val="bottom"/>
          </w:tcPr>
          <w:p>
            <w:pPr>
              <w:jc w:val="right"/>
              <w:ind w:right="9"/>
              <w:spacing w:after="0"/>
              <w:rPr>
                <w:sz w:val="20"/>
                <w:szCs w:val="20"/>
                <w:color w:val="auto"/>
              </w:rPr>
            </w:pPr>
            <w:r>
              <w:rPr>
                <w:rFonts w:ascii="Arial" w:cs="Arial" w:eastAsia="Arial" w:hAnsi="Arial"/>
                <w:sz w:val="11"/>
                <w:szCs w:val="11"/>
                <w:color w:val="auto"/>
              </w:rPr>
              <w:t>1</w:t>
            </w:r>
          </w:p>
        </w:tc>
        <w:tc>
          <w:tcPr>
            <w:tcW w:w="3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(18)</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(25)</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(117)</w:t>
            </w:r>
          </w:p>
        </w:tc>
        <w:tc>
          <w:tcPr>
            <w:tcW w:w="10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25"/>
              <w:spacing w:after="0"/>
              <w:rPr>
                <w:sz w:val="20"/>
                <w:szCs w:val="20"/>
                <w:color w:val="auto"/>
              </w:rPr>
            </w:pPr>
            <w:r>
              <w:rPr>
                <w:rFonts w:ascii="Arial" w:cs="Arial" w:eastAsia="Arial" w:hAnsi="Arial"/>
                <w:sz w:val="11"/>
                <w:szCs w:val="11"/>
                <w:color w:val="auto"/>
              </w:rPr>
              <w:t>212</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76"/>
        </w:trPr>
        <w:tc>
          <w:tcPr>
            <w:tcW w:w="1340" w:type="dxa"/>
            <w:vAlign w:val="bottom"/>
            <w:tcBorders>
              <w:bottom w:val="single" w:sz="8" w:color="2C6937"/>
            </w:tcBorders>
          </w:tcPr>
          <w:p>
            <w:pPr>
              <w:ind w:left="60"/>
              <w:spacing w:after="0"/>
              <w:rPr>
                <w:sz w:val="20"/>
                <w:szCs w:val="20"/>
                <w:color w:val="auto"/>
              </w:rPr>
            </w:pPr>
            <w:r>
              <w:rPr>
                <w:rFonts w:ascii="Arial" w:cs="Arial" w:eastAsia="Arial" w:hAnsi="Arial"/>
                <w:sz w:val="11"/>
                <w:szCs w:val="11"/>
                <w:color w:val="auto"/>
              </w:rPr>
              <w:t>Other mortgage-related</w:t>
            </w:r>
          </w:p>
        </w:tc>
        <w:tc>
          <w:tcPr>
            <w:tcW w:w="10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680" w:type="dxa"/>
            <w:vAlign w:val="bottom"/>
            <w:tcBorders>
              <w:bottom w:val="single" w:sz="8" w:color="2C6937"/>
            </w:tcBorders>
          </w:tcPr>
          <w:p>
            <w:pPr>
              <w:jc w:val="right"/>
              <w:ind w:right="25"/>
              <w:spacing w:after="0"/>
              <w:rPr>
                <w:sz w:val="20"/>
                <w:szCs w:val="20"/>
                <w:color w:val="auto"/>
              </w:rPr>
            </w:pPr>
            <w:r>
              <w:rPr>
                <w:rFonts w:ascii="Arial" w:cs="Arial" w:eastAsia="Arial" w:hAnsi="Arial"/>
                <w:sz w:val="11"/>
                <w:szCs w:val="11"/>
                <w:color w:val="auto"/>
              </w:rPr>
              <w:t>263</w:t>
            </w:r>
          </w:p>
        </w:tc>
        <w:tc>
          <w:tcPr>
            <w:tcW w:w="80" w:type="dxa"/>
            <w:vAlign w:val="bottom"/>
          </w:tcPr>
          <w:p>
            <w:pPr>
              <w:spacing w:after="0"/>
              <w:rPr>
                <w:sz w:val="15"/>
                <w:szCs w:val="15"/>
                <w:color w:val="auto"/>
              </w:rPr>
            </w:pPr>
          </w:p>
        </w:tc>
        <w:tc>
          <w:tcPr>
            <w:tcW w:w="200" w:type="dxa"/>
            <w:vAlign w:val="bottom"/>
            <w:tcBorders>
              <w:bottom w:val="single" w:sz="8" w:color="2C6937"/>
            </w:tcBorders>
          </w:tcPr>
          <w:p>
            <w:pPr>
              <w:spacing w:after="0"/>
              <w:rPr>
                <w:sz w:val="15"/>
                <w:szCs w:val="15"/>
                <w:color w:val="auto"/>
              </w:rPr>
            </w:pPr>
          </w:p>
        </w:tc>
        <w:tc>
          <w:tcPr>
            <w:tcW w:w="360" w:type="dxa"/>
            <w:vAlign w:val="bottom"/>
            <w:tcBorders>
              <w:bottom w:val="single" w:sz="8" w:color="2C6937"/>
            </w:tcBorders>
          </w:tcPr>
          <w:p>
            <w:pPr>
              <w:jc w:val="right"/>
              <w:ind w:right="9"/>
              <w:spacing w:after="0"/>
              <w:rPr>
                <w:sz w:val="20"/>
                <w:szCs w:val="20"/>
                <w:color w:val="auto"/>
              </w:rPr>
            </w:pPr>
            <w:r>
              <w:rPr>
                <w:rFonts w:ascii="Arial" w:cs="Arial" w:eastAsia="Arial" w:hAnsi="Arial"/>
                <w:sz w:val="11"/>
                <w:szCs w:val="11"/>
                <w:color w:val="auto"/>
              </w:rPr>
              <w:t>6</w:t>
            </w:r>
          </w:p>
        </w:tc>
        <w:tc>
          <w:tcPr>
            <w:tcW w:w="360" w:type="dxa"/>
            <w:vAlign w:val="bottom"/>
          </w:tcPr>
          <w:p>
            <w:pPr>
              <w:spacing w:after="0"/>
              <w:rPr>
                <w:sz w:val="15"/>
                <w:szCs w:val="15"/>
                <w:color w:val="auto"/>
              </w:rPr>
            </w:pPr>
          </w:p>
        </w:tc>
        <w:tc>
          <w:tcPr>
            <w:tcW w:w="80" w:type="dxa"/>
            <w:vAlign w:val="bottom"/>
            <w:tcBorders>
              <w:bottom w:val="single" w:sz="8" w:color="2C6937"/>
            </w:tcBorders>
          </w:tcPr>
          <w:p>
            <w:pPr>
              <w:spacing w:after="0"/>
              <w:rPr>
                <w:sz w:val="15"/>
                <w:szCs w:val="15"/>
                <w:color w:val="auto"/>
              </w:rPr>
            </w:pPr>
          </w:p>
        </w:tc>
        <w:tc>
          <w:tcPr>
            <w:tcW w:w="480" w:type="dxa"/>
            <w:vAlign w:val="bottom"/>
            <w:tcBorders>
              <w:bottom w:val="single" w:sz="8" w:color="2C6937"/>
            </w:tcBorders>
          </w:tcPr>
          <w:p>
            <w:pPr>
              <w:jc w:val="right"/>
              <w:ind w:right="7"/>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680" w:type="dxa"/>
            <w:vAlign w:val="bottom"/>
            <w:tcBorders>
              <w:bottom w:val="single" w:sz="8" w:color="2C6937"/>
            </w:tcBorders>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0" w:type="dxa"/>
            <w:vAlign w:val="bottom"/>
            <w:tcBorders>
              <w:bottom w:val="single" w:sz="8" w:color="2C6937"/>
            </w:tcBorders>
          </w:tcPr>
          <w:p>
            <w:pPr>
              <w:spacing w:after="0"/>
              <w:rPr>
                <w:sz w:val="15"/>
                <w:szCs w:val="15"/>
                <w:color w:val="auto"/>
              </w:rPr>
            </w:pPr>
          </w:p>
        </w:tc>
        <w:tc>
          <w:tcPr>
            <w:tcW w:w="420" w:type="dxa"/>
            <w:vAlign w:val="bottom"/>
            <w:tcBorders>
              <w:bottom w:val="single" w:sz="8" w:color="2C6937"/>
            </w:tcBorders>
          </w:tcPr>
          <w:p>
            <w:pPr>
              <w:ind w:lef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0" w:type="dxa"/>
            <w:vAlign w:val="bottom"/>
            <w:tcBorders>
              <w:bottom w:val="single" w:sz="8" w:color="2C6937"/>
            </w:tcBorders>
          </w:tcPr>
          <w:p>
            <w:pPr>
              <w:spacing w:after="0"/>
              <w:rPr>
                <w:sz w:val="15"/>
                <w:szCs w:val="15"/>
                <w:color w:val="auto"/>
              </w:rPr>
            </w:pPr>
          </w:p>
        </w:tc>
        <w:tc>
          <w:tcPr>
            <w:tcW w:w="480" w:type="dxa"/>
            <w:vAlign w:val="bottom"/>
            <w:tcBorders>
              <w:bottom w:val="single" w:sz="8" w:color="2C6937"/>
            </w:tcBorders>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(72)</w:t>
            </w:r>
          </w:p>
        </w:tc>
        <w:tc>
          <w:tcPr>
            <w:tcW w:w="8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52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700" w:type="dxa"/>
            <w:vAlign w:val="bottom"/>
            <w:tcBorders>
              <w:bottom w:val="single" w:sz="8" w:color="2C6937"/>
            </w:tcBorders>
          </w:tcPr>
          <w:p>
            <w:pPr>
              <w:jc w:val="right"/>
              <w:ind w:right="25"/>
              <w:spacing w:after="0"/>
              <w:rPr>
                <w:sz w:val="20"/>
                <w:szCs w:val="20"/>
                <w:color w:val="auto"/>
              </w:rPr>
            </w:pPr>
            <w:r>
              <w:rPr>
                <w:rFonts w:ascii="Arial" w:cs="Arial" w:eastAsia="Arial" w:hAnsi="Arial"/>
                <w:sz w:val="11"/>
                <w:szCs w:val="11"/>
                <w:color w:val="auto"/>
              </w:rPr>
              <w:t>203</w:t>
            </w:r>
          </w:p>
        </w:tc>
        <w:tc>
          <w:tcPr>
            <w:tcW w:w="8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760" w:type="dxa"/>
            <w:vAlign w:val="bottom"/>
            <w:tcBorders>
              <w:bottom w:val="single" w:sz="8" w:color="2C6937"/>
            </w:tcBorders>
          </w:tcPr>
          <w:p>
            <w:pPr>
              <w:jc w:val="right"/>
              <w:ind w:right="1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60" w:type="dxa"/>
            <w:vAlign w:val="bottom"/>
            <w:tcBorders>
              <w:bottom w:val="single" w:sz="8" w:color="2C6937"/>
            </w:tcBorders>
          </w:tcPr>
          <w:p>
            <w:pPr>
              <w:spacing w:after="0"/>
              <w:rPr>
                <w:sz w:val="15"/>
                <w:szCs w:val="15"/>
                <w:color w:val="auto"/>
              </w:rPr>
            </w:pPr>
          </w:p>
        </w:tc>
        <w:tc>
          <w:tcPr>
            <w:tcW w:w="820" w:type="dxa"/>
            <w:vAlign w:val="bottom"/>
            <w:tcBorders>
              <w:bottom w:val="single" w:sz="8" w:color="2C6937"/>
            </w:tcBorders>
          </w:tcPr>
          <w:p>
            <w:pPr>
              <w:jc w:val="right"/>
              <w:ind w:right="30"/>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47"/>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Total available-for-sale</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ind w:left="20"/>
              <w:spacing w:after="0"/>
              <w:rPr>
                <w:sz w:val="20"/>
                <w:szCs w:val="20"/>
                <w:color w:val="auto"/>
              </w:rPr>
            </w:pPr>
            <w:r>
              <w:rPr>
                <w:rFonts w:ascii="Arial" w:cs="Arial" w:eastAsia="Arial" w:hAnsi="Arial"/>
                <w:sz w:val="7"/>
                <w:szCs w:val="7"/>
                <w:color w:val="auto"/>
              </w:rPr>
              <w:t>(6)(7)</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340" w:type="dxa"/>
            <w:vAlign w:val="bottom"/>
            <w:tcBorders>
              <w:bottom w:val="single" w:sz="8" w:color="2C6937"/>
            </w:tcBorders>
          </w:tcPr>
          <w:p>
            <w:pPr>
              <w:ind w:left="140"/>
              <w:spacing w:after="0"/>
              <w:rPr>
                <w:sz w:val="20"/>
                <w:szCs w:val="20"/>
                <w:color w:val="auto"/>
              </w:rPr>
            </w:pPr>
            <w:r>
              <w:rPr>
                <w:rFonts w:ascii="Arial" w:cs="Arial" w:eastAsia="Arial" w:hAnsi="Arial"/>
                <w:sz w:val="11"/>
                <w:szCs w:val="11"/>
                <w:color w:val="auto"/>
              </w:rPr>
              <w:t>securities</w:t>
            </w:r>
          </w:p>
        </w:tc>
        <w:tc>
          <w:tcPr>
            <w:tcW w:w="100" w:type="dxa"/>
            <w:vAlign w:val="bottom"/>
          </w:tcPr>
          <w:p>
            <w:pPr>
              <w:spacing w:after="0"/>
              <w:rPr>
                <w:sz w:val="14"/>
                <w:szCs w:val="14"/>
                <w:color w:val="auto"/>
              </w:rPr>
            </w:pPr>
          </w:p>
        </w:tc>
        <w:tc>
          <w:tcPr>
            <w:tcW w:w="140" w:type="dxa"/>
            <w:vAlign w:val="bottom"/>
            <w:tcBorders>
              <w:bottom w:val="single" w:sz="8" w:color="2C6937"/>
            </w:tcBorders>
          </w:tcPr>
          <w:p>
            <w:pPr>
              <w:ind w:left="2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2C6937"/>
            </w:tcBorders>
          </w:tcPr>
          <w:p>
            <w:pPr>
              <w:jc w:val="right"/>
              <w:ind w:right="25"/>
              <w:spacing w:after="0"/>
              <w:rPr>
                <w:sz w:val="20"/>
                <w:szCs w:val="20"/>
                <w:color w:val="auto"/>
              </w:rPr>
            </w:pPr>
            <w:r>
              <w:rPr>
                <w:rFonts w:ascii="Arial" w:cs="Arial" w:eastAsia="Arial" w:hAnsi="Arial"/>
                <w:sz w:val="11"/>
                <w:szCs w:val="11"/>
                <w:color w:val="auto"/>
              </w:rPr>
              <w:t>634</w:t>
            </w:r>
          </w:p>
        </w:tc>
        <w:tc>
          <w:tcPr>
            <w:tcW w:w="80" w:type="dxa"/>
            <w:vAlign w:val="bottom"/>
          </w:tcPr>
          <w:p>
            <w:pPr>
              <w:spacing w:after="0"/>
              <w:rPr>
                <w:sz w:val="14"/>
                <w:szCs w:val="14"/>
                <w:color w:val="auto"/>
              </w:rPr>
            </w:pPr>
          </w:p>
        </w:tc>
        <w:tc>
          <w:tcPr>
            <w:tcW w:w="200" w:type="dxa"/>
            <w:vAlign w:val="bottom"/>
            <w:tcBorders>
              <w:bottom w:val="single" w:sz="8" w:color="2C6937"/>
            </w:tcBorders>
          </w:tcPr>
          <w:p>
            <w:pPr>
              <w:jc w:val="right"/>
              <w:ind w:right="67"/>
              <w:spacing w:after="0"/>
              <w:rPr>
                <w:sz w:val="20"/>
                <w:szCs w:val="20"/>
                <w:color w:val="auto"/>
              </w:rPr>
            </w:pPr>
            <w:r>
              <w:rPr>
                <w:rFonts w:ascii="Arial" w:cs="Arial" w:eastAsia="Arial" w:hAnsi="Arial"/>
                <w:sz w:val="11"/>
                <w:szCs w:val="11"/>
                <w:color w:val="auto"/>
                <w:w w:val="97"/>
              </w:rPr>
              <w:t>$</w:t>
            </w:r>
          </w:p>
        </w:tc>
        <w:tc>
          <w:tcPr>
            <w:tcW w:w="360" w:type="dxa"/>
            <w:vAlign w:val="bottom"/>
            <w:tcBorders>
              <w:bottom w:val="single" w:sz="8" w:color="2C6937"/>
            </w:tcBorders>
          </w:tcPr>
          <w:p>
            <w:pPr>
              <w:jc w:val="right"/>
              <w:ind w:right="9"/>
              <w:spacing w:after="0"/>
              <w:rPr>
                <w:sz w:val="20"/>
                <w:szCs w:val="20"/>
                <w:color w:val="auto"/>
              </w:rPr>
            </w:pPr>
            <w:r>
              <w:rPr>
                <w:rFonts w:ascii="Arial" w:cs="Arial" w:eastAsia="Arial" w:hAnsi="Arial"/>
                <w:sz w:val="11"/>
                <w:szCs w:val="11"/>
                <w:color w:val="auto"/>
              </w:rPr>
              <w:t>7</w:t>
            </w:r>
          </w:p>
        </w:tc>
        <w:tc>
          <w:tcPr>
            <w:tcW w:w="360" w:type="dxa"/>
            <w:vAlign w:val="bottom"/>
          </w:tcPr>
          <w:p>
            <w:pPr>
              <w:spacing w:after="0"/>
              <w:rPr>
                <w:sz w:val="14"/>
                <w:szCs w:val="14"/>
                <w:color w:val="auto"/>
              </w:rPr>
            </w:pPr>
          </w:p>
        </w:tc>
        <w:tc>
          <w:tcPr>
            <w:tcW w:w="8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(13)</w:t>
            </w:r>
          </w:p>
        </w:tc>
        <w:tc>
          <w:tcPr>
            <w:tcW w:w="100" w:type="dxa"/>
            <w:vAlign w:val="bottom"/>
          </w:tcPr>
          <w:p>
            <w:pPr>
              <w:spacing w:after="0"/>
              <w:rPr>
                <w:sz w:val="14"/>
                <w:szCs w:val="14"/>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2C6937"/>
            </w:tcBorders>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0" w:type="dxa"/>
            <w:vAlign w:val="bottom"/>
            <w:tcBorders>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2C6937"/>
            </w:tcBorders>
          </w:tcPr>
          <w:p>
            <w:pPr>
              <w:ind w:lef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2C6937"/>
            </w:tcBorders>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(97)</w:t>
            </w:r>
          </w:p>
        </w:tc>
        <w:tc>
          <w:tcPr>
            <w:tcW w:w="80" w:type="dxa"/>
            <w:vAlign w:val="bottom"/>
          </w:tcPr>
          <w:p>
            <w:pPr>
              <w:spacing w:after="0"/>
              <w:rPr>
                <w:sz w:val="14"/>
                <w:szCs w:val="14"/>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(118)</w:t>
            </w:r>
          </w:p>
        </w:tc>
        <w:tc>
          <w:tcPr>
            <w:tcW w:w="100" w:type="dxa"/>
            <w:vAlign w:val="bottom"/>
          </w:tcPr>
          <w:p>
            <w:pPr>
              <w:spacing w:after="0"/>
              <w:rPr>
                <w:sz w:val="14"/>
                <w:szCs w:val="14"/>
                <w:color w:val="auto"/>
              </w:rPr>
            </w:pPr>
          </w:p>
        </w:tc>
        <w:tc>
          <w:tcPr>
            <w:tcW w:w="120" w:type="dxa"/>
            <w:vAlign w:val="bottom"/>
            <w:tcBorders>
              <w:bottom w:val="single" w:sz="8" w:color="2C6937"/>
            </w:tcBorders>
          </w:tcPr>
          <w:p>
            <w:pPr>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4"/>
                <w:szCs w:val="14"/>
                <w:color w:val="auto"/>
              </w:rPr>
            </w:pPr>
          </w:p>
        </w:tc>
        <w:tc>
          <w:tcPr>
            <w:tcW w:w="140" w:type="dxa"/>
            <w:vAlign w:val="bottom"/>
            <w:tcBorders>
              <w:bottom w:val="single" w:sz="8" w:color="2C6937"/>
            </w:tcBorders>
          </w:tcPr>
          <w:p>
            <w:pPr>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2C6937"/>
            </w:tcBorders>
          </w:tcPr>
          <w:p>
            <w:pPr>
              <w:jc w:val="right"/>
              <w:ind w:right="25"/>
              <w:spacing w:after="0"/>
              <w:rPr>
                <w:sz w:val="20"/>
                <w:szCs w:val="20"/>
                <w:color w:val="auto"/>
              </w:rPr>
            </w:pPr>
            <w:r>
              <w:rPr>
                <w:rFonts w:ascii="Arial" w:cs="Arial" w:eastAsia="Arial" w:hAnsi="Arial"/>
                <w:sz w:val="11"/>
                <w:szCs w:val="11"/>
                <w:color w:val="auto"/>
              </w:rPr>
              <w:t>415</w:t>
            </w:r>
          </w:p>
        </w:tc>
        <w:tc>
          <w:tcPr>
            <w:tcW w:w="80" w:type="dxa"/>
            <w:vAlign w:val="bottom"/>
          </w:tcPr>
          <w:p>
            <w:pPr>
              <w:spacing w:after="0"/>
              <w:rPr>
                <w:sz w:val="14"/>
                <w:szCs w:val="14"/>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2C6937"/>
            </w:tcBorders>
          </w:tcPr>
          <w:p>
            <w:pPr>
              <w:jc w:val="right"/>
              <w:ind w:right="1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0" w:type="dxa"/>
            <w:vAlign w:val="bottom"/>
            <w:tcBorders>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26"/>
        </w:trPr>
        <w:tc>
          <w:tcPr>
            <w:tcW w:w="13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68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360" w:type="dxa"/>
            <w:vAlign w:val="bottom"/>
            <w:tcBorders>
              <w:bottom w:val="single" w:sz="8" w:color="2C6937"/>
            </w:tcBorders>
          </w:tcPr>
          <w:p>
            <w:pPr>
              <w:spacing w:after="0"/>
              <w:rPr>
                <w:sz w:val="2"/>
                <w:szCs w:val="2"/>
                <w:color w:val="auto"/>
              </w:rPr>
            </w:pPr>
          </w:p>
        </w:tc>
        <w:tc>
          <w:tcPr>
            <w:tcW w:w="360" w:type="dxa"/>
            <w:vAlign w:val="bottom"/>
            <w:vMerge w:val="restart"/>
          </w:tcPr>
          <w:p>
            <w:pPr>
              <w:ind w:left="20"/>
              <w:spacing w:after="0"/>
              <w:rPr>
                <w:sz w:val="20"/>
                <w:szCs w:val="20"/>
                <w:color w:val="auto"/>
              </w:rPr>
            </w:pPr>
            <w:r>
              <w:rPr>
                <w:rFonts w:ascii="Arial" w:cs="Arial" w:eastAsia="Arial" w:hAnsi="Arial"/>
                <w:sz w:val="7"/>
                <w:szCs w:val="7"/>
                <w:color w:val="auto"/>
              </w:rPr>
              <w:t>(5)(6)</w:t>
            </w:r>
          </w:p>
        </w:tc>
        <w:tc>
          <w:tcPr>
            <w:tcW w:w="80" w:type="dxa"/>
            <w:vAlign w:val="bottom"/>
            <w:tcBorders>
              <w:bottom w:val="single" w:sz="8" w:color="2C6937"/>
            </w:tcBorders>
          </w:tcPr>
          <w:p>
            <w:pPr>
              <w:spacing w:after="0"/>
              <w:rPr>
                <w:sz w:val="2"/>
                <w:szCs w:val="2"/>
                <w:color w:val="auto"/>
              </w:rPr>
            </w:pPr>
          </w:p>
        </w:tc>
        <w:tc>
          <w:tcPr>
            <w:tcW w:w="4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6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42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4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52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70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6937"/>
            </w:tcBorders>
          </w:tcPr>
          <w:p>
            <w:pPr>
              <w:spacing w:after="0"/>
              <w:rPr>
                <w:sz w:val="2"/>
                <w:szCs w:val="2"/>
                <w:color w:val="auto"/>
              </w:rPr>
            </w:pPr>
          </w:p>
        </w:tc>
        <w:tc>
          <w:tcPr>
            <w:tcW w:w="820" w:type="dxa"/>
            <w:vAlign w:val="bottom"/>
            <w:tcBorders>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r>
        <w:trPr>
          <w:trHeight w:val="274"/>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Mortgage loans</w:t>
            </w:r>
          </w:p>
        </w:tc>
        <w:tc>
          <w:tcPr>
            <w:tcW w:w="140" w:type="dxa"/>
            <w:vAlign w:val="bottom"/>
          </w:tcPr>
          <w:p>
            <w:pPr>
              <w:ind w:left="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5"/>
              <w:spacing w:after="0"/>
              <w:rPr>
                <w:sz w:val="20"/>
                <w:szCs w:val="20"/>
                <w:color w:val="auto"/>
              </w:rPr>
            </w:pPr>
            <w:r>
              <w:rPr>
                <w:rFonts w:ascii="Arial" w:cs="Arial" w:eastAsia="Arial" w:hAnsi="Arial"/>
                <w:sz w:val="11"/>
                <w:szCs w:val="11"/>
                <w:color w:val="auto"/>
              </w:rPr>
              <w:t>543</w:t>
            </w:r>
          </w:p>
        </w:tc>
        <w:tc>
          <w:tcPr>
            <w:tcW w:w="80" w:type="dxa"/>
            <w:vAlign w:val="bottom"/>
          </w:tcPr>
          <w:p>
            <w:pPr>
              <w:spacing w:after="0"/>
              <w:rPr>
                <w:sz w:val="23"/>
                <w:szCs w:val="23"/>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360" w:type="dxa"/>
            <w:vAlign w:val="bottom"/>
          </w:tcPr>
          <w:p>
            <w:pPr>
              <w:jc w:val="right"/>
              <w:ind w:right="9"/>
              <w:spacing w:after="0"/>
              <w:rPr>
                <w:sz w:val="20"/>
                <w:szCs w:val="20"/>
                <w:color w:val="auto"/>
              </w:rPr>
            </w:pPr>
            <w:r>
              <w:rPr>
                <w:rFonts w:ascii="Arial" w:cs="Arial" w:eastAsia="Arial" w:hAnsi="Arial"/>
                <w:sz w:val="11"/>
                <w:szCs w:val="11"/>
                <w:color w:val="auto"/>
              </w:rPr>
              <w:t>1</w:t>
            </w:r>
          </w:p>
        </w:tc>
        <w:tc>
          <w:tcPr>
            <w:tcW w:w="360" w:type="dxa"/>
            <w:vAlign w:val="bottom"/>
            <w:vMerge w:val="continue"/>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(64)</w:t>
            </w:r>
          </w:p>
        </w:tc>
        <w:tc>
          <w:tcPr>
            <w:tcW w:w="8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(30)</w:t>
            </w:r>
          </w:p>
        </w:tc>
        <w:tc>
          <w:tcPr>
            <w:tcW w:w="100" w:type="dxa"/>
            <w:vAlign w:val="bottom"/>
          </w:tcPr>
          <w:p>
            <w:pPr>
              <w:spacing w:after="0"/>
              <w:rPr>
                <w:sz w:val="23"/>
                <w:szCs w:val="23"/>
                <w:color w:val="auto"/>
              </w:rPr>
            </w:pP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41</w:t>
            </w:r>
          </w:p>
        </w:tc>
        <w:tc>
          <w:tcPr>
            <w:tcW w:w="100" w:type="dxa"/>
            <w:vAlign w:val="bottom"/>
          </w:tcPr>
          <w:p>
            <w:pPr>
              <w:spacing w:after="0"/>
              <w:rPr>
                <w:sz w:val="23"/>
                <w:szCs w:val="23"/>
                <w:color w:val="auto"/>
              </w:rPr>
            </w:pP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25"/>
              <w:spacing w:after="0"/>
              <w:rPr>
                <w:sz w:val="20"/>
                <w:szCs w:val="20"/>
                <w:color w:val="auto"/>
              </w:rPr>
            </w:pPr>
            <w:r>
              <w:rPr>
                <w:rFonts w:ascii="Arial" w:cs="Arial" w:eastAsia="Arial" w:hAnsi="Arial"/>
                <w:sz w:val="11"/>
                <w:szCs w:val="11"/>
                <w:color w:val="auto"/>
              </w:rPr>
              <w:t>491</w:t>
            </w:r>
          </w:p>
        </w:tc>
        <w:tc>
          <w:tcPr>
            <w:tcW w:w="8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3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22"/>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Net derivatives</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jc w:val="right"/>
              <w:ind w:right="9"/>
              <w:spacing w:after="0"/>
              <w:rPr>
                <w:sz w:val="20"/>
                <w:szCs w:val="20"/>
                <w:color w:val="auto"/>
              </w:rPr>
            </w:pPr>
            <w:r>
              <w:rPr>
                <w:rFonts w:ascii="Arial" w:cs="Arial" w:eastAsia="Arial" w:hAnsi="Arial"/>
                <w:sz w:val="11"/>
                <w:szCs w:val="11"/>
                <w:color w:val="auto"/>
              </w:rPr>
              <w:t>60</w:t>
            </w:r>
          </w:p>
        </w:tc>
        <w:tc>
          <w:tcPr>
            <w:tcW w:w="360" w:type="dxa"/>
            <w:vAlign w:val="bottom"/>
          </w:tcPr>
          <w:p>
            <w:pPr>
              <w:ind w:left="20"/>
              <w:spacing w:after="0"/>
              <w:rPr>
                <w:sz w:val="20"/>
                <w:szCs w:val="20"/>
                <w:color w:val="auto"/>
              </w:rPr>
            </w:pPr>
            <w:r>
              <w:rPr>
                <w:rFonts w:ascii="Arial" w:cs="Arial" w:eastAsia="Arial" w:hAnsi="Arial"/>
                <w:sz w:val="7"/>
                <w:szCs w:val="7"/>
                <w:color w:val="auto"/>
              </w:rPr>
              <w:t>(5)</w:t>
            </w:r>
          </w:p>
        </w:tc>
        <w:tc>
          <w:tcPr>
            <w:tcW w:w="8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78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52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740" w:type="dxa"/>
            <w:vAlign w:val="bottom"/>
          </w:tcPr>
          <w:p>
            <w:pPr>
              <w:jc w:val="right"/>
              <w:ind w:right="5"/>
              <w:spacing w:after="0"/>
              <w:rPr>
                <w:sz w:val="20"/>
                <w:szCs w:val="20"/>
                <w:color w:val="auto"/>
              </w:rPr>
            </w:pPr>
            <w:r>
              <w:rPr>
                <w:rFonts w:ascii="Arial" w:cs="Arial" w:eastAsia="Arial" w:hAnsi="Arial"/>
                <w:sz w:val="11"/>
                <w:szCs w:val="11"/>
                <w:color w:val="auto"/>
              </w:rPr>
              <w:t>16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700" w:type="dxa"/>
            <w:vAlign w:val="bottom"/>
          </w:tcPr>
          <w:p>
            <w:pPr>
              <w:jc w:val="right"/>
              <w:ind w:right="25"/>
              <w:spacing w:after="0"/>
              <w:rPr>
                <w:sz w:val="20"/>
                <w:szCs w:val="20"/>
                <w:color w:val="auto"/>
              </w:rPr>
            </w:pPr>
            <w:r>
              <w:rPr>
                <w:rFonts w:ascii="Arial" w:cs="Arial" w:eastAsia="Arial" w:hAnsi="Arial"/>
                <w:sz w:val="11"/>
                <w:szCs w:val="11"/>
                <w:color w:val="auto"/>
              </w:rPr>
              <w:t>39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Arial" w:cs="Arial" w:eastAsia="Arial" w:hAnsi="Arial"/>
                <w:sz w:val="11"/>
                <w:szCs w:val="11"/>
                <w:color w:val="auto"/>
              </w:rPr>
              <w:t>76</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jc w:val="right"/>
              <w:ind w:right="3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09"/>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Long-term debt:</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440" w:type="dxa"/>
            <w:vAlign w:val="bottom"/>
            <w:gridSpan w:val="2"/>
          </w:tcPr>
          <w:p>
            <w:pPr>
              <w:ind w:left="100"/>
              <w:spacing w:after="0"/>
              <w:rPr>
                <w:sz w:val="20"/>
                <w:szCs w:val="20"/>
                <w:color w:val="auto"/>
              </w:rPr>
            </w:pPr>
            <w:r>
              <w:rPr>
                <w:rFonts w:ascii="Arial" w:cs="Arial" w:eastAsia="Arial" w:hAnsi="Arial"/>
                <w:sz w:val="11"/>
                <w:szCs w:val="11"/>
                <w:color w:val="auto"/>
              </w:rPr>
              <w:t>Of Fannie Mae</w:t>
            </w:r>
          </w:p>
        </w:tc>
        <w:tc>
          <w:tcPr>
            <w:tcW w:w="140" w:type="dxa"/>
            <w:vAlign w:val="bottom"/>
          </w:tcPr>
          <w:p>
            <w:pPr>
              <w:ind w:lef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(242)</w:t>
            </w:r>
          </w:p>
        </w:tc>
        <w:tc>
          <w:tcPr>
            <w:tcW w:w="80" w:type="dxa"/>
            <w:vAlign w:val="bottom"/>
          </w:tcPr>
          <w:p>
            <w:pPr>
              <w:spacing w:after="0"/>
              <w:rPr>
                <w:sz w:val="14"/>
                <w:szCs w:val="14"/>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360" w:type="dxa"/>
            <w:vAlign w:val="bottom"/>
          </w:tcPr>
          <w:p>
            <w:pPr>
              <w:jc w:val="right"/>
              <w:ind w:right="9"/>
              <w:spacing w:after="0"/>
              <w:rPr>
                <w:sz w:val="20"/>
                <w:szCs w:val="20"/>
                <w:color w:val="auto"/>
              </w:rPr>
            </w:pPr>
            <w:r>
              <w:rPr>
                <w:rFonts w:ascii="Arial" w:cs="Arial" w:eastAsia="Arial" w:hAnsi="Arial"/>
                <w:sz w:val="11"/>
                <w:szCs w:val="11"/>
                <w:color w:val="auto"/>
              </w:rPr>
              <w:t>2</w:t>
            </w:r>
          </w:p>
        </w:tc>
        <w:tc>
          <w:tcPr>
            <w:tcW w:w="360" w:type="dxa"/>
            <w:vAlign w:val="bottom"/>
          </w:tcPr>
          <w:p>
            <w:pPr>
              <w:ind w:left="20"/>
              <w:spacing w:after="0"/>
              <w:rPr>
                <w:sz w:val="20"/>
                <w:szCs w:val="20"/>
                <w:color w:val="auto"/>
              </w:rPr>
            </w:pPr>
            <w:r>
              <w:rPr>
                <w:rFonts w:ascii="Arial" w:cs="Arial" w:eastAsia="Arial" w:hAnsi="Arial"/>
                <w:sz w:val="7"/>
                <w:szCs w:val="7"/>
                <w:color w:val="auto"/>
              </w:rPr>
              <w:t>(5)</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(240)</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10"/>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3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9"/>
        </w:trPr>
        <w:tc>
          <w:tcPr>
            <w:tcW w:w="1340" w:type="dxa"/>
            <w:vAlign w:val="bottom"/>
            <w:tcBorders>
              <w:bottom w:val="single" w:sz="8" w:color="2C6937"/>
            </w:tcBorders>
          </w:tcPr>
          <w:p>
            <w:pPr>
              <w:ind w:left="100"/>
              <w:spacing w:after="0"/>
              <w:rPr>
                <w:sz w:val="20"/>
                <w:szCs w:val="20"/>
                <w:color w:val="auto"/>
              </w:rPr>
            </w:pPr>
            <w:r>
              <w:rPr>
                <w:rFonts w:ascii="Arial" w:cs="Arial" w:eastAsia="Arial" w:hAnsi="Arial"/>
                <w:sz w:val="11"/>
                <w:szCs w:val="11"/>
                <w:color w:val="auto"/>
              </w:rPr>
              <w:t>Of consolidated trusts</w:t>
            </w: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(136)</w:t>
            </w:r>
          </w:p>
        </w:tc>
        <w:tc>
          <w:tcPr>
            <w:tcW w:w="8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360" w:type="dxa"/>
            <w:vAlign w:val="bottom"/>
            <w:tcBorders>
              <w:bottom w:val="single" w:sz="8" w:color="2C6937"/>
            </w:tcBorders>
          </w:tcPr>
          <w:p>
            <w:pPr>
              <w:jc w:val="right"/>
              <w:ind w:right="9"/>
              <w:spacing w:after="0"/>
              <w:rPr>
                <w:sz w:val="20"/>
                <w:szCs w:val="20"/>
                <w:color w:val="auto"/>
              </w:rPr>
            </w:pPr>
            <w:r>
              <w:rPr>
                <w:rFonts w:ascii="Arial" w:cs="Arial" w:eastAsia="Arial" w:hAnsi="Arial"/>
                <w:sz w:val="11"/>
                <w:szCs w:val="11"/>
                <w:color w:val="auto"/>
              </w:rPr>
              <w:t>1</w:t>
            </w:r>
          </w:p>
        </w:tc>
        <w:tc>
          <w:tcPr>
            <w:tcW w:w="360" w:type="dxa"/>
            <w:vAlign w:val="bottom"/>
          </w:tcPr>
          <w:p>
            <w:pPr>
              <w:ind w:left="20"/>
              <w:spacing w:after="0"/>
              <w:rPr>
                <w:sz w:val="20"/>
                <w:szCs w:val="20"/>
                <w:color w:val="auto"/>
              </w:rPr>
            </w:pPr>
            <w:r>
              <w:rPr>
                <w:rFonts w:ascii="Arial" w:cs="Arial" w:eastAsia="Arial" w:hAnsi="Arial"/>
                <w:sz w:val="7"/>
                <w:szCs w:val="7"/>
                <w:color w:val="auto"/>
              </w:rPr>
              <w:t>(5)(6)</w:t>
            </w:r>
          </w:p>
        </w:tc>
        <w:tc>
          <w:tcPr>
            <w:tcW w:w="80" w:type="dxa"/>
            <w:vAlign w:val="bottom"/>
            <w:tcBorders>
              <w:bottom w:val="single" w:sz="8" w:color="2C6937"/>
            </w:tcBorders>
          </w:tcPr>
          <w:p>
            <w:pPr>
              <w:spacing w:after="0"/>
              <w:rPr>
                <w:sz w:val="16"/>
                <w:szCs w:val="16"/>
                <w:color w:val="auto"/>
              </w:rPr>
            </w:pPr>
          </w:p>
        </w:tc>
        <w:tc>
          <w:tcPr>
            <w:tcW w:w="480" w:type="dxa"/>
            <w:vAlign w:val="bottom"/>
            <w:tcBorders>
              <w:bottom w:val="single" w:sz="8" w:color="2C6937"/>
            </w:tcBorders>
          </w:tcPr>
          <w:p>
            <w:pPr>
              <w:jc w:val="right"/>
              <w:ind w:right="7"/>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ind w:left="5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420" w:type="dxa"/>
            <w:vAlign w:val="bottom"/>
            <w:tcBorders>
              <w:bottom w:val="single" w:sz="8" w:color="2C6937"/>
            </w:tcBorders>
          </w:tcPr>
          <w:p>
            <w:pPr>
              <w:ind w:lef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480" w:type="dxa"/>
            <w:vAlign w:val="bottom"/>
            <w:tcBorders>
              <w:bottom w:val="single" w:sz="8" w:color="2C6937"/>
            </w:tcBorders>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15</w:t>
            </w:r>
          </w:p>
        </w:tc>
        <w:tc>
          <w:tcPr>
            <w:tcW w:w="8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540" w:type="dxa"/>
            <w:vAlign w:val="bottom"/>
            <w:tcBorders>
              <w:bottom w:val="single" w:sz="8" w:color="2C6937"/>
            </w:tcBorders>
          </w:tcPr>
          <w:p>
            <w:pPr>
              <w:jc w:val="right"/>
              <w:ind w:right="5"/>
              <w:spacing w:after="0"/>
              <w:rPr>
                <w:sz w:val="20"/>
                <w:szCs w:val="20"/>
                <w:color w:val="auto"/>
              </w:rPr>
            </w:pPr>
            <w:r>
              <w:rPr>
                <w:rFonts w:ascii="Arial" w:cs="Arial" w:eastAsia="Arial" w:hAnsi="Arial"/>
                <w:sz w:val="11"/>
                <w:szCs w:val="11"/>
                <w:color w:val="auto"/>
              </w:rPr>
              <w:t>52</w:t>
            </w:r>
          </w:p>
        </w:tc>
        <w:tc>
          <w:tcPr>
            <w:tcW w:w="10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52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1"/>
                <w:szCs w:val="11"/>
                <w:color w:val="auto"/>
              </w:rPr>
              <w:t>(69)</w:t>
            </w:r>
          </w:p>
        </w:tc>
        <w:tc>
          <w:tcPr>
            <w:tcW w:w="8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jc w:val="right"/>
              <w:ind w:right="10"/>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6"/>
                <w:szCs w:val="16"/>
                <w:color w:val="auto"/>
              </w:rPr>
            </w:pPr>
          </w:p>
        </w:tc>
        <w:tc>
          <w:tcPr>
            <w:tcW w:w="60" w:type="dxa"/>
            <w:vAlign w:val="bottom"/>
            <w:tcBorders>
              <w:bottom w:val="single" w:sz="8" w:color="2C6937"/>
            </w:tcBorders>
          </w:tcPr>
          <w:p>
            <w:pPr>
              <w:spacing w:after="0"/>
              <w:rPr>
                <w:sz w:val="16"/>
                <w:szCs w:val="16"/>
                <w:color w:val="auto"/>
              </w:rPr>
            </w:pPr>
          </w:p>
        </w:tc>
        <w:tc>
          <w:tcPr>
            <w:tcW w:w="820" w:type="dxa"/>
            <w:vAlign w:val="bottom"/>
            <w:tcBorders>
              <w:bottom w:val="single" w:sz="8" w:color="2C6937"/>
            </w:tcBorders>
          </w:tcPr>
          <w:p>
            <w:pPr>
              <w:jc w:val="right"/>
              <w:ind w:right="3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3"/>
        </w:trPr>
        <w:tc>
          <w:tcPr>
            <w:tcW w:w="1440" w:type="dxa"/>
            <w:vAlign w:val="bottom"/>
            <w:gridSpan w:val="2"/>
          </w:tcPr>
          <w:p>
            <w:pPr>
              <w:ind w:left="20"/>
              <w:spacing w:after="0"/>
              <w:rPr>
                <w:sz w:val="20"/>
                <w:szCs w:val="20"/>
                <w:color w:val="auto"/>
              </w:rPr>
            </w:pPr>
            <w:r>
              <w:rPr>
                <w:rFonts w:ascii="Arial" w:cs="Arial" w:eastAsia="Arial" w:hAnsi="Arial"/>
                <w:sz w:val="11"/>
                <w:szCs w:val="11"/>
                <w:color w:val="auto"/>
              </w:rPr>
              <w:t>Total long-term debt</w:t>
            </w:r>
          </w:p>
        </w:tc>
        <w:tc>
          <w:tcPr>
            <w:tcW w:w="140" w:type="dxa"/>
            <w:vAlign w:val="bottom"/>
          </w:tcPr>
          <w:p>
            <w:pPr>
              <w:ind w:lef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(378)</w:t>
            </w:r>
          </w:p>
        </w:tc>
        <w:tc>
          <w:tcPr>
            <w:tcW w:w="80" w:type="dxa"/>
            <w:vAlign w:val="bottom"/>
          </w:tcPr>
          <w:p>
            <w:pPr>
              <w:spacing w:after="0"/>
              <w:rPr>
                <w:sz w:val="15"/>
                <w:szCs w:val="15"/>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360" w:type="dxa"/>
            <w:vAlign w:val="bottom"/>
          </w:tcPr>
          <w:p>
            <w:pPr>
              <w:jc w:val="right"/>
              <w:ind w:right="9"/>
              <w:spacing w:after="0"/>
              <w:rPr>
                <w:sz w:val="20"/>
                <w:szCs w:val="20"/>
                <w:color w:val="auto"/>
              </w:rPr>
            </w:pPr>
            <w:r>
              <w:rPr>
                <w:rFonts w:ascii="Arial" w:cs="Arial" w:eastAsia="Arial" w:hAnsi="Arial"/>
                <w:sz w:val="11"/>
                <w:szCs w:val="11"/>
                <w:color w:val="auto"/>
              </w:rPr>
              <w:t>3</w:t>
            </w:r>
          </w:p>
        </w:tc>
        <w:tc>
          <w:tcPr>
            <w:tcW w:w="3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5"/>
              <w:spacing w:after="0"/>
              <w:rPr>
                <w:sz w:val="20"/>
                <w:szCs w:val="20"/>
                <w:color w:val="auto"/>
              </w:rPr>
            </w:pPr>
            <w:r>
              <w:rPr>
                <w:rFonts w:ascii="Arial" w:cs="Arial" w:eastAsia="Arial" w:hAnsi="Arial"/>
                <w:sz w:val="11"/>
                <w:szCs w:val="11"/>
                <w:color w:val="auto"/>
              </w:rPr>
              <w:t>15</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5"/>
              <w:spacing w:after="0"/>
              <w:rPr>
                <w:sz w:val="20"/>
                <w:szCs w:val="20"/>
                <w:color w:val="auto"/>
              </w:rPr>
            </w:pPr>
            <w:r>
              <w:rPr>
                <w:rFonts w:ascii="Arial" w:cs="Arial" w:eastAsia="Arial" w:hAnsi="Arial"/>
                <w:sz w:val="11"/>
                <w:szCs w:val="11"/>
                <w:color w:val="auto"/>
              </w:rPr>
              <w:t>52</w:t>
            </w:r>
          </w:p>
        </w:tc>
        <w:tc>
          <w:tcPr>
            <w:tcW w:w="10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(309)</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10"/>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3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6"/>
        </w:trPr>
        <w:tc>
          <w:tcPr>
            <w:tcW w:w="134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2C6937"/>
              <w:bottom w:val="single" w:sz="8" w:color="2C6937"/>
            </w:tcBorders>
          </w:tcPr>
          <w:p>
            <w:pPr>
              <w:spacing w:after="0"/>
              <w:rPr>
                <w:sz w:val="2"/>
                <w:szCs w:val="2"/>
                <w:color w:val="auto"/>
              </w:rPr>
            </w:pPr>
          </w:p>
        </w:tc>
        <w:tc>
          <w:tcPr>
            <w:tcW w:w="680" w:type="dxa"/>
            <w:vAlign w:val="bottom"/>
            <w:tcBorders>
              <w:top w:val="single" w:sz="8" w:color="2C6937"/>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2C6937"/>
              <w:bottom w:val="single" w:sz="8" w:color="2C6937"/>
            </w:tcBorders>
          </w:tcPr>
          <w:p>
            <w:pPr>
              <w:spacing w:after="0"/>
              <w:rPr>
                <w:sz w:val="2"/>
                <w:szCs w:val="2"/>
                <w:color w:val="auto"/>
              </w:rPr>
            </w:pPr>
          </w:p>
        </w:tc>
        <w:tc>
          <w:tcPr>
            <w:tcW w:w="360" w:type="dxa"/>
            <w:vAlign w:val="bottom"/>
            <w:tcBorders>
              <w:top w:val="single" w:sz="8" w:color="2C6937"/>
              <w:bottom w:val="single" w:sz="8" w:color="2C6937"/>
            </w:tcBorders>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Borders>
              <w:top w:val="single" w:sz="8" w:color="2C6937"/>
              <w:bottom w:val="single" w:sz="8" w:color="2C6937"/>
            </w:tcBorders>
          </w:tcPr>
          <w:p>
            <w:pPr>
              <w:spacing w:after="0"/>
              <w:rPr>
                <w:sz w:val="2"/>
                <w:szCs w:val="2"/>
                <w:color w:val="auto"/>
              </w:rPr>
            </w:pPr>
          </w:p>
        </w:tc>
        <w:tc>
          <w:tcPr>
            <w:tcW w:w="48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68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2C6937"/>
              <w:bottom w:val="single" w:sz="8" w:color="2C6937"/>
            </w:tcBorders>
          </w:tcPr>
          <w:p>
            <w:pPr>
              <w:spacing w:after="0"/>
              <w:rPr>
                <w:sz w:val="2"/>
                <w:szCs w:val="2"/>
                <w:color w:val="auto"/>
              </w:rPr>
            </w:pPr>
          </w:p>
        </w:tc>
        <w:tc>
          <w:tcPr>
            <w:tcW w:w="42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2C6937"/>
              <w:bottom w:val="single" w:sz="8" w:color="2C6937"/>
            </w:tcBorders>
          </w:tcPr>
          <w:p>
            <w:pPr>
              <w:spacing w:after="0"/>
              <w:rPr>
                <w:sz w:val="2"/>
                <w:szCs w:val="2"/>
                <w:color w:val="auto"/>
              </w:rPr>
            </w:pPr>
          </w:p>
        </w:tc>
        <w:tc>
          <w:tcPr>
            <w:tcW w:w="48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740" w:type="dxa"/>
            <w:vAlign w:val="bottom"/>
            <w:tcBorders>
              <w:top w:val="single" w:sz="8" w:color="2C6937"/>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54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2C6937"/>
              <w:bottom w:val="single" w:sz="8" w:color="2C6937"/>
            </w:tcBorders>
          </w:tcPr>
          <w:p>
            <w:pPr>
              <w:spacing w:after="0"/>
              <w:rPr>
                <w:sz w:val="2"/>
                <w:szCs w:val="2"/>
                <w:color w:val="auto"/>
              </w:rPr>
            </w:pPr>
          </w:p>
        </w:tc>
        <w:tc>
          <w:tcPr>
            <w:tcW w:w="52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2C6937"/>
              <w:bottom w:val="single" w:sz="8" w:color="2C6937"/>
            </w:tcBorders>
          </w:tcPr>
          <w:p>
            <w:pPr>
              <w:spacing w:after="0"/>
              <w:rPr>
                <w:sz w:val="2"/>
                <w:szCs w:val="2"/>
                <w:color w:val="auto"/>
              </w:rPr>
            </w:pPr>
          </w:p>
        </w:tc>
        <w:tc>
          <w:tcPr>
            <w:tcW w:w="700" w:type="dxa"/>
            <w:vAlign w:val="bottom"/>
            <w:tcBorders>
              <w:top w:val="single" w:sz="8" w:color="2C6937"/>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2C6937"/>
              <w:bottom w:val="single" w:sz="8" w:color="2C6937"/>
            </w:tcBorders>
          </w:tcPr>
          <w:p>
            <w:pPr>
              <w:spacing w:after="0"/>
              <w:rPr>
                <w:sz w:val="2"/>
                <w:szCs w:val="2"/>
                <w:color w:val="auto"/>
              </w:rPr>
            </w:pPr>
          </w:p>
        </w:tc>
        <w:tc>
          <w:tcPr>
            <w:tcW w:w="760" w:type="dxa"/>
            <w:vAlign w:val="bottom"/>
            <w:tcBorders>
              <w:top w:val="single" w:sz="8" w:color="2C6937"/>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6937"/>
              <w:bottom w:val="single" w:sz="8" w:color="2C6937"/>
            </w:tcBorders>
          </w:tcPr>
          <w:p>
            <w:pPr>
              <w:spacing w:after="0"/>
              <w:rPr>
                <w:sz w:val="2"/>
                <w:szCs w:val="2"/>
                <w:color w:val="auto"/>
              </w:rPr>
            </w:pPr>
          </w:p>
        </w:tc>
        <w:tc>
          <w:tcPr>
            <w:tcW w:w="820" w:type="dxa"/>
            <w:vAlign w:val="bottom"/>
            <w:tcBorders>
              <w:top w:val="single" w:sz="8" w:color="2C6937"/>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217" w:hanging="217"/>
        <w:spacing w:after="0"/>
        <w:tabs>
          <w:tab w:leader="none" w:pos="217" w:val="left"/>
        </w:tabs>
        <w:numPr>
          <w:ilvl w:val="0"/>
          <w:numId w:val="125"/>
        </w:numPr>
        <w:rPr>
          <w:rFonts w:ascii="Arial" w:cs="Arial" w:eastAsia="Arial" w:hAnsi="Arial"/>
          <w:sz w:val="18"/>
          <w:szCs w:val="18"/>
          <w:color w:val="auto"/>
          <w:vertAlign w:val="superscript"/>
        </w:rPr>
      </w:pPr>
      <w:r>
        <w:rPr>
          <w:rFonts w:ascii="Arial" w:cs="Arial" w:eastAsia="Arial" w:hAnsi="Arial"/>
          <w:sz w:val="14"/>
          <w:szCs w:val="14"/>
          <w:color w:val="auto"/>
        </w:rPr>
        <w:t>Gains (losses) are included in “Other comprehensive income (loss)” in our condensed consolidated statements of operations and comprehensive income.</w:t>
      </w:r>
    </w:p>
    <w:p>
      <w:pPr>
        <w:spacing w:after="0" w:line="37" w:lineRule="exact"/>
        <w:rPr>
          <w:rFonts w:ascii="Arial" w:cs="Arial" w:eastAsia="Arial" w:hAnsi="Arial"/>
          <w:sz w:val="18"/>
          <w:szCs w:val="18"/>
          <w:color w:val="auto"/>
          <w:vertAlign w:val="superscript"/>
        </w:rPr>
      </w:pPr>
    </w:p>
    <w:p>
      <w:pPr>
        <w:ind w:left="217" w:hanging="217"/>
        <w:spacing w:after="0" w:line="195" w:lineRule="auto"/>
        <w:tabs>
          <w:tab w:leader="none" w:pos="217" w:val="left"/>
        </w:tabs>
        <w:numPr>
          <w:ilvl w:val="0"/>
          <w:numId w:val="125"/>
        </w:numPr>
        <w:rPr>
          <w:rFonts w:ascii="Arial" w:cs="Arial" w:eastAsia="Arial" w:hAnsi="Arial"/>
          <w:sz w:val="18"/>
          <w:szCs w:val="18"/>
          <w:color w:val="auto"/>
          <w:vertAlign w:val="superscript"/>
        </w:rPr>
      </w:pPr>
      <w:r>
        <w:rPr>
          <w:rFonts w:ascii="Arial" w:cs="Arial" w:eastAsia="Arial" w:hAnsi="Arial"/>
          <w:sz w:val="14"/>
          <w:szCs w:val="14"/>
          <w:color w:val="auto"/>
        </w:rPr>
        <w:t>Purchases and sales include activity related to the consolidation and deconsolidation of assets of securitization trusts.</w:t>
      </w:r>
    </w:p>
    <w:p>
      <w:pPr>
        <w:spacing w:after="0" w:line="25" w:lineRule="exact"/>
        <w:rPr>
          <w:rFonts w:ascii="Arial" w:cs="Arial" w:eastAsia="Arial" w:hAnsi="Arial"/>
          <w:sz w:val="18"/>
          <w:szCs w:val="18"/>
          <w:color w:val="auto"/>
          <w:vertAlign w:val="superscript"/>
        </w:rPr>
      </w:pPr>
    </w:p>
    <w:p>
      <w:pPr>
        <w:ind w:left="217" w:hanging="217"/>
        <w:spacing w:after="0"/>
        <w:tabs>
          <w:tab w:leader="none" w:pos="217" w:val="left"/>
        </w:tabs>
        <w:numPr>
          <w:ilvl w:val="0"/>
          <w:numId w:val="125"/>
        </w:numPr>
        <w:rPr>
          <w:rFonts w:ascii="Arial" w:cs="Arial" w:eastAsia="Arial" w:hAnsi="Arial"/>
          <w:sz w:val="9"/>
          <w:szCs w:val="9"/>
          <w:color w:val="auto"/>
        </w:rPr>
      </w:pPr>
      <w:r>
        <w:rPr>
          <w:rFonts w:ascii="Arial" w:cs="Arial" w:eastAsia="Arial" w:hAnsi="Arial"/>
          <w:sz w:val="14"/>
          <w:szCs w:val="14"/>
          <w:color w:val="auto"/>
        </w:rPr>
        <w:t>Issues and settlements include activity related to the consolidation and deconsolidation of liabilities of securitization trusts.</w:t>
      </w:r>
    </w:p>
    <w:p>
      <w:pPr>
        <w:spacing w:after="0" w:line="33" w:lineRule="exact"/>
        <w:rPr>
          <w:rFonts w:ascii="Arial" w:cs="Arial" w:eastAsia="Arial" w:hAnsi="Arial"/>
          <w:sz w:val="9"/>
          <w:szCs w:val="9"/>
          <w:color w:val="auto"/>
        </w:rPr>
      </w:pPr>
    </w:p>
    <w:p>
      <w:pPr>
        <w:ind w:left="217" w:hanging="217"/>
        <w:spacing w:after="0"/>
        <w:tabs>
          <w:tab w:leader="none" w:pos="217" w:val="left"/>
        </w:tabs>
        <w:numPr>
          <w:ilvl w:val="0"/>
          <w:numId w:val="125"/>
        </w:numPr>
        <w:rPr>
          <w:rFonts w:ascii="Arial" w:cs="Arial" w:eastAsia="Arial" w:hAnsi="Arial"/>
          <w:sz w:val="8"/>
          <w:szCs w:val="8"/>
          <w:color w:val="auto"/>
        </w:rPr>
      </w:pPr>
      <w:r>
        <w:rPr>
          <w:rFonts w:ascii="Arial" w:cs="Arial" w:eastAsia="Arial" w:hAnsi="Arial"/>
          <w:sz w:val="13"/>
          <w:szCs w:val="13"/>
          <w:color w:val="auto"/>
        </w:rPr>
        <w:t>Amount represents temporary changes in fair value. Amortization, accretion and the impairment of credit losses are not considered unrealized and are not included in this amount.</w:t>
      </w:r>
    </w:p>
    <w:p>
      <w:pPr>
        <w:spacing w:after="0" w:line="30" w:lineRule="exact"/>
        <w:rPr>
          <w:rFonts w:ascii="Arial" w:cs="Arial" w:eastAsia="Arial" w:hAnsi="Arial"/>
          <w:sz w:val="8"/>
          <w:szCs w:val="8"/>
          <w:color w:val="auto"/>
        </w:rPr>
      </w:pPr>
    </w:p>
    <w:p>
      <w:pPr>
        <w:ind w:left="217" w:hanging="217"/>
        <w:spacing w:after="0"/>
        <w:tabs>
          <w:tab w:leader="none" w:pos="217" w:val="left"/>
        </w:tabs>
        <w:numPr>
          <w:ilvl w:val="0"/>
          <w:numId w:val="125"/>
        </w:numPr>
        <w:rPr>
          <w:rFonts w:ascii="Arial" w:cs="Arial" w:eastAsia="Arial" w:hAnsi="Arial"/>
          <w:sz w:val="18"/>
          <w:szCs w:val="18"/>
          <w:color w:val="auto"/>
          <w:vertAlign w:val="superscript"/>
        </w:rPr>
      </w:pPr>
      <w:r>
        <w:rPr>
          <w:rFonts w:ascii="Arial" w:cs="Arial" w:eastAsia="Arial" w:hAnsi="Arial"/>
          <w:sz w:val="14"/>
          <w:szCs w:val="14"/>
          <w:color w:val="auto"/>
        </w:rPr>
        <w:t>Gains (losses) are included in “Fair value gains (losses), net” in our condensed consolidated statements of operations and comprehensive income.</w:t>
      </w:r>
    </w:p>
    <w:p>
      <w:pPr>
        <w:spacing w:after="0" w:line="37" w:lineRule="exact"/>
        <w:rPr>
          <w:rFonts w:ascii="Arial" w:cs="Arial" w:eastAsia="Arial" w:hAnsi="Arial"/>
          <w:sz w:val="18"/>
          <w:szCs w:val="18"/>
          <w:color w:val="auto"/>
          <w:vertAlign w:val="superscript"/>
        </w:rPr>
      </w:pPr>
    </w:p>
    <w:p>
      <w:pPr>
        <w:ind w:left="217" w:hanging="217"/>
        <w:spacing w:after="0" w:line="206" w:lineRule="auto"/>
        <w:tabs>
          <w:tab w:leader="none" w:pos="217" w:val="left"/>
        </w:tabs>
        <w:numPr>
          <w:ilvl w:val="0"/>
          <w:numId w:val="125"/>
        </w:numPr>
        <w:rPr>
          <w:rFonts w:ascii="Arial" w:cs="Arial" w:eastAsia="Arial" w:hAnsi="Arial"/>
          <w:sz w:val="17"/>
          <w:szCs w:val="17"/>
          <w:color w:val="auto"/>
          <w:vertAlign w:val="superscript"/>
        </w:rPr>
      </w:pPr>
      <w:r>
        <w:rPr>
          <w:rFonts w:ascii="Arial" w:cs="Arial" w:eastAsia="Arial" w:hAnsi="Arial"/>
          <w:sz w:val="13"/>
          <w:szCs w:val="13"/>
          <w:color w:val="auto"/>
        </w:rPr>
        <w:t>Gains (losses) included in “Net interest income” in our condensed consolidated statements of operations and comprehensive income includes amortization of cost basis adjustments.</w:t>
      </w:r>
    </w:p>
    <w:p>
      <w:pPr>
        <w:spacing w:after="0" w:line="38" w:lineRule="exact"/>
        <w:rPr>
          <w:rFonts w:ascii="Arial" w:cs="Arial" w:eastAsia="Arial" w:hAnsi="Arial"/>
          <w:sz w:val="17"/>
          <w:szCs w:val="17"/>
          <w:color w:val="auto"/>
          <w:vertAlign w:val="superscript"/>
        </w:rPr>
      </w:pPr>
    </w:p>
    <w:p>
      <w:pPr>
        <w:ind w:left="217" w:hanging="217"/>
        <w:spacing w:after="0" w:line="195" w:lineRule="auto"/>
        <w:tabs>
          <w:tab w:leader="none" w:pos="217" w:val="left"/>
        </w:tabs>
        <w:numPr>
          <w:ilvl w:val="0"/>
          <w:numId w:val="125"/>
        </w:numPr>
        <w:rPr>
          <w:rFonts w:ascii="Arial" w:cs="Arial" w:eastAsia="Arial" w:hAnsi="Arial"/>
          <w:sz w:val="18"/>
          <w:szCs w:val="18"/>
          <w:color w:val="auto"/>
          <w:vertAlign w:val="superscript"/>
        </w:rPr>
      </w:pPr>
      <w:r>
        <w:rPr>
          <w:rFonts w:ascii="Arial" w:cs="Arial" w:eastAsia="Arial" w:hAnsi="Arial"/>
          <w:sz w:val="14"/>
          <w:szCs w:val="14"/>
          <w:color w:val="auto"/>
        </w:rPr>
        <w:t>Gains (losses) are included in “Investment gains (losses), net” in our condensed consolidated statements of operations and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365125</wp:posOffset>
            </wp:positionV>
            <wp:extent cx="680593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637"/>
        <w:spacing w:after="0"/>
        <w:rPr>
          <w:sz w:val="20"/>
          <w:szCs w:val="20"/>
          <w:color w:val="auto"/>
        </w:rPr>
      </w:pPr>
      <w:r>
        <w:rPr>
          <w:rFonts w:ascii="Arial" w:cs="Arial" w:eastAsia="Arial" w:hAnsi="Arial"/>
          <w:sz w:val="14"/>
          <w:szCs w:val="14"/>
          <w:color w:val="05314D"/>
        </w:rPr>
        <w:t>Fannie Mae (In conservatorship)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160020</wp:posOffset>
            </wp:positionV>
            <wp:extent cx="7164070" cy="4191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37"/>
          </w:cols>
          <w:pgMar w:left="323" w:top="248" w:right="339" w:bottom="1440" w:gutter="0" w:footer="0" w:header="0"/>
        </w:sectPr>
      </w:pPr>
    </w:p>
    <w:bookmarkStart w:id="114" w:name="page115"/>
    <w:bookmarkEnd w:id="114"/>
    <w:p>
      <w:pPr>
        <w:ind w:left="6980"/>
        <w:spacing w:after="0"/>
        <w:rPr>
          <w:sz w:val="20"/>
          <w:szCs w:val="20"/>
          <w:color w:val="auto"/>
        </w:rPr>
      </w:pPr>
      <w:r>
        <w:rPr>
          <w:rFonts w:ascii="Arial" w:cs="Arial" w:eastAsia="Arial" w:hAnsi="Arial"/>
          <w:sz w:val="13"/>
          <w:szCs w:val="13"/>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The following tables display valuation techniques and the range and the weighted average of significant unobservable inputs for our Level 3 assets and liabilities measured at fair value on a recurring basis, excluding instruments for which we have elected the fair value option. Changes in these unobservable inputs can result in significantly higher or lower fair value measurements of these assets and liabilities as of the reporting date.</w:t>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Recurring fair value measurements:</w:t>
      </w:r>
    </w:p>
    <w:p>
      <w:pPr>
        <w:spacing w:after="0" w:line="72" w:lineRule="exact"/>
        <w:rPr>
          <w:sz w:val="20"/>
          <w:szCs w:val="20"/>
          <w:color w:val="auto"/>
        </w:rPr>
      </w:pPr>
    </w:p>
    <w:p>
      <w:pPr>
        <w:ind w:left="80"/>
        <w:spacing w:after="0"/>
        <w:rPr>
          <w:sz w:val="20"/>
          <w:szCs w:val="20"/>
          <w:color w:val="auto"/>
        </w:rPr>
      </w:pPr>
      <w:r>
        <w:rPr>
          <w:rFonts w:ascii="Arial" w:cs="Arial" w:eastAsia="Arial" w:hAnsi="Arial"/>
          <w:sz w:val="14"/>
          <w:szCs w:val="14"/>
          <w:color w:val="auto"/>
        </w:rPr>
        <w:t>Trading securities:</w:t>
      </w:r>
    </w:p>
    <w:p>
      <w:pPr>
        <w:spacing w:after="0" w:line="54" w:lineRule="exact"/>
        <w:rPr>
          <w:sz w:val="20"/>
          <w:szCs w:val="20"/>
          <w:color w:val="auto"/>
        </w:rPr>
      </w:pPr>
    </w:p>
    <w:p>
      <w:pPr>
        <w:ind w:left="180"/>
        <w:spacing w:after="0"/>
        <w:rPr>
          <w:sz w:val="20"/>
          <w:szCs w:val="20"/>
          <w:color w:val="auto"/>
        </w:rPr>
      </w:pPr>
      <w:r>
        <w:rPr>
          <w:rFonts w:ascii="Arial" w:cs="Arial" w:eastAsia="Arial" w:hAnsi="Arial"/>
          <w:sz w:val="14"/>
          <w:szCs w:val="14"/>
          <w:color w:val="auto"/>
        </w:rPr>
        <w:t>Mortgage-related</w:t>
      </w:r>
      <w:r>
        <w:rPr>
          <w:rFonts w:ascii="Arial" w:cs="Arial" w:eastAsia="Arial" w:hAnsi="Arial"/>
          <w:sz w:val="17"/>
          <w:szCs w:val="17"/>
          <w:color w:val="auto"/>
          <w:vertAlign w:val="superscript"/>
        </w:rPr>
        <w:t>(3)</w:t>
      </w:r>
    </w:p>
    <w:p>
      <w:pPr>
        <w:spacing w:after="0" w:line="79" w:lineRule="exact"/>
        <w:rPr>
          <w:sz w:val="20"/>
          <w:szCs w:val="20"/>
          <w:color w:val="auto"/>
        </w:rPr>
      </w:pPr>
    </w:p>
    <w:p>
      <w:pPr>
        <w:ind w:left="80"/>
        <w:spacing w:after="0"/>
        <w:rPr>
          <w:sz w:val="20"/>
          <w:szCs w:val="20"/>
          <w:color w:val="auto"/>
        </w:rPr>
      </w:pPr>
      <w:r>
        <w:rPr>
          <w:rFonts w:ascii="Arial" w:cs="Arial" w:eastAsia="Arial" w:hAnsi="Arial"/>
          <w:sz w:val="14"/>
          <w:szCs w:val="14"/>
          <w:color w:val="auto"/>
        </w:rPr>
        <w:t>Available-for-sale securities:</w:t>
      </w:r>
    </w:p>
    <w:p>
      <w:pPr>
        <w:spacing w:after="0" w:line="54"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Agency</w:t>
      </w:r>
      <w:r>
        <w:rPr>
          <w:rFonts w:ascii="Arial" w:cs="Arial" w:eastAsia="Arial" w:hAnsi="Arial"/>
          <w:sz w:val="17"/>
          <w:szCs w:val="17"/>
          <w:color w:val="auto"/>
          <w:vertAlign w:val="superscript"/>
        </w:rPr>
        <w:t>(3)</w:t>
      </w:r>
    </w:p>
    <w:p>
      <w:pPr>
        <w:spacing w:after="0" w:line="4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 mortgage-related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263525</wp:posOffset>
            </wp:positionV>
            <wp:extent cx="226758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2267585"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Total other mortgage-related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25400</wp:posOffset>
            </wp:positionV>
            <wp:extent cx="226758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267585" cy="8255"/>
                    </a:xfrm>
                    <a:prstGeom prst="rect">
                      <a:avLst/>
                    </a:prstGeom>
                    <a:noFill/>
                  </pic:spPr>
                </pic:pic>
              </a:graphicData>
            </a:graphic>
          </wp:anchor>
        </w:drawing>
      </w:r>
    </w:p>
    <w:p>
      <w:pPr>
        <w:spacing w:after="0" w:line="51" w:lineRule="exact"/>
        <w:rPr>
          <w:sz w:val="20"/>
          <w:szCs w:val="20"/>
          <w:color w:val="auto"/>
        </w:rPr>
      </w:pPr>
    </w:p>
    <w:p>
      <w:pPr>
        <w:ind w:left="80"/>
        <w:spacing w:after="0"/>
        <w:rPr>
          <w:sz w:val="20"/>
          <w:szCs w:val="20"/>
          <w:color w:val="auto"/>
        </w:rPr>
      </w:pPr>
      <w:r>
        <w:rPr>
          <w:rFonts w:ascii="Arial" w:cs="Arial" w:eastAsia="Arial" w:hAnsi="Arial"/>
          <w:sz w:val="14"/>
          <w:szCs w:val="14"/>
          <w:color w:val="auto"/>
        </w:rPr>
        <w:t>Total available-for-sale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25400</wp:posOffset>
            </wp:positionV>
            <wp:extent cx="226758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267585" cy="8255"/>
                    </a:xfrm>
                    <a:prstGeom prst="rect">
                      <a:avLst/>
                    </a:prstGeom>
                    <a:noFill/>
                  </pic:spPr>
                </pic:pic>
              </a:graphicData>
            </a:graphic>
          </wp:anchor>
        </w:drawing>
        <w:drawing>
          <wp:anchor simplePos="0" relativeHeight="251657728" behindDoc="1" locked="0" layoutInCell="0" allowOverlap="1">
            <wp:simplePos x="0" y="0"/>
            <wp:positionH relativeFrom="column">
              <wp:posOffset>43180</wp:posOffset>
            </wp:positionH>
            <wp:positionV relativeFrom="paragraph">
              <wp:posOffset>50165</wp:posOffset>
            </wp:positionV>
            <wp:extent cx="226758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267585" cy="8255"/>
                    </a:xfrm>
                    <a:prstGeom prst="rect">
                      <a:avLst/>
                    </a:prstGeom>
                    <a:noFill/>
                  </pic:spPr>
                </pic:pic>
              </a:graphicData>
            </a:graphic>
          </wp:anchor>
        </w:drawing>
      </w:r>
    </w:p>
    <w:p>
      <w:pPr>
        <w:spacing w:after="0" w:line="116" w:lineRule="exact"/>
        <w:rPr>
          <w:sz w:val="20"/>
          <w:szCs w:val="20"/>
          <w:color w:val="auto"/>
        </w:rPr>
      </w:pPr>
    </w:p>
    <w:p>
      <w:pPr>
        <w:ind w:left="80"/>
        <w:spacing w:after="0"/>
        <w:rPr>
          <w:sz w:val="20"/>
          <w:szCs w:val="20"/>
          <w:color w:val="auto"/>
        </w:rPr>
      </w:pPr>
      <w:r>
        <w:rPr>
          <w:rFonts w:ascii="Arial" w:cs="Arial" w:eastAsia="Arial" w:hAnsi="Arial"/>
          <w:sz w:val="14"/>
          <w:szCs w:val="14"/>
          <w:color w:val="auto"/>
        </w:rPr>
        <w:t>Net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147955</wp:posOffset>
            </wp:positionV>
            <wp:extent cx="226758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2267585" cy="8255"/>
                    </a:xfrm>
                    <a:prstGeom prst="rect">
                      <a:avLst/>
                    </a:prstGeom>
                    <a:noFill/>
                  </pic:spPr>
                </pic:pic>
              </a:graphicData>
            </a:graphic>
          </wp:anchor>
        </w:drawing>
      </w:r>
    </w:p>
    <w:p>
      <w:pPr>
        <w:spacing w:after="0" w:line="244" w:lineRule="exact"/>
        <w:rPr>
          <w:sz w:val="20"/>
          <w:szCs w:val="20"/>
          <w:color w:val="auto"/>
        </w:rPr>
      </w:pPr>
    </w:p>
    <w:p>
      <w:pPr>
        <w:ind w:left="80"/>
        <w:spacing w:after="0"/>
        <w:rPr>
          <w:sz w:val="20"/>
          <w:szCs w:val="20"/>
          <w:color w:val="auto"/>
        </w:rPr>
      </w:pPr>
      <w:r>
        <w:rPr>
          <w:rFonts w:ascii="Arial" w:cs="Arial" w:eastAsia="Arial" w:hAnsi="Arial"/>
          <w:sz w:val="14"/>
          <w:szCs w:val="14"/>
          <w:color w:val="auto"/>
        </w:rPr>
        <w:t>Total net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25400</wp:posOffset>
            </wp:positionV>
            <wp:extent cx="226758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2267585" cy="8255"/>
                    </a:xfrm>
                    <a:prstGeom prst="rect">
                      <a:avLst/>
                    </a:prstGeom>
                    <a:noFill/>
                  </pic:spPr>
                </pic:pic>
              </a:graphicData>
            </a:graphic>
          </wp:anchor>
        </w:drawing>
        <w:drawing>
          <wp:anchor simplePos="0" relativeHeight="251657728" behindDoc="1" locked="0" layoutInCell="0" allowOverlap="1">
            <wp:simplePos x="0" y="0"/>
            <wp:positionH relativeFrom="column">
              <wp:posOffset>43180</wp:posOffset>
            </wp:positionH>
            <wp:positionV relativeFrom="paragraph">
              <wp:posOffset>50165</wp:posOffset>
            </wp:positionV>
            <wp:extent cx="226758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22675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Recurring fair value measurements:</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4"/>
          <w:szCs w:val="14"/>
          <w:color w:val="auto"/>
        </w:rPr>
        <w:t>Trading securities:</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14"/>
          <w:szCs w:val="14"/>
          <w:color w:val="auto"/>
        </w:rPr>
        <w:t>Mortgage-related</w:t>
      </w:r>
      <w:r>
        <w:rPr>
          <w:rFonts w:ascii="Arial" w:cs="Arial" w:eastAsia="Arial" w:hAnsi="Arial"/>
          <w:sz w:val="17"/>
          <w:szCs w:val="17"/>
          <w:color w:val="auto"/>
          <w:vertAlign w:val="superscript"/>
        </w:rPr>
        <w:t>(3)</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14"/>
          <w:szCs w:val="14"/>
          <w:color w:val="auto"/>
        </w:rPr>
        <w:t>Available-for-sale securities:</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Agency</w:t>
      </w:r>
      <w:r>
        <w:rPr>
          <w:rFonts w:ascii="Arial" w:cs="Arial" w:eastAsia="Arial" w:hAnsi="Arial"/>
          <w:sz w:val="17"/>
          <w:szCs w:val="17"/>
          <w:color w:val="auto"/>
          <w:vertAlign w:val="superscript"/>
        </w:rPr>
        <w:t>(3)</w:t>
      </w:r>
    </w:p>
    <w:p>
      <w:pPr>
        <w:spacing w:after="0" w:line="40"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Other mortgage-related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263525</wp:posOffset>
            </wp:positionV>
            <wp:extent cx="230060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2300605"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Total other mortgage-related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230060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2300605" cy="8255"/>
                    </a:xfrm>
                    <a:prstGeom prst="rect">
                      <a:avLst/>
                    </a:prstGeom>
                    <a:noFill/>
                  </pic:spPr>
                </pic:pic>
              </a:graphicData>
            </a:graphic>
          </wp:anchor>
        </w:drawing>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available-for-sale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230060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23006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50165</wp:posOffset>
            </wp:positionV>
            <wp:extent cx="230060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2300605" cy="8255"/>
                    </a:xfrm>
                    <a:prstGeom prst="rect">
                      <a:avLst/>
                    </a:prstGeom>
                    <a:noFill/>
                  </pic:spPr>
                </pic:pic>
              </a:graphicData>
            </a:graphic>
          </wp:anchor>
        </w:drawing>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230060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2300605" cy="8255"/>
                    </a:xfrm>
                    <a:prstGeom prst="rect">
                      <a:avLst/>
                    </a:prstGeom>
                    <a:noFill/>
                  </pic:spPr>
                </pic:pic>
              </a:graphicData>
            </a:graphic>
          </wp:anchor>
        </w:drawing>
      </w:r>
    </w:p>
    <w:p>
      <w:pPr>
        <w:spacing w:after="0" w:line="244"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net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230060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23006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50165</wp:posOffset>
            </wp:positionV>
            <wp:extent cx="230060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23006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ind w:left="2080"/>
        <w:spacing w:after="0"/>
        <w:rPr>
          <w:sz w:val="20"/>
          <w:szCs w:val="20"/>
          <w:color w:val="auto"/>
        </w:rPr>
      </w:pPr>
      <w:r>
        <w:rPr>
          <w:rFonts w:ascii="Arial" w:cs="Arial" w:eastAsia="Arial" w:hAnsi="Arial"/>
          <w:sz w:val="14"/>
          <w:szCs w:val="14"/>
          <w:b w:val="1"/>
          <w:bCs w:val="1"/>
          <w:color w:val="auto"/>
        </w:rPr>
        <w:t>Fair Value Measurements as of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18415</wp:posOffset>
            </wp:positionV>
            <wp:extent cx="473202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4732020" cy="8255"/>
                    </a:xfrm>
                    <a:prstGeom prst="rect">
                      <a:avLst/>
                    </a:prstGeom>
                    <a:noFill/>
                  </pic:spPr>
                </pic:pic>
              </a:graphicData>
            </a:graphic>
          </wp:anchor>
        </w:drawing>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800" w:type="dxa"/>
            <w:vAlign w:val="bottom"/>
            <w:vMerge w:val="restart"/>
          </w:tcPr>
          <w:p>
            <w:pPr>
              <w:jc w:val="center"/>
              <w:ind w:left="11"/>
              <w:spacing w:after="0"/>
              <w:rPr>
                <w:sz w:val="20"/>
                <w:szCs w:val="20"/>
                <w:color w:val="auto"/>
              </w:rPr>
            </w:pPr>
            <w:r>
              <w:rPr>
                <w:rFonts w:ascii="Arial" w:cs="Arial" w:eastAsia="Arial" w:hAnsi="Arial"/>
                <w:sz w:val="14"/>
                <w:szCs w:val="14"/>
                <w:b w:val="1"/>
                <w:bCs w:val="1"/>
                <w:color w:val="auto"/>
                <w:w w:val="98"/>
              </w:rPr>
              <w:t>Significant Valuation</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7"/>
              </w:rPr>
              <w:t>Significant</w:t>
            </w:r>
          </w:p>
        </w:tc>
        <w:tc>
          <w:tcPr>
            <w:tcW w:w="1300" w:type="dxa"/>
            <w:vAlign w:val="bottom"/>
          </w:tcPr>
          <w:p>
            <w:pPr>
              <w:spacing w:after="0"/>
              <w:rPr>
                <w:sz w:val="14"/>
                <w:szCs w:val="14"/>
                <w:color w:val="auto"/>
              </w:rPr>
            </w:pPr>
          </w:p>
        </w:tc>
        <w:tc>
          <w:tcPr>
            <w:tcW w:w="1420" w:type="dxa"/>
            <w:vAlign w:val="bottom"/>
            <w:vMerge w:val="restart"/>
          </w:tcPr>
          <w:p>
            <w:pPr>
              <w:jc w:val="center"/>
              <w:ind w:left="51"/>
              <w:spacing w:after="0"/>
              <w:rPr>
                <w:sz w:val="20"/>
                <w:szCs w:val="20"/>
                <w:color w:val="auto"/>
              </w:rPr>
            </w:pPr>
            <w:r>
              <w:rPr>
                <w:rFonts w:ascii="Arial" w:cs="Arial" w:eastAsia="Arial" w:hAnsi="Arial"/>
                <w:sz w:val="14"/>
                <w:szCs w:val="14"/>
                <w:b w:val="1"/>
                <w:bCs w:val="1"/>
                <w:color w:val="auto"/>
                <w:w w:val="97"/>
              </w:rPr>
              <w:t>Weighted -</w:t>
            </w: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18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9"/>
              </w:rPr>
              <w:t>Unobservable</w:t>
            </w:r>
          </w:p>
        </w:tc>
        <w:tc>
          <w:tcPr>
            <w:tcW w:w="130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080" w:type="dxa"/>
            <w:vAlign w:val="bottom"/>
            <w:tcBorders>
              <w:bottom w:val="single" w:sz="8" w:color="2C6937"/>
            </w:tcBorders>
          </w:tcPr>
          <w:p>
            <w:pPr>
              <w:ind w:left="160"/>
              <w:spacing w:after="0"/>
              <w:rPr>
                <w:sz w:val="20"/>
                <w:szCs w:val="20"/>
                <w:color w:val="auto"/>
              </w:rPr>
            </w:pPr>
            <w:r>
              <w:rPr>
                <w:rFonts w:ascii="Arial" w:cs="Arial" w:eastAsia="Arial" w:hAnsi="Arial"/>
                <w:sz w:val="14"/>
                <w:szCs w:val="14"/>
                <w:b w:val="1"/>
                <w:bCs w:val="1"/>
                <w:color w:val="auto"/>
              </w:rPr>
              <w:t>Fair Value</w:t>
            </w:r>
          </w:p>
        </w:tc>
        <w:tc>
          <w:tcPr>
            <w:tcW w:w="1800" w:type="dxa"/>
            <w:vAlign w:val="bottom"/>
            <w:tcBorders>
              <w:bottom w:val="single" w:sz="8" w:color="2C6937"/>
            </w:tcBorders>
          </w:tcPr>
          <w:p>
            <w:pPr>
              <w:jc w:val="center"/>
              <w:ind w:left="11"/>
              <w:spacing w:after="0"/>
              <w:rPr>
                <w:sz w:val="20"/>
                <w:szCs w:val="20"/>
                <w:color w:val="auto"/>
              </w:rPr>
            </w:pPr>
            <w:r>
              <w:rPr>
                <w:rFonts w:ascii="Arial" w:cs="Arial" w:eastAsia="Arial" w:hAnsi="Arial"/>
                <w:sz w:val="14"/>
                <w:szCs w:val="14"/>
                <w:b w:val="1"/>
                <w:bCs w:val="1"/>
                <w:color w:val="auto"/>
                <w:w w:val="97"/>
              </w:rPr>
              <w:t>Techniques</w:t>
            </w:r>
          </w:p>
        </w:tc>
        <w:tc>
          <w:tcPr>
            <w:tcW w:w="18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3"/>
              </w:rPr>
              <w:t>Inputs</w:t>
            </w:r>
            <w:r>
              <w:rPr>
                <w:rFonts w:ascii="Arial" w:cs="Arial" w:eastAsia="Arial" w:hAnsi="Arial"/>
                <w:sz w:val="17"/>
                <w:szCs w:val="17"/>
                <w:b w:val="1"/>
                <w:bCs w:val="1"/>
                <w:color w:val="auto"/>
                <w:w w:val="93"/>
                <w:vertAlign w:val="superscript"/>
              </w:rPr>
              <w:t>(1)</w:t>
            </w:r>
          </w:p>
        </w:tc>
        <w:tc>
          <w:tcPr>
            <w:tcW w:w="1300" w:type="dxa"/>
            <w:vAlign w:val="bottom"/>
            <w:tcBorders>
              <w:bottom w:val="single" w:sz="8" w:color="2C6937"/>
            </w:tcBorders>
          </w:tcPr>
          <w:p>
            <w:pPr>
              <w:ind w:left="380"/>
              <w:spacing w:after="0"/>
              <w:rPr>
                <w:sz w:val="20"/>
                <w:szCs w:val="20"/>
                <w:color w:val="auto"/>
              </w:rPr>
            </w:pPr>
            <w:r>
              <w:rPr>
                <w:rFonts w:ascii="Arial" w:cs="Arial" w:eastAsia="Arial" w:hAnsi="Arial"/>
                <w:sz w:val="14"/>
                <w:szCs w:val="14"/>
                <w:b w:val="1"/>
                <w:bCs w:val="1"/>
                <w:color w:val="auto"/>
              </w:rPr>
              <w:t>Range</w:t>
            </w:r>
            <w:r>
              <w:rPr>
                <w:rFonts w:ascii="Arial" w:cs="Arial" w:eastAsia="Arial" w:hAnsi="Arial"/>
                <w:sz w:val="17"/>
                <w:szCs w:val="17"/>
                <w:b w:val="1"/>
                <w:bCs w:val="1"/>
                <w:color w:val="auto"/>
                <w:vertAlign w:val="superscript"/>
              </w:rPr>
              <w:t>(1)</w:t>
            </w:r>
          </w:p>
        </w:tc>
        <w:tc>
          <w:tcPr>
            <w:tcW w:w="1420" w:type="dxa"/>
            <w:vAlign w:val="bottom"/>
            <w:tcBorders>
              <w:bottom w:val="single" w:sz="8" w:color="2C6937"/>
            </w:tcBorders>
          </w:tcPr>
          <w:p>
            <w:pPr>
              <w:jc w:val="center"/>
              <w:ind w:left="71"/>
              <w:spacing w:after="0"/>
              <w:rPr>
                <w:sz w:val="20"/>
                <w:szCs w:val="20"/>
                <w:color w:val="auto"/>
              </w:rPr>
            </w:pPr>
            <w:r>
              <w:rPr>
                <w:rFonts w:ascii="Arial" w:cs="Arial" w:eastAsia="Arial" w:hAnsi="Arial"/>
                <w:sz w:val="14"/>
                <w:szCs w:val="14"/>
                <w:b w:val="1"/>
                <w:bCs w:val="1"/>
                <w:color w:val="auto"/>
              </w:rPr>
              <w:t>Average</w:t>
            </w:r>
            <w:r>
              <w:rPr>
                <w:rFonts w:ascii="Arial" w:cs="Arial" w:eastAsia="Arial" w:hAnsi="Arial"/>
                <w:sz w:val="8"/>
                <w:szCs w:val="8"/>
                <w:b w:val="1"/>
                <w:bCs w:val="1"/>
                <w:color w:val="auto"/>
              </w:rPr>
              <w:t>(1)(2)</w:t>
            </w:r>
          </w:p>
        </w:tc>
        <w:tc>
          <w:tcPr>
            <w:tcW w:w="0" w:type="dxa"/>
            <w:vAlign w:val="bottom"/>
          </w:tcPr>
          <w:p>
            <w:pPr>
              <w:spacing w:after="0"/>
              <w:rPr>
                <w:sz w:val="1"/>
                <w:szCs w:val="1"/>
                <w:color w:val="auto"/>
              </w:rPr>
            </w:pPr>
          </w:p>
        </w:tc>
      </w:tr>
      <w:tr>
        <w:trPr>
          <w:trHeight w:val="185"/>
        </w:trPr>
        <w:tc>
          <w:tcPr>
            <w:tcW w:w="10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860" w:type="dxa"/>
            <w:vAlign w:val="bottom"/>
          </w:tcPr>
          <w:p>
            <w:pPr>
              <w:ind w:left="200"/>
              <w:spacing w:after="0"/>
              <w:rPr>
                <w:sz w:val="20"/>
                <w:szCs w:val="20"/>
                <w:color w:val="auto"/>
              </w:rPr>
            </w:pPr>
            <w:r>
              <w:rPr>
                <w:rFonts w:ascii="Arial" w:cs="Arial" w:eastAsia="Arial" w:hAnsi="Arial"/>
                <w:sz w:val="14"/>
                <w:szCs w:val="14"/>
                <w:b w:val="1"/>
                <w:bCs w:val="1"/>
                <w:color w:val="auto"/>
              </w:rPr>
              <w:t>(Dollars in millions)</w:t>
            </w: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1" w:lineRule="exact"/>
        <w:rPr>
          <w:sz w:val="20"/>
          <w:szCs w:val="20"/>
          <w:color w:val="auto"/>
        </w:rPr>
      </w:pPr>
    </w:p>
    <w:p>
      <w:pPr>
        <w:ind w:left="760" w:hanging="728"/>
        <w:spacing w:after="0"/>
        <w:tabs>
          <w:tab w:leader="none" w:pos="76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35  Various</w:t>
      </w:r>
    </w:p>
    <w:p>
      <w:pPr>
        <w:spacing w:after="0" w:line="329" w:lineRule="exact"/>
        <w:rPr>
          <w:sz w:val="20"/>
          <w:szCs w:val="20"/>
          <w:color w:val="auto"/>
        </w:rPr>
      </w:pPr>
    </w:p>
    <w:p>
      <w:pPr>
        <w:ind w:left="680"/>
        <w:spacing w:after="0"/>
        <w:tabs>
          <w:tab w:leader="none" w:pos="1080" w:val="left"/>
        </w:tabs>
        <w:rPr>
          <w:sz w:val="20"/>
          <w:szCs w:val="20"/>
          <w:color w:val="auto"/>
        </w:rPr>
      </w:pPr>
      <w:r>
        <w:rPr>
          <w:rFonts w:ascii="Arial" w:cs="Arial" w:eastAsia="Arial" w:hAnsi="Arial"/>
          <w:sz w:val="14"/>
          <w:szCs w:val="14"/>
          <w:color w:val="auto"/>
        </w:rPr>
        <w:t>313</w:t>
      </w:r>
      <w:r>
        <w:rPr>
          <w:sz w:val="20"/>
          <w:szCs w:val="20"/>
          <w:color w:val="auto"/>
        </w:rPr>
        <w:tab/>
      </w:r>
      <w:r>
        <w:rPr>
          <w:rFonts w:ascii="Arial" w:cs="Arial" w:eastAsia="Arial" w:hAnsi="Arial"/>
          <w:sz w:val="13"/>
          <w:szCs w:val="13"/>
          <w:color w:val="auto"/>
        </w:rPr>
        <w:t>Consensus</w:t>
      </w:r>
    </w:p>
    <w:p>
      <w:pPr>
        <w:spacing w:after="0" w:line="58" w:lineRule="exact"/>
        <w:rPr>
          <w:sz w:val="20"/>
          <w:szCs w:val="20"/>
          <w:color w:val="auto"/>
        </w:rPr>
      </w:pPr>
    </w:p>
    <w:p>
      <w:pPr>
        <w:ind w:left="760"/>
        <w:spacing w:after="0"/>
        <w:tabs>
          <w:tab w:leader="none" w:pos="1080" w:val="left"/>
          <w:tab w:leader="none" w:pos="3100" w:val="left"/>
          <w:tab w:leader="none" w:pos="4920" w:val="left"/>
          <w:tab w:leader="none" w:pos="6640" w:val="left"/>
        </w:tabs>
        <w:rPr>
          <w:sz w:val="20"/>
          <w:szCs w:val="20"/>
          <w:color w:val="auto"/>
        </w:rPr>
      </w:pPr>
      <w:r>
        <w:rPr>
          <w:rFonts w:ascii="Arial" w:cs="Arial" w:eastAsia="Arial" w:hAnsi="Arial"/>
          <w:sz w:val="14"/>
          <w:szCs w:val="14"/>
          <w:color w:val="auto"/>
        </w:rPr>
        <w:t>46</w:t>
        <w:tab/>
        <w:t>Discounted Cash Flow</w:t>
      </w:r>
      <w:r>
        <w:rPr>
          <w:sz w:val="20"/>
          <w:szCs w:val="20"/>
          <w:color w:val="auto"/>
        </w:rPr>
        <w:tab/>
      </w:r>
      <w:r>
        <w:rPr>
          <w:rFonts w:ascii="Arial" w:cs="Arial" w:eastAsia="Arial" w:hAnsi="Arial"/>
          <w:sz w:val="14"/>
          <w:szCs w:val="14"/>
          <w:color w:val="auto"/>
        </w:rPr>
        <w:t>Spreads (bps)</w:t>
      </w:r>
      <w:r>
        <w:rPr>
          <w:sz w:val="20"/>
          <w:szCs w:val="20"/>
          <w:color w:val="auto"/>
        </w:rPr>
        <w:tab/>
      </w:r>
      <w:r>
        <w:rPr>
          <w:rFonts w:ascii="Arial" w:cs="Arial" w:eastAsia="Arial" w:hAnsi="Arial"/>
          <w:sz w:val="14"/>
          <w:szCs w:val="14"/>
          <w:color w:val="auto"/>
        </w:rPr>
        <w:t>478.0 - 508.0</w:t>
      </w:r>
      <w:r>
        <w:rPr>
          <w:sz w:val="20"/>
          <w:szCs w:val="20"/>
          <w:color w:val="auto"/>
        </w:rPr>
        <w:tab/>
      </w:r>
      <w:r>
        <w:rPr>
          <w:rFonts w:ascii="Arial" w:cs="Arial" w:eastAsia="Arial" w:hAnsi="Arial"/>
          <w:sz w:val="13"/>
          <w:szCs w:val="13"/>
          <w:color w:val="auto"/>
        </w:rPr>
        <w:t>492.0</w:t>
      </w:r>
    </w:p>
    <w:p>
      <w:pPr>
        <w:spacing w:after="0" w:line="32" w:lineRule="exact"/>
        <w:rPr>
          <w:sz w:val="20"/>
          <w:szCs w:val="20"/>
          <w:color w:val="auto"/>
        </w:rPr>
      </w:pPr>
    </w:p>
    <w:p>
      <w:pPr>
        <w:ind w:left="1100" w:hanging="258"/>
        <w:spacing w:after="0"/>
        <w:tabs>
          <w:tab w:leader="none" w:pos="110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Single Vendor</w:t>
      </w:r>
    </w:p>
    <w:p>
      <w:pPr>
        <w:spacing w:after="0" w:line="32" w:lineRule="exact"/>
        <w:rPr>
          <w:rFonts w:ascii="Arial" w:cs="Arial" w:eastAsia="Arial" w:hAnsi="Arial"/>
          <w:sz w:val="14"/>
          <w:szCs w:val="14"/>
          <w:color w:val="auto"/>
        </w:rPr>
      </w:pPr>
    </w:p>
    <w:p>
      <w:pPr>
        <w:ind w:left="760"/>
        <w:spacing w:after="0"/>
        <w:rPr>
          <w:rFonts w:ascii="Arial" w:cs="Arial" w:eastAsia="Arial" w:hAnsi="Arial"/>
          <w:sz w:val="14"/>
          <w:szCs w:val="14"/>
          <w:color w:val="auto"/>
        </w:rPr>
      </w:pPr>
      <w:r>
        <w:rPr>
          <w:rFonts w:ascii="Arial" w:cs="Arial" w:eastAsia="Arial" w:hAnsi="Arial"/>
          <w:sz w:val="14"/>
          <w:szCs w:val="14"/>
          <w:color w:val="auto"/>
        </w:rPr>
        <w:t>88  Various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17145</wp:posOffset>
            </wp:positionV>
            <wp:extent cx="61404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14045" cy="8255"/>
                    </a:xfrm>
                    <a:prstGeom prst="rect">
                      <a:avLst/>
                    </a:prstGeom>
                    <a:noFill/>
                  </pic:spPr>
                </pic:pic>
              </a:graphicData>
            </a:graphic>
          </wp:anchor>
        </w:drawing>
      </w:r>
    </w:p>
    <w:p>
      <w:pPr>
        <w:spacing w:after="0" w:line="51" w:lineRule="exact"/>
        <w:rPr>
          <w:sz w:val="20"/>
          <w:szCs w:val="20"/>
          <w:color w:val="auto"/>
        </w:rPr>
      </w:pPr>
    </w:p>
    <w:p>
      <w:pPr>
        <w:ind w:left="680"/>
        <w:spacing w:after="0"/>
        <w:rPr>
          <w:sz w:val="20"/>
          <w:szCs w:val="20"/>
          <w:color w:val="auto"/>
        </w:rPr>
      </w:pPr>
      <w:r>
        <w:rPr>
          <w:rFonts w:ascii="Arial" w:cs="Arial" w:eastAsia="Arial" w:hAnsi="Arial"/>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17145</wp:posOffset>
            </wp:positionV>
            <wp:extent cx="61404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14045" cy="8255"/>
                    </a:xfrm>
                    <a:prstGeom prst="rect">
                      <a:avLst/>
                    </a:prstGeom>
                    <a:noFill/>
                  </pic:spPr>
                </pic:pic>
              </a:graphicData>
            </a:graphic>
          </wp:anchor>
        </w:drawing>
      </w:r>
    </w:p>
    <w:p>
      <w:pPr>
        <w:spacing w:after="0" w:line="51" w:lineRule="exact"/>
        <w:rPr>
          <w:sz w:val="20"/>
          <w:szCs w:val="20"/>
          <w:color w:val="auto"/>
        </w:rPr>
      </w:pPr>
    </w:p>
    <w:p>
      <w:pPr>
        <w:ind w:left="680" w:hanging="648"/>
        <w:spacing w:after="0"/>
        <w:tabs>
          <w:tab w:leader="none" w:pos="68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448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17145</wp:posOffset>
            </wp:positionV>
            <wp:extent cx="61404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14045" cy="825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41910</wp:posOffset>
            </wp:positionV>
            <wp:extent cx="61404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14045" cy="8255"/>
                    </a:xfrm>
                    <a:prstGeom prst="rect">
                      <a:avLst/>
                    </a:prstGeom>
                    <a:noFill/>
                  </pic:spPr>
                </pic:pic>
              </a:graphicData>
            </a:graphic>
          </wp:anchor>
        </w:drawing>
      </w:r>
    </w:p>
    <w:p>
      <w:pPr>
        <w:spacing w:after="0" w:line="116" w:lineRule="exact"/>
        <w:rPr>
          <w:sz w:val="20"/>
          <w:szCs w:val="20"/>
          <w:color w:val="auto"/>
        </w:rPr>
      </w:pPr>
    </w:p>
    <w:p>
      <w:pPr>
        <w:ind w:left="760" w:hanging="728"/>
        <w:spacing w:after="0"/>
        <w:tabs>
          <w:tab w:leader="none" w:pos="76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54  Dealer Mark</w:t>
      </w:r>
    </w:p>
    <w:p>
      <w:pPr>
        <w:spacing w:after="0" w:line="32" w:lineRule="exact"/>
        <w:rPr>
          <w:rFonts w:ascii="Arial" w:cs="Arial" w:eastAsia="Arial" w:hAnsi="Arial"/>
          <w:sz w:val="14"/>
          <w:szCs w:val="14"/>
          <w:color w:val="auto"/>
        </w:rPr>
      </w:pPr>
    </w:p>
    <w:p>
      <w:pPr>
        <w:ind w:left="760"/>
        <w:spacing w:after="0"/>
        <w:rPr>
          <w:rFonts w:ascii="Arial" w:cs="Arial" w:eastAsia="Arial" w:hAnsi="Arial"/>
          <w:sz w:val="14"/>
          <w:szCs w:val="14"/>
          <w:color w:val="auto"/>
        </w:rPr>
      </w:pPr>
      <w:r>
        <w:rPr>
          <w:rFonts w:ascii="Arial" w:cs="Arial" w:eastAsia="Arial" w:hAnsi="Arial"/>
          <w:sz w:val="14"/>
          <w:szCs w:val="14"/>
          <w:color w:val="auto"/>
        </w:rPr>
        <w:t>26  Discounted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17145</wp:posOffset>
            </wp:positionV>
            <wp:extent cx="61404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14045" cy="8255"/>
                    </a:xfrm>
                    <a:prstGeom prst="rect">
                      <a:avLst/>
                    </a:prstGeom>
                    <a:noFill/>
                  </pic:spPr>
                </pic:pic>
              </a:graphicData>
            </a:graphic>
          </wp:anchor>
        </w:drawing>
      </w:r>
    </w:p>
    <w:p>
      <w:pPr>
        <w:spacing w:after="0" w:line="51" w:lineRule="exact"/>
        <w:rPr>
          <w:sz w:val="20"/>
          <w:szCs w:val="20"/>
          <w:color w:val="auto"/>
        </w:rPr>
      </w:pPr>
    </w:p>
    <w:p>
      <w:pPr>
        <w:ind w:left="760" w:hanging="728"/>
        <w:spacing w:after="0"/>
        <w:tabs>
          <w:tab w:leader="none" w:pos="76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17145</wp:posOffset>
            </wp:positionV>
            <wp:extent cx="61404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14045" cy="825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41910</wp:posOffset>
            </wp:positionV>
            <wp:extent cx="61404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14045" cy="8255"/>
                    </a:xfrm>
                    <a:prstGeom prst="rect">
                      <a:avLst/>
                    </a:prstGeom>
                    <a:noFill/>
                  </pic:spPr>
                </pic:pic>
              </a:graphicData>
            </a:graphic>
          </wp:anchor>
        </w:drawing>
      </w:r>
    </w:p>
    <w:p>
      <w:pPr>
        <w:spacing w:after="0" w:line="242" w:lineRule="exact"/>
        <w:rPr>
          <w:sz w:val="20"/>
          <w:szCs w:val="20"/>
          <w:color w:val="auto"/>
        </w:rPr>
      </w:pPr>
    </w:p>
    <w:p>
      <w:pPr>
        <w:ind w:left="2120"/>
        <w:spacing w:after="0"/>
        <w:rPr>
          <w:sz w:val="20"/>
          <w:szCs w:val="20"/>
          <w:color w:val="auto"/>
        </w:rPr>
      </w:pPr>
      <w:r>
        <w:rPr>
          <w:rFonts w:ascii="Arial" w:cs="Arial" w:eastAsia="Arial" w:hAnsi="Arial"/>
          <w:sz w:val="14"/>
          <w:szCs w:val="14"/>
          <w:b w:val="1"/>
          <w:bCs w:val="1"/>
          <w:color w:val="auto"/>
        </w:rPr>
        <w:t>Fair Value Measurements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18415</wp:posOffset>
            </wp:positionV>
            <wp:extent cx="477266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4772660" cy="8255"/>
                    </a:xfrm>
                    <a:prstGeom prst="rect">
                      <a:avLst/>
                    </a:prstGeom>
                    <a:noFill/>
                  </pic:spPr>
                </pic:pic>
              </a:graphicData>
            </a:graphic>
          </wp:anchor>
        </w:drawing>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1820" w:type="dxa"/>
            <w:vAlign w:val="bottom"/>
            <w:vMerge w:val="restart"/>
          </w:tcPr>
          <w:p>
            <w:pPr>
              <w:jc w:val="center"/>
              <w:ind w:left="11"/>
              <w:spacing w:after="0"/>
              <w:rPr>
                <w:sz w:val="20"/>
                <w:szCs w:val="20"/>
                <w:color w:val="auto"/>
              </w:rPr>
            </w:pPr>
            <w:r>
              <w:rPr>
                <w:rFonts w:ascii="Arial" w:cs="Arial" w:eastAsia="Arial" w:hAnsi="Arial"/>
                <w:sz w:val="14"/>
                <w:szCs w:val="14"/>
                <w:b w:val="1"/>
                <w:bCs w:val="1"/>
                <w:color w:val="auto"/>
                <w:w w:val="96"/>
              </w:rPr>
              <w:t>Significant Valuation</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7"/>
              </w:rPr>
              <w:t>Significant</w:t>
            </w:r>
          </w:p>
        </w:tc>
        <w:tc>
          <w:tcPr>
            <w:tcW w:w="1320" w:type="dxa"/>
            <w:vAlign w:val="bottom"/>
          </w:tcPr>
          <w:p>
            <w:pPr>
              <w:spacing w:after="0"/>
              <w:rPr>
                <w:sz w:val="14"/>
                <w:szCs w:val="14"/>
                <w:color w:val="auto"/>
              </w:rPr>
            </w:pPr>
          </w:p>
        </w:tc>
        <w:tc>
          <w:tcPr>
            <w:tcW w:w="1400" w:type="dxa"/>
            <w:vAlign w:val="bottom"/>
            <w:vMerge w:val="restart"/>
          </w:tcPr>
          <w:p>
            <w:pPr>
              <w:jc w:val="center"/>
              <w:ind w:left="71"/>
              <w:spacing w:after="0"/>
              <w:rPr>
                <w:sz w:val="20"/>
                <w:szCs w:val="20"/>
                <w:color w:val="auto"/>
              </w:rPr>
            </w:pPr>
            <w:r>
              <w:rPr>
                <w:rFonts w:ascii="Arial" w:cs="Arial" w:eastAsia="Arial" w:hAnsi="Arial"/>
                <w:sz w:val="14"/>
                <w:szCs w:val="14"/>
                <w:b w:val="1"/>
                <w:bCs w:val="1"/>
                <w:color w:val="auto"/>
                <w:w w:val="97"/>
              </w:rPr>
              <w:t>Weighted -</w:t>
            </w: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18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7"/>
              </w:rPr>
              <w:t>Unobservable</w:t>
            </w:r>
          </w:p>
        </w:tc>
        <w:tc>
          <w:tcPr>
            <w:tcW w:w="13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00" w:type="dxa"/>
            <w:vAlign w:val="bottom"/>
            <w:tcBorders>
              <w:bottom w:val="single" w:sz="8" w:color="2C6937"/>
            </w:tcBorders>
          </w:tcPr>
          <w:p>
            <w:pPr>
              <w:ind w:left="160"/>
              <w:spacing w:after="0"/>
              <w:rPr>
                <w:sz w:val="20"/>
                <w:szCs w:val="20"/>
                <w:color w:val="auto"/>
              </w:rPr>
            </w:pPr>
            <w:r>
              <w:rPr>
                <w:rFonts w:ascii="Arial" w:cs="Arial" w:eastAsia="Arial" w:hAnsi="Arial"/>
                <w:sz w:val="14"/>
                <w:szCs w:val="14"/>
                <w:b w:val="1"/>
                <w:bCs w:val="1"/>
                <w:color w:val="auto"/>
              </w:rPr>
              <w:t>Fair Value</w:t>
            </w:r>
          </w:p>
        </w:tc>
        <w:tc>
          <w:tcPr>
            <w:tcW w:w="182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7"/>
              </w:rPr>
              <w:t>Techniques</w:t>
            </w:r>
          </w:p>
        </w:tc>
        <w:tc>
          <w:tcPr>
            <w:tcW w:w="188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6"/>
              </w:rPr>
              <w:t>Inputs</w:t>
            </w:r>
            <w:r>
              <w:rPr>
                <w:rFonts w:ascii="Arial" w:cs="Arial" w:eastAsia="Arial" w:hAnsi="Arial"/>
                <w:sz w:val="17"/>
                <w:szCs w:val="17"/>
                <w:b w:val="1"/>
                <w:bCs w:val="1"/>
                <w:color w:val="auto"/>
                <w:w w:val="96"/>
                <w:vertAlign w:val="superscript"/>
              </w:rPr>
              <w:t>(1)</w:t>
            </w:r>
          </w:p>
        </w:tc>
        <w:tc>
          <w:tcPr>
            <w:tcW w:w="1320" w:type="dxa"/>
            <w:vAlign w:val="bottom"/>
            <w:tcBorders>
              <w:bottom w:val="single" w:sz="8" w:color="2C6937"/>
            </w:tcBorders>
          </w:tcPr>
          <w:p>
            <w:pPr>
              <w:ind w:left="400"/>
              <w:spacing w:after="0"/>
              <w:rPr>
                <w:sz w:val="20"/>
                <w:szCs w:val="20"/>
                <w:color w:val="auto"/>
              </w:rPr>
            </w:pPr>
            <w:r>
              <w:rPr>
                <w:rFonts w:ascii="Arial" w:cs="Arial" w:eastAsia="Arial" w:hAnsi="Arial"/>
                <w:sz w:val="14"/>
                <w:szCs w:val="14"/>
                <w:b w:val="1"/>
                <w:bCs w:val="1"/>
                <w:color w:val="auto"/>
              </w:rPr>
              <w:t>Range</w:t>
            </w:r>
            <w:r>
              <w:rPr>
                <w:rFonts w:ascii="Arial" w:cs="Arial" w:eastAsia="Arial" w:hAnsi="Arial"/>
                <w:sz w:val="17"/>
                <w:szCs w:val="17"/>
                <w:b w:val="1"/>
                <w:bCs w:val="1"/>
                <w:color w:val="auto"/>
                <w:vertAlign w:val="superscript"/>
              </w:rPr>
              <w:t>(1)</w:t>
            </w:r>
          </w:p>
        </w:tc>
        <w:tc>
          <w:tcPr>
            <w:tcW w:w="1400" w:type="dxa"/>
            <w:vAlign w:val="bottom"/>
            <w:tcBorders>
              <w:bottom w:val="single" w:sz="8" w:color="2C6937"/>
            </w:tcBorders>
          </w:tcPr>
          <w:p>
            <w:pPr>
              <w:jc w:val="center"/>
              <w:ind w:left="51"/>
              <w:spacing w:after="0"/>
              <w:rPr>
                <w:sz w:val="20"/>
                <w:szCs w:val="20"/>
                <w:color w:val="auto"/>
              </w:rPr>
            </w:pPr>
            <w:r>
              <w:rPr>
                <w:rFonts w:ascii="Arial" w:cs="Arial" w:eastAsia="Arial" w:hAnsi="Arial"/>
                <w:sz w:val="14"/>
                <w:szCs w:val="14"/>
                <w:b w:val="1"/>
                <w:bCs w:val="1"/>
                <w:color w:val="auto"/>
              </w:rPr>
              <w:t>Average</w:t>
            </w:r>
            <w:r>
              <w:rPr>
                <w:rFonts w:ascii="Arial" w:cs="Arial" w:eastAsia="Arial" w:hAnsi="Arial"/>
                <w:sz w:val="8"/>
                <w:szCs w:val="8"/>
                <w:b w:val="1"/>
                <w:bCs w:val="1"/>
                <w:color w:val="auto"/>
              </w:rPr>
              <w:t>(1)(2)</w:t>
            </w:r>
          </w:p>
        </w:tc>
        <w:tc>
          <w:tcPr>
            <w:tcW w:w="0" w:type="dxa"/>
            <w:vAlign w:val="bottom"/>
          </w:tcPr>
          <w:p>
            <w:pPr>
              <w:spacing w:after="0"/>
              <w:rPr>
                <w:sz w:val="1"/>
                <w:szCs w:val="1"/>
                <w:color w:val="auto"/>
              </w:rPr>
            </w:pPr>
          </w:p>
        </w:tc>
      </w:tr>
      <w:tr>
        <w:trPr>
          <w:trHeight w:val="185"/>
        </w:trPr>
        <w:tc>
          <w:tcPr>
            <w:tcW w:w="11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80" w:type="dxa"/>
            <w:vAlign w:val="bottom"/>
          </w:tcPr>
          <w:p>
            <w:pPr>
              <w:ind w:left="200"/>
              <w:spacing w:after="0"/>
              <w:rPr>
                <w:sz w:val="20"/>
                <w:szCs w:val="20"/>
                <w:color w:val="auto"/>
              </w:rPr>
            </w:pPr>
            <w:r>
              <w:rPr>
                <w:rFonts w:ascii="Arial" w:cs="Arial" w:eastAsia="Arial" w:hAnsi="Arial"/>
                <w:sz w:val="14"/>
                <w:szCs w:val="14"/>
                <w:b w:val="1"/>
                <w:bCs w:val="1"/>
                <w:color w:val="auto"/>
              </w:rPr>
              <w:t>(Dollars in millions)</w:t>
            </w:r>
          </w:p>
        </w:tc>
        <w:tc>
          <w:tcPr>
            <w:tcW w:w="1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1" w:lineRule="exact"/>
        <w:rPr>
          <w:sz w:val="20"/>
          <w:szCs w:val="20"/>
          <w:color w:val="auto"/>
        </w:rPr>
      </w:pPr>
    </w:p>
    <w:p>
      <w:pPr>
        <w:ind w:left="760" w:hanging="734"/>
        <w:spacing w:after="0"/>
        <w:tabs>
          <w:tab w:leader="none" w:pos="76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26  Various</w:t>
      </w:r>
    </w:p>
    <w:p>
      <w:pPr>
        <w:spacing w:after="0" w:line="329" w:lineRule="exact"/>
        <w:rPr>
          <w:sz w:val="20"/>
          <w:szCs w:val="20"/>
          <w:color w:val="auto"/>
        </w:rPr>
      </w:pPr>
    </w:p>
    <w:p>
      <w:pPr>
        <w:ind w:left="680"/>
        <w:spacing w:after="0"/>
        <w:tabs>
          <w:tab w:leader="none" w:pos="1080" w:val="left"/>
        </w:tabs>
        <w:rPr>
          <w:sz w:val="20"/>
          <w:szCs w:val="20"/>
          <w:color w:val="auto"/>
        </w:rPr>
      </w:pPr>
      <w:r>
        <w:rPr>
          <w:rFonts w:ascii="Arial" w:cs="Arial" w:eastAsia="Arial" w:hAnsi="Arial"/>
          <w:sz w:val="14"/>
          <w:szCs w:val="14"/>
          <w:color w:val="auto"/>
        </w:rPr>
        <w:t>331</w:t>
      </w:r>
      <w:r>
        <w:rPr>
          <w:sz w:val="20"/>
          <w:szCs w:val="20"/>
          <w:color w:val="auto"/>
        </w:rPr>
        <w:tab/>
      </w:r>
      <w:r>
        <w:rPr>
          <w:rFonts w:ascii="Arial" w:cs="Arial" w:eastAsia="Arial" w:hAnsi="Arial"/>
          <w:sz w:val="13"/>
          <w:szCs w:val="13"/>
          <w:color w:val="auto"/>
        </w:rPr>
        <w:t>Consensus</w:t>
      </w:r>
    </w:p>
    <w:p>
      <w:pPr>
        <w:spacing w:after="0" w:line="58" w:lineRule="exact"/>
        <w:rPr>
          <w:sz w:val="20"/>
          <w:szCs w:val="20"/>
          <w:color w:val="auto"/>
        </w:rPr>
      </w:pPr>
    </w:p>
    <w:p>
      <w:pPr>
        <w:jc w:val="right"/>
        <w:ind w:right="460"/>
        <w:spacing w:after="0"/>
        <w:tabs>
          <w:tab w:leader="none" w:pos="6400" w:val="left"/>
          <w:tab w:leader="none" w:pos="4360" w:val="left"/>
          <w:tab w:leader="none" w:pos="2520" w:val="left"/>
          <w:tab w:leader="none" w:pos="780" w:val="left"/>
        </w:tabs>
        <w:rPr>
          <w:sz w:val="20"/>
          <w:szCs w:val="20"/>
          <w:color w:val="auto"/>
        </w:rPr>
      </w:pPr>
      <w:r>
        <w:rPr>
          <w:rFonts w:ascii="Arial" w:cs="Arial" w:eastAsia="Arial" w:hAnsi="Arial"/>
          <w:sz w:val="14"/>
          <w:szCs w:val="14"/>
          <w:color w:val="auto"/>
        </w:rPr>
        <w:t>74</w:t>
        <w:tab/>
        <w:t>Discounted Cash Flow</w:t>
      </w:r>
      <w:r>
        <w:rPr>
          <w:sz w:val="20"/>
          <w:szCs w:val="20"/>
          <w:color w:val="auto"/>
        </w:rPr>
        <w:tab/>
      </w:r>
      <w:r>
        <w:rPr>
          <w:rFonts w:ascii="Arial" w:cs="Arial" w:eastAsia="Arial" w:hAnsi="Arial"/>
          <w:sz w:val="14"/>
          <w:szCs w:val="14"/>
          <w:color w:val="auto"/>
        </w:rPr>
        <w:t>Spreads (bps)</w:t>
      </w:r>
      <w:r>
        <w:rPr>
          <w:sz w:val="20"/>
          <w:szCs w:val="20"/>
          <w:color w:val="auto"/>
        </w:rPr>
        <w:tab/>
      </w:r>
      <w:r>
        <w:rPr>
          <w:rFonts w:ascii="Arial" w:cs="Arial" w:eastAsia="Arial" w:hAnsi="Arial"/>
          <w:sz w:val="14"/>
          <w:szCs w:val="14"/>
          <w:color w:val="auto"/>
        </w:rPr>
        <w:t>530.0 - 560.0</w:t>
      </w:r>
      <w:r>
        <w:rPr>
          <w:sz w:val="20"/>
          <w:szCs w:val="20"/>
          <w:color w:val="auto"/>
        </w:rPr>
        <w:tab/>
      </w:r>
      <w:r>
        <w:rPr>
          <w:rFonts w:ascii="Arial" w:cs="Arial" w:eastAsia="Arial" w:hAnsi="Arial"/>
          <w:sz w:val="13"/>
          <w:szCs w:val="13"/>
          <w:color w:val="auto"/>
        </w:rPr>
        <w:t>544.8</w:t>
      </w:r>
    </w:p>
    <w:p>
      <w:pPr>
        <w:spacing w:after="0" w:line="32" w:lineRule="exact"/>
        <w:rPr>
          <w:sz w:val="20"/>
          <w:szCs w:val="20"/>
          <w:color w:val="auto"/>
        </w:rPr>
      </w:pPr>
    </w:p>
    <w:p>
      <w:pPr>
        <w:ind w:left="1100" w:hanging="264"/>
        <w:spacing w:after="0"/>
        <w:tabs>
          <w:tab w:leader="none" w:pos="110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Single Vendor</w:t>
      </w:r>
    </w:p>
    <w:p>
      <w:pPr>
        <w:spacing w:after="0" w:line="32" w:lineRule="exact"/>
        <w:rPr>
          <w:rFonts w:ascii="Arial" w:cs="Arial" w:eastAsia="Arial" w:hAnsi="Arial"/>
          <w:sz w:val="14"/>
          <w:szCs w:val="14"/>
          <w:color w:val="auto"/>
        </w:rPr>
      </w:pPr>
    </w:p>
    <w:p>
      <w:pPr>
        <w:ind w:left="680"/>
        <w:spacing w:after="0"/>
        <w:rPr>
          <w:rFonts w:ascii="Arial" w:cs="Arial" w:eastAsia="Arial" w:hAnsi="Arial"/>
          <w:sz w:val="14"/>
          <w:szCs w:val="14"/>
          <w:color w:val="auto"/>
        </w:rPr>
      </w:pPr>
      <w:r>
        <w:rPr>
          <w:rFonts w:ascii="Arial" w:cs="Arial" w:eastAsia="Arial" w:hAnsi="Arial"/>
          <w:sz w:val="14"/>
          <w:szCs w:val="14"/>
          <w:color w:val="auto"/>
        </w:rPr>
        <w:t>100  Various</w:t>
      </w:r>
    </w:p>
    <w:p>
      <w:pPr>
        <w:spacing w:after="0" w:line="71" w:lineRule="exact"/>
        <w:rPr>
          <w:rFonts w:ascii="Arial" w:cs="Arial" w:eastAsia="Arial" w:hAnsi="Arial"/>
          <w:sz w:val="14"/>
          <w:szCs w:val="14"/>
          <w:color w:val="auto"/>
        </w:rPr>
      </w:pPr>
    </w:p>
    <w:p>
      <w:pPr>
        <w:ind w:left="680"/>
        <w:spacing w:after="0"/>
        <w:rPr>
          <w:rFonts w:ascii="Arial" w:cs="Arial" w:eastAsia="Arial" w:hAnsi="Arial"/>
          <w:sz w:val="14"/>
          <w:szCs w:val="14"/>
          <w:color w:val="auto"/>
        </w:rPr>
      </w:pPr>
      <w:r>
        <w:rPr>
          <w:rFonts w:ascii="Arial" w:cs="Arial" w:eastAsia="Arial" w:hAnsi="Arial"/>
          <w:sz w:val="14"/>
          <w:szCs w:val="14"/>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61404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1404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-129540</wp:posOffset>
            </wp:positionV>
            <wp:extent cx="61404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14045" cy="8255"/>
                    </a:xfrm>
                    <a:prstGeom prst="rect">
                      <a:avLst/>
                    </a:prstGeom>
                    <a:noFill/>
                  </pic:spPr>
                </pic:pic>
              </a:graphicData>
            </a:graphic>
          </wp:anchor>
        </w:drawing>
      </w:r>
    </w:p>
    <w:p>
      <w:pPr>
        <w:spacing w:after="0" w:line="51" w:lineRule="exact"/>
        <w:rPr>
          <w:sz w:val="20"/>
          <w:szCs w:val="20"/>
          <w:color w:val="auto"/>
        </w:rPr>
      </w:pPr>
    </w:p>
    <w:p>
      <w:pPr>
        <w:ind w:left="680" w:hanging="654"/>
        <w:spacing w:after="0"/>
        <w:tabs>
          <w:tab w:leader="none" w:pos="68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514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61404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1404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41910</wp:posOffset>
            </wp:positionV>
            <wp:extent cx="61404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14045" cy="8255"/>
                    </a:xfrm>
                    <a:prstGeom prst="rect">
                      <a:avLst/>
                    </a:prstGeom>
                    <a:noFill/>
                  </pic:spPr>
                </pic:pic>
              </a:graphicData>
            </a:graphic>
          </wp:anchor>
        </w:drawing>
      </w:r>
    </w:p>
    <w:p>
      <w:pPr>
        <w:spacing w:after="0" w:line="116" w:lineRule="exact"/>
        <w:rPr>
          <w:sz w:val="20"/>
          <w:szCs w:val="20"/>
          <w:color w:val="auto"/>
        </w:rPr>
      </w:pPr>
    </w:p>
    <w:p>
      <w:pPr>
        <w:ind w:left="760" w:hanging="734"/>
        <w:spacing w:after="0"/>
        <w:tabs>
          <w:tab w:leader="none" w:pos="76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45  Dealer Mark</w:t>
      </w:r>
    </w:p>
    <w:p>
      <w:pPr>
        <w:spacing w:after="0" w:line="32" w:lineRule="exact"/>
        <w:rPr>
          <w:rFonts w:ascii="Arial" w:cs="Arial" w:eastAsia="Arial" w:hAnsi="Arial"/>
          <w:sz w:val="14"/>
          <w:szCs w:val="14"/>
          <w:color w:val="auto"/>
        </w:rPr>
      </w:pPr>
    </w:p>
    <w:p>
      <w:pPr>
        <w:ind w:left="760"/>
        <w:spacing w:after="0"/>
        <w:rPr>
          <w:rFonts w:ascii="Arial" w:cs="Arial" w:eastAsia="Arial" w:hAnsi="Arial"/>
          <w:sz w:val="14"/>
          <w:szCs w:val="14"/>
          <w:color w:val="auto"/>
        </w:rPr>
      </w:pPr>
      <w:r>
        <w:rPr>
          <w:rFonts w:ascii="Arial" w:cs="Arial" w:eastAsia="Arial" w:hAnsi="Arial"/>
          <w:sz w:val="14"/>
          <w:szCs w:val="14"/>
          <w:color w:val="auto"/>
        </w:rPr>
        <w:t>32  Discounted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61404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14045" cy="8255"/>
                    </a:xfrm>
                    <a:prstGeom prst="rect">
                      <a:avLst/>
                    </a:prstGeom>
                    <a:noFill/>
                  </pic:spPr>
                </pic:pic>
              </a:graphicData>
            </a:graphic>
          </wp:anchor>
        </w:drawing>
      </w:r>
    </w:p>
    <w:p>
      <w:pPr>
        <w:spacing w:after="0" w:line="51" w:lineRule="exact"/>
        <w:rPr>
          <w:sz w:val="20"/>
          <w:szCs w:val="20"/>
          <w:color w:val="auto"/>
        </w:rPr>
      </w:pPr>
    </w:p>
    <w:p>
      <w:pPr>
        <w:ind w:left="760" w:hanging="734"/>
        <w:spacing w:after="0"/>
        <w:tabs>
          <w:tab w:leader="none" w:pos="76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61404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1404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41910</wp:posOffset>
            </wp:positionV>
            <wp:extent cx="61404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14045" cy="8255"/>
                    </a:xfrm>
                    <a:prstGeom prst="rect">
                      <a:avLst/>
                    </a:prstGeom>
                    <a:noFill/>
                  </pic:spPr>
                </pic:pic>
              </a:graphicData>
            </a:graphic>
          </wp:anchor>
        </w:drawing>
      </w:r>
    </w:p>
    <w:p>
      <w:pPr>
        <w:spacing w:after="0" w:line="187" w:lineRule="exact"/>
        <w:rPr>
          <w:sz w:val="20"/>
          <w:szCs w:val="20"/>
          <w:color w:val="auto"/>
        </w:rPr>
      </w:pPr>
    </w:p>
    <w:p>
      <w:pPr>
        <w:sectPr>
          <w:pgSz w:w="11900" w:h="16838" w:orient="portrait"/>
          <w:cols w:equalWidth="0" w:num="2">
            <w:col w:w="3000" w:space="720"/>
            <w:col w:w="7520"/>
          </w:cols>
          <w:pgMar w:left="320" w:top="248" w:right="339" w:bottom="1440" w:gutter="0" w:footer="0" w:header="0"/>
          <w:type w:val="continuous"/>
        </w:sectPr>
      </w:pPr>
    </w:p>
    <w:p>
      <w:pPr>
        <w:ind w:left="240" w:right="80" w:hanging="237"/>
        <w:spacing w:after="0" w:line="264" w:lineRule="auto"/>
        <w:tabs>
          <w:tab w:leader="none" w:pos="233" w:val="left"/>
        </w:tabs>
        <w:numPr>
          <w:ilvl w:val="0"/>
          <w:numId w:val="136"/>
        </w:numPr>
        <w:rPr>
          <w:rFonts w:ascii="Arial" w:cs="Arial" w:eastAsia="Arial" w:hAnsi="Arial"/>
          <w:sz w:val="9"/>
          <w:szCs w:val="9"/>
          <w:color w:val="auto"/>
        </w:rPr>
      </w:pPr>
      <w:r>
        <w:rPr>
          <w:rFonts w:ascii="Arial" w:cs="Arial" w:eastAsia="Arial" w:hAnsi="Arial"/>
          <w:sz w:val="14"/>
          <w:szCs w:val="14"/>
          <w:color w:val="auto"/>
        </w:rPr>
        <w:t>Valuation techniques for which no unobservable inputs are disclosed generally reflect the use of third-party pricing services or dealers, and the range of unobservable inputs applied by these sources is not readily available or cannot be reasonably estimated. Where we have disclosed unobservable inputs for consensus and single vendor techniques, those inputs are based on our validations performed at the security level using discounted cash flows.</w:t>
      </w:r>
    </w:p>
    <w:p>
      <w:pPr>
        <w:ind w:left="220" w:hanging="217"/>
        <w:spacing w:after="0"/>
        <w:tabs>
          <w:tab w:leader="none" w:pos="220" w:val="left"/>
        </w:tabs>
        <w:numPr>
          <w:ilvl w:val="0"/>
          <w:numId w:val="136"/>
        </w:numPr>
        <w:rPr>
          <w:rFonts w:ascii="Arial" w:cs="Arial" w:eastAsia="Arial" w:hAnsi="Arial"/>
          <w:sz w:val="18"/>
          <w:szCs w:val="18"/>
          <w:color w:val="auto"/>
          <w:vertAlign w:val="superscript"/>
        </w:rPr>
      </w:pPr>
      <w:r>
        <w:rPr>
          <w:rFonts w:ascii="Arial" w:cs="Arial" w:eastAsia="Arial" w:hAnsi="Arial"/>
          <w:sz w:val="14"/>
          <w:szCs w:val="14"/>
          <w:color w:val="auto"/>
        </w:rPr>
        <w:t>Unobservable inputs were weighted by the relative fair value of the instruments.</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136"/>
        </w:numPr>
        <w:rPr>
          <w:rFonts w:ascii="Arial" w:cs="Arial" w:eastAsia="Arial" w:hAnsi="Arial"/>
          <w:sz w:val="18"/>
          <w:szCs w:val="18"/>
          <w:color w:val="auto"/>
          <w:vertAlign w:val="superscript"/>
        </w:rPr>
      </w:pPr>
      <w:r>
        <w:rPr>
          <w:rFonts w:ascii="Arial" w:cs="Arial" w:eastAsia="Arial" w:hAnsi="Arial"/>
          <w:sz w:val="14"/>
          <w:szCs w:val="14"/>
          <w:color w:val="auto"/>
        </w:rPr>
        <w:t>Includes Fannie Mae and Freddie Mac securities.</w:t>
      </w:r>
    </w:p>
    <w:p>
      <w:pPr>
        <w:spacing w:after="0" w:line="53"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In our condensed consolidated balance sheets, certain assets and liabilities are measured at fair value on a nonrecurring basis; that is, the instruments are not measured at fair value on an ongoing basis but are subject to fair value adjustments in certain circumstances (for example, when we evaluate loans for impairment). We held no Level 1 assets or liabilities that were measured at fair value on a nonrecurring basis as of September 30, 2024 or December 31, 2023. We held $134 million and $42 million in Level 2 assets as of September 30, 2024 and December 31, 2023, respectively, composed of mortgage loans held for sale that were impaired. We held no Level 2 or Level 3 liabilities that were measured at fair value on a nonrecurring basis as of September 30, 2024 or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368935</wp:posOffset>
            </wp:positionV>
            <wp:extent cx="680593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115" w:name="page116"/>
    <w:bookmarkEnd w:id="115"/>
    <w:p>
      <w:pPr>
        <w:ind w:left="6980"/>
        <w:spacing w:after="0"/>
        <w:rPr>
          <w:sz w:val="20"/>
          <w:szCs w:val="20"/>
          <w:color w:val="auto"/>
        </w:rPr>
      </w:pPr>
      <w:r>
        <w:rPr>
          <w:rFonts w:ascii="Arial" w:cs="Arial" w:eastAsia="Arial" w:hAnsi="Arial"/>
          <w:sz w:val="14"/>
          <w:szCs w:val="14"/>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displays valuation techniques for our Level 3 assets measured at fair value on a nonrecurring basis.</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6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2600" w:type="dxa"/>
            <w:vAlign w:val="bottom"/>
            <w:tcBorders>
              <w:bottom w:val="single" w:sz="8" w:color="2C6937"/>
            </w:tcBorders>
            <w:gridSpan w:val="4"/>
          </w:tcPr>
          <w:p>
            <w:pPr>
              <w:jc w:val="center"/>
              <w:ind w:right="203"/>
              <w:spacing w:after="0"/>
              <w:rPr>
                <w:sz w:val="20"/>
                <w:szCs w:val="20"/>
                <w:color w:val="auto"/>
              </w:rPr>
            </w:pPr>
            <w:r>
              <w:rPr>
                <w:rFonts w:ascii="Arial" w:cs="Arial" w:eastAsia="Arial" w:hAnsi="Arial"/>
                <w:sz w:val="14"/>
                <w:szCs w:val="14"/>
                <w:b w:val="1"/>
                <w:bCs w:val="1"/>
                <w:color w:val="auto"/>
                <w:w w:val="97"/>
              </w:rPr>
              <w:t>Fair Value Measurements as of</w:t>
            </w:r>
          </w:p>
        </w:tc>
      </w:tr>
      <w:tr>
        <w:trPr>
          <w:trHeight w:val="187"/>
        </w:trPr>
        <w:tc>
          <w:tcPr>
            <w:tcW w:w="6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2"/>
          </w:tcPr>
          <w:p>
            <w:pPr>
              <w:ind w:left="280"/>
              <w:spacing w:after="0"/>
              <w:rPr>
                <w:sz w:val="20"/>
                <w:szCs w:val="20"/>
                <w:color w:val="auto"/>
              </w:rPr>
            </w:pPr>
            <w:r>
              <w:rPr>
                <w:rFonts w:ascii="Arial" w:cs="Arial" w:eastAsia="Arial" w:hAnsi="Arial"/>
                <w:sz w:val="14"/>
                <w:szCs w:val="14"/>
                <w:b w:val="1"/>
                <w:bCs w:val="1"/>
                <w:color w:val="auto"/>
              </w:rPr>
              <w:t>Valuation Techniques</w:t>
            </w:r>
          </w:p>
        </w:tc>
        <w:tc>
          <w:tcPr>
            <w:tcW w:w="156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2024</w:t>
            </w: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w w:val="99"/>
              </w:rPr>
              <w:t>December 31, 2023</w:t>
            </w:r>
          </w:p>
        </w:tc>
      </w:tr>
      <w:tr>
        <w:trPr>
          <w:trHeight w:val="185"/>
        </w:trPr>
        <w:tc>
          <w:tcPr>
            <w:tcW w:w="6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Borders>
              <w:top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2C6937"/>
            </w:tcBorders>
          </w:tcPr>
          <w:p>
            <w:pPr>
              <w:spacing w:after="0"/>
              <w:rPr>
                <w:sz w:val="16"/>
                <w:szCs w:val="16"/>
                <w:color w:val="auto"/>
              </w:rPr>
            </w:pPr>
          </w:p>
        </w:tc>
        <w:tc>
          <w:tcPr>
            <w:tcW w:w="1960" w:type="dxa"/>
            <w:vAlign w:val="bottom"/>
            <w:tcBorders>
              <w:top w:val="single" w:sz="8" w:color="2C6937"/>
            </w:tcBorders>
            <w:gridSpan w:val="3"/>
          </w:tcPr>
          <w:p>
            <w:pPr>
              <w:jc w:val="center"/>
              <w:ind w:left="284"/>
              <w:spacing w:after="0"/>
              <w:rPr>
                <w:sz w:val="20"/>
                <w:szCs w:val="20"/>
                <w:color w:val="auto"/>
              </w:rPr>
            </w:pPr>
            <w:r>
              <w:rPr>
                <w:rFonts w:ascii="Arial" w:cs="Arial" w:eastAsia="Arial" w:hAnsi="Arial"/>
                <w:sz w:val="14"/>
                <w:szCs w:val="14"/>
                <w:b w:val="1"/>
                <w:bCs w:val="1"/>
                <w:color w:val="auto"/>
                <w:w w:val="98"/>
              </w:rPr>
              <w:t>(Dollars in millions)</w:t>
            </w:r>
          </w:p>
        </w:tc>
        <w:tc>
          <w:tcPr>
            <w:tcW w:w="640" w:type="dxa"/>
            <w:vAlign w:val="bottom"/>
            <w:tcBorders>
              <w:top w:val="single" w:sz="8" w:color="2C6937"/>
            </w:tcBorders>
          </w:tcPr>
          <w:p>
            <w:pPr>
              <w:spacing w:after="0"/>
              <w:rPr>
                <w:sz w:val="16"/>
                <w:szCs w:val="16"/>
                <w:color w:val="auto"/>
              </w:rPr>
            </w:pPr>
          </w:p>
        </w:tc>
      </w:tr>
      <w:tr>
        <w:trPr>
          <w:trHeight w:val="209"/>
        </w:trPr>
        <w:tc>
          <w:tcPr>
            <w:tcW w:w="6280" w:type="dxa"/>
            <w:vAlign w:val="bottom"/>
            <w:gridSpan w:val="2"/>
          </w:tcPr>
          <w:p>
            <w:pPr>
              <w:ind w:left="20"/>
              <w:spacing w:after="0"/>
              <w:rPr>
                <w:sz w:val="20"/>
                <w:szCs w:val="20"/>
                <w:color w:val="auto"/>
              </w:rPr>
            </w:pPr>
            <w:r>
              <w:rPr>
                <w:rFonts w:ascii="Arial" w:cs="Arial" w:eastAsia="Arial" w:hAnsi="Arial"/>
                <w:sz w:val="15"/>
                <w:szCs w:val="15"/>
                <w:b w:val="1"/>
                <w:bCs w:val="1"/>
                <w:color w:val="auto"/>
              </w:rPr>
              <w:t>Nonrecurring fair value measurements: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9"/>
        </w:trPr>
        <w:tc>
          <w:tcPr>
            <w:tcW w:w="6280" w:type="dxa"/>
            <w:vAlign w:val="bottom"/>
            <w:gridSpan w:val="2"/>
          </w:tcPr>
          <w:p>
            <w:pPr>
              <w:ind w:left="20"/>
              <w:spacing w:after="0" w:line="219" w:lineRule="exact"/>
              <w:rPr>
                <w:sz w:val="20"/>
                <w:szCs w:val="20"/>
                <w:color w:val="auto"/>
              </w:rPr>
            </w:pPr>
            <w:r>
              <w:rPr>
                <w:rFonts w:ascii="Arial" w:cs="Arial" w:eastAsia="Arial" w:hAnsi="Arial"/>
                <w:sz w:val="15"/>
                <w:szCs w:val="15"/>
                <w:color w:val="auto"/>
              </w:rPr>
              <w:t>Mortgage loans:</w:t>
            </w:r>
            <w:r>
              <w:rPr>
                <w:rFonts w:ascii="Arial" w:cs="Arial" w:eastAsia="Arial" w:hAnsi="Arial"/>
                <w:sz w:val="20"/>
                <w:szCs w:val="20"/>
                <w:color w:val="auto"/>
                <w:vertAlign w:val="superscript"/>
              </w:rPr>
              <w:t>(1)</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5"/>
        </w:trPr>
        <w:tc>
          <w:tcPr>
            <w:tcW w:w="6280" w:type="dxa"/>
            <w:vAlign w:val="bottom"/>
            <w:gridSpan w:val="2"/>
          </w:tcPr>
          <w:p>
            <w:pPr>
              <w:ind w:left="100"/>
              <w:spacing w:after="0"/>
              <w:rPr>
                <w:sz w:val="20"/>
                <w:szCs w:val="20"/>
                <w:color w:val="auto"/>
              </w:rPr>
            </w:pPr>
            <w:r>
              <w:rPr>
                <w:rFonts w:ascii="Arial" w:cs="Arial" w:eastAsia="Arial" w:hAnsi="Arial"/>
                <w:sz w:val="15"/>
                <w:szCs w:val="15"/>
                <w:color w:val="auto"/>
              </w:rPr>
              <w:t>Mortgage loans held for sale, at lower of cost or fair value</w:t>
            </w:r>
          </w:p>
        </w:tc>
        <w:tc>
          <w:tcPr>
            <w:tcW w:w="2060" w:type="dxa"/>
            <w:vAlign w:val="bottom"/>
            <w:gridSpan w:val="2"/>
          </w:tcPr>
          <w:p>
            <w:pPr>
              <w:ind w:left="20"/>
              <w:spacing w:after="0"/>
              <w:rPr>
                <w:sz w:val="20"/>
                <w:szCs w:val="20"/>
                <w:color w:val="auto"/>
              </w:rPr>
            </w:pPr>
            <w:r>
              <w:rPr>
                <w:rFonts w:ascii="Arial" w:cs="Arial" w:eastAsia="Arial" w:hAnsi="Arial"/>
                <w:sz w:val="15"/>
                <w:szCs w:val="15"/>
                <w:color w:val="auto"/>
              </w:rPr>
              <w:t>Consensus</w:t>
            </w:r>
          </w:p>
        </w:tc>
        <w:tc>
          <w:tcPr>
            <w:tcW w:w="28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655</w:t>
            </w:r>
          </w:p>
        </w:tc>
        <w:tc>
          <w:tcPr>
            <w:tcW w:w="200" w:type="dxa"/>
            <w:vAlign w:val="bottom"/>
          </w:tcPr>
          <w:p>
            <w:pPr>
              <w:spacing w:after="0"/>
              <w:rPr>
                <w:sz w:val="19"/>
                <w:szCs w:val="19"/>
                <w:color w:val="auto"/>
              </w:rPr>
            </w:pPr>
          </w:p>
        </w:tc>
        <w:tc>
          <w:tcPr>
            <w:tcW w:w="680" w:type="dxa"/>
            <w:vAlign w:val="bottom"/>
          </w:tcPr>
          <w:p>
            <w:pPr>
              <w:ind w:left="20"/>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1,994</w:t>
            </w:r>
          </w:p>
        </w:tc>
      </w:tr>
      <w:tr>
        <w:trPr>
          <w:trHeight w:val="284"/>
        </w:trPr>
        <w:tc>
          <w:tcPr>
            <w:tcW w:w="6280" w:type="dxa"/>
            <w:vAlign w:val="bottom"/>
            <w:gridSpan w:val="2"/>
          </w:tcPr>
          <w:p>
            <w:pPr>
              <w:ind w:left="100"/>
              <w:spacing w:after="0"/>
              <w:rPr>
                <w:sz w:val="20"/>
                <w:szCs w:val="20"/>
                <w:color w:val="auto"/>
              </w:rPr>
            </w:pPr>
            <w:r>
              <w:rPr>
                <w:rFonts w:ascii="Arial" w:cs="Arial" w:eastAsia="Arial" w:hAnsi="Arial"/>
                <w:sz w:val="15"/>
                <w:szCs w:val="15"/>
                <w:color w:val="auto"/>
              </w:rPr>
              <w:t>Single-family mortgage loans held for investment, at amortized cost</w:t>
            </w:r>
          </w:p>
        </w:tc>
        <w:tc>
          <w:tcPr>
            <w:tcW w:w="2060" w:type="dxa"/>
            <w:vAlign w:val="bottom"/>
            <w:gridSpan w:val="2"/>
          </w:tcPr>
          <w:p>
            <w:pPr>
              <w:ind w:left="20"/>
              <w:spacing w:after="0"/>
              <w:rPr>
                <w:sz w:val="20"/>
                <w:szCs w:val="20"/>
                <w:color w:val="auto"/>
              </w:rPr>
            </w:pPr>
            <w:r>
              <w:rPr>
                <w:rFonts w:ascii="Arial" w:cs="Arial" w:eastAsia="Arial" w:hAnsi="Arial"/>
                <w:sz w:val="15"/>
                <w:szCs w:val="15"/>
                <w:color w:val="auto"/>
              </w:rPr>
              <w:t>Internal Model</w:t>
            </w: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328</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407</w:t>
            </w:r>
          </w:p>
        </w:tc>
      </w:tr>
      <w:tr>
        <w:trPr>
          <w:trHeight w:val="276"/>
        </w:trPr>
        <w:tc>
          <w:tcPr>
            <w:tcW w:w="6280" w:type="dxa"/>
            <w:vAlign w:val="bottom"/>
            <w:gridSpan w:val="2"/>
          </w:tcPr>
          <w:p>
            <w:pPr>
              <w:ind w:left="100"/>
              <w:spacing w:after="0"/>
              <w:rPr>
                <w:sz w:val="20"/>
                <w:szCs w:val="20"/>
                <w:color w:val="auto"/>
              </w:rPr>
            </w:pPr>
            <w:r>
              <w:rPr>
                <w:rFonts w:ascii="Arial" w:cs="Arial" w:eastAsia="Arial" w:hAnsi="Arial"/>
                <w:sz w:val="15"/>
                <w:szCs w:val="15"/>
                <w:color w:val="auto"/>
              </w:rPr>
              <w:t>Multifamily mortgage loans held for investment, at amortized cost</w:t>
            </w:r>
          </w:p>
        </w:tc>
        <w:tc>
          <w:tcPr>
            <w:tcW w:w="2060" w:type="dxa"/>
            <w:vAlign w:val="bottom"/>
            <w:gridSpan w:val="2"/>
          </w:tcPr>
          <w:p>
            <w:pPr>
              <w:ind w:left="20"/>
              <w:spacing w:after="0"/>
              <w:rPr>
                <w:sz w:val="20"/>
                <w:szCs w:val="20"/>
                <w:color w:val="auto"/>
              </w:rPr>
            </w:pPr>
            <w:r>
              <w:rPr>
                <w:rFonts w:ascii="Arial" w:cs="Arial" w:eastAsia="Arial" w:hAnsi="Arial"/>
                <w:sz w:val="15"/>
                <w:szCs w:val="15"/>
                <w:color w:val="auto"/>
              </w:rPr>
              <w:t>Appraisal</w:t>
            </w: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214</w:t>
            </w: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33</w:t>
            </w:r>
          </w:p>
        </w:tc>
      </w:tr>
      <w:tr>
        <w:trPr>
          <w:trHeight w:val="206"/>
        </w:trPr>
        <w:tc>
          <w:tcPr>
            <w:tcW w:w="6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gridSpan w:val="2"/>
          </w:tcPr>
          <w:p>
            <w:pPr>
              <w:ind w:left="20"/>
              <w:spacing w:after="0"/>
              <w:rPr>
                <w:sz w:val="20"/>
                <w:szCs w:val="20"/>
                <w:color w:val="auto"/>
              </w:rPr>
            </w:pPr>
            <w:r>
              <w:rPr>
                <w:rFonts w:ascii="Arial" w:cs="Arial" w:eastAsia="Arial" w:hAnsi="Arial"/>
                <w:sz w:val="15"/>
                <w:szCs w:val="15"/>
                <w:color w:val="auto"/>
              </w:rPr>
              <w:t>Broker Price Opinion</w:t>
            </w: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889</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769</w:t>
            </w:r>
          </w:p>
        </w:tc>
      </w:tr>
      <w:tr>
        <w:trPr>
          <w:trHeight w:val="208"/>
        </w:trPr>
        <w:tc>
          <w:tcPr>
            <w:tcW w:w="6180" w:type="dxa"/>
            <w:vAlign w:val="bottom"/>
            <w:tcBorders>
              <w:bottom w:val="single" w:sz="8" w:color="2C6937"/>
            </w:tcBorders>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Internal Model</w:t>
            </w:r>
          </w:p>
        </w:tc>
        <w:tc>
          <w:tcPr>
            <w:tcW w:w="100" w:type="dxa"/>
            <w:vAlign w:val="bottom"/>
          </w:tcPr>
          <w:p>
            <w:pPr>
              <w:spacing w:after="0"/>
              <w:rPr>
                <w:sz w:val="18"/>
                <w:szCs w:val="18"/>
                <w:color w:val="auto"/>
              </w:rPr>
            </w:pPr>
          </w:p>
        </w:tc>
        <w:tc>
          <w:tcPr>
            <w:tcW w:w="28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142</w:t>
            </w:r>
          </w:p>
        </w:tc>
        <w:tc>
          <w:tcPr>
            <w:tcW w:w="200" w:type="dxa"/>
            <w:vAlign w:val="bottom"/>
          </w:tcPr>
          <w:p>
            <w:pPr>
              <w:spacing w:after="0"/>
              <w:rPr>
                <w:sz w:val="18"/>
                <w:szCs w:val="18"/>
                <w:color w:val="auto"/>
              </w:rPr>
            </w:pPr>
          </w:p>
        </w:tc>
        <w:tc>
          <w:tcPr>
            <w:tcW w:w="680" w:type="dxa"/>
            <w:vAlign w:val="bottom"/>
            <w:tcBorders>
              <w:bottom w:val="single" w:sz="8" w:color="2C6937"/>
            </w:tcBorders>
          </w:tcPr>
          <w:p>
            <w:pPr>
              <w:spacing w:after="0"/>
              <w:rPr>
                <w:sz w:val="18"/>
                <w:szCs w:val="18"/>
                <w:color w:val="auto"/>
              </w:rPr>
            </w:pPr>
          </w:p>
        </w:tc>
        <w:tc>
          <w:tcPr>
            <w:tcW w:w="64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218</w:t>
            </w:r>
          </w:p>
        </w:tc>
      </w:tr>
      <w:tr>
        <w:trPr>
          <w:trHeight w:val="226"/>
        </w:trPr>
        <w:tc>
          <w:tcPr>
            <w:tcW w:w="6280" w:type="dxa"/>
            <w:vAlign w:val="bottom"/>
            <w:gridSpan w:val="2"/>
          </w:tcPr>
          <w:p>
            <w:pPr>
              <w:ind w:left="160"/>
              <w:spacing w:after="0"/>
              <w:rPr>
                <w:sz w:val="20"/>
                <w:szCs w:val="20"/>
                <w:color w:val="auto"/>
              </w:rPr>
            </w:pPr>
            <w:r>
              <w:rPr>
                <w:rFonts w:ascii="Arial" w:cs="Arial" w:eastAsia="Arial" w:hAnsi="Arial"/>
                <w:sz w:val="15"/>
                <w:szCs w:val="15"/>
                <w:color w:val="auto"/>
              </w:rPr>
              <w:t>Total multifamily mortgage loans held for investment, at amortized cost</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1,245</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1,020</w:t>
            </w:r>
          </w:p>
        </w:tc>
      </w:tr>
      <w:tr>
        <w:trPr>
          <w:trHeight w:val="204"/>
        </w:trPr>
        <w:tc>
          <w:tcPr>
            <w:tcW w:w="6280" w:type="dxa"/>
            <w:vAlign w:val="bottom"/>
            <w:gridSpan w:val="2"/>
          </w:tcPr>
          <w:p>
            <w:pPr>
              <w:ind w:left="20"/>
              <w:spacing w:after="0"/>
              <w:rPr>
                <w:sz w:val="20"/>
                <w:szCs w:val="20"/>
                <w:color w:val="auto"/>
              </w:rPr>
            </w:pPr>
            <w:r>
              <w:rPr>
                <w:rFonts w:ascii="Arial" w:cs="Arial" w:eastAsia="Arial" w:hAnsi="Arial"/>
                <w:sz w:val="15"/>
                <w:szCs w:val="15"/>
                <w:color w:val="auto"/>
              </w:rPr>
              <w:t>Acquired property, net:</w:t>
            </w: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32"/>
        </w:trPr>
        <w:tc>
          <w:tcPr>
            <w:tcW w:w="6280" w:type="dxa"/>
            <w:vAlign w:val="bottom"/>
            <w:gridSpan w:val="2"/>
          </w:tcPr>
          <w:p>
            <w:pPr>
              <w:ind w:left="100"/>
              <w:spacing w:after="0"/>
              <w:rPr>
                <w:sz w:val="20"/>
                <w:szCs w:val="20"/>
                <w:color w:val="auto"/>
              </w:rPr>
            </w:pPr>
            <w:r>
              <w:rPr>
                <w:rFonts w:ascii="Arial" w:cs="Arial" w:eastAsia="Arial" w:hAnsi="Arial"/>
                <w:sz w:val="15"/>
                <w:szCs w:val="15"/>
                <w:color w:val="auto"/>
              </w:rPr>
              <w:t>Single-family</w:t>
            </w:r>
          </w:p>
        </w:tc>
        <w:tc>
          <w:tcPr>
            <w:tcW w:w="2060" w:type="dxa"/>
            <w:vAlign w:val="bottom"/>
            <w:gridSpan w:val="2"/>
          </w:tcPr>
          <w:p>
            <w:pPr>
              <w:ind w:left="20"/>
              <w:spacing w:after="0"/>
              <w:rPr>
                <w:sz w:val="20"/>
                <w:szCs w:val="20"/>
                <w:color w:val="auto"/>
              </w:rPr>
            </w:pPr>
            <w:r>
              <w:rPr>
                <w:rFonts w:ascii="Arial" w:cs="Arial" w:eastAsia="Arial" w:hAnsi="Arial"/>
                <w:sz w:val="15"/>
                <w:szCs w:val="15"/>
                <w:color w:val="auto"/>
              </w:rPr>
              <w:t>Accepted Offer</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28</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23</w:t>
            </w:r>
          </w:p>
        </w:tc>
      </w:tr>
      <w:tr>
        <w:trPr>
          <w:trHeight w:val="206"/>
        </w:trPr>
        <w:tc>
          <w:tcPr>
            <w:tcW w:w="6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gridSpan w:val="2"/>
          </w:tcPr>
          <w:p>
            <w:pPr>
              <w:ind w:left="20"/>
              <w:spacing w:after="0"/>
              <w:rPr>
                <w:sz w:val="20"/>
                <w:szCs w:val="20"/>
                <w:color w:val="auto"/>
              </w:rPr>
            </w:pPr>
            <w:r>
              <w:rPr>
                <w:rFonts w:ascii="Arial" w:cs="Arial" w:eastAsia="Arial" w:hAnsi="Arial"/>
                <w:sz w:val="15"/>
                <w:szCs w:val="15"/>
                <w:color w:val="auto"/>
              </w:rPr>
              <w:t>Appraisal</w:t>
            </w: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56</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43</w:t>
            </w:r>
          </w:p>
        </w:tc>
      </w:tr>
      <w:tr>
        <w:trPr>
          <w:trHeight w:val="206"/>
        </w:trPr>
        <w:tc>
          <w:tcPr>
            <w:tcW w:w="6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gridSpan w:val="2"/>
          </w:tcPr>
          <w:p>
            <w:pPr>
              <w:ind w:left="20"/>
              <w:spacing w:after="0"/>
              <w:rPr>
                <w:sz w:val="20"/>
                <w:szCs w:val="20"/>
                <w:color w:val="auto"/>
              </w:rPr>
            </w:pPr>
            <w:r>
              <w:rPr>
                <w:rFonts w:ascii="Arial" w:cs="Arial" w:eastAsia="Arial" w:hAnsi="Arial"/>
                <w:sz w:val="15"/>
                <w:szCs w:val="15"/>
                <w:color w:val="auto"/>
              </w:rPr>
              <w:t>Internal Model</w:t>
            </w: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254</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230</w:t>
            </w:r>
          </w:p>
        </w:tc>
      </w:tr>
      <w:tr>
        <w:trPr>
          <w:trHeight w:val="206"/>
        </w:trPr>
        <w:tc>
          <w:tcPr>
            <w:tcW w:w="6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gridSpan w:val="2"/>
          </w:tcPr>
          <w:p>
            <w:pPr>
              <w:ind w:left="20"/>
              <w:spacing w:after="0"/>
              <w:rPr>
                <w:sz w:val="20"/>
                <w:szCs w:val="20"/>
                <w:color w:val="auto"/>
              </w:rPr>
            </w:pPr>
            <w:r>
              <w:rPr>
                <w:rFonts w:ascii="Arial" w:cs="Arial" w:eastAsia="Arial" w:hAnsi="Arial"/>
                <w:sz w:val="15"/>
                <w:szCs w:val="15"/>
                <w:color w:val="auto"/>
              </w:rPr>
              <w:t>Walk Forward</w:t>
            </w: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65</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75</w:t>
            </w:r>
          </w:p>
        </w:tc>
      </w:tr>
      <w:tr>
        <w:trPr>
          <w:trHeight w:val="208"/>
        </w:trPr>
        <w:tc>
          <w:tcPr>
            <w:tcW w:w="6180" w:type="dxa"/>
            <w:vAlign w:val="bottom"/>
            <w:tcBorders>
              <w:bottom w:val="single" w:sz="8" w:color="2C6937"/>
            </w:tcBorders>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Various</w:t>
            </w:r>
          </w:p>
        </w:tc>
        <w:tc>
          <w:tcPr>
            <w:tcW w:w="100" w:type="dxa"/>
            <w:vAlign w:val="bottom"/>
          </w:tcPr>
          <w:p>
            <w:pPr>
              <w:spacing w:after="0"/>
              <w:rPr>
                <w:sz w:val="18"/>
                <w:szCs w:val="18"/>
                <w:color w:val="auto"/>
              </w:rPr>
            </w:pPr>
          </w:p>
        </w:tc>
        <w:tc>
          <w:tcPr>
            <w:tcW w:w="28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9</w:t>
            </w:r>
          </w:p>
        </w:tc>
        <w:tc>
          <w:tcPr>
            <w:tcW w:w="200" w:type="dxa"/>
            <w:vAlign w:val="bottom"/>
          </w:tcPr>
          <w:p>
            <w:pPr>
              <w:spacing w:after="0"/>
              <w:rPr>
                <w:sz w:val="18"/>
                <w:szCs w:val="18"/>
                <w:color w:val="auto"/>
              </w:rPr>
            </w:pPr>
          </w:p>
        </w:tc>
        <w:tc>
          <w:tcPr>
            <w:tcW w:w="680" w:type="dxa"/>
            <w:vAlign w:val="bottom"/>
            <w:tcBorders>
              <w:bottom w:val="single" w:sz="8" w:color="2C6937"/>
            </w:tcBorders>
          </w:tcPr>
          <w:p>
            <w:pPr>
              <w:spacing w:after="0"/>
              <w:rPr>
                <w:sz w:val="18"/>
                <w:szCs w:val="18"/>
                <w:color w:val="auto"/>
              </w:rPr>
            </w:pPr>
          </w:p>
        </w:tc>
        <w:tc>
          <w:tcPr>
            <w:tcW w:w="64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19</w:t>
            </w:r>
          </w:p>
        </w:tc>
      </w:tr>
      <w:tr>
        <w:trPr>
          <w:trHeight w:val="231"/>
        </w:trPr>
        <w:tc>
          <w:tcPr>
            <w:tcW w:w="6280" w:type="dxa"/>
            <w:vAlign w:val="bottom"/>
            <w:gridSpan w:val="2"/>
          </w:tcPr>
          <w:p>
            <w:pPr>
              <w:ind w:left="160"/>
              <w:spacing w:after="0"/>
              <w:rPr>
                <w:sz w:val="20"/>
                <w:szCs w:val="20"/>
                <w:color w:val="auto"/>
              </w:rPr>
            </w:pPr>
            <w:r>
              <w:rPr>
                <w:rFonts w:ascii="Arial" w:cs="Arial" w:eastAsia="Arial" w:hAnsi="Arial"/>
                <w:sz w:val="15"/>
                <w:szCs w:val="15"/>
                <w:color w:val="auto"/>
              </w:rPr>
              <w:t>Total single-family</w:t>
            </w: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412</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390</w:t>
            </w:r>
          </w:p>
        </w:tc>
      </w:tr>
      <w:tr>
        <w:trPr>
          <w:trHeight w:val="226"/>
        </w:trPr>
        <w:tc>
          <w:tcPr>
            <w:tcW w:w="6180" w:type="dxa"/>
            <w:vAlign w:val="bottom"/>
            <w:tcBorders>
              <w:bottom w:val="single" w:sz="8" w:color="2C6937"/>
            </w:tcBorders>
          </w:tcPr>
          <w:p>
            <w:pPr>
              <w:ind w:left="10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19"/>
                <w:szCs w:val="19"/>
                <w:color w:val="auto"/>
              </w:rPr>
            </w:pPr>
          </w:p>
        </w:tc>
        <w:tc>
          <w:tcPr>
            <w:tcW w:w="19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Various</w:t>
            </w:r>
          </w:p>
        </w:tc>
        <w:tc>
          <w:tcPr>
            <w:tcW w:w="100" w:type="dxa"/>
            <w:vAlign w:val="bottom"/>
          </w:tcPr>
          <w:p>
            <w:pPr>
              <w:spacing w:after="0"/>
              <w:rPr>
                <w:sz w:val="19"/>
                <w:szCs w:val="19"/>
                <w:color w:val="auto"/>
              </w:rPr>
            </w:pPr>
          </w:p>
        </w:tc>
        <w:tc>
          <w:tcPr>
            <w:tcW w:w="28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49</w:t>
            </w:r>
          </w:p>
        </w:tc>
        <w:tc>
          <w:tcPr>
            <w:tcW w:w="200" w:type="dxa"/>
            <w:vAlign w:val="bottom"/>
          </w:tcPr>
          <w:p>
            <w:pPr>
              <w:spacing w:after="0"/>
              <w:rPr>
                <w:sz w:val="19"/>
                <w:szCs w:val="19"/>
                <w:color w:val="auto"/>
              </w:rPr>
            </w:pPr>
          </w:p>
        </w:tc>
        <w:tc>
          <w:tcPr>
            <w:tcW w:w="680" w:type="dxa"/>
            <w:vAlign w:val="bottom"/>
            <w:tcBorders>
              <w:bottom w:val="single" w:sz="8" w:color="2C6937"/>
            </w:tcBorders>
          </w:tcPr>
          <w:p>
            <w:pPr>
              <w:spacing w:after="0"/>
              <w:rPr>
                <w:sz w:val="19"/>
                <w:szCs w:val="19"/>
                <w:color w:val="auto"/>
              </w:rPr>
            </w:pPr>
          </w:p>
        </w:tc>
        <w:tc>
          <w:tcPr>
            <w:tcW w:w="64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182</w:t>
            </w:r>
          </w:p>
        </w:tc>
      </w:tr>
      <w:tr>
        <w:trPr>
          <w:trHeight w:val="199"/>
        </w:trPr>
        <w:tc>
          <w:tcPr>
            <w:tcW w:w="6280" w:type="dxa"/>
            <w:vAlign w:val="bottom"/>
            <w:gridSpan w:val="2"/>
          </w:tcPr>
          <w:p>
            <w:pPr>
              <w:ind w:left="20"/>
              <w:spacing w:after="0"/>
              <w:rPr>
                <w:sz w:val="20"/>
                <w:szCs w:val="20"/>
                <w:color w:val="auto"/>
              </w:rPr>
            </w:pPr>
            <w:r>
              <w:rPr>
                <w:rFonts w:ascii="Arial" w:cs="Arial" w:eastAsia="Arial" w:hAnsi="Arial"/>
                <w:sz w:val="15"/>
                <w:szCs w:val="15"/>
                <w:color w:val="auto"/>
              </w:rPr>
              <w:t>Total nonrecurring assets at fair value</w:t>
            </w: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2,689</w:t>
            </w:r>
          </w:p>
        </w:tc>
        <w:tc>
          <w:tcPr>
            <w:tcW w:w="200" w:type="dxa"/>
            <w:vAlign w:val="bottom"/>
          </w:tcPr>
          <w:p>
            <w:pPr>
              <w:spacing w:after="0"/>
              <w:rPr>
                <w:sz w:val="17"/>
                <w:szCs w:val="17"/>
                <w:color w:val="auto"/>
              </w:rPr>
            </w:pPr>
          </w:p>
        </w:tc>
        <w:tc>
          <w:tcPr>
            <w:tcW w:w="680" w:type="dxa"/>
            <w:vAlign w:val="bottom"/>
          </w:tcPr>
          <w:p>
            <w:pPr>
              <w:ind w:left="20"/>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3"/>
              <w:spacing w:after="0"/>
              <w:rPr>
                <w:sz w:val="20"/>
                <w:szCs w:val="20"/>
                <w:color w:val="auto"/>
              </w:rPr>
            </w:pPr>
            <w:r>
              <w:rPr>
                <w:rFonts w:ascii="Arial" w:cs="Arial" w:eastAsia="Arial" w:hAnsi="Arial"/>
                <w:sz w:val="15"/>
                <w:szCs w:val="15"/>
                <w:color w:val="auto"/>
              </w:rPr>
              <w:t>3,993</w:t>
            </w:r>
          </w:p>
        </w:tc>
      </w:tr>
      <w:tr>
        <w:trPr>
          <w:trHeight w:val="20"/>
        </w:trPr>
        <w:tc>
          <w:tcPr>
            <w:tcW w:w="61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2C6937"/>
              <w:bottom w:val="single" w:sz="8" w:color="2C6937"/>
            </w:tcBorders>
          </w:tcPr>
          <w:p>
            <w:pPr>
              <w:spacing w:after="0" w:line="20" w:lineRule="exact"/>
              <w:rPr>
                <w:sz w:val="1"/>
                <w:szCs w:val="1"/>
                <w:color w:val="auto"/>
              </w:rPr>
            </w:pPr>
          </w:p>
        </w:tc>
        <w:tc>
          <w:tcPr>
            <w:tcW w:w="108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640" w:type="dxa"/>
            <w:vAlign w:val="bottom"/>
            <w:tcBorders>
              <w:top w:val="single" w:sz="8" w:color="2C6937"/>
              <w:bottom w:val="single" w:sz="8" w:color="2C6937"/>
            </w:tcBorders>
          </w:tcPr>
          <w:p>
            <w:pPr>
              <w:spacing w:after="0" w:line="20" w:lineRule="exact"/>
              <w:rPr>
                <w:sz w:val="1"/>
                <w:szCs w:val="1"/>
                <w:color w:val="auto"/>
              </w:rPr>
            </w:pPr>
          </w:p>
        </w:tc>
      </w:tr>
    </w:tbl>
    <w:p>
      <w:pPr>
        <w:spacing w:after="0" w:line="121" w:lineRule="exact"/>
        <w:rPr>
          <w:sz w:val="20"/>
          <w:szCs w:val="20"/>
          <w:color w:val="auto"/>
        </w:rPr>
      </w:pPr>
    </w:p>
    <w:p>
      <w:pPr>
        <w:jc w:val="both"/>
        <w:ind w:left="240" w:right="140" w:hanging="237"/>
        <w:spacing w:after="0" w:line="228" w:lineRule="auto"/>
        <w:tabs>
          <w:tab w:leader="none" w:pos="233" w:val="left"/>
        </w:tabs>
        <w:numPr>
          <w:ilvl w:val="0"/>
          <w:numId w:val="137"/>
        </w:numPr>
        <w:rPr>
          <w:rFonts w:ascii="Arial" w:cs="Arial" w:eastAsia="Arial" w:hAnsi="Arial"/>
          <w:sz w:val="18"/>
          <w:szCs w:val="18"/>
          <w:color w:val="auto"/>
          <w:vertAlign w:val="superscript"/>
        </w:rPr>
      </w:pPr>
      <w:r>
        <w:rPr>
          <w:rFonts w:ascii="Arial" w:cs="Arial" w:eastAsia="Arial" w:hAnsi="Arial"/>
          <w:sz w:val="14"/>
          <w:szCs w:val="14"/>
          <w:color w:val="auto"/>
        </w:rPr>
        <w:t>When we measure impairment, including recoveries, based on the fair value of the loan or the underlying collateral and impairment is recorded on any component of the mortgage loan, including accrued interest receivable and amounts due from the borrower for advances of taxes and insurance, we present the entire fair value measurement amount with the corresponding mortgage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373380</wp:posOffset>
            </wp:positionV>
            <wp:extent cx="680593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4"/>
          <w:szCs w:val="14"/>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Fair Value of Financial Instruments</w:t>
      </w:r>
    </w:p>
    <w:p>
      <w:pPr>
        <w:spacing w:after="0" w:line="68"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The following table displays the carrying value and estimated fair value of our financial instruments. The fair value of financial instruments we disclose includes commitments to purchase multifamily and single-family mortgage loans that we do not record in our condensed consolidated balance sheets. The fair values of these commitments are included as “Mortgage loans held for investment, net of allowance for loan losses.” The disclosure excludes all non-financial instruments; therefore, the fair value of our financial assets and liabilities does not represent the underlying fair value of our total consolidated assets and liabilities.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2640" w:type="dxa"/>
            <w:vAlign w:val="bottom"/>
            <w:tcBorders>
              <w:bottom w:val="single" w:sz="8" w:color="2C6937"/>
            </w:tcBorders>
            <w:gridSpan w:val="5"/>
          </w:tcPr>
          <w:p>
            <w:pPr>
              <w:jc w:val="center"/>
              <w:ind w:right="180"/>
              <w:spacing w:after="0"/>
              <w:rPr>
                <w:sz w:val="20"/>
                <w:szCs w:val="20"/>
                <w:color w:val="auto"/>
              </w:rPr>
            </w:pPr>
            <w:r>
              <w:rPr>
                <w:rFonts w:ascii="Arial" w:cs="Arial" w:eastAsia="Arial" w:hAnsi="Arial"/>
                <w:sz w:val="14"/>
                <w:szCs w:val="14"/>
                <w:b w:val="1"/>
                <w:bCs w:val="1"/>
                <w:color w:val="auto"/>
                <w:w w:val="97"/>
              </w:rPr>
              <w:t>As of September 30, 2024</w:t>
            </w: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Quoted Prices</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in Active</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Significant</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Markets for</w:t>
            </w:r>
          </w:p>
        </w:tc>
        <w:tc>
          <w:tcPr>
            <w:tcW w:w="13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9"/>
              </w:rPr>
              <w:t>Significant Other</w:t>
            </w:r>
          </w:p>
        </w:tc>
        <w:tc>
          <w:tcPr>
            <w:tcW w:w="14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Unobservable</w:t>
            </w:r>
          </w:p>
        </w:tc>
        <w:tc>
          <w:tcPr>
            <w:tcW w:w="140" w:type="dxa"/>
            <w:vAlign w:val="bottom"/>
          </w:tcPr>
          <w:p>
            <w:pPr>
              <w:spacing w:after="0"/>
              <w:rPr>
                <w:sz w:val="14"/>
                <w:szCs w:val="14"/>
                <w:color w:val="auto"/>
              </w:rPr>
            </w:pPr>
          </w:p>
        </w:tc>
        <w:tc>
          <w:tcPr>
            <w:tcW w:w="11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Netting</w:t>
            </w:r>
          </w:p>
        </w:tc>
        <w:tc>
          <w:tcPr>
            <w:tcW w:w="80" w:type="dxa"/>
            <w:vAlign w:val="bottom"/>
          </w:tcPr>
          <w:p>
            <w:pPr>
              <w:spacing w:after="0"/>
              <w:rPr>
                <w:sz w:val="14"/>
                <w:szCs w:val="14"/>
                <w:color w:val="auto"/>
              </w:rPr>
            </w:pPr>
          </w:p>
        </w:tc>
        <w:tc>
          <w:tcPr>
            <w:tcW w:w="106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7"/>
              </w:rPr>
              <w:t>Estimated Fair</w:t>
            </w:r>
          </w:p>
        </w:tc>
        <w:tc>
          <w:tcPr>
            <w:tcW w:w="0" w:type="dxa"/>
            <w:vAlign w:val="bottom"/>
          </w:tcPr>
          <w:p>
            <w:pPr>
              <w:spacing w:after="0"/>
              <w:rPr>
                <w:sz w:val="1"/>
                <w:szCs w:val="1"/>
                <w:color w:val="auto"/>
              </w:rPr>
            </w:pPr>
          </w:p>
        </w:tc>
      </w:tr>
      <w:tr>
        <w:trPr>
          <w:trHeight w:val="155"/>
        </w:trPr>
        <w:tc>
          <w:tcPr>
            <w:tcW w:w="3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3"/>
          </w:tcPr>
          <w:p>
            <w:pPr>
              <w:jc w:val="center"/>
              <w:ind w:right="100"/>
              <w:spacing w:after="0" w:line="155" w:lineRule="exact"/>
              <w:rPr>
                <w:sz w:val="20"/>
                <w:szCs w:val="20"/>
                <w:color w:val="auto"/>
              </w:rPr>
            </w:pPr>
            <w:r>
              <w:rPr>
                <w:rFonts w:ascii="Arial" w:cs="Arial" w:eastAsia="Arial" w:hAnsi="Arial"/>
                <w:sz w:val="14"/>
                <w:szCs w:val="14"/>
                <w:b w:val="1"/>
                <w:bCs w:val="1"/>
                <w:color w:val="auto"/>
                <w:w w:val="97"/>
              </w:rPr>
              <w:t>Identical Assets</w:t>
            </w:r>
          </w:p>
        </w:tc>
        <w:tc>
          <w:tcPr>
            <w:tcW w:w="100" w:type="dxa"/>
            <w:vAlign w:val="bottom"/>
          </w:tcPr>
          <w:p>
            <w:pPr>
              <w:spacing w:after="0"/>
              <w:rPr>
                <w:sz w:val="13"/>
                <w:szCs w:val="13"/>
                <w:color w:val="auto"/>
              </w:rPr>
            </w:pPr>
          </w:p>
        </w:tc>
        <w:tc>
          <w:tcPr>
            <w:tcW w:w="124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9"/>
              </w:rPr>
              <w:t>Observable</w:t>
            </w:r>
          </w:p>
        </w:tc>
        <w:tc>
          <w:tcPr>
            <w:tcW w:w="140" w:type="dxa"/>
            <w:vAlign w:val="bottom"/>
          </w:tcPr>
          <w:p>
            <w:pPr>
              <w:spacing w:after="0"/>
              <w:rPr>
                <w:sz w:val="13"/>
                <w:szCs w:val="13"/>
                <w:color w:val="auto"/>
              </w:rPr>
            </w:pPr>
          </w:p>
        </w:tc>
        <w:tc>
          <w:tcPr>
            <w:tcW w:w="1260" w:type="dxa"/>
            <w:vAlign w:val="bottom"/>
            <w:gridSpan w:val="2"/>
          </w:tcPr>
          <w:p>
            <w:pPr>
              <w:ind w:left="280"/>
              <w:spacing w:after="0" w:line="155" w:lineRule="exact"/>
              <w:rPr>
                <w:sz w:val="20"/>
                <w:szCs w:val="20"/>
                <w:color w:val="auto"/>
              </w:rPr>
            </w:pPr>
            <w:r>
              <w:rPr>
                <w:rFonts w:ascii="Arial" w:cs="Arial" w:eastAsia="Arial" w:hAnsi="Arial"/>
                <w:sz w:val="14"/>
                <w:szCs w:val="14"/>
                <w:b w:val="1"/>
                <w:bCs w:val="1"/>
                <w:color w:val="auto"/>
              </w:rPr>
              <w:t>Inputs</w:t>
            </w:r>
          </w:p>
        </w:tc>
        <w:tc>
          <w:tcPr>
            <w:tcW w:w="14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Borders>
              <w:bottom w:val="single" w:sz="8" w:color="2C6937"/>
            </w:tcBorders>
            <w:gridSpan w:val="3"/>
          </w:tcPr>
          <w:p>
            <w:pPr>
              <w:ind w:left="80"/>
              <w:spacing w:after="0"/>
              <w:rPr>
                <w:sz w:val="20"/>
                <w:szCs w:val="20"/>
                <w:color w:val="auto"/>
              </w:rPr>
            </w:pPr>
            <w:r>
              <w:rPr>
                <w:rFonts w:ascii="Arial" w:cs="Arial" w:eastAsia="Arial" w:hAnsi="Arial"/>
                <w:sz w:val="14"/>
                <w:szCs w:val="14"/>
                <w:b w:val="1"/>
                <w:bCs w:val="1"/>
                <w:color w:val="auto"/>
              </w:rPr>
              <w:t>Carrying Value</w:t>
            </w:r>
          </w:p>
        </w:tc>
        <w:tc>
          <w:tcPr>
            <w:tcW w:w="10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14"/>
                <w:szCs w:val="14"/>
                <w:b w:val="1"/>
                <w:bCs w:val="1"/>
                <w:color w:val="auto"/>
                <w:w w:val="98"/>
              </w:rPr>
              <w:t>(Level 1)</w:t>
            </w:r>
          </w:p>
        </w:tc>
        <w:tc>
          <w:tcPr>
            <w:tcW w:w="100" w:type="dxa"/>
            <w:vAlign w:val="bottom"/>
            <w:tcBorders>
              <w:bottom w:val="single" w:sz="8" w:color="2C6937"/>
            </w:tcBorders>
          </w:tcPr>
          <w:p>
            <w:pPr>
              <w:spacing w:after="0"/>
              <w:rPr>
                <w:sz w:val="17"/>
                <w:szCs w:val="17"/>
                <w:color w:val="auto"/>
              </w:rPr>
            </w:pPr>
          </w:p>
        </w:tc>
        <w:tc>
          <w:tcPr>
            <w:tcW w:w="124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14"/>
                <w:szCs w:val="14"/>
                <w:b w:val="1"/>
                <w:bCs w:val="1"/>
                <w:color w:val="auto"/>
                <w:w w:val="97"/>
              </w:rPr>
              <w:t>Inputs (Level 2)</w:t>
            </w:r>
          </w:p>
        </w:tc>
        <w:tc>
          <w:tcPr>
            <w:tcW w:w="140" w:type="dxa"/>
            <w:vAlign w:val="bottom"/>
            <w:tcBorders>
              <w:bottom w:val="single" w:sz="8" w:color="2C6937"/>
            </w:tcBorders>
          </w:tcPr>
          <w:p>
            <w:pPr>
              <w:spacing w:after="0"/>
              <w:rPr>
                <w:sz w:val="17"/>
                <w:szCs w:val="17"/>
                <w:color w:val="auto"/>
              </w:rPr>
            </w:pPr>
          </w:p>
        </w:tc>
        <w:tc>
          <w:tcPr>
            <w:tcW w:w="1260" w:type="dxa"/>
            <w:vAlign w:val="bottom"/>
            <w:tcBorders>
              <w:bottom w:val="single" w:sz="8" w:color="2C6937"/>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(Level 3)</w:t>
            </w:r>
          </w:p>
        </w:tc>
        <w:tc>
          <w:tcPr>
            <w:tcW w:w="140" w:type="dxa"/>
            <w:vAlign w:val="bottom"/>
            <w:tcBorders>
              <w:bottom w:val="single" w:sz="8" w:color="2C6937"/>
            </w:tcBorders>
          </w:tcPr>
          <w:p>
            <w:pPr>
              <w:spacing w:after="0"/>
              <w:rPr>
                <w:sz w:val="17"/>
                <w:szCs w:val="17"/>
                <w:color w:val="auto"/>
              </w:rPr>
            </w:pPr>
          </w:p>
        </w:tc>
        <w:tc>
          <w:tcPr>
            <w:tcW w:w="1100" w:type="dxa"/>
            <w:vAlign w:val="bottom"/>
            <w:tcBorders>
              <w:bottom w:val="single" w:sz="8" w:color="2C6937"/>
            </w:tcBorders>
            <w:gridSpan w:val="2"/>
          </w:tcPr>
          <w:p>
            <w:pPr>
              <w:ind w:left="40"/>
              <w:spacing w:after="0"/>
              <w:rPr>
                <w:sz w:val="20"/>
                <w:szCs w:val="20"/>
                <w:color w:val="auto"/>
              </w:rPr>
            </w:pPr>
            <w:r>
              <w:rPr>
                <w:rFonts w:ascii="Arial" w:cs="Arial" w:eastAsia="Arial" w:hAnsi="Arial"/>
                <w:sz w:val="14"/>
                <w:szCs w:val="14"/>
                <w:b w:val="1"/>
                <w:bCs w:val="1"/>
                <w:color w:val="auto"/>
              </w:rPr>
              <w:t>Adjustment</w:t>
            </w:r>
          </w:p>
        </w:tc>
        <w:tc>
          <w:tcPr>
            <w:tcW w:w="8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tcPr>
          <w:p>
            <w:pPr>
              <w:jc w:val="right"/>
              <w:ind w:right="331"/>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5"/>
        </w:trPr>
        <w:tc>
          <w:tcPr>
            <w:tcW w:w="3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8"/>
              </w:rPr>
              <w:t>(Dollars in millions)</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52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Financial assets: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Cash and cash equivalents, including restricted cash</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520" w:type="dxa"/>
            <w:vAlign w:val="bottom"/>
            <w:gridSpan w:val="2"/>
          </w:tcPr>
          <w:p>
            <w:pPr>
              <w:ind w:left="220"/>
              <w:spacing w:after="0"/>
              <w:rPr>
                <w:sz w:val="20"/>
                <w:szCs w:val="20"/>
                <w:color w:val="auto"/>
              </w:rPr>
            </w:pPr>
            <w:r>
              <w:rPr>
                <w:rFonts w:ascii="Arial" w:cs="Arial" w:eastAsia="Arial" w:hAnsi="Arial"/>
                <w:sz w:val="14"/>
                <w:szCs w:val="14"/>
                <w:color w:val="auto"/>
              </w:rPr>
              <w:t>and cash equivalents</w:t>
            </w:r>
          </w:p>
        </w:tc>
        <w:tc>
          <w:tcPr>
            <w:tcW w:w="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76,772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37,922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38,850</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76,772</w:t>
            </w:r>
          </w:p>
        </w:tc>
        <w:tc>
          <w:tcPr>
            <w:tcW w:w="0" w:type="dxa"/>
            <w:vAlign w:val="bottom"/>
          </w:tcPr>
          <w:p>
            <w:pPr>
              <w:spacing w:after="0"/>
              <w:rPr>
                <w:sz w:val="1"/>
                <w:szCs w:val="1"/>
                <w:color w:val="auto"/>
              </w:rPr>
            </w:pPr>
          </w:p>
        </w:tc>
      </w:tr>
      <w:tr>
        <w:trPr>
          <w:trHeight w:val="219"/>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Securities purchased under agreements to resell</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18,065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18,065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18,065</w:t>
            </w:r>
          </w:p>
        </w:tc>
        <w:tc>
          <w:tcPr>
            <w:tcW w:w="0" w:type="dxa"/>
            <w:vAlign w:val="bottom"/>
          </w:tcPr>
          <w:p>
            <w:pPr>
              <w:spacing w:after="0"/>
              <w:rPr>
                <w:sz w:val="1"/>
                <w:szCs w:val="1"/>
                <w:color w:val="auto"/>
              </w:rPr>
            </w:pPr>
          </w:p>
        </w:tc>
      </w:tr>
      <w:tr>
        <w:trPr>
          <w:trHeight w:val="219"/>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Trading securities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61,298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60,080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1,183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61,298</w:t>
            </w:r>
          </w:p>
        </w:tc>
        <w:tc>
          <w:tcPr>
            <w:tcW w:w="0" w:type="dxa"/>
            <w:vAlign w:val="bottom"/>
          </w:tcPr>
          <w:p>
            <w:pPr>
              <w:spacing w:after="0"/>
              <w:rPr>
                <w:sz w:val="1"/>
                <w:szCs w:val="1"/>
                <w:color w:val="auto"/>
              </w:rPr>
            </w:pPr>
          </w:p>
        </w:tc>
      </w:tr>
      <w:tr>
        <w:trPr>
          <w:trHeight w:val="219"/>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Available-for-sale securities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492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492</w:t>
            </w:r>
          </w:p>
        </w:tc>
        <w:tc>
          <w:tcPr>
            <w:tcW w:w="0" w:type="dxa"/>
            <w:vAlign w:val="bottom"/>
          </w:tcPr>
          <w:p>
            <w:pPr>
              <w:spacing w:after="0"/>
              <w:rPr>
                <w:sz w:val="1"/>
                <w:szCs w:val="1"/>
                <w:color w:val="auto"/>
              </w:rPr>
            </w:pPr>
          </w:p>
        </w:tc>
      </w:tr>
      <w:tr>
        <w:trPr>
          <w:trHeight w:val="219"/>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Mortgage loans held for sale</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1,278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565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1,356</w:t>
            </w:r>
          </w:p>
        </w:tc>
        <w:tc>
          <w:tcPr>
            <w:tcW w:w="0" w:type="dxa"/>
            <w:vAlign w:val="bottom"/>
          </w:tcPr>
          <w:p>
            <w:pPr>
              <w:spacing w:after="0"/>
              <w:rPr>
                <w:sz w:val="1"/>
                <w:szCs w:val="1"/>
                <w:color w:val="auto"/>
              </w:rPr>
            </w:pPr>
          </w:p>
        </w:tc>
      </w:tr>
      <w:tr>
        <w:trPr>
          <w:trHeight w:val="193"/>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Mortgage loans held for investment, net of allowance</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520" w:type="dxa"/>
            <w:vAlign w:val="bottom"/>
            <w:gridSpan w:val="2"/>
          </w:tcPr>
          <w:p>
            <w:pPr>
              <w:ind w:left="220"/>
              <w:spacing w:after="0"/>
              <w:rPr>
                <w:sz w:val="20"/>
                <w:szCs w:val="20"/>
                <w:color w:val="auto"/>
              </w:rPr>
            </w:pPr>
            <w:r>
              <w:rPr>
                <w:rFonts w:ascii="Arial" w:cs="Arial" w:eastAsia="Arial" w:hAnsi="Arial"/>
                <w:sz w:val="14"/>
                <w:szCs w:val="14"/>
                <w:color w:val="auto"/>
              </w:rPr>
              <w:t>for loan losses</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4,137,380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3,645,412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131,457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3,776,869</w:t>
            </w:r>
          </w:p>
        </w:tc>
        <w:tc>
          <w:tcPr>
            <w:tcW w:w="0" w:type="dxa"/>
            <w:vAlign w:val="bottom"/>
          </w:tcPr>
          <w:p>
            <w:pPr>
              <w:spacing w:after="0"/>
              <w:rPr>
                <w:sz w:val="1"/>
                <w:szCs w:val="1"/>
                <w:color w:val="auto"/>
              </w:rPr>
            </w:pPr>
          </w:p>
        </w:tc>
      </w:tr>
      <w:tr>
        <w:trPr>
          <w:trHeight w:val="219"/>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Advances to lenders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2,595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2,595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2,595</w:t>
            </w:r>
          </w:p>
        </w:tc>
        <w:tc>
          <w:tcPr>
            <w:tcW w:w="0" w:type="dxa"/>
            <w:vAlign w:val="bottom"/>
          </w:tcPr>
          <w:p>
            <w:pPr>
              <w:spacing w:after="0"/>
              <w:rPr>
                <w:sz w:val="1"/>
                <w:szCs w:val="1"/>
                <w:color w:val="auto"/>
              </w:rPr>
            </w:pPr>
          </w:p>
        </w:tc>
      </w:tr>
      <w:tr>
        <w:trPr>
          <w:trHeight w:val="219"/>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Derivative assets at fair value</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197"/>
        </w:trPr>
        <w:tc>
          <w:tcPr>
            <w:tcW w:w="342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Guaranty assets and buy-ups</w:t>
            </w:r>
          </w:p>
        </w:tc>
        <w:tc>
          <w:tcPr>
            <w:tcW w:w="100" w:type="dxa"/>
            <w:vAlign w:val="bottom"/>
          </w:tcPr>
          <w:p>
            <w:pPr>
              <w:spacing w:after="0"/>
              <w:rPr>
                <w:sz w:val="17"/>
                <w:szCs w:val="17"/>
                <w:color w:val="auto"/>
              </w:rPr>
            </w:pPr>
          </w:p>
        </w:tc>
        <w:tc>
          <w:tcPr>
            <w:tcW w:w="280" w:type="dxa"/>
            <w:vAlign w:val="bottom"/>
            <w:tcBorders>
              <w:bottom w:val="single" w:sz="8" w:color="2C6937"/>
            </w:tcBorders>
          </w:tcPr>
          <w:p>
            <w:pPr>
              <w:spacing w:after="0"/>
              <w:rPr>
                <w:sz w:val="17"/>
                <w:szCs w:val="17"/>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000" w:type="dxa"/>
            <w:vAlign w:val="bottom"/>
            <w:tcBorders>
              <w:bottom w:val="single" w:sz="8" w:color="2C6937"/>
            </w:tcBorders>
          </w:tcPr>
          <w:p>
            <w:pPr>
              <w:ind w:left="8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212"/>
        </w:trPr>
        <w:tc>
          <w:tcPr>
            <w:tcW w:w="342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Total financial assets</w:t>
            </w:r>
          </w:p>
        </w:tc>
        <w:tc>
          <w:tcPr>
            <w:tcW w:w="100" w:type="dxa"/>
            <w:vAlign w:val="bottom"/>
          </w:tcPr>
          <w:p>
            <w:pPr>
              <w:spacing w:after="0"/>
              <w:rPr>
                <w:sz w:val="18"/>
                <w:szCs w:val="18"/>
                <w:color w:val="auto"/>
              </w:rPr>
            </w:pPr>
          </w:p>
        </w:tc>
        <w:tc>
          <w:tcPr>
            <w:tcW w:w="280" w:type="dxa"/>
            <w:vAlign w:val="bottom"/>
            <w:tcBorders>
              <w:bottom w:val="single" w:sz="8" w:color="2C6937"/>
            </w:tcBorders>
          </w:tcPr>
          <w:p>
            <w:pPr>
              <w:jc w:val="right"/>
              <w:ind w:right="111"/>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4,298,226</w:t>
            </w:r>
          </w:p>
        </w:tc>
        <w:tc>
          <w:tcPr>
            <w:tcW w:w="100" w:type="dxa"/>
            <w:vAlign w:val="bottom"/>
          </w:tcPr>
          <w:p>
            <w:pPr>
              <w:spacing w:after="0"/>
              <w:rPr>
                <w:sz w:val="18"/>
                <w:szCs w:val="18"/>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98,002</w:t>
            </w:r>
          </w:p>
        </w:tc>
        <w:tc>
          <w:tcPr>
            <w:tcW w:w="100" w:type="dxa"/>
            <w:vAlign w:val="bottom"/>
          </w:tcPr>
          <w:p>
            <w:pPr>
              <w:spacing w:after="0"/>
              <w:rPr>
                <w:sz w:val="18"/>
                <w:szCs w:val="18"/>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3,707,136</w:t>
            </w:r>
          </w:p>
        </w:tc>
        <w:tc>
          <w:tcPr>
            <w:tcW w:w="120" w:type="dxa"/>
            <w:vAlign w:val="bottom"/>
          </w:tcPr>
          <w:p>
            <w:pPr>
              <w:spacing w:after="0"/>
              <w:rPr>
                <w:sz w:val="18"/>
                <w:szCs w:val="18"/>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132,992</w:t>
            </w:r>
          </w:p>
        </w:tc>
        <w:tc>
          <w:tcPr>
            <w:tcW w:w="100" w:type="dxa"/>
            <w:vAlign w:val="bottom"/>
          </w:tcPr>
          <w:p>
            <w:pPr>
              <w:spacing w:after="0"/>
              <w:rPr>
                <w:sz w:val="18"/>
                <w:szCs w:val="18"/>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(233)</w:t>
            </w:r>
          </w:p>
        </w:tc>
        <w:tc>
          <w:tcPr>
            <w:tcW w:w="100" w:type="dxa"/>
            <w:vAlign w:val="bottom"/>
          </w:tcPr>
          <w:p>
            <w:pPr>
              <w:spacing w:after="0"/>
              <w:rPr>
                <w:sz w:val="18"/>
                <w:szCs w:val="18"/>
                <w:color w:val="auto"/>
              </w:rPr>
            </w:pPr>
          </w:p>
        </w:tc>
        <w:tc>
          <w:tcPr>
            <w:tcW w:w="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3,937,897</w:t>
            </w:r>
          </w:p>
        </w:tc>
        <w:tc>
          <w:tcPr>
            <w:tcW w:w="0" w:type="dxa"/>
            <w:vAlign w:val="bottom"/>
          </w:tcPr>
          <w:p>
            <w:pPr>
              <w:spacing w:after="0"/>
              <w:rPr>
                <w:sz w:val="1"/>
                <w:szCs w:val="1"/>
                <w:color w:val="auto"/>
              </w:rPr>
            </w:pPr>
          </w:p>
        </w:tc>
      </w:tr>
      <w:tr>
        <w:trPr>
          <w:trHeight w:val="22"/>
        </w:trPr>
        <w:tc>
          <w:tcPr>
            <w:tcW w:w="34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2C6937"/>
            </w:tcBorders>
          </w:tcPr>
          <w:p>
            <w:pPr>
              <w:spacing w:after="0" w:line="20" w:lineRule="exact"/>
              <w:rPr>
                <w:sz w:val="1"/>
                <w:szCs w:val="1"/>
                <w:color w:val="auto"/>
              </w:rPr>
            </w:pPr>
          </w:p>
        </w:tc>
        <w:tc>
          <w:tcPr>
            <w:tcW w:w="8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0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12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11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10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2C6937"/>
            </w:tcBorders>
          </w:tcPr>
          <w:p>
            <w:pPr>
              <w:spacing w:after="0" w:line="20" w:lineRule="exact"/>
              <w:rPr>
                <w:sz w:val="1"/>
                <w:szCs w:val="1"/>
                <w:color w:val="auto"/>
              </w:rPr>
            </w:pPr>
          </w:p>
        </w:tc>
        <w:tc>
          <w:tcPr>
            <w:tcW w:w="1060" w:type="dxa"/>
            <w:vAlign w:val="bottom"/>
            <w:tcBorders>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352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Financial liabilities:</w:t>
            </w: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Short-term debt:</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520" w:type="dxa"/>
            <w:vAlign w:val="bottom"/>
            <w:gridSpan w:val="2"/>
          </w:tcPr>
          <w:p>
            <w:pPr>
              <w:ind w:left="220"/>
              <w:spacing w:after="0"/>
              <w:rPr>
                <w:sz w:val="20"/>
                <w:szCs w:val="20"/>
                <w:color w:val="auto"/>
              </w:rPr>
            </w:pPr>
            <w:r>
              <w:rPr>
                <w:rFonts w:ascii="Arial" w:cs="Arial" w:eastAsia="Arial" w:hAnsi="Arial"/>
                <w:sz w:val="14"/>
                <w:szCs w:val="14"/>
                <w:color w:val="auto"/>
              </w:rPr>
              <w:t>Of Fannie Mae</w:t>
            </w:r>
          </w:p>
        </w:tc>
        <w:tc>
          <w:tcPr>
            <w:tcW w:w="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11,419</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11,424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11,424</w:t>
            </w:r>
          </w:p>
        </w:tc>
        <w:tc>
          <w:tcPr>
            <w:tcW w:w="0" w:type="dxa"/>
            <w:vAlign w:val="bottom"/>
          </w:tcPr>
          <w:p>
            <w:pPr>
              <w:spacing w:after="0"/>
              <w:rPr>
                <w:sz w:val="1"/>
                <w:szCs w:val="1"/>
                <w:color w:val="auto"/>
              </w:rPr>
            </w:pPr>
          </w:p>
        </w:tc>
      </w:tr>
      <w:tr>
        <w:trPr>
          <w:trHeight w:val="206"/>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Long-term debt:</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20" w:type="dxa"/>
            <w:vAlign w:val="bottom"/>
            <w:gridSpan w:val="2"/>
          </w:tcPr>
          <w:p>
            <w:pPr>
              <w:ind w:left="220"/>
              <w:spacing w:after="0"/>
              <w:rPr>
                <w:sz w:val="20"/>
                <w:szCs w:val="20"/>
                <w:color w:val="auto"/>
              </w:rPr>
            </w:pPr>
            <w:r>
              <w:rPr>
                <w:rFonts w:ascii="Arial" w:cs="Arial" w:eastAsia="Arial" w:hAnsi="Arial"/>
                <w:sz w:val="14"/>
                <w:szCs w:val="14"/>
                <w:color w:val="auto"/>
              </w:rPr>
              <w:t>Of Fannie Mae</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110,296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111,915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630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112,545</w:t>
            </w:r>
          </w:p>
        </w:tc>
        <w:tc>
          <w:tcPr>
            <w:tcW w:w="0" w:type="dxa"/>
            <w:vAlign w:val="bottom"/>
          </w:tcPr>
          <w:p>
            <w:pPr>
              <w:spacing w:after="0"/>
              <w:rPr>
                <w:sz w:val="1"/>
                <w:szCs w:val="1"/>
                <w:color w:val="auto"/>
              </w:rPr>
            </w:pPr>
          </w:p>
        </w:tc>
      </w:tr>
      <w:tr>
        <w:trPr>
          <w:trHeight w:val="219"/>
        </w:trPr>
        <w:tc>
          <w:tcPr>
            <w:tcW w:w="3520" w:type="dxa"/>
            <w:vAlign w:val="bottom"/>
            <w:gridSpan w:val="2"/>
          </w:tcPr>
          <w:p>
            <w:pPr>
              <w:ind w:left="220"/>
              <w:spacing w:after="0"/>
              <w:rPr>
                <w:sz w:val="20"/>
                <w:szCs w:val="20"/>
                <w:color w:val="auto"/>
              </w:rPr>
            </w:pPr>
            <w:r>
              <w:rPr>
                <w:rFonts w:ascii="Arial" w:cs="Arial" w:eastAsia="Arial" w:hAnsi="Arial"/>
                <w:sz w:val="14"/>
                <w:szCs w:val="14"/>
                <w:color w:val="auto"/>
              </w:rPr>
              <w:t>Of consolidated trusts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4,096,063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3,712,964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3,713,242</w:t>
            </w:r>
          </w:p>
        </w:tc>
        <w:tc>
          <w:tcPr>
            <w:tcW w:w="0" w:type="dxa"/>
            <w:vAlign w:val="bottom"/>
          </w:tcPr>
          <w:p>
            <w:pPr>
              <w:spacing w:after="0"/>
              <w:rPr>
                <w:sz w:val="1"/>
                <w:szCs w:val="1"/>
                <w:color w:val="auto"/>
              </w:rPr>
            </w:pPr>
          </w:p>
        </w:tc>
      </w:tr>
      <w:tr>
        <w:trPr>
          <w:trHeight w:val="193"/>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Derivative liabilities at fair value</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2,275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(2,154)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197"/>
        </w:trPr>
        <w:tc>
          <w:tcPr>
            <w:tcW w:w="342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Guaranty obligations</w:t>
            </w:r>
          </w:p>
        </w:tc>
        <w:tc>
          <w:tcPr>
            <w:tcW w:w="100" w:type="dxa"/>
            <w:vAlign w:val="bottom"/>
          </w:tcPr>
          <w:p>
            <w:pPr>
              <w:spacing w:after="0"/>
              <w:rPr>
                <w:sz w:val="17"/>
                <w:szCs w:val="17"/>
                <w:color w:val="auto"/>
              </w:rPr>
            </w:pPr>
          </w:p>
        </w:tc>
        <w:tc>
          <w:tcPr>
            <w:tcW w:w="280" w:type="dxa"/>
            <w:vAlign w:val="bottom"/>
            <w:tcBorders>
              <w:bottom w:val="single" w:sz="8" w:color="2C6937"/>
            </w:tcBorders>
          </w:tcPr>
          <w:p>
            <w:pPr>
              <w:spacing w:after="0"/>
              <w:rPr>
                <w:sz w:val="17"/>
                <w:szCs w:val="17"/>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000" w:type="dxa"/>
            <w:vAlign w:val="bottom"/>
            <w:tcBorders>
              <w:bottom w:val="single" w:sz="8" w:color="2C6937"/>
            </w:tcBorders>
          </w:tcPr>
          <w:p>
            <w:pPr>
              <w:ind w:left="8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12"/>
        </w:trPr>
        <w:tc>
          <w:tcPr>
            <w:tcW w:w="3520" w:type="dxa"/>
            <w:vAlign w:val="bottom"/>
            <w:gridSpan w:val="2"/>
          </w:tcPr>
          <w:p>
            <w:pPr>
              <w:ind w:left="20"/>
              <w:spacing w:after="0"/>
              <w:rPr>
                <w:sz w:val="20"/>
                <w:szCs w:val="20"/>
                <w:color w:val="auto"/>
              </w:rPr>
            </w:pPr>
            <w:r>
              <w:rPr>
                <w:rFonts w:ascii="Arial" w:cs="Arial" w:eastAsia="Arial" w:hAnsi="Arial"/>
                <w:sz w:val="14"/>
                <w:szCs w:val="14"/>
                <w:color w:val="auto"/>
              </w:rPr>
              <w:t>Total financial liabilities</w:t>
            </w:r>
          </w:p>
        </w:tc>
        <w:tc>
          <w:tcPr>
            <w:tcW w:w="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4,217,982</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3,838,578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980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(2,154)</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3,837,404</w:t>
            </w:r>
          </w:p>
        </w:tc>
        <w:tc>
          <w:tcPr>
            <w:tcW w:w="0" w:type="dxa"/>
            <w:vAlign w:val="bottom"/>
          </w:tcPr>
          <w:p>
            <w:pPr>
              <w:spacing w:after="0"/>
              <w:rPr>
                <w:sz w:val="1"/>
                <w:szCs w:val="1"/>
                <w:color w:val="auto"/>
              </w:rPr>
            </w:pPr>
          </w:p>
        </w:tc>
      </w:tr>
      <w:tr>
        <w:trPr>
          <w:trHeight w:val="22"/>
        </w:trPr>
        <w:tc>
          <w:tcPr>
            <w:tcW w:w="34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0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1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0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2C6937"/>
              <w:bottom w:val="single" w:sz="8" w:color="2C6937"/>
            </w:tcBorders>
          </w:tcPr>
          <w:p>
            <w:pPr>
              <w:spacing w:after="0" w:line="20" w:lineRule="exact"/>
              <w:rPr>
                <w:sz w:val="1"/>
                <w:szCs w:val="1"/>
                <w:color w:val="auto"/>
              </w:rPr>
            </w:pPr>
          </w:p>
        </w:tc>
        <w:tc>
          <w:tcPr>
            <w:tcW w:w="106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474980</wp:posOffset>
            </wp:positionV>
            <wp:extent cx="680593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248" w:right="439" w:bottom="1440" w:gutter="0" w:footer="0" w:header="0"/>
        </w:sectPr>
      </w:pPr>
    </w:p>
    <w:bookmarkStart w:id="117" w:name="page118"/>
    <w:bookmarkEnd w:id="117"/>
    <w:p>
      <w:pPr>
        <w:ind w:left="6980"/>
        <w:spacing w:after="0"/>
        <w:rPr>
          <w:sz w:val="20"/>
          <w:szCs w:val="20"/>
          <w:color w:val="auto"/>
        </w:rPr>
      </w:pPr>
      <w:r>
        <w:rPr>
          <w:rFonts w:ascii="Arial" w:cs="Arial" w:eastAsia="Arial" w:hAnsi="Arial"/>
          <w:sz w:val="14"/>
          <w:szCs w:val="14"/>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2660" w:type="dxa"/>
            <w:vAlign w:val="bottom"/>
            <w:tcBorders>
              <w:bottom w:val="single" w:sz="8" w:color="2C6937"/>
            </w:tcBorders>
            <w:gridSpan w:val="5"/>
          </w:tcPr>
          <w:p>
            <w:pPr>
              <w:jc w:val="center"/>
              <w:ind w:right="160"/>
              <w:spacing w:after="0"/>
              <w:rPr>
                <w:sz w:val="20"/>
                <w:szCs w:val="20"/>
                <w:color w:val="auto"/>
              </w:rPr>
            </w:pPr>
            <w:r>
              <w:rPr>
                <w:rFonts w:ascii="Arial" w:cs="Arial" w:eastAsia="Arial" w:hAnsi="Arial"/>
                <w:sz w:val="14"/>
                <w:szCs w:val="14"/>
                <w:b w:val="1"/>
                <w:bCs w:val="1"/>
                <w:color w:val="auto"/>
                <w:w w:val="98"/>
              </w:rPr>
              <w:t>As of December 31, 2023</w:t>
            </w: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08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Quoted Prices in</w:t>
            </w:r>
          </w:p>
        </w:tc>
        <w:tc>
          <w:tcPr>
            <w:tcW w:w="80" w:type="dxa"/>
            <w:vAlign w:val="bottom"/>
          </w:tcPr>
          <w:p>
            <w:pPr>
              <w:spacing w:after="0"/>
              <w:rPr>
                <w:sz w:val="15"/>
                <w:szCs w:val="15"/>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Significant</w:t>
            </w:r>
          </w:p>
        </w:tc>
        <w:tc>
          <w:tcPr>
            <w:tcW w:w="16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Significant</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Active Markets</w:t>
            </w:r>
          </w:p>
        </w:tc>
        <w:tc>
          <w:tcPr>
            <w:tcW w:w="8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Unobservable</w:t>
            </w:r>
          </w:p>
        </w:tc>
        <w:tc>
          <w:tcPr>
            <w:tcW w:w="140" w:type="dxa"/>
            <w:vAlign w:val="bottom"/>
          </w:tcPr>
          <w:p>
            <w:pPr>
              <w:spacing w:after="0"/>
              <w:rPr>
                <w:sz w:val="14"/>
                <w:szCs w:val="14"/>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Netting</w:t>
            </w:r>
          </w:p>
        </w:tc>
        <w:tc>
          <w:tcPr>
            <w:tcW w:w="120" w:type="dxa"/>
            <w:vAlign w:val="bottom"/>
          </w:tcPr>
          <w:p>
            <w:pPr>
              <w:spacing w:after="0"/>
              <w:rPr>
                <w:sz w:val="14"/>
                <w:szCs w:val="14"/>
                <w:color w:val="auto"/>
              </w:rPr>
            </w:pPr>
          </w:p>
        </w:tc>
        <w:tc>
          <w:tcPr>
            <w:tcW w:w="108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97"/>
              </w:rPr>
              <w:t>Estimated Fair</w:t>
            </w:r>
          </w:p>
        </w:tc>
        <w:tc>
          <w:tcPr>
            <w:tcW w:w="0" w:type="dxa"/>
            <w:vAlign w:val="bottom"/>
          </w:tcPr>
          <w:p>
            <w:pPr>
              <w:spacing w:after="0"/>
              <w:rPr>
                <w:sz w:val="1"/>
                <w:szCs w:val="1"/>
                <w:color w:val="auto"/>
              </w:rPr>
            </w:pPr>
          </w:p>
        </w:tc>
      </w:tr>
      <w:tr>
        <w:trPr>
          <w:trHeight w:val="155"/>
        </w:trPr>
        <w:tc>
          <w:tcPr>
            <w:tcW w:w="3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8"/>
              </w:rPr>
              <w:t>for Identical</w:t>
            </w:r>
          </w:p>
        </w:tc>
        <w:tc>
          <w:tcPr>
            <w:tcW w:w="80" w:type="dxa"/>
            <w:vAlign w:val="bottom"/>
          </w:tcPr>
          <w:p>
            <w:pPr>
              <w:spacing w:after="0"/>
              <w:rPr>
                <w:sz w:val="13"/>
                <w:szCs w:val="13"/>
                <w:color w:val="auto"/>
              </w:rPr>
            </w:pPr>
          </w:p>
        </w:tc>
        <w:tc>
          <w:tcPr>
            <w:tcW w:w="122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6"/>
              </w:rPr>
              <w:t>Observable</w:t>
            </w:r>
          </w:p>
        </w:tc>
        <w:tc>
          <w:tcPr>
            <w:tcW w:w="160" w:type="dxa"/>
            <w:vAlign w:val="bottom"/>
          </w:tcPr>
          <w:p>
            <w:pPr>
              <w:spacing w:after="0"/>
              <w:rPr>
                <w:sz w:val="13"/>
                <w:szCs w:val="13"/>
                <w:color w:val="auto"/>
              </w:rPr>
            </w:pPr>
          </w:p>
        </w:tc>
        <w:tc>
          <w:tcPr>
            <w:tcW w:w="1280" w:type="dxa"/>
            <w:vAlign w:val="bottom"/>
            <w:gridSpan w:val="2"/>
          </w:tcPr>
          <w:p>
            <w:pPr>
              <w:ind w:left="280"/>
              <w:spacing w:after="0" w:line="155" w:lineRule="exact"/>
              <w:rPr>
                <w:sz w:val="20"/>
                <w:szCs w:val="20"/>
                <w:color w:val="auto"/>
              </w:rPr>
            </w:pPr>
            <w:r>
              <w:rPr>
                <w:rFonts w:ascii="Arial" w:cs="Arial" w:eastAsia="Arial" w:hAnsi="Arial"/>
                <w:sz w:val="14"/>
                <w:szCs w:val="14"/>
                <w:b w:val="1"/>
                <w:bCs w:val="1"/>
                <w:color w:val="auto"/>
              </w:rPr>
              <w:t>Inputs</w:t>
            </w:r>
          </w:p>
        </w:tc>
        <w:tc>
          <w:tcPr>
            <w:tcW w:w="14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gridSpan w:val="2"/>
          </w:tcPr>
          <w:p>
            <w:pPr>
              <w:spacing w:after="0"/>
              <w:rPr>
                <w:sz w:val="20"/>
                <w:szCs w:val="20"/>
                <w:color w:val="auto"/>
              </w:rPr>
            </w:pPr>
            <w:r>
              <w:rPr>
                <w:rFonts w:ascii="Arial" w:cs="Arial" w:eastAsia="Arial" w:hAnsi="Arial"/>
                <w:sz w:val="14"/>
                <w:szCs w:val="14"/>
                <w:b w:val="1"/>
                <w:bCs w:val="1"/>
                <w:color w:val="auto"/>
              </w:rPr>
              <w:t>Carrying Value</w:t>
            </w:r>
          </w:p>
        </w:tc>
        <w:tc>
          <w:tcPr>
            <w:tcW w:w="1240" w:type="dxa"/>
            <w:vAlign w:val="bottom"/>
            <w:tcBorders>
              <w:bottom w:val="single" w:sz="8" w:color="2C6937"/>
            </w:tcBorders>
            <w:gridSpan w:val="3"/>
          </w:tcPr>
          <w:p>
            <w:pPr>
              <w:jc w:val="center"/>
              <w:ind w:right="120"/>
              <w:spacing w:after="0"/>
              <w:rPr>
                <w:sz w:val="20"/>
                <w:szCs w:val="20"/>
                <w:color w:val="auto"/>
              </w:rPr>
            </w:pPr>
            <w:r>
              <w:rPr>
                <w:rFonts w:ascii="Arial" w:cs="Arial" w:eastAsia="Arial" w:hAnsi="Arial"/>
                <w:sz w:val="14"/>
                <w:szCs w:val="14"/>
                <w:b w:val="1"/>
                <w:bCs w:val="1"/>
                <w:color w:val="auto"/>
                <w:w w:val="97"/>
              </w:rPr>
              <w:t>Assets (Level 1)</w:t>
            </w:r>
          </w:p>
        </w:tc>
        <w:tc>
          <w:tcPr>
            <w:tcW w:w="80" w:type="dxa"/>
            <w:vAlign w:val="bottom"/>
            <w:tcBorders>
              <w:bottom w:val="single" w:sz="8" w:color="2C6937"/>
            </w:tcBorders>
          </w:tcPr>
          <w:p>
            <w:pPr>
              <w:spacing w:after="0"/>
              <w:rPr>
                <w:sz w:val="17"/>
                <w:szCs w:val="17"/>
                <w:color w:val="auto"/>
              </w:rPr>
            </w:pPr>
          </w:p>
        </w:tc>
        <w:tc>
          <w:tcPr>
            <w:tcW w:w="1220" w:type="dxa"/>
            <w:vAlign w:val="bottom"/>
            <w:tcBorders>
              <w:bottom w:val="single" w:sz="8" w:color="2C6937"/>
            </w:tcBorders>
            <w:gridSpan w:val="2"/>
          </w:tcPr>
          <w:p>
            <w:pPr>
              <w:jc w:val="center"/>
              <w:ind w:right="180"/>
              <w:spacing w:after="0"/>
              <w:rPr>
                <w:sz w:val="20"/>
                <w:szCs w:val="20"/>
                <w:color w:val="auto"/>
              </w:rPr>
            </w:pPr>
            <w:r>
              <w:rPr>
                <w:rFonts w:ascii="Arial" w:cs="Arial" w:eastAsia="Arial" w:hAnsi="Arial"/>
                <w:sz w:val="14"/>
                <w:szCs w:val="14"/>
                <w:b w:val="1"/>
                <w:bCs w:val="1"/>
                <w:color w:val="auto"/>
                <w:w w:val="97"/>
              </w:rPr>
              <w:t>Inputs (Level 2)</w:t>
            </w:r>
          </w:p>
        </w:tc>
        <w:tc>
          <w:tcPr>
            <w:tcW w:w="160" w:type="dxa"/>
            <w:vAlign w:val="bottom"/>
            <w:tcBorders>
              <w:bottom w:val="single" w:sz="8" w:color="2C6937"/>
            </w:tcBorders>
          </w:tcPr>
          <w:p>
            <w:pPr>
              <w:spacing w:after="0"/>
              <w:rPr>
                <w:sz w:val="17"/>
                <w:szCs w:val="17"/>
                <w:color w:val="auto"/>
              </w:rPr>
            </w:pPr>
          </w:p>
        </w:tc>
        <w:tc>
          <w:tcPr>
            <w:tcW w:w="1280" w:type="dxa"/>
            <w:vAlign w:val="bottom"/>
            <w:tcBorders>
              <w:bottom w:val="single" w:sz="8" w:color="2C6937"/>
            </w:tcBorders>
            <w:gridSpan w:val="2"/>
          </w:tcPr>
          <w:p>
            <w:pPr>
              <w:jc w:val="center"/>
              <w:ind w:right="280"/>
              <w:spacing w:after="0"/>
              <w:rPr>
                <w:sz w:val="20"/>
                <w:szCs w:val="20"/>
                <w:color w:val="auto"/>
              </w:rPr>
            </w:pPr>
            <w:r>
              <w:rPr>
                <w:rFonts w:ascii="Arial" w:cs="Arial" w:eastAsia="Arial" w:hAnsi="Arial"/>
                <w:sz w:val="14"/>
                <w:szCs w:val="14"/>
                <w:b w:val="1"/>
                <w:bCs w:val="1"/>
                <w:color w:val="auto"/>
                <w:w w:val="98"/>
              </w:rPr>
              <w:t>(Level 3)</w:t>
            </w:r>
          </w:p>
        </w:tc>
        <w:tc>
          <w:tcPr>
            <w:tcW w:w="140" w:type="dxa"/>
            <w:vAlign w:val="bottom"/>
            <w:tcBorders>
              <w:bottom w:val="single" w:sz="8" w:color="2C6937"/>
            </w:tcBorders>
          </w:tcPr>
          <w:p>
            <w:pPr>
              <w:spacing w:after="0"/>
              <w:rPr>
                <w:sz w:val="17"/>
                <w:szCs w:val="17"/>
                <w:color w:val="auto"/>
              </w:rPr>
            </w:pPr>
          </w:p>
        </w:tc>
        <w:tc>
          <w:tcPr>
            <w:tcW w:w="1080" w:type="dxa"/>
            <w:vAlign w:val="bottom"/>
            <w:tcBorders>
              <w:bottom w:val="single" w:sz="8" w:color="2C6937"/>
            </w:tcBorders>
            <w:gridSpan w:val="2"/>
          </w:tcPr>
          <w:p>
            <w:pPr>
              <w:ind w:left="40"/>
              <w:spacing w:after="0"/>
              <w:rPr>
                <w:sz w:val="20"/>
                <w:szCs w:val="20"/>
                <w:color w:val="auto"/>
              </w:rPr>
            </w:pPr>
            <w:r>
              <w:rPr>
                <w:rFonts w:ascii="Arial" w:cs="Arial" w:eastAsia="Arial" w:hAnsi="Arial"/>
                <w:sz w:val="14"/>
                <w:szCs w:val="14"/>
                <w:b w:val="1"/>
                <w:bCs w:val="1"/>
                <w:color w:val="auto"/>
              </w:rPr>
              <w:t>Adjustment</w:t>
            </w:r>
          </w:p>
        </w:tc>
        <w:tc>
          <w:tcPr>
            <w:tcW w:w="120" w:type="dxa"/>
            <w:vAlign w:val="bottom"/>
            <w:tcBorders>
              <w:bottom w:val="single" w:sz="8" w:color="2C6937"/>
            </w:tcBorders>
          </w:tcPr>
          <w:p>
            <w:pPr>
              <w:spacing w:after="0"/>
              <w:rPr>
                <w:sz w:val="17"/>
                <w:szCs w:val="17"/>
                <w:color w:val="auto"/>
              </w:rPr>
            </w:pPr>
          </w:p>
        </w:tc>
        <w:tc>
          <w:tcPr>
            <w:tcW w:w="1080" w:type="dxa"/>
            <w:vAlign w:val="bottom"/>
            <w:tcBorders>
              <w:bottom w:val="single" w:sz="8" w:color="2C6937"/>
            </w:tcBorders>
          </w:tcPr>
          <w:p>
            <w:pPr>
              <w:jc w:val="right"/>
              <w:ind w:right="351"/>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5"/>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8"/>
              </w:rPr>
              <w:t>(Dollars in millions)</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58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Financial assets:</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Cash and cash equivalents, including restricted cash</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580" w:type="dxa"/>
            <w:vAlign w:val="bottom"/>
            <w:gridSpan w:val="2"/>
          </w:tcPr>
          <w:p>
            <w:pPr>
              <w:ind w:left="220"/>
              <w:spacing w:after="0"/>
              <w:rPr>
                <w:sz w:val="20"/>
                <w:szCs w:val="20"/>
                <w:color w:val="auto"/>
              </w:rPr>
            </w:pPr>
            <w:r>
              <w:rPr>
                <w:rFonts w:ascii="Arial" w:cs="Arial" w:eastAsia="Arial" w:hAnsi="Arial"/>
                <w:sz w:val="14"/>
                <w:szCs w:val="14"/>
                <w:color w:val="auto"/>
              </w:rPr>
              <w:t>and cash equivalents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68,706</w:t>
            </w:r>
          </w:p>
        </w:tc>
        <w:tc>
          <w:tcPr>
            <w:tcW w:w="10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33,981</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34,725</w:t>
            </w:r>
          </w:p>
        </w:tc>
        <w:tc>
          <w:tcPr>
            <w:tcW w:w="100" w:type="dxa"/>
            <w:vAlign w:val="bottom"/>
          </w:tcPr>
          <w:p>
            <w:pPr>
              <w:spacing w:after="0"/>
              <w:rPr>
                <w:sz w:val="16"/>
                <w:szCs w:val="16"/>
                <w:color w:val="auto"/>
              </w:rPr>
            </w:pPr>
          </w:p>
        </w:tc>
        <w:tc>
          <w:tcPr>
            <w:tcW w:w="160" w:type="dxa"/>
            <w:vAlign w:val="bottom"/>
          </w:tcPr>
          <w:p>
            <w:pPr>
              <w:jc w:val="center"/>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68,706</w:t>
            </w:r>
          </w:p>
        </w:tc>
        <w:tc>
          <w:tcPr>
            <w:tcW w:w="0" w:type="dxa"/>
            <w:vAlign w:val="bottom"/>
          </w:tcPr>
          <w:p>
            <w:pPr>
              <w:spacing w:after="0"/>
              <w:rPr>
                <w:sz w:val="1"/>
                <w:szCs w:val="1"/>
                <w:color w:val="auto"/>
              </w:rPr>
            </w:pPr>
          </w:p>
        </w:tc>
      </w:tr>
      <w:tr>
        <w:trPr>
          <w:trHeight w:val="219"/>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Securities purchased under agreements to resell</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30,700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30,700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30,700</w:t>
            </w:r>
          </w:p>
        </w:tc>
        <w:tc>
          <w:tcPr>
            <w:tcW w:w="0" w:type="dxa"/>
            <w:vAlign w:val="bottom"/>
          </w:tcPr>
          <w:p>
            <w:pPr>
              <w:spacing w:after="0"/>
              <w:rPr>
                <w:sz w:val="1"/>
                <w:szCs w:val="1"/>
                <w:color w:val="auto"/>
              </w:rPr>
            </w:pPr>
          </w:p>
        </w:tc>
      </w:tr>
      <w:tr>
        <w:trPr>
          <w:trHeight w:val="219"/>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Trading securities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52,552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47,764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4,762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52,552</w:t>
            </w:r>
          </w:p>
        </w:tc>
        <w:tc>
          <w:tcPr>
            <w:tcW w:w="0" w:type="dxa"/>
            <w:vAlign w:val="bottom"/>
          </w:tcPr>
          <w:p>
            <w:pPr>
              <w:spacing w:after="0"/>
              <w:rPr>
                <w:sz w:val="1"/>
                <w:szCs w:val="1"/>
                <w:color w:val="auto"/>
              </w:rPr>
            </w:pPr>
          </w:p>
        </w:tc>
      </w:tr>
      <w:tr>
        <w:trPr>
          <w:trHeight w:val="219"/>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Available-for-sale securities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564</w:t>
            </w:r>
          </w:p>
        </w:tc>
        <w:tc>
          <w:tcPr>
            <w:tcW w:w="0" w:type="dxa"/>
            <w:vAlign w:val="bottom"/>
          </w:tcPr>
          <w:p>
            <w:pPr>
              <w:spacing w:after="0"/>
              <w:rPr>
                <w:sz w:val="1"/>
                <w:szCs w:val="1"/>
                <w:color w:val="auto"/>
              </w:rPr>
            </w:pPr>
          </w:p>
        </w:tc>
      </w:tr>
      <w:tr>
        <w:trPr>
          <w:trHeight w:val="219"/>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Mortgage loans held for sale</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2,196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2,289</w:t>
            </w:r>
          </w:p>
        </w:tc>
        <w:tc>
          <w:tcPr>
            <w:tcW w:w="0" w:type="dxa"/>
            <w:vAlign w:val="bottom"/>
          </w:tcPr>
          <w:p>
            <w:pPr>
              <w:spacing w:after="0"/>
              <w:rPr>
                <w:sz w:val="1"/>
                <w:szCs w:val="1"/>
                <w:color w:val="auto"/>
              </w:rPr>
            </w:pPr>
          </w:p>
        </w:tc>
      </w:tr>
      <w:tr>
        <w:trPr>
          <w:trHeight w:val="193"/>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Mortgage loans held for investment, net of allowance</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580" w:type="dxa"/>
            <w:vAlign w:val="bottom"/>
            <w:gridSpan w:val="2"/>
          </w:tcPr>
          <w:p>
            <w:pPr>
              <w:ind w:left="220"/>
              <w:spacing w:after="0"/>
              <w:rPr>
                <w:sz w:val="20"/>
                <w:szCs w:val="20"/>
                <w:color w:val="auto"/>
              </w:rPr>
            </w:pPr>
            <w:r>
              <w:rPr>
                <w:rFonts w:ascii="Arial" w:cs="Arial" w:eastAsia="Arial" w:hAnsi="Arial"/>
                <w:sz w:val="14"/>
                <w:szCs w:val="14"/>
                <w:color w:val="auto"/>
              </w:rPr>
              <w:t>for loan losses</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4,133,482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3,571,555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130,022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3,701,577</w:t>
            </w:r>
          </w:p>
        </w:tc>
        <w:tc>
          <w:tcPr>
            <w:tcW w:w="0" w:type="dxa"/>
            <w:vAlign w:val="bottom"/>
          </w:tcPr>
          <w:p>
            <w:pPr>
              <w:spacing w:after="0"/>
              <w:rPr>
                <w:sz w:val="1"/>
                <w:szCs w:val="1"/>
                <w:color w:val="auto"/>
              </w:rPr>
            </w:pPr>
          </w:p>
        </w:tc>
      </w:tr>
      <w:tr>
        <w:trPr>
          <w:trHeight w:val="219"/>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Advances to lenders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1,389</w:t>
            </w:r>
          </w:p>
        </w:tc>
        <w:tc>
          <w:tcPr>
            <w:tcW w:w="0" w:type="dxa"/>
            <w:vAlign w:val="bottom"/>
          </w:tcPr>
          <w:p>
            <w:pPr>
              <w:spacing w:after="0"/>
              <w:rPr>
                <w:sz w:val="1"/>
                <w:szCs w:val="1"/>
                <w:color w:val="auto"/>
              </w:rPr>
            </w:pPr>
          </w:p>
        </w:tc>
      </w:tr>
      <w:tr>
        <w:trPr>
          <w:trHeight w:val="219"/>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Derivative assets at fair value</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223"/>
        </w:trPr>
        <w:tc>
          <w:tcPr>
            <w:tcW w:w="348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Guaranty assets and buy-ups</w:t>
            </w:r>
          </w:p>
        </w:tc>
        <w:tc>
          <w:tcPr>
            <w:tcW w:w="100" w:type="dxa"/>
            <w:vAlign w:val="bottom"/>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10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80" w:type="dxa"/>
            <w:vAlign w:val="bottom"/>
            <w:tcBorders>
              <w:bottom w:val="single" w:sz="8" w:color="2C6937"/>
            </w:tcBorders>
          </w:tcPr>
          <w:p>
            <w:pPr>
              <w:spacing w:after="0"/>
              <w:rPr>
                <w:sz w:val="19"/>
                <w:szCs w:val="19"/>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11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980" w:type="dxa"/>
            <w:vAlign w:val="bottom"/>
            <w:tcBorders>
              <w:bottom w:val="single" w:sz="8" w:color="2C6937"/>
            </w:tcBorders>
          </w:tcPr>
          <w:p>
            <w:pPr>
              <w:ind w:left="7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2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212"/>
        </w:trPr>
        <w:tc>
          <w:tcPr>
            <w:tcW w:w="348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Total financial assets</w:t>
            </w:r>
          </w:p>
        </w:tc>
        <w:tc>
          <w:tcPr>
            <w:tcW w:w="100" w:type="dxa"/>
            <w:vAlign w:val="bottom"/>
          </w:tcPr>
          <w:p>
            <w:pPr>
              <w:spacing w:after="0"/>
              <w:rPr>
                <w:sz w:val="18"/>
                <w:szCs w:val="18"/>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4,289,817</w:t>
            </w:r>
          </w:p>
        </w:tc>
        <w:tc>
          <w:tcPr>
            <w:tcW w:w="100" w:type="dxa"/>
            <w:vAlign w:val="bottom"/>
          </w:tcPr>
          <w:p>
            <w:pPr>
              <w:spacing w:after="0"/>
              <w:rPr>
                <w:sz w:val="18"/>
                <w:szCs w:val="18"/>
                <w:color w:val="auto"/>
              </w:rPr>
            </w:pPr>
          </w:p>
        </w:tc>
        <w:tc>
          <w:tcPr>
            <w:tcW w:w="1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81,745</w:t>
            </w:r>
          </w:p>
        </w:tc>
        <w:tc>
          <w:tcPr>
            <w:tcW w:w="100" w:type="dxa"/>
            <w:vAlign w:val="bottom"/>
          </w:tcPr>
          <w:p>
            <w:pPr>
              <w:spacing w:after="0"/>
              <w:rPr>
                <w:sz w:val="18"/>
                <w:szCs w:val="18"/>
                <w:color w:val="auto"/>
              </w:rPr>
            </w:pPr>
          </w:p>
        </w:tc>
        <w:tc>
          <w:tcPr>
            <w:tcW w:w="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3,643,669</w:t>
            </w:r>
          </w:p>
        </w:tc>
        <w:tc>
          <w:tcPr>
            <w:tcW w:w="100" w:type="dxa"/>
            <w:vAlign w:val="bottom"/>
          </w:tcPr>
          <w:p>
            <w:pPr>
              <w:spacing w:after="0"/>
              <w:rPr>
                <w:sz w:val="18"/>
                <w:szCs w:val="18"/>
                <w:color w:val="auto"/>
              </w:rPr>
            </w:pPr>
          </w:p>
        </w:tc>
        <w:tc>
          <w:tcPr>
            <w:tcW w:w="1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133,003</w:t>
            </w:r>
          </w:p>
        </w:tc>
        <w:tc>
          <w:tcPr>
            <w:tcW w:w="100" w:type="dxa"/>
            <w:vAlign w:val="bottom"/>
          </w:tcPr>
          <w:p>
            <w:pPr>
              <w:spacing w:after="0"/>
              <w:rPr>
                <w:sz w:val="18"/>
                <w:szCs w:val="18"/>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(283)</w:t>
            </w:r>
          </w:p>
        </w:tc>
        <w:tc>
          <w:tcPr>
            <w:tcW w:w="100" w:type="dxa"/>
            <w:vAlign w:val="bottom"/>
          </w:tcPr>
          <w:p>
            <w:pPr>
              <w:spacing w:after="0"/>
              <w:rPr>
                <w:sz w:val="18"/>
                <w:szCs w:val="18"/>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3,858,134</w:t>
            </w:r>
          </w:p>
        </w:tc>
        <w:tc>
          <w:tcPr>
            <w:tcW w:w="0" w:type="dxa"/>
            <w:vAlign w:val="bottom"/>
          </w:tcPr>
          <w:p>
            <w:pPr>
              <w:spacing w:after="0"/>
              <w:rPr>
                <w:sz w:val="1"/>
                <w:szCs w:val="1"/>
                <w:color w:val="auto"/>
              </w:rPr>
            </w:pPr>
          </w:p>
        </w:tc>
      </w:tr>
      <w:tr>
        <w:trPr>
          <w:trHeight w:val="22"/>
        </w:trPr>
        <w:tc>
          <w:tcPr>
            <w:tcW w:w="34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0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10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2C6937"/>
            </w:tcBorders>
          </w:tcPr>
          <w:p>
            <w:pPr>
              <w:spacing w:after="0" w:line="20" w:lineRule="exact"/>
              <w:rPr>
                <w:sz w:val="1"/>
                <w:szCs w:val="1"/>
                <w:color w:val="auto"/>
              </w:rPr>
            </w:pPr>
          </w:p>
        </w:tc>
        <w:tc>
          <w:tcPr>
            <w:tcW w:w="11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11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9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1080" w:type="dxa"/>
            <w:vAlign w:val="bottom"/>
            <w:tcBorders>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2"/>
        </w:trPr>
        <w:tc>
          <w:tcPr>
            <w:tcW w:w="358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Financial liabilities:</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Short-term debt:</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580" w:type="dxa"/>
            <w:vAlign w:val="bottom"/>
            <w:gridSpan w:val="2"/>
          </w:tcPr>
          <w:p>
            <w:pPr>
              <w:ind w:left="220"/>
              <w:spacing w:after="0"/>
              <w:rPr>
                <w:sz w:val="20"/>
                <w:szCs w:val="20"/>
                <w:color w:val="auto"/>
              </w:rPr>
            </w:pPr>
            <w:r>
              <w:rPr>
                <w:rFonts w:ascii="Arial" w:cs="Arial" w:eastAsia="Arial" w:hAnsi="Arial"/>
                <w:sz w:val="14"/>
                <w:szCs w:val="14"/>
                <w:color w:val="auto"/>
              </w:rPr>
              <w:t>Of Fannie Mae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17,314</w:t>
            </w:r>
          </w:p>
        </w:tc>
        <w:tc>
          <w:tcPr>
            <w:tcW w:w="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17,317</w:t>
            </w:r>
          </w:p>
        </w:tc>
        <w:tc>
          <w:tcPr>
            <w:tcW w:w="100" w:type="dxa"/>
            <w:vAlign w:val="bottom"/>
          </w:tcPr>
          <w:p>
            <w:pPr>
              <w:spacing w:after="0"/>
              <w:rPr>
                <w:sz w:val="20"/>
                <w:szCs w:val="20"/>
                <w:color w:val="auto"/>
              </w:rPr>
            </w:pPr>
          </w:p>
        </w:tc>
        <w:tc>
          <w:tcPr>
            <w:tcW w:w="160" w:type="dxa"/>
            <w:vAlign w:val="bottom"/>
          </w:tcPr>
          <w:p>
            <w:pPr>
              <w:jc w:val="center"/>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17,317</w:t>
            </w:r>
          </w:p>
        </w:tc>
        <w:tc>
          <w:tcPr>
            <w:tcW w:w="0" w:type="dxa"/>
            <w:vAlign w:val="bottom"/>
          </w:tcPr>
          <w:p>
            <w:pPr>
              <w:spacing w:after="0"/>
              <w:rPr>
                <w:sz w:val="1"/>
                <w:szCs w:val="1"/>
                <w:color w:val="auto"/>
              </w:rPr>
            </w:pPr>
          </w:p>
        </w:tc>
      </w:tr>
      <w:tr>
        <w:trPr>
          <w:trHeight w:val="206"/>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Long-term debt:</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580" w:type="dxa"/>
            <w:vAlign w:val="bottom"/>
            <w:gridSpan w:val="2"/>
          </w:tcPr>
          <w:p>
            <w:pPr>
              <w:ind w:left="220"/>
              <w:spacing w:after="0"/>
              <w:rPr>
                <w:sz w:val="20"/>
                <w:szCs w:val="20"/>
                <w:color w:val="auto"/>
              </w:rPr>
            </w:pPr>
            <w:r>
              <w:rPr>
                <w:rFonts w:ascii="Arial" w:cs="Arial" w:eastAsia="Arial" w:hAnsi="Arial"/>
                <w:sz w:val="14"/>
                <w:szCs w:val="14"/>
                <w:color w:val="auto"/>
              </w:rPr>
              <w:t>Of Fannie Mae</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106,751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106,701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605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107,306</w:t>
            </w:r>
          </w:p>
        </w:tc>
        <w:tc>
          <w:tcPr>
            <w:tcW w:w="0" w:type="dxa"/>
            <w:vAlign w:val="bottom"/>
          </w:tcPr>
          <w:p>
            <w:pPr>
              <w:spacing w:after="0"/>
              <w:rPr>
                <w:sz w:val="1"/>
                <w:szCs w:val="1"/>
                <w:color w:val="auto"/>
              </w:rPr>
            </w:pPr>
          </w:p>
        </w:tc>
      </w:tr>
      <w:tr>
        <w:trPr>
          <w:trHeight w:val="219"/>
        </w:trPr>
        <w:tc>
          <w:tcPr>
            <w:tcW w:w="3580" w:type="dxa"/>
            <w:vAlign w:val="bottom"/>
            <w:gridSpan w:val="2"/>
          </w:tcPr>
          <w:p>
            <w:pPr>
              <w:ind w:left="220"/>
              <w:spacing w:after="0"/>
              <w:rPr>
                <w:sz w:val="20"/>
                <w:szCs w:val="20"/>
                <w:color w:val="auto"/>
              </w:rPr>
            </w:pPr>
            <w:r>
              <w:rPr>
                <w:rFonts w:ascii="Arial" w:cs="Arial" w:eastAsia="Arial" w:hAnsi="Arial"/>
                <w:sz w:val="14"/>
                <w:szCs w:val="14"/>
                <w:color w:val="auto"/>
              </w:rPr>
              <w:t>Of consolidated trusts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4,098,653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3,633,157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3,633,450</w:t>
            </w:r>
          </w:p>
        </w:tc>
        <w:tc>
          <w:tcPr>
            <w:tcW w:w="0" w:type="dxa"/>
            <w:vAlign w:val="bottom"/>
          </w:tcPr>
          <w:p>
            <w:pPr>
              <w:spacing w:after="0"/>
              <w:rPr>
                <w:sz w:val="1"/>
                <w:szCs w:val="1"/>
                <w:color w:val="auto"/>
              </w:rPr>
            </w:pPr>
          </w:p>
        </w:tc>
      </w:tr>
      <w:tr>
        <w:trPr>
          <w:trHeight w:val="193"/>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Derivative liabilities at fair value</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3,327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(3,200)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97"/>
        </w:trPr>
        <w:tc>
          <w:tcPr>
            <w:tcW w:w="348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Guaranty obligations</w:t>
            </w: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0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1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tcPr>
          <w:p>
            <w:pPr>
              <w:ind w:left="7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12"/>
        </w:trPr>
        <w:tc>
          <w:tcPr>
            <w:tcW w:w="3580" w:type="dxa"/>
            <w:vAlign w:val="bottom"/>
            <w:gridSpan w:val="2"/>
          </w:tcPr>
          <w:p>
            <w:pPr>
              <w:ind w:left="20"/>
              <w:spacing w:after="0"/>
              <w:rPr>
                <w:sz w:val="20"/>
                <w:szCs w:val="20"/>
                <w:color w:val="auto"/>
              </w:rPr>
            </w:pPr>
            <w:r>
              <w:rPr>
                <w:rFonts w:ascii="Arial" w:cs="Arial" w:eastAsia="Arial" w:hAnsi="Arial"/>
                <w:sz w:val="14"/>
                <w:szCs w:val="14"/>
                <w:color w:val="auto"/>
              </w:rPr>
              <w:t>Total financial liabilities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4,222,937</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3,760,502</w:t>
            </w:r>
          </w:p>
        </w:tc>
        <w:tc>
          <w:tcPr>
            <w:tcW w:w="10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976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(3,200)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3,758,278</w:t>
            </w:r>
          </w:p>
        </w:tc>
        <w:tc>
          <w:tcPr>
            <w:tcW w:w="0" w:type="dxa"/>
            <w:vAlign w:val="bottom"/>
          </w:tcPr>
          <w:p>
            <w:pPr>
              <w:spacing w:after="0"/>
              <w:rPr>
                <w:sz w:val="1"/>
                <w:szCs w:val="1"/>
                <w:color w:val="auto"/>
              </w:rPr>
            </w:pPr>
          </w:p>
        </w:tc>
      </w:tr>
      <w:tr>
        <w:trPr>
          <w:trHeight w:val="22"/>
        </w:trPr>
        <w:tc>
          <w:tcPr>
            <w:tcW w:w="34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0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0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2C6937"/>
              <w:bottom w:val="single" w:sz="8" w:color="2C6937"/>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11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08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For a detailed description and classification of our financial instruments, see “Note 16, Fair Value” in our 2023 Form 10-K.</w:t>
      </w:r>
    </w:p>
    <w:p>
      <w:pPr>
        <w:spacing w:after="0" w:line="146"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Fair Value Option</w:t>
      </w:r>
    </w:p>
    <w:p>
      <w:pPr>
        <w:spacing w:after="0" w:line="68" w:lineRule="exact"/>
        <w:rPr>
          <w:sz w:val="20"/>
          <w:szCs w:val="20"/>
          <w:color w:val="auto"/>
        </w:rPr>
      </w:pPr>
    </w:p>
    <w:p>
      <w:pPr>
        <w:ind w:right="120"/>
        <w:spacing w:after="0" w:line="272" w:lineRule="auto"/>
        <w:rPr>
          <w:sz w:val="20"/>
          <w:szCs w:val="20"/>
          <w:color w:val="auto"/>
        </w:rPr>
      </w:pPr>
      <w:r>
        <w:rPr>
          <w:rFonts w:ascii="Arial" w:cs="Arial" w:eastAsia="Arial" w:hAnsi="Arial"/>
          <w:sz w:val="16"/>
          <w:szCs w:val="16"/>
          <w:color w:val="auto"/>
        </w:rPr>
        <w:t>We generally elect the fair value option on a financial instrument when the accounting guidance would otherwise require us to separately account for a derivative that is embedded in an instrument at fair value. Under the fair value option, we carry this type of instrument, in its entirety, at fair value instead of separately accounting for the derivative.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income for the mortgage loans is recorded in “Interest income: Mortgage loans” and interest expense for the debt instruments is recorded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Long-term debt” in our condensed consolidated statements of operations and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382270</wp:posOffset>
            </wp:positionV>
            <wp:extent cx="680593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18" w:name="page119"/>
    <w:bookmarkEnd w:id="118"/>
    <w:p>
      <w:pPr>
        <w:ind w:left="6980"/>
        <w:spacing w:after="0"/>
        <w:rPr>
          <w:sz w:val="20"/>
          <w:szCs w:val="20"/>
          <w:color w:val="auto"/>
        </w:rPr>
      </w:pPr>
      <w:r>
        <w:rPr>
          <w:rFonts w:ascii="Arial" w:cs="Arial" w:eastAsia="Arial" w:hAnsi="Arial"/>
          <w:sz w:val="14"/>
          <w:szCs w:val="14"/>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displays the fair value and unpaid principal balance of the financial instruments for which we have elected the fair value option.</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248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360" w:type="dxa"/>
            <w:vAlign w:val="bottom"/>
            <w:tcBorders>
              <w:bottom w:val="single" w:sz="8" w:color="2C6937"/>
            </w:tcBorders>
          </w:tcPr>
          <w:p>
            <w:pPr>
              <w:spacing w:after="0"/>
              <w:rPr>
                <w:sz w:val="16"/>
                <w:szCs w:val="16"/>
                <w:color w:val="auto"/>
              </w:rPr>
            </w:pPr>
          </w:p>
        </w:tc>
        <w:tc>
          <w:tcPr>
            <w:tcW w:w="1200" w:type="dxa"/>
            <w:vAlign w:val="bottom"/>
            <w:tcBorders>
              <w:bottom w:val="single" w:sz="8" w:color="2C6937"/>
            </w:tcBorders>
          </w:tcPr>
          <w:p>
            <w:pPr>
              <w:spacing w:after="0"/>
              <w:rPr>
                <w:sz w:val="16"/>
                <w:szCs w:val="16"/>
                <w:color w:val="auto"/>
              </w:rPr>
            </w:pPr>
          </w:p>
        </w:tc>
        <w:tc>
          <w:tcPr>
            <w:tcW w:w="48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c>
          <w:tcPr>
            <w:tcW w:w="500" w:type="dxa"/>
            <w:vAlign w:val="bottom"/>
            <w:tcBorders>
              <w:bottom w:val="single" w:sz="8" w:color="2C6937"/>
            </w:tcBorders>
            <w:gridSpan w:val="3"/>
          </w:tcPr>
          <w:p>
            <w:pPr>
              <w:jc w:val="center"/>
              <w:ind w:right="160"/>
              <w:spacing w:after="0"/>
              <w:rPr>
                <w:sz w:val="20"/>
                <w:szCs w:val="20"/>
                <w:color w:val="auto"/>
              </w:rPr>
            </w:pPr>
            <w:r>
              <w:rPr>
                <w:rFonts w:ascii="Arial" w:cs="Arial" w:eastAsia="Arial" w:hAnsi="Arial"/>
                <w:sz w:val="14"/>
                <w:szCs w:val="14"/>
                <w:b w:val="1"/>
                <w:bCs w:val="1"/>
                <w:color w:val="auto"/>
                <w:w w:val="97"/>
              </w:rPr>
              <w:t>As of</w:t>
            </w:r>
          </w:p>
        </w:tc>
        <w:tc>
          <w:tcPr>
            <w:tcW w:w="980" w:type="dxa"/>
            <w:vAlign w:val="bottom"/>
            <w:tcBorders>
              <w:bottom w:val="single" w:sz="8" w:color="2C6937"/>
            </w:tcBorders>
          </w:tcPr>
          <w:p>
            <w:pPr>
              <w:spacing w:after="0"/>
              <w:rPr>
                <w:sz w:val="16"/>
                <w:szCs w:val="16"/>
                <w:color w:val="auto"/>
              </w:rPr>
            </w:pPr>
          </w:p>
        </w:tc>
        <w:tc>
          <w:tcPr>
            <w:tcW w:w="360" w:type="dxa"/>
            <w:vAlign w:val="bottom"/>
            <w:tcBorders>
              <w:bottom w:val="single" w:sz="8" w:color="2C6937"/>
            </w:tcBorders>
          </w:tcPr>
          <w:p>
            <w:pPr>
              <w:spacing w:after="0"/>
              <w:rPr>
                <w:sz w:val="16"/>
                <w:szCs w:val="16"/>
                <w:color w:val="auto"/>
              </w:rPr>
            </w:pPr>
          </w:p>
        </w:tc>
        <w:tc>
          <w:tcPr>
            <w:tcW w:w="1220" w:type="dxa"/>
            <w:vAlign w:val="bottom"/>
            <w:tcBorders>
              <w:bottom w:val="single" w:sz="8" w:color="2C6937"/>
            </w:tcBorders>
          </w:tcPr>
          <w:p>
            <w:pPr>
              <w:spacing w:after="0"/>
              <w:rPr>
                <w:sz w:val="16"/>
                <w:szCs w:val="16"/>
                <w:color w:val="auto"/>
              </w:rPr>
            </w:pPr>
          </w:p>
        </w:tc>
        <w:tc>
          <w:tcPr>
            <w:tcW w:w="5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8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1560" w:type="dxa"/>
            <w:vAlign w:val="bottom"/>
            <w:tcBorders>
              <w:bottom w:val="single" w:sz="8" w:color="2C6937"/>
            </w:tcBorders>
            <w:gridSpan w:val="2"/>
          </w:tcPr>
          <w:p>
            <w:pPr>
              <w:ind w:left="220"/>
              <w:spacing w:after="0"/>
              <w:rPr>
                <w:sz w:val="20"/>
                <w:szCs w:val="20"/>
                <w:color w:val="auto"/>
              </w:rPr>
            </w:pPr>
            <w:r>
              <w:rPr>
                <w:rFonts w:ascii="Arial" w:cs="Arial" w:eastAsia="Arial" w:hAnsi="Arial"/>
                <w:sz w:val="14"/>
                <w:szCs w:val="14"/>
                <w:b w:val="1"/>
                <w:bCs w:val="1"/>
                <w:color w:val="auto"/>
              </w:rPr>
              <w:t>September 30, 2024</w:t>
            </w:r>
          </w:p>
        </w:tc>
        <w:tc>
          <w:tcPr>
            <w:tcW w:w="48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1580" w:type="dxa"/>
            <w:vAlign w:val="bottom"/>
            <w:tcBorders>
              <w:bottom w:val="single" w:sz="8" w:color="2C6937"/>
            </w:tcBorders>
            <w:gridSpan w:val="2"/>
          </w:tcPr>
          <w:p>
            <w:pPr>
              <w:jc w:val="right"/>
              <w:spacing w:after="0"/>
              <w:rPr>
                <w:sz w:val="20"/>
                <w:szCs w:val="20"/>
                <w:color w:val="auto"/>
              </w:rPr>
            </w:pPr>
            <w:r>
              <w:rPr>
                <w:rFonts w:ascii="Arial" w:cs="Arial" w:eastAsia="Arial" w:hAnsi="Arial"/>
                <w:sz w:val="14"/>
                <w:szCs w:val="14"/>
                <w:b w:val="1"/>
                <w:bCs w:val="1"/>
                <w:color w:val="auto"/>
              </w:rPr>
              <w:t>December 31, 2023</w:t>
            </w:r>
          </w:p>
        </w:tc>
        <w:tc>
          <w:tcPr>
            <w:tcW w:w="5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vMerge w:val="restart"/>
          </w:tcPr>
          <w:p>
            <w:pPr>
              <w:jc w:val="right"/>
              <w:ind w:right="306"/>
              <w:spacing w:after="0"/>
              <w:rPr>
                <w:sz w:val="20"/>
                <w:szCs w:val="20"/>
                <w:color w:val="auto"/>
              </w:rPr>
            </w:pPr>
            <w:r>
              <w:rPr>
                <w:rFonts w:ascii="Arial" w:cs="Arial" w:eastAsia="Arial" w:hAnsi="Arial"/>
                <w:sz w:val="14"/>
                <w:szCs w:val="14"/>
                <w:b w:val="1"/>
                <w:bCs w:val="1"/>
                <w:color w:val="auto"/>
              </w:rPr>
              <w:t>Loans</w:t>
            </w:r>
            <w:r>
              <w:rPr>
                <w:rFonts w:ascii="Arial" w:cs="Arial" w:eastAsia="Arial" w:hAnsi="Arial"/>
                <w:sz w:val="17"/>
                <w:szCs w:val="17"/>
                <w:b w:val="1"/>
                <w:bCs w:val="1"/>
                <w:color w:val="auto"/>
                <w:vertAlign w:val="superscript"/>
              </w:rPr>
              <w:t>(1)</w:t>
            </w:r>
          </w:p>
        </w:tc>
        <w:tc>
          <w:tcPr>
            <w:tcW w:w="1560" w:type="dxa"/>
            <w:vAlign w:val="bottom"/>
            <w:gridSpan w:val="2"/>
          </w:tcPr>
          <w:p>
            <w:pPr>
              <w:jc w:val="right"/>
              <w:ind w:right="126"/>
              <w:spacing w:after="0" w:line="139" w:lineRule="exact"/>
              <w:rPr>
                <w:sz w:val="20"/>
                <w:szCs w:val="20"/>
                <w:color w:val="auto"/>
              </w:rPr>
            </w:pPr>
            <w:r>
              <w:rPr>
                <w:rFonts w:ascii="Arial" w:cs="Arial" w:eastAsia="Arial" w:hAnsi="Arial"/>
                <w:sz w:val="14"/>
                <w:szCs w:val="14"/>
                <w:b w:val="1"/>
                <w:bCs w:val="1"/>
                <w:color w:val="auto"/>
              </w:rPr>
              <w:t>Long-Term Debt of</w:t>
            </w:r>
          </w:p>
        </w:tc>
        <w:tc>
          <w:tcPr>
            <w:tcW w:w="136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Long-Term Debt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vMerge w:val="restart"/>
          </w:tcPr>
          <w:p>
            <w:pPr>
              <w:jc w:val="right"/>
              <w:ind w:right="306"/>
              <w:spacing w:after="0"/>
              <w:rPr>
                <w:sz w:val="20"/>
                <w:szCs w:val="20"/>
                <w:color w:val="auto"/>
              </w:rPr>
            </w:pPr>
            <w:r>
              <w:rPr>
                <w:rFonts w:ascii="Arial" w:cs="Arial" w:eastAsia="Arial" w:hAnsi="Arial"/>
                <w:sz w:val="14"/>
                <w:szCs w:val="14"/>
                <w:b w:val="1"/>
                <w:bCs w:val="1"/>
                <w:color w:val="auto"/>
              </w:rPr>
              <w:t>Loans</w:t>
            </w:r>
            <w:r>
              <w:rPr>
                <w:rFonts w:ascii="Arial" w:cs="Arial" w:eastAsia="Arial" w:hAnsi="Arial"/>
                <w:sz w:val="17"/>
                <w:szCs w:val="17"/>
                <w:b w:val="1"/>
                <w:bCs w:val="1"/>
                <w:color w:val="auto"/>
                <w:vertAlign w:val="superscript"/>
              </w:rPr>
              <w:t>(1)</w:t>
            </w:r>
          </w:p>
        </w:tc>
        <w:tc>
          <w:tcPr>
            <w:tcW w:w="1580" w:type="dxa"/>
            <w:vAlign w:val="bottom"/>
            <w:gridSpan w:val="2"/>
          </w:tcPr>
          <w:p>
            <w:pPr>
              <w:jc w:val="right"/>
              <w:ind w:right="126"/>
              <w:spacing w:after="0" w:line="139" w:lineRule="exact"/>
              <w:rPr>
                <w:sz w:val="20"/>
                <w:szCs w:val="20"/>
                <w:color w:val="auto"/>
              </w:rPr>
            </w:pPr>
            <w:r>
              <w:rPr>
                <w:rFonts w:ascii="Arial" w:cs="Arial" w:eastAsia="Arial" w:hAnsi="Arial"/>
                <w:sz w:val="14"/>
                <w:szCs w:val="14"/>
                <w:b w:val="1"/>
                <w:bCs w:val="1"/>
                <w:color w:val="auto"/>
              </w:rPr>
              <w:t>Long-Term Debt of</w:t>
            </w:r>
          </w:p>
        </w:tc>
        <w:tc>
          <w:tcPr>
            <w:tcW w:w="1480" w:type="dxa"/>
            <w:vAlign w:val="bottom"/>
            <w:gridSpan w:val="2"/>
          </w:tcPr>
          <w:p>
            <w:pPr>
              <w:ind w:left="100"/>
              <w:spacing w:after="0" w:line="139" w:lineRule="exact"/>
              <w:rPr>
                <w:sz w:val="20"/>
                <w:szCs w:val="20"/>
                <w:color w:val="auto"/>
              </w:rPr>
            </w:pPr>
            <w:r>
              <w:rPr>
                <w:rFonts w:ascii="Arial" w:cs="Arial" w:eastAsia="Arial" w:hAnsi="Arial"/>
                <w:sz w:val="14"/>
                <w:szCs w:val="14"/>
                <w:b w:val="1"/>
                <w:bCs w:val="1"/>
                <w:color w:val="auto"/>
              </w:rPr>
              <w:t>Long-Term Debt of</w:t>
            </w:r>
          </w:p>
        </w:tc>
        <w:tc>
          <w:tcPr>
            <w:tcW w:w="0" w:type="dxa"/>
            <w:vAlign w:val="bottom"/>
          </w:tcPr>
          <w:p>
            <w:pPr>
              <w:spacing w:after="0"/>
              <w:rPr>
                <w:sz w:val="1"/>
                <w:szCs w:val="1"/>
                <w:color w:val="auto"/>
              </w:rPr>
            </w:pPr>
          </w:p>
        </w:tc>
      </w:tr>
      <w:tr>
        <w:trPr>
          <w:trHeight w:val="177"/>
        </w:trPr>
        <w:tc>
          <w:tcPr>
            <w:tcW w:w="2480" w:type="dxa"/>
            <w:vAlign w:val="bottom"/>
          </w:tcPr>
          <w:p>
            <w:pPr>
              <w:spacing w:after="0"/>
              <w:rPr>
                <w:sz w:val="15"/>
                <w:szCs w:val="15"/>
                <w:color w:val="auto"/>
              </w:rPr>
            </w:pPr>
          </w:p>
        </w:tc>
        <w:tc>
          <w:tcPr>
            <w:tcW w:w="300" w:type="dxa"/>
            <w:vAlign w:val="bottom"/>
            <w:tcBorders>
              <w:bottom w:val="single" w:sz="8" w:color="2C6937"/>
            </w:tcBorders>
          </w:tcPr>
          <w:p>
            <w:pPr>
              <w:spacing w:after="0"/>
              <w:rPr>
                <w:sz w:val="15"/>
                <w:szCs w:val="15"/>
                <w:color w:val="auto"/>
              </w:rPr>
            </w:pPr>
          </w:p>
        </w:tc>
        <w:tc>
          <w:tcPr>
            <w:tcW w:w="980" w:type="dxa"/>
            <w:vAlign w:val="bottom"/>
            <w:tcBorders>
              <w:bottom w:val="single" w:sz="8" w:color="2C6937"/>
            </w:tcBorders>
            <w:vMerge w:val="continue"/>
          </w:tcPr>
          <w:p>
            <w:pPr>
              <w:spacing w:after="0"/>
              <w:rPr>
                <w:sz w:val="15"/>
                <w:szCs w:val="15"/>
                <w:color w:val="auto"/>
              </w:rPr>
            </w:pPr>
          </w:p>
        </w:tc>
        <w:tc>
          <w:tcPr>
            <w:tcW w:w="36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tcPr>
          <w:p>
            <w:pPr>
              <w:jc w:val="right"/>
              <w:ind w:right="366"/>
              <w:spacing w:after="0"/>
              <w:rPr>
                <w:sz w:val="20"/>
                <w:szCs w:val="20"/>
                <w:color w:val="auto"/>
              </w:rPr>
            </w:pPr>
            <w:r>
              <w:rPr>
                <w:rFonts w:ascii="Arial" w:cs="Arial" w:eastAsia="Arial" w:hAnsi="Arial"/>
                <w:sz w:val="14"/>
                <w:szCs w:val="14"/>
                <w:b w:val="1"/>
                <w:bCs w:val="1"/>
                <w:color w:val="auto"/>
                <w:w w:val="96"/>
              </w:rPr>
              <w:t>Fannie Mae</w:t>
            </w:r>
          </w:p>
        </w:tc>
        <w:tc>
          <w:tcPr>
            <w:tcW w:w="1360" w:type="dxa"/>
            <w:vAlign w:val="bottom"/>
            <w:tcBorders>
              <w:bottom w:val="single" w:sz="8" w:color="2C6937"/>
            </w:tcBorders>
            <w:gridSpan w:val="2"/>
          </w:tcPr>
          <w:p>
            <w:pPr>
              <w:ind w:left="40"/>
              <w:spacing w:after="0"/>
              <w:rPr>
                <w:sz w:val="20"/>
                <w:szCs w:val="20"/>
                <w:color w:val="auto"/>
              </w:rPr>
            </w:pPr>
            <w:r>
              <w:rPr>
                <w:rFonts w:ascii="Arial" w:cs="Arial" w:eastAsia="Arial" w:hAnsi="Arial"/>
                <w:sz w:val="14"/>
                <w:szCs w:val="14"/>
                <w:b w:val="1"/>
                <w:bCs w:val="1"/>
                <w:color w:val="auto"/>
                <w:w w:val="96"/>
              </w:rPr>
              <w:t>Consolidated Trusts</w:t>
            </w:r>
          </w:p>
        </w:tc>
        <w:tc>
          <w:tcPr>
            <w:tcW w:w="100" w:type="dxa"/>
            <w:vAlign w:val="bottom"/>
            <w:tcBorders>
              <w:bottom w:val="single" w:sz="8" w:color="2C6937"/>
            </w:tcBorders>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300" w:type="dxa"/>
            <w:vAlign w:val="bottom"/>
            <w:tcBorders>
              <w:bottom w:val="single" w:sz="8" w:color="2C6937"/>
            </w:tcBorders>
          </w:tcPr>
          <w:p>
            <w:pPr>
              <w:spacing w:after="0"/>
              <w:rPr>
                <w:sz w:val="15"/>
                <w:szCs w:val="15"/>
                <w:color w:val="auto"/>
              </w:rPr>
            </w:pPr>
          </w:p>
        </w:tc>
        <w:tc>
          <w:tcPr>
            <w:tcW w:w="980" w:type="dxa"/>
            <w:vAlign w:val="bottom"/>
            <w:tcBorders>
              <w:bottom w:val="single" w:sz="8" w:color="2C6937"/>
            </w:tcBorders>
            <w:vMerge w:val="continue"/>
          </w:tcPr>
          <w:p>
            <w:pPr>
              <w:spacing w:after="0"/>
              <w:rPr>
                <w:sz w:val="15"/>
                <w:szCs w:val="15"/>
                <w:color w:val="auto"/>
              </w:rPr>
            </w:pPr>
          </w:p>
        </w:tc>
        <w:tc>
          <w:tcPr>
            <w:tcW w:w="36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tcPr>
          <w:p>
            <w:pPr>
              <w:jc w:val="right"/>
              <w:ind w:right="346"/>
              <w:spacing w:after="0"/>
              <w:rPr>
                <w:sz w:val="20"/>
                <w:szCs w:val="20"/>
                <w:color w:val="auto"/>
              </w:rPr>
            </w:pPr>
            <w:r>
              <w:rPr>
                <w:rFonts w:ascii="Arial" w:cs="Arial" w:eastAsia="Arial" w:hAnsi="Arial"/>
                <w:sz w:val="14"/>
                <w:szCs w:val="14"/>
                <w:b w:val="1"/>
                <w:bCs w:val="1"/>
                <w:color w:val="auto"/>
              </w:rPr>
              <w:t>Fannie Mae</w:t>
            </w:r>
          </w:p>
        </w:tc>
        <w:tc>
          <w:tcPr>
            <w:tcW w:w="1480" w:type="dxa"/>
            <w:vAlign w:val="bottom"/>
            <w:tcBorders>
              <w:bottom w:val="single" w:sz="8" w:color="2C6937"/>
            </w:tcBorders>
            <w:gridSpan w:val="2"/>
          </w:tcPr>
          <w:p>
            <w:pPr>
              <w:ind w:left="60"/>
              <w:spacing w:after="0"/>
              <w:rPr>
                <w:sz w:val="20"/>
                <w:szCs w:val="20"/>
                <w:color w:val="auto"/>
              </w:rPr>
            </w:pPr>
            <w:r>
              <w:rPr>
                <w:rFonts w:ascii="Arial" w:cs="Arial" w:eastAsia="Arial" w:hAnsi="Arial"/>
                <w:sz w:val="14"/>
                <w:szCs w:val="14"/>
                <w:b w:val="1"/>
                <w:bCs w:val="1"/>
                <w:color w:val="auto"/>
              </w:rPr>
              <w:t>Consolidated Trusts</w:t>
            </w:r>
          </w:p>
        </w:tc>
        <w:tc>
          <w:tcPr>
            <w:tcW w:w="0" w:type="dxa"/>
            <w:vAlign w:val="bottom"/>
          </w:tcPr>
          <w:p>
            <w:pPr>
              <w:spacing w:after="0"/>
              <w:rPr>
                <w:sz w:val="1"/>
                <w:szCs w:val="1"/>
                <w:color w:val="auto"/>
              </w:rPr>
            </w:pPr>
          </w:p>
        </w:tc>
      </w:tr>
      <w:tr>
        <w:trPr>
          <w:trHeight w:val="185"/>
        </w:trPr>
        <w:tc>
          <w:tcPr>
            <w:tcW w:w="2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360" w:type="dxa"/>
            <w:vAlign w:val="bottom"/>
            <w:gridSpan w:val="5"/>
          </w:tcPr>
          <w:p>
            <w:pPr>
              <w:jc w:val="center"/>
              <w:ind w:right="186"/>
              <w:spacing w:after="0"/>
              <w:rPr>
                <w:sz w:val="20"/>
                <w:szCs w:val="20"/>
                <w:color w:val="auto"/>
              </w:rPr>
            </w:pPr>
            <w:r>
              <w:rPr>
                <w:rFonts w:ascii="Arial" w:cs="Arial" w:eastAsia="Arial" w:hAnsi="Arial"/>
                <w:sz w:val="14"/>
                <w:szCs w:val="14"/>
                <w:b w:val="1"/>
                <w:bCs w:val="1"/>
                <w:color w:val="auto"/>
                <w:w w:val="96"/>
              </w:rPr>
              <w:t>(Dollars in millions)</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480" w:type="dxa"/>
            <w:vAlign w:val="bottom"/>
          </w:tcPr>
          <w:p>
            <w:pPr>
              <w:spacing w:after="0"/>
              <w:rPr>
                <w:sz w:val="20"/>
                <w:szCs w:val="20"/>
                <w:color w:val="auto"/>
              </w:rPr>
            </w:pPr>
            <w:r>
              <w:rPr>
                <w:rFonts w:ascii="Arial" w:cs="Arial" w:eastAsia="Arial" w:hAnsi="Arial"/>
                <w:sz w:val="15"/>
                <w:szCs w:val="15"/>
                <w:color w:val="auto"/>
              </w:rPr>
              <w:t>Fair value</w:t>
            </w:r>
          </w:p>
        </w:tc>
        <w:tc>
          <w:tcPr>
            <w:tcW w:w="300" w:type="dxa"/>
            <w:vAlign w:val="bottom"/>
          </w:tcPr>
          <w:p>
            <w:pPr>
              <w:jc w:val="right"/>
              <w:ind w:right="23"/>
              <w:spacing w:after="0"/>
              <w:rPr>
                <w:sz w:val="20"/>
                <w:szCs w:val="20"/>
                <w:color w:val="auto"/>
              </w:rPr>
            </w:pPr>
            <w:r>
              <w:rPr>
                <w:rFonts w:ascii="Arial" w:cs="Arial" w:eastAsia="Arial" w:hAnsi="Arial"/>
                <w:sz w:val="15"/>
                <w:szCs w:val="15"/>
                <w:b w:val="1"/>
                <w:bCs w:val="1"/>
                <w:color w:val="auto"/>
              </w:rPr>
              <w:t>$</w:t>
            </w:r>
          </w:p>
        </w:tc>
        <w:tc>
          <w:tcPr>
            <w:tcW w:w="980" w:type="dxa"/>
            <w:vAlign w:val="bottom"/>
          </w:tcPr>
          <w:p>
            <w:pPr>
              <w:jc w:val="right"/>
              <w:ind w:right="86"/>
              <w:spacing w:after="0"/>
              <w:rPr>
                <w:sz w:val="20"/>
                <w:szCs w:val="20"/>
                <w:color w:val="auto"/>
              </w:rPr>
            </w:pPr>
            <w:r>
              <w:rPr>
                <w:rFonts w:ascii="Arial" w:cs="Arial" w:eastAsia="Arial" w:hAnsi="Arial"/>
                <w:sz w:val="15"/>
                <w:szCs w:val="15"/>
                <w:b w:val="1"/>
                <w:bCs w:val="1"/>
                <w:color w:val="auto"/>
              </w:rPr>
              <w:t>3,255</w:t>
            </w:r>
          </w:p>
        </w:tc>
        <w:tc>
          <w:tcPr>
            <w:tcW w:w="360" w:type="dxa"/>
            <w:vAlign w:val="bottom"/>
          </w:tcPr>
          <w:p>
            <w:pPr>
              <w:ind w:left="240"/>
              <w:spacing w:after="0"/>
              <w:rPr>
                <w:sz w:val="20"/>
                <w:szCs w:val="20"/>
                <w:color w:val="auto"/>
              </w:rPr>
            </w:pPr>
            <w:r>
              <w:rPr>
                <w:rFonts w:ascii="Arial" w:cs="Arial" w:eastAsia="Arial" w:hAnsi="Arial"/>
                <w:sz w:val="15"/>
                <w:szCs w:val="15"/>
                <w:b w:val="1"/>
                <w:bCs w:val="1"/>
                <w:color w:val="auto"/>
              </w:rPr>
              <w:t>$</w:t>
            </w:r>
          </w:p>
        </w:tc>
        <w:tc>
          <w:tcPr>
            <w:tcW w:w="1200" w:type="dxa"/>
            <w:vAlign w:val="bottom"/>
          </w:tcPr>
          <w:p>
            <w:pPr>
              <w:jc w:val="right"/>
              <w:ind w:right="266"/>
              <w:spacing w:after="0"/>
              <w:rPr>
                <w:sz w:val="20"/>
                <w:szCs w:val="20"/>
                <w:color w:val="auto"/>
              </w:rPr>
            </w:pPr>
            <w:r>
              <w:rPr>
                <w:rFonts w:ascii="Arial" w:cs="Arial" w:eastAsia="Arial" w:hAnsi="Arial"/>
                <w:sz w:val="15"/>
                <w:szCs w:val="15"/>
                <w:b w:val="1"/>
                <w:bCs w:val="1"/>
                <w:color w:val="auto"/>
              </w:rPr>
              <w:t>451</w:t>
            </w:r>
          </w:p>
        </w:tc>
        <w:tc>
          <w:tcPr>
            <w:tcW w:w="480" w:type="dxa"/>
            <w:vAlign w:val="bottom"/>
          </w:tcPr>
          <w:p>
            <w:pPr>
              <w:ind w:left="60"/>
              <w:spacing w:after="0"/>
              <w:rPr>
                <w:sz w:val="20"/>
                <w:szCs w:val="20"/>
                <w:color w:val="auto"/>
              </w:rPr>
            </w:pPr>
            <w:r>
              <w:rPr>
                <w:rFonts w:ascii="Arial" w:cs="Arial" w:eastAsia="Arial" w:hAnsi="Arial"/>
                <w:sz w:val="15"/>
                <w:szCs w:val="15"/>
                <w:b w:val="1"/>
                <w:bCs w:val="1"/>
                <w:color w:val="auto"/>
              </w:rPr>
              <w:t>$</w:t>
            </w:r>
          </w:p>
        </w:tc>
        <w:tc>
          <w:tcPr>
            <w:tcW w:w="880" w:type="dxa"/>
            <w:vAlign w:val="bottom"/>
          </w:tcPr>
          <w:p>
            <w:pPr>
              <w:jc w:val="right"/>
              <w:ind w:right="6"/>
              <w:spacing w:after="0"/>
              <w:rPr>
                <w:sz w:val="20"/>
                <w:szCs w:val="20"/>
                <w:color w:val="auto"/>
              </w:rPr>
            </w:pPr>
            <w:r>
              <w:rPr>
                <w:rFonts w:ascii="Arial" w:cs="Arial" w:eastAsia="Arial" w:hAnsi="Arial"/>
                <w:sz w:val="15"/>
                <w:szCs w:val="15"/>
                <w:b w:val="1"/>
                <w:bCs w:val="1"/>
                <w:color w:val="auto"/>
              </w:rPr>
              <w:t>13,237</w:t>
            </w:r>
          </w:p>
        </w:tc>
        <w:tc>
          <w:tcPr>
            <w:tcW w:w="500" w:type="dxa"/>
            <w:vAlign w:val="bottom"/>
            <w:gridSpan w:val="3"/>
          </w:tcPr>
          <w:p>
            <w:pPr>
              <w:jc w:val="right"/>
              <w:ind w:right="100"/>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66"/>
              <w:spacing w:after="0"/>
              <w:rPr>
                <w:sz w:val="20"/>
                <w:szCs w:val="20"/>
                <w:color w:val="auto"/>
              </w:rPr>
            </w:pPr>
            <w:r>
              <w:rPr>
                <w:rFonts w:ascii="Arial" w:cs="Arial" w:eastAsia="Arial" w:hAnsi="Arial"/>
                <w:sz w:val="15"/>
                <w:szCs w:val="15"/>
                <w:color w:val="auto"/>
              </w:rPr>
              <w:t>3,315</w:t>
            </w: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246"/>
              <w:spacing w:after="0"/>
              <w:rPr>
                <w:sz w:val="20"/>
                <w:szCs w:val="20"/>
                <w:color w:val="auto"/>
              </w:rPr>
            </w:pPr>
            <w:r>
              <w:rPr>
                <w:rFonts w:ascii="Arial" w:cs="Arial" w:eastAsia="Arial" w:hAnsi="Arial"/>
                <w:sz w:val="15"/>
                <w:szCs w:val="15"/>
                <w:color w:val="auto"/>
              </w:rPr>
              <w:t>761</w:t>
            </w:r>
          </w:p>
        </w:tc>
        <w:tc>
          <w:tcPr>
            <w:tcW w:w="500" w:type="dxa"/>
            <w:vAlign w:val="bottom"/>
          </w:tcPr>
          <w:p>
            <w:pPr>
              <w:ind w:left="80"/>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83"/>
              <w:spacing w:after="0"/>
              <w:rPr>
                <w:sz w:val="20"/>
                <w:szCs w:val="20"/>
                <w:color w:val="auto"/>
              </w:rPr>
            </w:pPr>
            <w:r>
              <w:rPr>
                <w:rFonts w:ascii="Arial" w:cs="Arial" w:eastAsia="Arial" w:hAnsi="Arial"/>
                <w:sz w:val="15"/>
                <w:szCs w:val="15"/>
                <w:color w:val="auto"/>
              </w:rPr>
              <w:t>14,343</w:t>
            </w:r>
          </w:p>
        </w:tc>
        <w:tc>
          <w:tcPr>
            <w:tcW w:w="0" w:type="dxa"/>
            <w:vAlign w:val="bottom"/>
          </w:tcPr>
          <w:p>
            <w:pPr>
              <w:spacing w:after="0"/>
              <w:rPr>
                <w:sz w:val="1"/>
                <w:szCs w:val="1"/>
                <w:color w:val="auto"/>
              </w:rPr>
            </w:pPr>
          </w:p>
        </w:tc>
      </w:tr>
      <w:tr>
        <w:trPr>
          <w:trHeight w:val="214"/>
        </w:trPr>
        <w:tc>
          <w:tcPr>
            <w:tcW w:w="2480" w:type="dxa"/>
            <w:vAlign w:val="bottom"/>
          </w:tcPr>
          <w:p>
            <w:pPr>
              <w:spacing w:after="0"/>
              <w:rPr>
                <w:sz w:val="20"/>
                <w:szCs w:val="20"/>
                <w:color w:val="auto"/>
              </w:rPr>
            </w:pPr>
            <w:r>
              <w:rPr>
                <w:rFonts w:ascii="Arial" w:cs="Arial" w:eastAsia="Arial" w:hAnsi="Arial"/>
                <w:sz w:val="15"/>
                <w:szCs w:val="15"/>
                <w:color w:val="auto"/>
              </w:rPr>
              <w:t>Unpaid principal balance</w:t>
            </w:r>
          </w:p>
        </w:tc>
        <w:tc>
          <w:tcPr>
            <w:tcW w:w="300" w:type="dxa"/>
            <w:vAlign w:val="bottom"/>
          </w:tcPr>
          <w:p>
            <w:pPr>
              <w:spacing w:after="0"/>
              <w:rPr>
                <w:sz w:val="18"/>
                <w:szCs w:val="18"/>
                <w:color w:val="auto"/>
              </w:rPr>
            </w:pPr>
          </w:p>
        </w:tc>
        <w:tc>
          <w:tcPr>
            <w:tcW w:w="980" w:type="dxa"/>
            <w:vAlign w:val="bottom"/>
          </w:tcPr>
          <w:p>
            <w:pPr>
              <w:jc w:val="right"/>
              <w:ind w:right="86"/>
              <w:spacing w:after="0"/>
              <w:rPr>
                <w:sz w:val="20"/>
                <w:szCs w:val="20"/>
                <w:color w:val="auto"/>
              </w:rPr>
            </w:pPr>
            <w:r>
              <w:rPr>
                <w:rFonts w:ascii="Arial" w:cs="Arial" w:eastAsia="Arial" w:hAnsi="Arial"/>
                <w:sz w:val="15"/>
                <w:szCs w:val="15"/>
                <w:b w:val="1"/>
                <w:bCs w:val="1"/>
                <w:color w:val="auto"/>
              </w:rPr>
              <w:t>3,341</w:t>
            </w:r>
          </w:p>
        </w:tc>
        <w:tc>
          <w:tcPr>
            <w:tcW w:w="360" w:type="dxa"/>
            <w:vAlign w:val="bottom"/>
          </w:tcPr>
          <w:p>
            <w:pPr>
              <w:spacing w:after="0"/>
              <w:rPr>
                <w:sz w:val="18"/>
                <w:szCs w:val="18"/>
                <w:color w:val="auto"/>
              </w:rPr>
            </w:pPr>
          </w:p>
        </w:tc>
        <w:tc>
          <w:tcPr>
            <w:tcW w:w="1200" w:type="dxa"/>
            <w:vAlign w:val="bottom"/>
          </w:tcPr>
          <w:p>
            <w:pPr>
              <w:jc w:val="right"/>
              <w:ind w:right="266"/>
              <w:spacing w:after="0"/>
              <w:rPr>
                <w:sz w:val="20"/>
                <w:szCs w:val="20"/>
                <w:color w:val="auto"/>
              </w:rPr>
            </w:pPr>
            <w:r>
              <w:rPr>
                <w:rFonts w:ascii="Arial" w:cs="Arial" w:eastAsia="Arial" w:hAnsi="Arial"/>
                <w:sz w:val="15"/>
                <w:szCs w:val="15"/>
                <w:b w:val="1"/>
                <w:bCs w:val="1"/>
                <w:color w:val="auto"/>
              </w:rPr>
              <w:t>412</w:t>
            </w:r>
          </w:p>
        </w:tc>
        <w:tc>
          <w:tcPr>
            <w:tcW w:w="480" w:type="dxa"/>
            <w:vAlign w:val="bottom"/>
          </w:tcPr>
          <w:p>
            <w:pPr>
              <w:spacing w:after="0"/>
              <w:rPr>
                <w:sz w:val="18"/>
                <w:szCs w:val="18"/>
                <w:color w:val="auto"/>
              </w:rPr>
            </w:pPr>
          </w:p>
        </w:tc>
        <w:tc>
          <w:tcPr>
            <w:tcW w:w="880" w:type="dxa"/>
            <w:vAlign w:val="bottom"/>
          </w:tcPr>
          <w:p>
            <w:pPr>
              <w:jc w:val="right"/>
              <w:ind w:right="6"/>
              <w:spacing w:after="0"/>
              <w:rPr>
                <w:sz w:val="20"/>
                <w:szCs w:val="20"/>
                <w:color w:val="auto"/>
              </w:rPr>
            </w:pPr>
            <w:r>
              <w:rPr>
                <w:rFonts w:ascii="Arial" w:cs="Arial" w:eastAsia="Arial" w:hAnsi="Arial"/>
                <w:sz w:val="15"/>
                <w:szCs w:val="15"/>
                <w:b w:val="1"/>
                <w:bCs w:val="1"/>
                <w:color w:val="auto"/>
              </w:rPr>
              <w:t>13,126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66"/>
              <w:spacing w:after="0"/>
              <w:rPr>
                <w:sz w:val="20"/>
                <w:szCs w:val="20"/>
                <w:color w:val="auto"/>
              </w:rPr>
            </w:pPr>
            <w:r>
              <w:rPr>
                <w:rFonts w:ascii="Arial" w:cs="Arial" w:eastAsia="Arial" w:hAnsi="Arial"/>
                <w:sz w:val="15"/>
                <w:szCs w:val="15"/>
                <w:color w:val="auto"/>
              </w:rPr>
              <w:t>3,442</w:t>
            </w:r>
          </w:p>
        </w:tc>
        <w:tc>
          <w:tcPr>
            <w:tcW w:w="360" w:type="dxa"/>
            <w:vAlign w:val="bottom"/>
          </w:tcPr>
          <w:p>
            <w:pPr>
              <w:spacing w:after="0"/>
              <w:rPr>
                <w:sz w:val="18"/>
                <w:szCs w:val="18"/>
                <w:color w:val="auto"/>
              </w:rPr>
            </w:pPr>
          </w:p>
        </w:tc>
        <w:tc>
          <w:tcPr>
            <w:tcW w:w="1220" w:type="dxa"/>
            <w:vAlign w:val="bottom"/>
          </w:tcPr>
          <w:p>
            <w:pPr>
              <w:jc w:val="right"/>
              <w:ind w:right="246"/>
              <w:spacing w:after="0"/>
              <w:rPr>
                <w:sz w:val="20"/>
                <w:szCs w:val="20"/>
                <w:color w:val="auto"/>
              </w:rPr>
            </w:pPr>
            <w:r>
              <w:rPr>
                <w:rFonts w:ascii="Arial" w:cs="Arial" w:eastAsia="Arial" w:hAnsi="Arial"/>
                <w:sz w:val="15"/>
                <w:szCs w:val="15"/>
                <w:color w:val="auto"/>
              </w:rPr>
              <w:t>731</w:t>
            </w:r>
          </w:p>
        </w:tc>
        <w:tc>
          <w:tcPr>
            <w:tcW w:w="500" w:type="dxa"/>
            <w:vAlign w:val="bottom"/>
          </w:tcPr>
          <w:p>
            <w:pPr>
              <w:spacing w:after="0"/>
              <w:rPr>
                <w:sz w:val="18"/>
                <w:szCs w:val="18"/>
                <w:color w:val="auto"/>
              </w:rPr>
            </w:pPr>
          </w:p>
        </w:tc>
        <w:tc>
          <w:tcPr>
            <w:tcW w:w="980" w:type="dxa"/>
            <w:vAlign w:val="bottom"/>
          </w:tcPr>
          <w:p>
            <w:pPr>
              <w:jc w:val="right"/>
              <w:ind w:right="83"/>
              <w:spacing w:after="0"/>
              <w:rPr>
                <w:sz w:val="20"/>
                <w:szCs w:val="20"/>
                <w:color w:val="auto"/>
              </w:rPr>
            </w:pPr>
            <w:r>
              <w:rPr>
                <w:rFonts w:ascii="Arial" w:cs="Arial" w:eastAsia="Arial" w:hAnsi="Arial"/>
                <w:sz w:val="15"/>
                <w:szCs w:val="15"/>
                <w:color w:val="auto"/>
              </w:rPr>
              <w:t>14,383</w:t>
            </w: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240" w:right="200" w:hanging="237"/>
        <w:spacing w:after="0" w:line="226" w:lineRule="auto"/>
        <w:tabs>
          <w:tab w:leader="none" w:pos="233" w:val="left"/>
        </w:tabs>
        <w:numPr>
          <w:ilvl w:val="0"/>
          <w:numId w:val="138"/>
        </w:numPr>
        <w:rPr>
          <w:rFonts w:ascii="Arial" w:cs="Arial" w:eastAsia="Arial" w:hAnsi="Arial"/>
          <w:sz w:val="18"/>
          <w:szCs w:val="18"/>
          <w:color w:val="auto"/>
          <w:vertAlign w:val="superscript"/>
        </w:rPr>
      </w:pPr>
      <w:r>
        <w:rPr>
          <w:rFonts w:ascii="Arial" w:cs="Arial" w:eastAsia="Arial" w:hAnsi="Arial"/>
          <w:sz w:val="14"/>
          <w:szCs w:val="14"/>
          <w:color w:val="auto"/>
        </w:rPr>
        <w:t>Includes nonaccrual loans with a fair value of $30 million and $32 million as of September 30, 2024 and December 31, 2023, respectively. Includes loans that are 90 days or more past due with a fair value of $25 million and $31 million as of September 30, 2024 and December 31, 2023, respectively.</w:t>
      </w:r>
    </w:p>
    <w:p>
      <w:pPr>
        <w:spacing w:after="0" w:line="85" w:lineRule="exact"/>
        <w:rPr>
          <w:sz w:val="20"/>
          <w:szCs w:val="20"/>
          <w:color w:val="auto"/>
        </w:rPr>
      </w:pPr>
    </w:p>
    <w:p>
      <w:pPr>
        <w:spacing w:after="0"/>
        <w:rPr>
          <w:sz w:val="20"/>
          <w:szCs w:val="20"/>
          <w:color w:val="auto"/>
        </w:rPr>
      </w:pPr>
      <w:r>
        <w:rPr>
          <w:rFonts w:ascii="Georgia" w:cs="Georgia" w:eastAsia="Georgia" w:hAnsi="Georgia"/>
          <w:sz w:val="21"/>
          <w:szCs w:val="21"/>
          <w:i w:val="1"/>
          <w:iCs w:val="1"/>
          <w:color w:val="05314D"/>
        </w:rPr>
        <w:t>Changes in Fair Value under the Fair Value Option Election</w:t>
      </w:r>
    </w:p>
    <w:p>
      <w:pPr>
        <w:spacing w:after="0" w:line="76" w:lineRule="exact"/>
        <w:rPr>
          <w:sz w:val="20"/>
          <w:szCs w:val="20"/>
          <w:color w:val="auto"/>
        </w:rPr>
      </w:pPr>
    </w:p>
    <w:p>
      <w:pPr>
        <w:ind w:right="220"/>
        <w:spacing w:after="0" w:line="272" w:lineRule="auto"/>
        <w:rPr>
          <w:sz w:val="20"/>
          <w:szCs w:val="20"/>
          <w:color w:val="auto"/>
        </w:rPr>
      </w:pPr>
      <w:r>
        <w:rPr>
          <w:rFonts w:ascii="Arial" w:cs="Arial" w:eastAsia="Arial" w:hAnsi="Arial"/>
          <w:sz w:val="16"/>
          <w:szCs w:val="16"/>
          <w:color w:val="auto"/>
        </w:rPr>
        <w:t>We recorded gains of $134 million and $87 million for the three and nine months ended September 30, 2024, respectively, and losses of $117 million and $95 million for the three and nine months ended September 30, 2023, respectively, from changes in the fair value of loans recorded at fair value in “Fair value gains (losses), net” in our condensed consolidated statements of operations and comprehensive income.</w:t>
      </w:r>
    </w:p>
    <w:p>
      <w:pPr>
        <w:spacing w:after="0" w:line="32" w:lineRule="exact"/>
        <w:rPr>
          <w:sz w:val="20"/>
          <w:szCs w:val="20"/>
          <w:color w:val="auto"/>
        </w:rPr>
      </w:pPr>
    </w:p>
    <w:p>
      <w:pPr>
        <w:jc w:val="both"/>
        <w:ind w:right="120"/>
        <w:spacing w:after="0" w:line="281" w:lineRule="auto"/>
        <w:rPr>
          <w:sz w:val="20"/>
          <w:szCs w:val="20"/>
          <w:color w:val="auto"/>
        </w:rPr>
      </w:pPr>
      <w:r>
        <w:rPr>
          <w:rFonts w:ascii="Arial" w:cs="Arial" w:eastAsia="Arial" w:hAnsi="Arial"/>
          <w:sz w:val="16"/>
          <w:szCs w:val="16"/>
          <w:color w:val="auto"/>
        </w:rPr>
        <w:t>We recorded losses of $471 million and $343 million for the three and nine months ended September 30, 2024, respectively, and gains of $406 million and $356 million for the three and nine months ended September 30, 2023, respectively, from changes in the fair value of long-term debt recorded at fair value in “Fair value gains (losses), net” in our condensed consolidated statements of operations and comprehensive income.</w:t>
      </w:r>
    </w:p>
    <w:p>
      <w:pPr>
        <w:spacing w:after="0" w:line="121"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14. Commitments and Contingencies</w:t>
      </w:r>
    </w:p>
    <w:p>
      <w:pPr>
        <w:spacing w:after="0" w:line="80"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We are party to various types of legal actions and proceedings, including actions brought on behalf of various classes of claimants. We also are subject to regulatory examinations, inquiries and investigations, and other information gathering requests. In some of the matters, indeterminate amounts are sought.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This variability in pleadings, together with our and our counsel’s actual experience in litigating or settling claims, leads us to conclude that the monetary relief that may be sought by plaintiffs bears little relevance to the merits or disposition value of claims.</w:t>
      </w:r>
    </w:p>
    <w:p>
      <w:pPr>
        <w:spacing w:after="0" w:line="41"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Legal actions and proceedings of all types are subject to many uncertain factors that generally cannot be predicted with assurance. Accordingly, the outcome of any given matter and the amount or range of potential loss at particular points in time is frequently difficult to ascertain. Uncertainties can include how fact finders will evaluate documentary evidence and the credibility and effectiveness of witness testimony, and how the court will apply the law. Disposition valuations are also subject to the uncertainty of how opposing parties and their counsel may view the evidence and applicable law.</w:t>
      </w:r>
    </w:p>
    <w:p>
      <w:pPr>
        <w:spacing w:after="0" w:line="35"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On a quarterly basis, we review relevant information about pending legal actions and proceedings for the purpose of evaluating and revising our contingencies, accruals and disclosures. We establish an accrual only for matters when the likelihood of a loss is probable and we can reasonably estimate the amount of such loss. We are often unable to estimate the possible losses or ranges of losses, particularly for proceedings that are in their early stages of development, where plaintiffs seek indeterminate or unspecified damages, where there may be novel or unsettled legal questions relevant to the proceedings, or where settlement negotiations have not occurred or progressed. Given the uncertainties involved in any action or proceeding, regardless of whether we have established an accrual, the ultimate resolution of certain of these matters may be material to our operating results for a particular period, depending on, among other factors, the size of the loss or liability imposed and the level of our net income or loss for that period.</w:t>
      </w:r>
    </w:p>
    <w:p>
      <w:pPr>
        <w:spacing w:after="0" w:line="40" w:lineRule="exact"/>
        <w:rPr>
          <w:sz w:val="20"/>
          <w:szCs w:val="20"/>
          <w:color w:val="auto"/>
        </w:rPr>
      </w:pPr>
    </w:p>
    <w:p>
      <w:pPr>
        <w:jc w:val="both"/>
        <w:ind w:right="160"/>
        <w:spacing w:after="0" w:line="293" w:lineRule="auto"/>
        <w:rPr>
          <w:sz w:val="20"/>
          <w:szCs w:val="20"/>
          <w:color w:val="auto"/>
        </w:rPr>
      </w:pPr>
      <w:r>
        <w:rPr>
          <w:rFonts w:ascii="Arial" w:cs="Arial" w:eastAsia="Arial" w:hAnsi="Arial"/>
          <w:sz w:val="16"/>
          <w:szCs w:val="16"/>
          <w:color w:val="auto"/>
        </w:rPr>
        <w:t>In addition to the matters specifically described below, we are involved in a number of legal and regulatory proceedings that arise in the ordinary course of business that we do not expect will have a material impact on our business or financial condition.</w:t>
      </w:r>
    </w:p>
    <w:p>
      <w:pPr>
        <w:spacing w:after="0" w:line="61"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Senior Preferred Stock Purchase Agreements Litigation</w:t>
      </w:r>
    </w:p>
    <w:p>
      <w:pPr>
        <w:spacing w:after="0" w:line="81" w:lineRule="exact"/>
        <w:rPr>
          <w:sz w:val="20"/>
          <w:szCs w:val="20"/>
          <w:color w:val="auto"/>
        </w:rPr>
      </w:pPr>
    </w:p>
    <w:p>
      <w:pPr>
        <w:jc w:val="both"/>
        <w:ind w:right="140"/>
        <w:spacing w:after="0" w:line="272" w:lineRule="auto"/>
        <w:rPr>
          <w:sz w:val="20"/>
          <w:szCs w:val="20"/>
          <w:color w:val="auto"/>
        </w:rPr>
      </w:pPr>
      <w:r>
        <w:rPr>
          <w:rFonts w:ascii="Arial" w:cs="Arial" w:eastAsia="Arial" w:hAnsi="Arial"/>
          <w:sz w:val="16"/>
          <w:szCs w:val="16"/>
          <w:color w:val="auto"/>
        </w:rPr>
        <w:t>A consolidated class action (</w:t>
      </w:r>
      <w:r>
        <w:rPr>
          <w:rFonts w:ascii="Arial" w:cs="Arial" w:eastAsia="Arial" w:hAnsi="Arial"/>
          <w:sz w:val="16"/>
          <w:szCs w:val="16"/>
          <w:i w:val="1"/>
          <w:iCs w:val="1"/>
          <w:color w:val="auto"/>
        </w:rPr>
        <w:t>“In re Fannie Mae/Freddie Mac Senior Preferred Stock Purchase Agreement Class Action Litigations”</w:t>
      </w:r>
      <w:r>
        <w:rPr>
          <w:rFonts w:ascii="Arial" w:cs="Arial" w:eastAsia="Arial" w:hAnsi="Arial"/>
          <w:sz w:val="16"/>
          <w:szCs w:val="16"/>
          <w:color w:val="auto"/>
        </w:rPr>
        <w:t xml:space="preserve">) and a non-class action lawsuit, </w:t>
      </w:r>
      <w:r>
        <w:rPr>
          <w:rFonts w:ascii="Arial" w:cs="Arial" w:eastAsia="Arial" w:hAnsi="Arial"/>
          <w:sz w:val="16"/>
          <w:szCs w:val="16"/>
          <w:i w:val="1"/>
          <w:iCs w:val="1"/>
          <w:color w:val="auto"/>
        </w:rPr>
        <w:t>Fairholme Funds v. FHFA</w:t>
      </w:r>
      <w:r>
        <w:rPr>
          <w:rFonts w:ascii="Arial" w:cs="Arial" w:eastAsia="Arial" w:hAnsi="Arial"/>
          <w:sz w:val="16"/>
          <w:szCs w:val="16"/>
          <w:color w:val="auto"/>
        </w:rPr>
        <w:t>, filed by Fannie Mae and Freddie Mac stockholders against us, FHFA as our conservator, and Freddie Mac were filed in the U.S. District Court for the District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353695</wp:posOffset>
            </wp:positionV>
            <wp:extent cx="680593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19" w:name="page120"/>
    <w:bookmarkEnd w:id="119"/>
    <w:p>
      <w:pPr>
        <w:ind w:left="5620"/>
        <w:spacing w:after="0"/>
        <w:rPr>
          <w:sz w:val="20"/>
          <w:szCs w:val="20"/>
          <w:color w:val="auto"/>
        </w:rPr>
      </w:pPr>
      <w:r>
        <w:rPr>
          <w:rFonts w:ascii="Arial" w:cs="Arial" w:eastAsia="Arial" w:hAnsi="Arial"/>
          <w:sz w:val="13"/>
          <w:szCs w:val="13"/>
          <w:color w:val="05314D"/>
        </w:rPr>
        <w:t>Notes to Condensed Consolidated Financial Statements |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24130</wp:posOffset>
            </wp:positionV>
            <wp:extent cx="706501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0650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color w:val="auto"/>
        </w:rPr>
        <w:t>of Columbia. The lawsuits challenge the August 2012 amendment to each company’s senior preferred stock purchase agreement with Treasury.</w:t>
      </w:r>
    </w:p>
    <w:p>
      <w:pPr>
        <w:spacing w:after="0" w:line="87"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Plaintiffs in these lawsuits allege that the net worth sweep dividend provisions of the senior preferred stock that were implemented pursuant to the August 2012 amendments nullified certain of the stockholders’ rights and caused them harm. Plaintiffs in the class action represent a class of Fannie Mae preferred stockholders and classes of Freddie Mac common and preferred stockholders. The cases were tried before a jury at a trial that commenced on July 24, 2023. On August 14, 2023, the jury returned a verdict for the plaintiffs and awarded damages of $299.4 million to Fannie Mae preferred stockholders. On October 24, 2023, the court held that these stockholders were entitled to receive prejudgment interest on the damage award. On March 20, 2024, the court entered final judgment and set the amount of prejudgment interest owed by Fannie Mae at $199.7 million. On April 17, 2024, the defendants filed a motion for judgment as a matter of law, which has been fully briefed. The parties will have 30 days to appeal following the court’s decision on the motion. Until the motion and any subsequent appeals are resolved and any final judgment amount has been paid, post-judgment interest on the damages and prejudgment interest awards will accrue at a rate of 5.01%, starting on March 20, 2024, to be computed daily and compounded annually. We recognized $495 million in 2023 related to the jury verdict and estimated prejudgment interest through December 31, 2023 in “Other expenses, net.” We recognized an additional</w:t>
      </w:r>
    </w:p>
    <w:p>
      <w:pPr>
        <w:spacing w:after="0" w:line="5" w:lineRule="exact"/>
        <w:rPr>
          <w:sz w:val="20"/>
          <w:szCs w:val="20"/>
          <w:color w:val="auto"/>
        </w:rPr>
      </w:pPr>
    </w:p>
    <w:p>
      <w:pPr>
        <w:ind w:right="500"/>
        <w:spacing w:after="0" w:line="272" w:lineRule="auto"/>
        <w:rPr>
          <w:sz w:val="20"/>
          <w:szCs w:val="20"/>
          <w:color w:val="auto"/>
        </w:rPr>
      </w:pPr>
      <w:r>
        <w:rPr>
          <w:rFonts w:ascii="Arial" w:cs="Arial" w:eastAsia="Arial" w:hAnsi="Arial"/>
          <w:sz w:val="16"/>
          <w:szCs w:val="16"/>
          <w:color w:val="auto"/>
        </w:rPr>
        <w:t>$6 million and $17 million of expense for the three and nine months ended September 30, 2024, respectively, related to the prejudgment and/or post-judgment interest.</w:t>
      </w:r>
    </w:p>
    <w:p>
      <w:pPr>
        <w:spacing w:after="0" w:line="128"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15. Regulatory Capital Requirements</w:t>
      </w:r>
    </w:p>
    <w:p>
      <w:pPr>
        <w:spacing w:after="0" w:line="105" w:lineRule="exact"/>
        <w:rPr>
          <w:sz w:val="20"/>
          <w:szCs w:val="20"/>
          <w:color w:val="auto"/>
        </w:rPr>
      </w:pPr>
    </w:p>
    <w:p>
      <w:pPr>
        <w:jc w:val="both"/>
        <w:ind w:right="300"/>
        <w:spacing w:after="0" w:line="281" w:lineRule="auto"/>
        <w:rPr>
          <w:sz w:val="20"/>
          <w:szCs w:val="20"/>
          <w:color w:val="auto"/>
        </w:rPr>
      </w:pPr>
      <w:r>
        <w:rPr>
          <w:rFonts w:ascii="Arial" w:cs="Arial" w:eastAsia="Arial" w:hAnsi="Arial"/>
          <w:sz w:val="16"/>
          <w:szCs w:val="16"/>
          <w:color w:val="auto"/>
        </w:rPr>
        <w:t>The enterprise regulatory capital framework went into effect in February 2021; however, we are not required to hold capital according to the framework’s requirements until the date of termination of our conservatorship, or such later date as may be ordered by FHFA. The table below sets forth information about our capital requirements under the standardized approach of the enterprise regulatory capital framework.</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Capital Metrics under the Enterprise Regulatory Capital Framework as of September 30, 2024</w:t>
      </w:r>
      <w:r>
        <w:rPr>
          <w:rFonts w:ascii="Arial" w:cs="Arial" w:eastAsia="Arial" w:hAnsi="Arial"/>
          <w:sz w:val="24"/>
          <w:szCs w:val="24"/>
          <w:b w:val="1"/>
          <w:bCs w:val="1"/>
          <w:color w:val="05314D"/>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7138670" cy="1651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gridSpan w:val="5"/>
          </w:tcPr>
          <w:p>
            <w:pPr>
              <w:ind w:left="860"/>
              <w:spacing w:after="0"/>
              <w:rPr>
                <w:sz w:val="20"/>
                <w:szCs w:val="20"/>
                <w:color w:val="auto"/>
              </w:rPr>
            </w:pPr>
            <w:r>
              <w:rPr>
                <w:rFonts w:ascii="Arial" w:cs="Arial" w:eastAsia="Arial" w:hAnsi="Arial"/>
                <w:sz w:val="14"/>
                <w:szCs w:val="14"/>
                <w:b w:val="1"/>
                <w:bCs w:val="1"/>
                <w:color w:val="auto"/>
              </w:rPr>
              <w:t>(Dollars in billions)</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660" w:type="dxa"/>
            <w:vAlign w:val="bottom"/>
          </w:tcPr>
          <w:p>
            <w:pPr>
              <w:ind w:left="20"/>
              <w:spacing w:after="0"/>
              <w:rPr>
                <w:sz w:val="20"/>
                <w:szCs w:val="20"/>
                <w:color w:val="auto"/>
              </w:rPr>
            </w:pPr>
            <w:r>
              <w:rPr>
                <w:rFonts w:ascii="Arial" w:cs="Arial" w:eastAsia="Arial" w:hAnsi="Arial"/>
                <w:sz w:val="15"/>
                <w:szCs w:val="15"/>
                <w:color w:val="auto"/>
              </w:rPr>
              <w:t>Adjusted total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4,446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6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Risk-weighted assets</w:t>
            </w:r>
          </w:p>
        </w:tc>
        <w:tc>
          <w:tcPr>
            <w:tcW w:w="100" w:type="dxa"/>
            <w:vAlign w:val="bottom"/>
            <w:tcBorders>
              <w:bottom w:val="single" w:sz="8" w:color="2C6937"/>
            </w:tcBorders>
          </w:tcPr>
          <w:p>
            <w:pPr>
              <w:spacing w:after="0"/>
              <w:rPr>
                <w:sz w:val="20"/>
                <w:szCs w:val="20"/>
                <w:color w:val="auto"/>
              </w:rPr>
            </w:pPr>
          </w:p>
        </w:tc>
        <w:tc>
          <w:tcPr>
            <w:tcW w:w="114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1,331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660" w:type="dxa"/>
            <w:vAlign w:val="bottom"/>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1140" w:type="dxa"/>
            <w:vAlign w:val="bottom"/>
            <w:tcBorders>
              <w:bottom w:val="single" w:sz="8" w:color="2C6937"/>
            </w:tcBorders>
          </w:tcPr>
          <w:p>
            <w:pPr>
              <w:spacing w:after="0"/>
              <w:rPr>
                <w:sz w:val="19"/>
                <w:szCs w:val="19"/>
                <w:color w:val="auto"/>
              </w:rPr>
            </w:pPr>
          </w:p>
        </w:tc>
        <w:tc>
          <w:tcPr>
            <w:tcW w:w="80" w:type="dxa"/>
            <w:vAlign w:val="bottom"/>
            <w:tcBorders>
              <w:bottom w:val="single" w:sz="8" w:color="2C6937"/>
            </w:tcBorders>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120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4"/>
                <w:szCs w:val="14"/>
                <w:b w:val="1"/>
                <w:bCs w:val="1"/>
                <w:color w:val="auto"/>
                <w:w w:val="95"/>
              </w:rPr>
              <w:t>Amounts</w:t>
            </w:r>
          </w:p>
        </w:tc>
        <w:tc>
          <w:tcPr>
            <w:tcW w:w="160" w:type="dxa"/>
            <w:vAlign w:val="bottom"/>
            <w:tcBorders>
              <w:bottom w:val="single" w:sz="8" w:color="2C6937"/>
            </w:tcBorders>
          </w:tcPr>
          <w:p>
            <w:pPr>
              <w:spacing w:after="0"/>
              <w:rPr>
                <w:sz w:val="19"/>
                <w:szCs w:val="19"/>
                <w:color w:val="auto"/>
              </w:rPr>
            </w:pPr>
          </w:p>
        </w:tc>
        <w:tc>
          <w:tcPr>
            <w:tcW w:w="1100" w:type="dxa"/>
            <w:vAlign w:val="bottom"/>
            <w:tcBorders>
              <w:bottom w:val="single" w:sz="8" w:color="2C6937"/>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2C6937"/>
            </w:tcBorders>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1460" w:type="dxa"/>
            <w:vAlign w:val="bottom"/>
            <w:tcBorders>
              <w:bottom w:val="single" w:sz="8" w:color="2C6937"/>
            </w:tcBorders>
            <w:gridSpan w:val="2"/>
          </w:tcPr>
          <w:p>
            <w:pPr>
              <w:ind w:left="620"/>
              <w:spacing w:after="0"/>
              <w:rPr>
                <w:sz w:val="20"/>
                <w:szCs w:val="20"/>
                <w:color w:val="auto"/>
              </w:rPr>
            </w:pPr>
            <w:r>
              <w:rPr>
                <w:rFonts w:ascii="Arial" w:cs="Arial" w:eastAsia="Arial" w:hAnsi="Arial"/>
                <w:sz w:val="14"/>
                <w:szCs w:val="14"/>
                <w:b w:val="1"/>
                <w:bCs w:val="1"/>
                <w:color w:val="auto"/>
              </w:rPr>
              <w:t>Ratios</w:t>
            </w:r>
          </w:p>
        </w:tc>
        <w:tc>
          <w:tcPr>
            <w:tcW w:w="1640" w:type="dxa"/>
            <w:vAlign w:val="bottom"/>
            <w:tcBorders>
              <w:bottom w:val="single" w:sz="8" w:color="2C6937"/>
            </w:tcBorders>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Total Capital</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Total Capital</w:t>
            </w:r>
          </w:p>
        </w:tc>
        <w:tc>
          <w:tcPr>
            <w:tcW w:w="0" w:type="dxa"/>
            <w:vAlign w:val="bottom"/>
          </w:tcPr>
          <w:p>
            <w:pPr>
              <w:spacing w:after="0"/>
              <w:rPr>
                <w:sz w:val="1"/>
                <w:szCs w:val="1"/>
                <w:color w:val="auto"/>
              </w:rPr>
            </w:pPr>
          </w:p>
        </w:tc>
      </w:tr>
      <w:tr>
        <w:trPr>
          <w:trHeight w:val="116"/>
        </w:trPr>
        <w:tc>
          <w:tcPr>
            <w:tcW w:w="2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Available</w:t>
            </w:r>
          </w:p>
        </w:tc>
        <w:tc>
          <w:tcPr>
            <w:tcW w:w="13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8"/>
              </w:rPr>
              <w:t>Minimum Capital</w:t>
            </w:r>
          </w:p>
        </w:tc>
        <w:tc>
          <w:tcPr>
            <w:tcW w:w="160" w:type="dxa"/>
            <w:vAlign w:val="bottom"/>
          </w:tcPr>
          <w:p>
            <w:pPr>
              <w:spacing w:after="0"/>
              <w:rPr>
                <w:sz w:val="10"/>
                <w:szCs w:val="10"/>
                <w:color w:val="auto"/>
              </w:rPr>
            </w:pPr>
          </w:p>
        </w:tc>
        <w:tc>
          <w:tcPr>
            <w:tcW w:w="1200" w:type="dxa"/>
            <w:vAlign w:val="bottom"/>
            <w:gridSpan w:val="2"/>
            <w:vMerge w:val="restart"/>
          </w:tcPr>
          <w:p>
            <w:pPr>
              <w:jc w:val="center"/>
              <w:ind w:right="240"/>
              <w:spacing w:after="0" w:line="155" w:lineRule="exact"/>
              <w:rPr>
                <w:sz w:val="20"/>
                <w:szCs w:val="20"/>
                <w:color w:val="auto"/>
              </w:rPr>
            </w:pPr>
            <w:r>
              <w:rPr>
                <w:rFonts w:ascii="Arial" w:cs="Arial" w:eastAsia="Arial" w:hAnsi="Arial"/>
                <w:sz w:val="14"/>
                <w:szCs w:val="14"/>
                <w:b w:val="1"/>
                <w:bCs w:val="1"/>
                <w:color w:val="auto"/>
                <w:w w:val="98"/>
              </w:rPr>
              <w:t>Requirement</w:t>
            </w:r>
          </w:p>
        </w:tc>
        <w:tc>
          <w:tcPr>
            <w:tcW w:w="14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Available Capital</w:t>
            </w:r>
          </w:p>
        </w:tc>
        <w:tc>
          <w:tcPr>
            <w:tcW w:w="14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Minimum Capital</w:t>
            </w:r>
          </w:p>
        </w:tc>
        <w:tc>
          <w:tcPr>
            <w:tcW w:w="1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2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1360" w:type="dxa"/>
            <w:vAlign w:val="bottom"/>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440" w:type="dxa"/>
            <w:vAlign w:val="bottom"/>
            <w:gridSpan w:val="2"/>
            <w:vMerge w:val="continue"/>
          </w:tcPr>
          <w:p>
            <w:pPr>
              <w:spacing w:after="0"/>
              <w:rPr>
                <w:sz w:val="3"/>
                <w:szCs w:val="3"/>
                <w:color w:val="auto"/>
              </w:rPr>
            </w:pPr>
          </w:p>
        </w:tc>
        <w:tc>
          <w:tcPr>
            <w:tcW w:w="1460" w:type="dxa"/>
            <w:vAlign w:val="bottom"/>
            <w:gridSpan w:val="2"/>
            <w:vMerge w:val="continue"/>
          </w:tcPr>
          <w:p>
            <w:pPr>
              <w:spacing w:after="0"/>
              <w:rPr>
                <w:sz w:val="3"/>
                <w:szCs w:val="3"/>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Requirement Ratio</w:t>
            </w:r>
          </w:p>
        </w:tc>
        <w:tc>
          <w:tcPr>
            <w:tcW w:w="0" w:type="dxa"/>
            <w:vAlign w:val="bottom"/>
          </w:tcPr>
          <w:p>
            <w:pPr>
              <w:spacing w:after="0" w:line="20" w:lineRule="exact"/>
              <w:rPr>
                <w:sz w:val="1"/>
                <w:szCs w:val="1"/>
                <w:color w:val="auto"/>
              </w:rPr>
            </w:pPr>
          </w:p>
        </w:tc>
      </w:tr>
      <w:tr>
        <w:trPr>
          <w:trHeight w:val="138"/>
        </w:trPr>
        <w:tc>
          <w:tcPr>
            <w:tcW w:w="2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360" w:type="dxa"/>
            <w:vAlign w:val="bottom"/>
            <w:gridSpan w:val="3"/>
          </w:tcPr>
          <w:p>
            <w:pPr>
              <w:jc w:val="center"/>
              <w:ind w:right="100"/>
              <w:spacing w:after="0" w:line="139" w:lineRule="exact"/>
              <w:rPr>
                <w:sz w:val="20"/>
                <w:szCs w:val="20"/>
                <w:color w:val="auto"/>
              </w:rPr>
            </w:pPr>
            <w:r>
              <w:rPr>
                <w:rFonts w:ascii="Arial" w:cs="Arial" w:eastAsia="Arial" w:hAnsi="Arial"/>
                <w:sz w:val="14"/>
                <w:szCs w:val="14"/>
                <w:b w:val="1"/>
                <w:bCs w:val="1"/>
                <w:color w:val="auto"/>
                <w:w w:val="97"/>
              </w:rPr>
              <w:t>(including Buffers)</w:t>
            </w:r>
          </w:p>
        </w:tc>
        <w:tc>
          <w:tcPr>
            <w:tcW w:w="144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Capital (Deficit)</w:t>
            </w:r>
          </w:p>
        </w:tc>
        <w:tc>
          <w:tcPr>
            <w:tcW w:w="16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Requirement</w:t>
            </w:r>
          </w:p>
        </w:tc>
        <w:tc>
          <w:tcPr>
            <w:tcW w:w="160" w:type="dxa"/>
            <w:vAlign w:val="bottom"/>
          </w:tcPr>
          <w:p>
            <w:pPr>
              <w:spacing w:after="0"/>
              <w:rPr>
                <w:sz w:val="15"/>
                <w:szCs w:val="15"/>
                <w:color w:val="auto"/>
              </w:rPr>
            </w:pPr>
          </w:p>
        </w:tc>
        <w:tc>
          <w:tcPr>
            <w:tcW w:w="1100" w:type="dxa"/>
            <w:vAlign w:val="bottom"/>
          </w:tcPr>
          <w:p>
            <w:pPr>
              <w:jc w:val="center"/>
              <w:ind w:right="88"/>
              <w:spacing w:after="0"/>
              <w:rPr>
                <w:sz w:val="20"/>
                <w:szCs w:val="20"/>
                <w:color w:val="auto"/>
              </w:rPr>
            </w:pPr>
            <w:r>
              <w:rPr>
                <w:rFonts w:ascii="Arial" w:cs="Arial" w:eastAsia="Arial" w:hAnsi="Arial"/>
                <w:sz w:val="9"/>
                <w:szCs w:val="9"/>
                <w:b w:val="1"/>
                <w:bCs w:val="1"/>
                <w:color w:val="auto"/>
                <w:w w:val="90"/>
              </w:rPr>
              <w:t>(2)</w:t>
            </w:r>
          </w:p>
        </w:tc>
        <w:tc>
          <w:tcPr>
            <w:tcW w:w="100" w:type="dxa"/>
            <w:vAlign w:val="bottom"/>
          </w:tcPr>
          <w:p>
            <w:pPr>
              <w:spacing w:after="0"/>
              <w:rPr>
                <w:sz w:val="15"/>
                <w:szCs w:val="15"/>
                <w:color w:val="auto"/>
              </w:rPr>
            </w:pPr>
          </w:p>
        </w:tc>
        <w:tc>
          <w:tcPr>
            <w:tcW w:w="1440" w:type="dxa"/>
            <w:vAlign w:val="bottom"/>
            <w:gridSpan w:val="2"/>
          </w:tcPr>
          <w:p>
            <w:pPr>
              <w:ind w:left="220"/>
              <w:spacing w:after="0"/>
              <w:rPr>
                <w:sz w:val="20"/>
                <w:szCs w:val="20"/>
                <w:color w:val="auto"/>
              </w:rPr>
            </w:pPr>
            <w:r>
              <w:rPr>
                <w:rFonts w:ascii="Arial" w:cs="Arial" w:eastAsia="Arial" w:hAnsi="Arial"/>
                <w:sz w:val="14"/>
                <w:szCs w:val="14"/>
                <w:b w:val="1"/>
                <w:bCs w:val="1"/>
                <w:color w:val="auto"/>
              </w:rPr>
              <w:t>(Deficit) Ratio</w:t>
            </w: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Ratio Requirement</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9"/>
              </w:rPr>
              <w:t>(including Buffers)</w:t>
            </w:r>
            <w:r>
              <w:rPr>
                <w:rFonts w:ascii="Arial" w:cs="Arial" w:eastAsia="Arial" w:hAnsi="Arial"/>
                <w:sz w:val="8"/>
                <w:szCs w:val="8"/>
                <w:b w:val="1"/>
                <w:bCs w:val="1"/>
                <w:color w:val="auto"/>
                <w:w w:val="99"/>
              </w:rPr>
              <w:t>(2)</w:t>
            </w:r>
          </w:p>
        </w:tc>
        <w:tc>
          <w:tcPr>
            <w:tcW w:w="0" w:type="dxa"/>
            <w:vAlign w:val="bottom"/>
          </w:tcPr>
          <w:p>
            <w:pPr>
              <w:spacing w:after="0"/>
              <w:rPr>
                <w:sz w:val="1"/>
                <w:szCs w:val="1"/>
                <w:color w:val="auto"/>
              </w:rPr>
            </w:pPr>
          </w:p>
        </w:tc>
      </w:tr>
      <w:tr>
        <w:trPr>
          <w:trHeight w:val="206"/>
        </w:trPr>
        <w:tc>
          <w:tcPr>
            <w:tcW w:w="2660" w:type="dxa"/>
            <w:vAlign w:val="bottom"/>
          </w:tcPr>
          <w:p>
            <w:pPr>
              <w:ind w:left="20"/>
              <w:spacing w:after="0"/>
              <w:rPr>
                <w:sz w:val="20"/>
                <w:szCs w:val="20"/>
                <w:color w:val="auto"/>
              </w:rPr>
            </w:pPr>
            <w:r>
              <w:rPr>
                <w:rFonts w:ascii="Arial" w:cs="Arial" w:eastAsia="Arial" w:hAnsi="Arial"/>
                <w:sz w:val="15"/>
                <w:szCs w:val="15"/>
                <w:b w:val="1"/>
                <w:bCs w:val="1"/>
                <w:color w:val="auto"/>
              </w:rPr>
              <w:t>Risk-based capital:</w:t>
            </w:r>
          </w:p>
        </w:tc>
        <w:tc>
          <w:tcPr>
            <w:tcW w:w="100" w:type="dxa"/>
            <w:vAlign w:val="bottom"/>
            <w:tcBorders>
              <w:top w:val="single" w:sz="8" w:color="2C6937"/>
            </w:tcBorders>
          </w:tcPr>
          <w:p>
            <w:pPr>
              <w:spacing w:after="0"/>
              <w:rPr>
                <w:sz w:val="17"/>
                <w:szCs w:val="17"/>
                <w:color w:val="auto"/>
              </w:rPr>
            </w:pPr>
          </w:p>
        </w:tc>
        <w:tc>
          <w:tcPr>
            <w:tcW w:w="1140" w:type="dxa"/>
            <w:vAlign w:val="bottom"/>
            <w:tcBorders>
              <w:top w:val="single" w:sz="8" w:color="2C6937"/>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2C6937"/>
            </w:tcBorders>
          </w:tcPr>
          <w:p>
            <w:pPr>
              <w:spacing w:after="0"/>
              <w:rPr>
                <w:sz w:val="17"/>
                <w:szCs w:val="17"/>
                <w:color w:val="auto"/>
              </w:rPr>
            </w:pPr>
          </w:p>
        </w:tc>
        <w:tc>
          <w:tcPr>
            <w:tcW w:w="1120" w:type="dxa"/>
            <w:vAlign w:val="bottom"/>
            <w:tcBorders>
              <w:top w:val="single" w:sz="8" w:color="2C6937"/>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2C6937"/>
            </w:tcBorders>
          </w:tcPr>
          <w:p>
            <w:pPr>
              <w:spacing w:after="0"/>
              <w:rPr>
                <w:sz w:val="17"/>
                <w:szCs w:val="17"/>
                <w:color w:val="auto"/>
              </w:rPr>
            </w:pPr>
          </w:p>
        </w:tc>
        <w:tc>
          <w:tcPr>
            <w:tcW w:w="110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Borders>
              <w:top w:val="single" w:sz="8" w:color="2C6937"/>
            </w:tcBorders>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Borders>
              <w:top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660" w:type="dxa"/>
            <w:vAlign w:val="bottom"/>
          </w:tcPr>
          <w:p>
            <w:pPr>
              <w:ind w:left="220"/>
              <w:spacing w:after="0"/>
              <w:rPr>
                <w:sz w:val="20"/>
                <w:szCs w:val="20"/>
                <w:color w:val="auto"/>
              </w:rPr>
            </w:pPr>
            <w:r>
              <w:rPr>
                <w:rFonts w:ascii="Arial" w:cs="Arial" w:eastAsia="Arial" w:hAnsi="Arial"/>
                <w:sz w:val="15"/>
                <w:szCs w:val="15"/>
                <w:color w:val="auto"/>
              </w:rPr>
              <w:t>Total capital (statutory)</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(23)</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106</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106</w:t>
            </w:r>
          </w:p>
        </w:tc>
        <w:tc>
          <w:tcPr>
            <w:tcW w:w="100" w:type="dxa"/>
            <w:vAlign w:val="bottom"/>
          </w:tcPr>
          <w:p>
            <w:pPr>
              <w:spacing w:after="0"/>
              <w:rPr>
                <w:sz w:val="20"/>
                <w:szCs w:val="20"/>
                <w:color w:val="auto"/>
              </w:rPr>
            </w:pPr>
          </w:p>
        </w:tc>
        <w:tc>
          <w:tcPr>
            <w:tcW w:w="1340" w:type="dxa"/>
            <w:vAlign w:val="bottom"/>
          </w:tcPr>
          <w:p>
            <w:pPr>
              <w:ind w:left="880"/>
              <w:spacing w:after="0"/>
              <w:rPr>
                <w:sz w:val="20"/>
                <w:szCs w:val="20"/>
                <w:color w:val="auto"/>
              </w:rPr>
            </w:pPr>
            <w:r>
              <w:rPr>
                <w:rFonts w:ascii="Arial" w:cs="Arial" w:eastAsia="Arial" w:hAnsi="Arial"/>
                <w:sz w:val="15"/>
                <w:szCs w:val="15"/>
                <w:color w:val="auto"/>
                <w:w w:val="99"/>
              </w:rPr>
              <w:t>(1.7)%</w:t>
            </w:r>
          </w:p>
        </w:tc>
        <w:tc>
          <w:tcPr>
            <w:tcW w:w="100" w:type="dxa"/>
            <w:vAlign w:val="bottom"/>
          </w:tcPr>
          <w:p>
            <w:pPr>
              <w:spacing w:after="0"/>
              <w:rPr>
                <w:sz w:val="20"/>
                <w:szCs w:val="20"/>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8.0 %</w:t>
            </w:r>
          </w:p>
        </w:tc>
        <w:tc>
          <w:tcPr>
            <w:tcW w:w="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8.0 %</w:t>
            </w:r>
          </w:p>
        </w:tc>
        <w:tc>
          <w:tcPr>
            <w:tcW w:w="0" w:type="dxa"/>
            <w:vAlign w:val="bottom"/>
          </w:tcPr>
          <w:p>
            <w:pPr>
              <w:spacing w:after="0"/>
              <w:rPr>
                <w:sz w:val="1"/>
                <w:szCs w:val="1"/>
                <w:color w:val="auto"/>
              </w:rPr>
            </w:pPr>
          </w:p>
        </w:tc>
      </w:tr>
      <w:tr>
        <w:trPr>
          <w:trHeight w:val="232"/>
        </w:trPr>
        <w:tc>
          <w:tcPr>
            <w:tcW w:w="2660" w:type="dxa"/>
            <w:vAlign w:val="bottom"/>
          </w:tcPr>
          <w:p>
            <w:pPr>
              <w:ind w:left="220"/>
              <w:spacing w:after="0"/>
              <w:rPr>
                <w:sz w:val="20"/>
                <w:szCs w:val="20"/>
                <w:color w:val="auto"/>
              </w:rPr>
            </w:pPr>
            <w:r>
              <w:rPr>
                <w:rFonts w:ascii="Arial" w:cs="Arial" w:eastAsia="Arial" w:hAnsi="Arial"/>
                <w:sz w:val="15"/>
                <w:szCs w:val="15"/>
                <w:color w:val="auto"/>
              </w:rPr>
              <w:t>Common equity tier 1 capital</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(60)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60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141</w:t>
            </w:r>
          </w:p>
        </w:tc>
        <w:tc>
          <w:tcPr>
            <w:tcW w:w="100" w:type="dxa"/>
            <w:vAlign w:val="bottom"/>
          </w:tcPr>
          <w:p>
            <w:pPr>
              <w:spacing w:after="0"/>
              <w:rPr>
                <w:sz w:val="20"/>
                <w:szCs w:val="20"/>
                <w:color w:val="auto"/>
              </w:rPr>
            </w:pPr>
          </w:p>
        </w:tc>
        <w:tc>
          <w:tcPr>
            <w:tcW w:w="1340" w:type="dxa"/>
            <w:vAlign w:val="bottom"/>
          </w:tcPr>
          <w:p>
            <w:pPr>
              <w:ind w:left="880"/>
              <w:spacing w:after="0"/>
              <w:rPr>
                <w:sz w:val="20"/>
                <w:szCs w:val="20"/>
                <w:color w:val="auto"/>
              </w:rPr>
            </w:pPr>
            <w:r>
              <w:rPr>
                <w:rFonts w:ascii="Arial" w:cs="Arial" w:eastAsia="Arial" w:hAnsi="Arial"/>
                <w:sz w:val="15"/>
                <w:szCs w:val="15"/>
                <w:color w:val="auto"/>
              </w:rPr>
              <w:t>(4.5)</w:t>
            </w:r>
          </w:p>
        </w:tc>
        <w:tc>
          <w:tcPr>
            <w:tcW w:w="100" w:type="dxa"/>
            <w:vAlign w:val="bottom"/>
          </w:tcPr>
          <w:p>
            <w:pPr>
              <w:spacing w:after="0"/>
              <w:rPr>
                <w:sz w:val="20"/>
                <w:szCs w:val="20"/>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4.5</w:t>
            </w:r>
          </w:p>
        </w:tc>
        <w:tc>
          <w:tcPr>
            <w:tcW w:w="80" w:type="dxa"/>
            <w:vAlign w:val="bottom"/>
          </w:tcPr>
          <w:p>
            <w:pPr>
              <w:spacing w:after="0"/>
              <w:rPr>
                <w:sz w:val="20"/>
                <w:szCs w:val="20"/>
                <w:color w:val="auto"/>
              </w:rPr>
            </w:pPr>
          </w:p>
        </w:tc>
        <w:tc>
          <w:tcPr>
            <w:tcW w:w="1640" w:type="dxa"/>
            <w:vAlign w:val="bottom"/>
          </w:tcPr>
          <w:p>
            <w:pPr>
              <w:jc w:val="right"/>
              <w:ind w:right="126"/>
              <w:spacing w:after="0"/>
              <w:rPr>
                <w:sz w:val="20"/>
                <w:szCs w:val="20"/>
                <w:color w:val="auto"/>
              </w:rPr>
            </w:pPr>
            <w:r>
              <w:rPr>
                <w:rFonts w:ascii="Arial" w:cs="Arial" w:eastAsia="Arial" w:hAnsi="Arial"/>
                <w:sz w:val="15"/>
                <w:szCs w:val="15"/>
                <w:color w:val="auto"/>
              </w:rPr>
              <w:t>10.6</w:t>
            </w:r>
          </w:p>
        </w:tc>
        <w:tc>
          <w:tcPr>
            <w:tcW w:w="0" w:type="dxa"/>
            <w:vAlign w:val="bottom"/>
          </w:tcPr>
          <w:p>
            <w:pPr>
              <w:spacing w:after="0"/>
              <w:rPr>
                <w:sz w:val="1"/>
                <w:szCs w:val="1"/>
                <w:color w:val="auto"/>
              </w:rPr>
            </w:pPr>
          </w:p>
        </w:tc>
      </w:tr>
      <w:tr>
        <w:trPr>
          <w:trHeight w:val="232"/>
        </w:trPr>
        <w:tc>
          <w:tcPr>
            <w:tcW w:w="2660" w:type="dxa"/>
            <w:vAlign w:val="bottom"/>
          </w:tcPr>
          <w:p>
            <w:pPr>
              <w:ind w:left="220"/>
              <w:spacing w:after="0"/>
              <w:rPr>
                <w:sz w:val="20"/>
                <w:szCs w:val="20"/>
                <w:color w:val="auto"/>
              </w:rPr>
            </w:pPr>
            <w:r>
              <w:rPr>
                <w:rFonts w:ascii="Arial" w:cs="Arial" w:eastAsia="Arial" w:hAnsi="Arial"/>
                <w:sz w:val="15"/>
                <w:szCs w:val="15"/>
                <w:color w:val="auto"/>
              </w:rPr>
              <w:t>Tier 1 capital</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80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161</w:t>
            </w:r>
          </w:p>
        </w:tc>
        <w:tc>
          <w:tcPr>
            <w:tcW w:w="100" w:type="dxa"/>
            <w:vAlign w:val="bottom"/>
          </w:tcPr>
          <w:p>
            <w:pPr>
              <w:spacing w:after="0"/>
              <w:rPr>
                <w:sz w:val="20"/>
                <w:szCs w:val="20"/>
                <w:color w:val="auto"/>
              </w:rPr>
            </w:pPr>
          </w:p>
        </w:tc>
        <w:tc>
          <w:tcPr>
            <w:tcW w:w="1340" w:type="dxa"/>
            <w:vAlign w:val="bottom"/>
          </w:tcPr>
          <w:p>
            <w:pPr>
              <w:ind w:left="880"/>
              <w:spacing w:after="0"/>
              <w:rPr>
                <w:sz w:val="20"/>
                <w:szCs w:val="20"/>
                <w:color w:val="auto"/>
              </w:rPr>
            </w:pPr>
            <w:r>
              <w:rPr>
                <w:rFonts w:ascii="Arial" w:cs="Arial" w:eastAsia="Arial" w:hAnsi="Arial"/>
                <w:sz w:val="15"/>
                <w:szCs w:val="15"/>
                <w:color w:val="auto"/>
              </w:rPr>
              <w:t>(3.1)</w:t>
            </w:r>
          </w:p>
        </w:tc>
        <w:tc>
          <w:tcPr>
            <w:tcW w:w="100" w:type="dxa"/>
            <w:vAlign w:val="bottom"/>
          </w:tcPr>
          <w:p>
            <w:pPr>
              <w:spacing w:after="0"/>
              <w:rPr>
                <w:sz w:val="20"/>
                <w:szCs w:val="20"/>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6.0</w:t>
            </w:r>
          </w:p>
        </w:tc>
        <w:tc>
          <w:tcPr>
            <w:tcW w:w="80" w:type="dxa"/>
            <w:vAlign w:val="bottom"/>
          </w:tcPr>
          <w:p>
            <w:pPr>
              <w:spacing w:after="0"/>
              <w:rPr>
                <w:sz w:val="20"/>
                <w:szCs w:val="20"/>
                <w:color w:val="auto"/>
              </w:rPr>
            </w:pPr>
          </w:p>
        </w:tc>
        <w:tc>
          <w:tcPr>
            <w:tcW w:w="1640" w:type="dxa"/>
            <w:vAlign w:val="bottom"/>
          </w:tcPr>
          <w:p>
            <w:pPr>
              <w:jc w:val="right"/>
              <w:ind w:right="126"/>
              <w:spacing w:after="0"/>
              <w:rPr>
                <w:sz w:val="20"/>
                <w:szCs w:val="20"/>
                <w:color w:val="auto"/>
              </w:rPr>
            </w:pPr>
            <w:r>
              <w:rPr>
                <w:rFonts w:ascii="Arial" w:cs="Arial" w:eastAsia="Arial" w:hAnsi="Arial"/>
                <w:sz w:val="15"/>
                <w:szCs w:val="15"/>
                <w:color w:val="auto"/>
              </w:rPr>
              <w:t>12.1</w:t>
            </w:r>
          </w:p>
        </w:tc>
        <w:tc>
          <w:tcPr>
            <w:tcW w:w="0" w:type="dxa"/>
            <w:vAlign w:val="bottom"/>
          </w:tcPr>
          <w:p>
            <w:pPr>
              <w:spacing w:after="0"/>
              <w:rPr>
                <w:sz w:val="1"/>
                <w:szCs w:val="1"/>
                <w:color w:val="auto"/>
              </w:rPr>
            </w:pPr>
          </w:p>
        </w:tc>
      </w:tr>
      <w:tr>
        <w:trPr>
          <w:trHeight w:val="232"/>
        </w:trPr>
        <w:tc>
          <w:tcPr>
            <w:tcW w:w="2660" w:type="dxa"/>
            <w:vAlign w:val="bottom"/>
          </w:tcPr>
          <w:p>
            <w:pPr>
              <w:ind w:left="220"/>
              <w:spacing w:after="0"/>
              <w:rPr>
                <w:sz w:val="20"/>
                <w:szCs w:val="20"/>
                <w:color w:val="auto"/>
              </w:rPr>
            </w:pPr>
            <w:r>
              <w:rPr>
                <w:rFonts w:ascii="Arial" w:cs="Arial" w:eastAsia="Arial" w:hAnsi="Arial"/>
                <w:sz w:val="15"/>
                <w:szCs w:val="15"/>
                <w:color w:val="auto"/>
              </w:rPr>
              <w:t>Adjusted total capital</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106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187</w:t>
            </w:r>
          </w:p>
        </w:tc>
        <w:tc>
          <w:tcPr>
            <w:tcW w:w="100" w:type="dxa"/>
            <w:vAlign w:val="bottom"/>
          </w:tcPr>
          <w:p>
            <w:pPr>
              <w:spacing w:after="0"/>
              <w:rPr>
                <w:sz w:val="20"/>
                <w:szCs w:val="20"/>
                <w:color w:val="auto"/>
              </w:rPr>
            </w:pPr>
          </w:p>
        </w:tc>
        <w:tc>
          <w:tcPr>
            <w:tcW w:w="1340" w:type="dxa"/>
            <w:vAlign w:val="bottom"/>
          </w:tcPr>
          <w:p>
            <w:pPr>
              <w:ind w:left="880"/>
              <w:spacing w:after="0"/>
              <w:rPr>
                <w:sz w:val="20"/>
                <w:szCs w:val="20"/>
                <w:color w:val="auto"/>
              </w:rPr>
            </w:pPr>
            <w:r>
              <w:rPr>
                <w:rFonts w:ascii="Arial" w:cs="Arial" w:eastAsia="Arial" w:hAnsi="Arial"/>
                <w:sz w:val="15"/>
                <w:szCs w:val="15"/>
                <w:color w:val="auto"/>
              </w:rPr>
              <w:t>(3.1)</w:t>
            </w:r>
          </w:p>
        </w:tc>
        <w:tc>
          <w:tcPr>
            <w:tcW w:w="100" w:type="dxa"/>
            <w:vAlign w:val="bottom"/>
          </w:tcPr>
          <w:p>
            <w:pPr>
              <w:spacing w:after="0"/>
              <w:rPr>
                <w:sz w:val="20"/>
                <w:szCs w:val="20"/>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8.0</w:t>
            </w:r>
          </w:p>
        </w:tc>
        <w:tc>
          <w:tcPr>
            <w:tcW w:w="80" w:type="dxa"/>
            <w:vAlign w:val="bottom"/>
          </w:tcPr>
          <w:p>
            <w:pPr>
              <w:spacing w:after="0"/>
              <w:rPr>
                <w:sz w:val="20"/>
                <w:szCs w:val="20"/>
                <w:color w:val="auto"/>
              </w:rPr>
            </w:pPr>
          </w:p>
        </w:tc>
        <w:tc>
          <w:tcPr>
            <w:tcW w:w="1640" w:type="dxa"/>
            <w:vAlign w:val="bottom"/>
          </w:tcPr>
          <w:p>
            <w:pPr>
              <w:jc w:val="right"/>
              <w:ind w:right="126"/>
              <w:spacing w:after="0"/>
              <w:rPr>
                <w:sz w:val="20"/>
                <w:szCs w:val="20"/>
                <w:color w:val="auto"/>
              </w:rPr>
            </w:pPr>
            <w:r>
              <w:rPr>
                <w:rFonts w:ascii="Arial" w:cs="Arial" w:eastAsia="Arial" w:hAnsi="Arial"/>
                <w:sz w:val="15"/>
                <w:szCs w:val="15"/>
                <w:color w:val="auto"/>
              </w:rPr>
              <w:t>14.0</w:t>
            </w:r>
          </w:p>
        </w:tc>
        <w:tc>
          <w:tcPr>
            <w:tcW w:w="0" w:type="dxa"/>
            <w:vAlign w:val="bottom"/>
          </w:tcPr>
          <w:p>
            <w:pPr>
              <w:spacing w:after="0"/>
              <w:rPr>
                <w:sz w:val="1"/>
                <w:szCs w:val="1"/>
                <w:color w:val="auto"/>
              </w:rPr>
            </w:pPr>
          </w:p>
        </w:tc>
      </w:tr>
      <w:tr>
        <w:trPr>
          <w:trHeight w:val="227"/>
        </w:trPr>
        <w:tc>
          <w:tcPr>
            <w:tcW w:w="2660" w:type="dxa"/>
            <w:vAlign w:val="bottom"/>
          </w:tcPr>
          <w:p>
            <w:pPr>
              <w:ind w:left="20"/>
              <w:spacing w:after="0"/>
              <w:rPr>
                <w:sz w:val="20"/>
                <w:szCs w:val="20"/>
                <w:color w:val="auto"/>
              </w:rPr>
            </w:pPr>
            <w:r>
              <w:rPr>
                <w:rFonts w:ascii="Arial" w:cs="Arial" w:eastAsia="Arial" w:hAnsi="Arial"/>
                <w:sz w:val="15"/>
                <w:szCs w:val="15"/>
                <w:b w:val="1"/>
                <w:bCs w:val="1"/>
                <w:color w:val="auto"/>
              </w:rPr>
              <w:t>Leverage capital:</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60" w:type="dxa"/>
            <w:vAlign w:val="bottom"/>
          </w:tcPr>
          <w:p>
            <w:pPr>
              <w:ind w:left="220"/>
              <w:spacing w:after="0"/>
              <w:rPr>
                <w:sz w:val="20"/>
                <w:szCs w:val="20"/>
                <w:color w:val="auto"/>
              </w:rPr>
            </w:pPr>
            <w:r>
              <w:rPr>
                <w:rFonts w:ascii="Arial" w:cs="Arial" w:eastAsia="Arial" w:hAnsi="Arial"/>
                <w:sz w:val="15"/>
                <w:szCs w:val="15"/>
                <w:color w:val="auto"/>
              </w:rPr>
              <w:t>Core capital (statutory)</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111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111</w:t>
            </w:r>
          </w:p>
        </w:tc>
        <w:tc>
          <w:tcPr>
            <w:tcW w:w="100" w:type="dxa"/>
            <w:vAlign w:val="bottom"/>
          </w:tcPr>
          <w:p>
            <w:pPr>
              <w:spacing w:after="0"/>
              <w:rPr>
                <w:sz w:val="20"/>
                <w:szCs w:val="20"/>
                <w:color w:val="auto"/>
              </w:rPr>
            </w:pPr>
          </w:p>
        </w:tc>
        <w:tc>
          <w:tcPr>
            <w:tcW w:w="1340" w:type="dxa"/>
            <w:vAlign w:val="bottom"/>
          </w:tcPr>
          <w:p>
            <w:pPr>
              <w:ind w:left="880"/>
              <w:spacing w:after="0"/>
              <w:rPr>
                <w:sz w:val="20"/>
                <w:szCs w:val="20"/>
                <w:color w:val="auto"/>
              </w:rPr>
            </w:pPr>
            <w:r>
              <w:rPr>
                <w:rFonts w:ascii="Arial" w:cs="Arial" w:eastAsia="Arial" w:hAnsi="Arial"/>
                <w:sz w:val="15"/>
                <w:szCs w:val="15"/>
                <w:color w:val="auto"/>
              </w:rPr>
              <w:t>(0.7)</w:t>
            </w:r>
          </w:p>
        </w:tc>
        <w:tc>
          <w:tcPr>
            <w:tcW w:w="100" w:type="dxa"/>
            <w:vAlign w:val="bottom"/>
          </w:tcPr>
          <w:p>
            <w:pPr>
              <w:spacing w:after="0"/>
              <w:rPr>
                <w:sz w:val="20"/>
                <w:szCs w:val="20"/>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2.5</w:t>
            </w:r>
          </w:p>
        </w:tc>
        <w:tc>
          <w:tcPr>
            <w:tcW w:w="80" w:type="dxa"/>
            <w:vAlign w:val="bottom"/>
          </w:tcPr>
          <w:p>
            <w:pPr>
              <w:spacing w:after="0"/>
              <w:rPr>
                <w:sz w:val="20"/>
                <w:szCs w:val="20"/>
                <w:color w:val="auto"/>
              </w:rPr>
            </w:pPr>
          </w:p>
        </w:tc>
        <w:tc>
          <w:tcPr>
            <w:tcW w:w="1640" w:type="dxa"/>
            <w:vAlign w:val="bottom"/>
          </w:tcPr>
          <w:p>
            <w:pPr>
              <w:jc w:val="right"/>
              <w:ind w:right="126"/>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232"/>
        </w:trPr>
        <w:tc>
          <w:tcPr>
            <w:tcW w:w="2660" w:type="dxa"/>
            <w:vAlign w:val="bottom"/>
          </w:tcPr>
          <w:p>
            <w:pPr>
              <w:ind w:left="220"/>
              <w:spacing w:after="0"/>
              <w:rPr>
                <w:sz w:val="20"/>
                <w:szCs w:val="20"/>
                <w:color w:val="auto"/>
              </w:rPr>
            </w:pPr>
            <w:r>
              <w:rPr>
                <w:rFonts w:ascii="Arial" w:cs="Arial" w:eastAsia="Arial" w:hAnsi="Arial"/>
                <w:sz w:val="15"/>
                <w:szCs w:val="15"/>
                <w:color w:val="auto"/>
              </w:rPr>
              <w:t>Tier 1 capital</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111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135</w:t>
            </w:r>
          </w:p>
        </w:tc>
        <w:tc>
          <w:tcPr>
            <w:tcW w:w="100" w:type="dxa"/>
            <w:vAlign w:val="bottom"/>
          </w:tcPr>
          <w:p>
            <w:pPr>
              <w:spacing w:after="0"/>
              <w:rPr>
                <w:sz w:val="20"/>
                <w:szCs w:val="20"/>
                <w:color w:val="auto"/>
              </w:rPr>
            </w:pPr>
          </w:p>
        </w:tc>
        <w:tc>
          <w:tcPr>
            <w:tcW w:w="1340" w:type="dxa"/>
            <w:vAlign w:val="bottom"/>
          </w:tcPr>
          <w:p>
            <w:pPr>
              <w:ind w:left="880"/>
              <w:spacing w:after="0"/>
              <w:rPr>
                <w:sz w:val="20"/>
                <w:szCs w:val="20"/>
                <w:color w:val="auto"/>
              </w:rPr>
            </w:pPr>
            <w:r>
              <w:rPr>
                <w:rFonts w:ascii="Arial" w:cs="Arial" w:eastAsia="Arial" w:hAnsi="Arial"/>
                <w:sz w:val="15"/>
                <w:szCs w:val="15"/>
                <w:color w:val="auto"/>
              </w:rPr>
              <w:t>(0.9)</w:t>
            </w:r>
          </w:p>
        </w:tc>
        <w:tc>
          <w:tcPr>
            <w:tcW w:w="100" w:type="dxa"/>
            <w:vAlign w:val="bottom"/>
          </w:tcPr>
          <w:p>
            <w:pPr>
              <w:spacing w:after="0"/>
              <w:rPr>
                <w:sz w:val="20"/>
                <w:szCs w:val="20"/>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2.5</w:t>
            </w:r>
          </w:p>
        </w:tc>
        <w:tc>
          <w:tcPr>
            <w:tcW w:w="80" w:type="dxa"/>
            <w:vAlign w:val="bottom"/>
          </w:tcPr>
          <w:p>
            <w:pPr>
              <w:spacing w:after="0"/>
              <w:rPr>
                <w:sz w:val="20"/>
                <w:szCs w:val="20"/>
                <w:color w:val="auto"/>
              </w:rPr>
            </w:pPr>
          </w:p>
        </w:tc>
        <w:tc>
          <w:tcPr>
            <w:tcW w:w="1640" w:type="dxa"/>
            <w:vAlign w:val="bottom"/>
          </w:tcPr>
          <w:p>
            <w:pPr>
              <w:jc w:val="right"/>
              <w:ind w:right="126"/>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426720</wp:posOffset>
            </wp:positionV>
            <wp:extent cx="680593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20" w:name="page121"/>
    <w:bookmarkEnd w:id="120"/>
    <w:p>
      <w:pPr>
        <w:ind w:left="5660"/>
        <w:spacing w:after="0"/>
        <w:rPr>
          <w:sz w:val="20"/>
          <w:szCs w:val="20"/>
          <w:color w:val="auto"/>
        </w:rPr>
      </w:pPr>
      <w:r>
        <w:rPr>
          <w:rFonts w:ascii="Arial" w:cs="Arial" w:eastAsia="Arial" w:hAnsi="Arial"/>
          <w:sz w:val="13"/>
          <w:szCs w:val="13"/>
          <w:color w:val="05314D"/>
        </w:rPr>
        <w:t>Notes to Condensed Consolidated Financial Statements | Regulatory Capital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2216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Capital Metrics under the Enterprise Regulatory Capital Framework as of December 31, 2023</w:t>
      </w:r>
      <w:r>
        <w:rPr>
          <w:rFonts w:ascii="Arial" w:cs="Arial" w:eastAsia="Arial" w:hAnsi="Arial"/>
          <w:sz w:val="24"/>
          <w:szCs w:val="24"/>
          <w:b w:val="1"/>
          <w:bCs w:val="1"/>
          <w:color w:val="05314D"/>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7138670" cy="1651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gridSpan w:val="5"/>
          </w:tcPr>
          <w:p>
            <w:pPr>
              <w:ind w:left="860"/>
              <w:spacing w:after="0"/>
              <w:rPr>
                <w:sz w:val="20"/>
                <w:szCs w:val="20"/>
                <w:color w:val="auto"/>
              </w:rPr>
            </w:pPr>
            <w:r>
              <w:rPr>
                <w:rFonts w:ascii="Arial" w:cs="Arial" w:eastAsia="Arial" w:hAnsi="Arial"/>
                <w:sz w:val="14"/>
                <w:szCs w:val="14"/>
                <w:b w:val="1"/>
                <w:bCs w:val="1"/>
                <w:color w:val="auto"/>
              </w:rPr>
              <w:t>(Dollars in billions)</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660" w:type="dxa"/>
            <w:vAlign w:val="bottom"/>
          </w:tcPr>
          <w:p>
            <w:pPr>
              <w:ind w:left="20"/>
              <w:spacing w:after="0"/>
              <w:rPr>
                <w:sz w:val="20"/>
                <w:szCs w:val="20"/>
                <w:color w:val="auto"/>
              </w:rPr>
            </w:pPr>
            <w:r>
              <w:rPr>
                <w:rFonts w:ascii="Arial" w:cs="Arial" w:eastAsia="Arial" w:hAnsi="Arial"/>
                <w:sz w:val="15"/>
                <w:szCs w:val="15"/>
                <w:color w:val="auto"/>
              </w:rPr>
              <w:t>Adjusted total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4,552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6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Risk-weighted assets</w:t>
            </w:r>
          </w:p>
        </w:tc>
        <w:tc>
          <w:tcPr>
            <w:tcW w:w="100" w:type="dxa"/>
            <w:vAlign w:val="bottom"/>
            <w:tcBorders>
              <w:bottom w:val="single" w:sz="8" w:color="2C6937"/>
            </w:tcBorders>
          </w:tcPr>
          <w:p>
            <w:pPr>
              <w:spacing w:after="0"/>
              <w:rPr>
                <w:sz w:val="20"/>
                <w:szCs w:val="20"/>
                <w:color w:val="auto"/>
              </w:rPr>
            </w:pPr>
          </w:p>
        </w:tc>
        <w:tc>
          <w:tcPr>
            <w:tcW w:w="114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1,357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660" w:type="dxa"/>
            <w:vAlign w:val="bottom"/>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1140" w:type="dxa"/>
            <w:vAlign w:val="bottom"/>
            <w:tcBorders>
              <w:bottom w:val="single" w:sz="8" w:color="2C6937"/>
            </w:tcBorders>
          </w:tcPr>
          <w:p>
            <w:pPr>
              <w:spacing w:after="0"/>
              <w:rPr>
                <w:sz w:val="19"/>
                <w:szCs w:val="19"/>
                <w:color w:val="auto"/>
              </w:rPr>
            </w:pPr>
          </w:p>
        </w:tc>
        <w:tc>
          <w:tcPr>
            <w:tcW w:w="80" w:type="dxa"/>
            <w:vAlign w:val="bottom"/>
            <w:tcBorders>
              <w:bottom w:val="single" w:sz="8" w:color="2C6937"/>
            </w:tcBorders>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120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4"/>
                <w:szCs w:val="14"/>
                <w:b w:val="1"/>
                <w:bCs w:val="1"/>
                <w:color w:val="auto"/>
                <w:w w:val="95"/>
              </w:rPr>
              <w:t>Amounts</w:t>
            </w:r>
          </w:p>
        </w:tc>
        <w:tc>
          <w:tcPr>
            <w:tcW w:w="160" w:type="dxa"/>
            <w:vAlign w:val="bottom"/>
            <w:tcBorders>
              <w:bottom w:val="single" w:sz="8" w:color="2C6937"/>
            </w:tcBorders>
          </w:tcPr>
          <w:p>
            <w:pPr>
              <w:spacing w:after="0"/>
              <w:rPr>
                <w:sz w:val="19"/>
                <w:szCs w:val="19"/>
                <w:color w:val="auto"/>
              </w:rPr>
            </w:pPr>
          </w:p>
        </w:tc>
        <w:tc>
          <w:tcPr>
            <w:tcW w:w="1100" w:type="dxa"/>
            <w:vAlign w:val="bottom"/>
            <w:tcBorders>
              <w:bottom w:val="single" w:sz="8" w:color="2C6937"/>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2C6937"/>
            </w:tcBorders>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1460" w:type="dxa"/>
            <w:vAlign w:val="bottom"/>
            <w:tcBorders>
              <w:bottom w:val="single" w:sz="8" w:color="2C6937"/>
            </w:tcBorders>
            <w:gridSpan w:val="2"/>
          </w:tcPr>
          <w:p>
            <w:pPr>
              <w:ind w:left="620"/>
              <w:spacing w:after="0"/>
              <w:rPr>
                <w:sz w:val="20"/>
                <w:szCs w:val="20"/>
                <w:color w:val="auto"/>
              </w:rPr>
            </w:pPr>
            <w:r>
              <w:rPr>
                <w:rFonts w:ascii="Arial" w:cs="Arial" w:eastAsia="Arial" w:hAnsi="Arial"/>
                <w:sz w:val="14"/>
                <w:szCs w:val="14"/>
                <w:b w:val="1"/>
                <w:bCs w:val="1"/>
                <w:color w:val="auto"/>
              </w:rPr>
              <w:t>Ratios</w:t>
            </w:r>
          </w:p>
        </w:tc>
        <w:tc>
          <w:tcPr>
            <w:tcW w:w="1640" w:type="dxa"/>
            <w:vAlign w:val="bottom"/>
            <w:tcBorders>
              <w:bottom w:val="single" w:sz="8" w:color="2C6937"/>
            </w:tcBorders>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Total Capital</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Total Capital</w:t>
            </w:r>
          </w:p>
        </w:tc>
        <w:tc>
          <w:tcPr>
            <w:tcW w:w="0" w:type="dxa"/>
            <w:vAlign w:val="bottom"/>
          </w:tcPr>
          <w:p>
            <w:pPr>
              <w:spacing w:after="0"/>
              <w:rPr>
                <w:sz w:val="1"/>
                <w:szCs w:val="1"/>
                <w:color w:val="auto"/>
              </w:rPr>
            </w:pPr>
          </w:p>
        </w:tc>
      </w:tr>
      <w:tr>
        <w:trPr>
          <w:trHeight w:val="116"/>
        </w:trPr>
        <w:tc>
          <w:tcPr>
            <w:tcW w:w="2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Available</w:t>
            </w:r>
          </w:p>
        </w:tc>
        <w:tc>
          <w:tcPr>
            <w:tcW w:w="13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8"/>
              </w:rPr>
              <w:t>Minimum Capital</w:t>
            </w:r>
          </w:p>
        </w:tc>
        <w:tc>
          <w:tcPr>
            <w:tcW w:w="160" w:type="dxa"/>
            <w:vAlign w:val="bottom"/>
          </w:tcPr>
          <w:p>
            <w:pPr>
              <w:spacing w:after="0"/>
              <w:rPr>
                <w:sz w:val="10"/>
                <w:szCs w:val="10"/>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Requirement</w:t>
            </w:r>
          </w:p>
        </w:tc>
        <w:tc>
          <w:tcPr>
            <w:tcW w:w="14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Available Capital</w:t>
            </w:r>
          </w:p>
        </w:tc>
        <w:tc>
          <w:tcPr>
            <w:tcW w:w="14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Minimum Capital</w:t>
            </w:r>
          </w:p>
        </w:tc>
        <w:tc>
          <w:tcPr>
            <w:tcW w:w="1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2"/>
        </w:trPr>
        <w:tc>
          <w:tcPr>
            <w:tcW w:w="2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36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Requirement Ratio</w:t>
            </w:r>
          </w:p>
        </w:tc>
        <w:tc>
          <w:tcPr>
            <w:tcW w:w="0" w:type="dxa"/>
            <w:vAlign w:val="bottom"/>
          </w:tcPr>
          <w:p>
            <w:pPr>
              <w:spacing w:after="0"/>
              <w:rPr>
                <w:sz w:val="1"/>
                <w:szCs w:val="1"/>
                <w:color w:val="auto"/>
              </w:rPr>
            </w:pPr>
          </w:p>
        </w:tc>
      </w:tr>
      <w:tr>
        <w:trPr>
          <w:trHeight w:val="138"/>
        </w:trPr>
        <w:tc>
          <w:tcPr>
            <w:tcW w:w="2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360" w:type="dxa"/>
            <w:vAlign w:val="bottom"/>
            <w:gridSpan w:val="3"/>
          </w:tcPr>
          <w:p>
            <w:pPr>
              <w:jc w:val="center"/>
              <w:ind w:right="100"/>
              <w:spacing w:after="0" w:line="139" w:lineRule="exact"/>
              <w:rPr>
                <w:sz w:val="20"/>
                <w:szCs w:val="20"/>
                <w:color w:val="auto"/>
              </w:rPr>
            </w:pPr>
            <w:r>
              <w:rPr>
                <w:rFonts w:ascii="Arial" w:cs="Arial" w:eastAsia="Arial" w:hAnsi="Arial"/>
                <w:sz w:val="14"/>
                <w:szCs w:val="14"/>
                <w:b w:val="1"/>
                <w:bCs w:val="1"/>
                <w:color w:val="auto"/>
                <w:w w:val="97"/>
              </w:rPr>
              <w:t>(including Buffers)</w:t>
            </w:r>
          </w:p>
        </w:tc>
        <w:tc>
          <w:tcPr>
            <w:tcW w:w="144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Capital (Deficit)</w:t>
            </w:r>
          </w:p>
        </w:tc>
        <w:tc>
          <w:tcPr>
            <w:tcW w:w="16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Requirement</w:t>
            </w:r>
          </w:p>
        </w:tc>
        <w:tc>
          <w:tcPr>
            <w:tcW w:w="160" w:type="dxa"/>
            <w:vAlign w:val="bottom"/>
          </w:tcPr>
          <w:p>
            <w:pPr>
              <w:spacing w:after="0"/>
              <w:rPr>
                <w:sz w:val="14"/>
                <w:szCs w:val="14"/>
                <w:color w:val="auto"/>
              </w:rPr>
            </w:pPr>
          </w:p>
        </w:tc>
        <w:tc>
          <w:tcPr>
            <w:tcW w:w="1100" w:type="dxa"/>
            <w:vAlign w:val="bottom"/>
          </w:tcPr>
          <w:p>
            <w:pPr>
              <w:jc w:val="center"/>
              <w:ind w:right="88"/>
              <w:spacing w:after="0"/>
              <w:rPr>
                <w:sz w:val="20"/>
                <w:szCs w:val="20"/>
                <w:color w:val="auto"/>
              </w:rPr>
            </w:pPr>
            <w:r>
              <w:rPr>
                <w:rFonts w:ascii="Arial" w:cs="Arial" w:eastAsia="Arial" w:hAnsi="Arial"/>
                <w:sz w:val="9"/>
                <w:szCs w:val="9"/>
                <w:b w:val="1"/>
                <w:bCs w:val="1"/>
                <w:color w:val="auto"/>
                <w:w w:val="90"/>
              </w:rPr>
              <w:t>(2)</w:t>
            </w:r>
          </w:p>
        </w:tc>
        <w:tc>
          <w:tcPr>
            <w:tcW w:w="100" w:type="dxa"/>
            <w:vAlign w:val="bottom"/>
          </w:tcPr>
          <w:p>
            <w:pPr>
              <w:spacing w:after="0"/>
              <w:rPr>
                <w:sz w:val="14"/>
                <w:szCs w:val="14"/>
                <w:color w:val="auto"/>
              </w:rPr>
            </w:pPr>
          </w:p>
        </w:tc>
        <w:tc>
          <w:tcPr>
            <w:tcW w:w="1440" w:type="dxa"/>
            <w:vAlign w:val="bottom"/>
            <w:gridSpan w:val="2"/>
          </w:tcPr>
          <w:p>
            <w:pPr>
              <w:ind w:left="220"/>
              <w:spacing w:after="0"/>
              <w:rPr>
                <w:sz w:val="20"/>
                <w:szCs w:val="20"/>
                <w:color w:val="auto"/>
              </w:rPr>
            </w:pPr>
            <w:r>
              <w:rPr>
                <w:rFonts w:ascii="Arial" w:cs="Arial" w:eastAsia="Arial" w:hAnsi="Arial"/>
                <w:sz w:val="14"/>
                <w:szCs w:val="14"/>
                <w:b w:val="1"/>
                <w:bCs w:val="1"/>
                <w:color w:val="auto"/>
              </w:rPr>
              <w:t>(Deficit) Ratio</w:t>
            </w: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Ratio Requirement</w:t>
            </w:r>
          </w:p>
        </w:tc>
        <w:tc>
          <w:tcPr>
            <w:tcW w:w="1640" w:type="dxa"/>
            <w:vAlign w:val="bottom"/>
          </w:tcPr>
          <w:p>
            <w:pPr>
              <w:jc w:val="center"/>
              <w:spacing w:after="0" w:line="167" w:lineRule="exact"/>
              <w:rPr>
                <w:sz w:val="20"/>
                <w:szCs w:val="20"/>
                <w:color w:val="auto"/>
              </w:rPr>
            </w:pPr>
            <w:r>
              <w:rPr>
                <w:rFonts w:ascii="Arial" w:cs="Arial" w:eastAsia="Arial" w:hAnsi="Arial"/>
                <w:sz w:val="14"/>
                <w:szCs w:val="14"/>
                <w:b w:val="1"/>
                <w:bCs w:val="1"/>
                <w:color w:val="auto"/>
                <w:w w:val="96"/>
              </w:rPr>
              <w:t>(including Buffers)</w:t>
            </w:r>
            <w:r>
              <w:rPr>
                <w:rFonts w:ascii="Arial" w:cs="Arial" w:eastAsia="Arial" w:hAnsi="Arial"/>
                <w:sz w:val="17"/>
                <w:szCs w:val="17"/>
                <w:b w:val="1"/>
                <w:bCs w:val="1"/>
                <w:color w:val="auto"/>
                <w:w w:val="96"/>
                <w:vertAlign w:val="superscript"/>
              </w:rPr>
              <w:t>(2)</w:t>
            </w:r>
          </w:p>
        </w:tc>
        <w:tc>
          <w:tcPr>
            <w:tcW w:w="0" w:type="dxa"/>
            <w:vAlign w:val="bottom"/>
          </w:tcPr>
          <w:p>
            <w:pPr>
              <w:spacing w:after="0"/>
              <w:rPr>
                <w:sz w:val="1"/>
                <w:szCs w:val="1"/>
                <w:color w:val="auto"/>
              </w:rPr>
            </w:pPr>
          </w:p>
        </w:tc>
      </w:tr>
      <w:tr>
        <w:trPr>
          <w:trHeight w:val="206"/>
        </w:trPr>
        <w:tc>
          <w:tcPr>
            <w:tcW w:w="2660" w:type="dxa"/>
            <w:vAlign w:val="bottom"/>
          </w:tcPr>
          <w:p>
            <w:pPr>
              <w:ind w:left="20"/>
              <w:spacing w:after="0"/>
              <w:rPr>
                <w:sz w:val="20"/>
                <w:szCs w:val="20"/>
                <w:color w:val="auto"/>
              </w:rPr>
            </w:pPr>
            <w:r>
              <w:rPr>
                <w:rFonts w:ascii="Arial" w:cs="Arial" w:eastAsia="Arial" w:hAnsi="Arial"/>
                <w:sz w:val="15"/>
                <w:szCs w:val="15"/>
                <w:b w:val="1"/>
                <w:bCs w:val="1"/>
                <w:color w:val="auto"/>
              </w:rPr>
              <w:t>Risk-based capital:</w:t>
            </w:r>
          </w:p>
        </w:tc>
        <w:tc>
          <w:tcPr>
            <w:tcW w:w="100" w:type="dxa"/>
            <w:vAlign w:val="bottom"/>
            <w:tcBorders>
              <w:top w:val="single" w:sz="8" w:color="2C6937"/>
            </w:tcBorders>
          </w:tcPr>
          <w:p>
            <w:pPr>
              <w:spacing w:after="0"/>
              <w:rPr>
                <w:sz w:val="17"/>
                <w:szCs w:val="17"/>
                <w:color w:val="auto"/>
              </w:rPr>
            </w:pPr>
          </w:p>
        </w:tc>
        <w:tc>
          <w:tcPr>
            <w:tcW w:w="1140" w:type="dxa"/>
            <w:vAlign w:val="bottom"/>
            <w:tcBorders>
              <w:top w:val="single" w:sz="8" w:color="2C6937"/>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2C6937"/>
            </w:tcBorders>
          </w:tcPr>
          <w:p>
            <w:pPr>
              <w:spacing w:after="0"/>
              <w:rPr>
                <w:sz w:val="17"/>
                <w:szCs w:val="17"/>
                <w:color w:val="auto"/>
              </w:rPr>
            </w:pPr>
          </w:p>
        </w:tc>
        <w:tc>
          <w:tcPr>
            <w:tcW w:w="1120" w:type="dxa"/>
            <w:vAlign w:val="bottom"/>
            <w:tcBorders>
              <w:top w:val="single" w:sz="8" w:color="2C6937"/>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2C6937"/>
            </w:tcBorders>
          </w:tcPr>
          <w:p>
            <w:pPr>
              <w:spacing w:after="0"/>
              <w:rPr>
                <w:sz w:val="17"/>
                <w:szCs w:val="17"/>
                <w:color w:val="auto"/>
              </w:rPr>
            </w:pPr>
          </w:p>
        </w:tc>
        <w:tc>
          <w:tcPr>
            <w:tcW w:w="110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Borders>
              <w:top w:val="single" w:sz="8" w:color="2C6937"/>
            </w:tcBorders>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Borders>
              <w:top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660" w:type="dxa"/>
            <w:vAlign w:val="bottom"/>
          </w:tcPr>
          <w:p>
            <w:pPr>
              <w:ind w:left="220"/>
              <w:spacing w:after="0"/>
              <w:rPr>
                <w:sz w:val="20"/>
                <w:szCs w:val="20"/>
                <w:color w:val="auto"/>
              </w:rPr>
            </w:pPr>
            <w:r>
              <w:rPr>
                <w:rFonts w:ascii="Arial" w:cs="Arial" w:eastAsia="Arial" w:hAnsi="Arial"/>
                <w:sz w:val="15"/>
                <w:szCs w:val="15"/>
                <w:color w:val="auto"/>
              </w:rPr>
              <w:t>Total capital (statutory)</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(34)</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109</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109</w:t>
            </w:r>
          </w:p>
        </w:tc>
        <w:tc>
          <w:tcPr>
            <w:tcW w:w="100" w:type="dxa"/>
            <w:vAlign w:val="bottom"/>
          </w:tcPr>
          <w:p>
            <w:pPr>
              <w:spacing w:after="0"/>
              <w:rPr>
                <w:sz w:val="20"/>
                <w:szCs w:val="20"/>
                <w:color w:val="auto"/>
              </w:rPr>
            </w:pPr>
          </w:p>
        </w:tc>
        <w:tc>
          <w:tcPr>
            <w:tcW w:w="1340" w:type="dxa"/>
            <w:vAlign w:val="bottom"/>
          </w:tcPr>
          <w:p>
            <w:pPr>
              <w:ind w:left="880"/>
              <w:spacing w:after="0"/>
              <w:rPr>
                <w:sz w:val="20"/>
                <w:szCs w:val="20"/>
                <w:color w:val="auto"/>
              </w:rPr>
            </w:pPr>
            <w:r>
              <w:rPr>
                <w:rFonts w:ascii="Arial" w:cs="Arial" w:eastAsia="Arial" w:hAnsi="Arial"/>
                <w:sz w:val="15"/>
                <w:szCs w:val="15"/>
                <w:color w:val="auto"/>
                <w:w w:val="99"/>
              </w:rPr>
              <w:t>(2.5)%</w:t>
            </w:r>
          </w:p>
        </w:tc>
        <w:tc>
          <w:tcPr>
            <w:tcW w:w="100" w:type="dxa"/>
            <w:vAlign w:val="bottom"/>
          </w:tcPr>
          <w:p>
            <w:pPr>
              <w:spacing w:after="0"/>
              <w:rPr>
                <w:sz w:val="20"/>
                <w:szCs w:val="20"/>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8.0 %</w:t>
            </w:r>
          </w:p>
        </w:tc>
        <w:tc>
          <w:tcPr>
            <w:tcW w:w="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8.0 %</w:t>
            </w:r>
          </w:p>
        </w:tc>
        <w:tc>
          <w:tcPr>
            <w:tcW w:w="0" w:type="dxa"/>
            <w:vAlign w:val="bottom"/>
          </w:tcPr>
          <w:p>
            <w:pPr>
              <w:spacing w:after="0"/>
              <w:rPr>
                <w:sz w:val="1"/>
                <w:szCs w:val="1"/>
                <w:color w:val="auto"/>
              </w:rPr>
            </w:pPr>
          </w:p>
        </w:tc>
      </w:tr>
      <w:tr>
        <w:trPr>
          <w:trHeight w:val="232"/>
        </w:trPr>
        <w:tc>
          <w:tcPr>
            <w:tcW w:w="2660" w:type="dxa"/>
            <w:vAlign w:val="bottom"/>
          </w:tcPr>
          <w:p>
            <w:pPr>
              <w:ind w:left="220"/>
              <w:spacing w:after="0"/>
              <w:rPr>
                <w:sz w:val="20"/>
                <w:szCs w:val="20"/>
                <w:color w:val="auto"/>
              </w:rPr>
            </w:pPr>
            <w:r>
              <w:rPr>
                <w:rFonts w:ascii="Arial" w:cs="Arial" w:eastAsia="Arial" w:hAnsi="Arial"/>
                <w:sz w:val="15"/>
                <w:szCs w:val="15"/>
                <w:color w:val="auto"/>
              </w:rPr>
              <w:t>Common equity tier 1 capital</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(74)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61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140</w:t>
            </w:r>
          </w:p>
        </w:tc>
        <w:tc>
          <w:tcPr>
            <w:tcW w:w="100" w:type="dxa"/>
            <w:vAlign w:val="bottom"/>
          </w:tcPr>
          <w:p>
            <w:pPr>
              <w:spacing w:after="0"/>
              <w:rPr>
                <w:sz w:val="20"/>
                <w:szCs w:val="20"/>
                <w:color w:val="auto"/>
              </w:rPr>
            </w:pPr>
          </w:p>
        </w:tc>
        <w:tc>
          <w:tcPr>
            <w:tcW w:w="1340" w:type="dxa"/>
            <w:vAlign w:val="bottom"/>
          </w:tcPr>
          <w:p>
            <w:pPr>
              <w:ind w:left="880"/>
              <w:spacing w:after="0"/>
              <w:rPr>
                <w:sz w:val="20"/>
                <w:szCs w:val="20"/>
                <w:color w:val="auto"/>
              </w:rPr>
            </w:pPr>
            <w:r>
              <w:rPr>
                <w:rFonts w:ascii="Arial" w:cs="Arial" w:eastAsia="Arial" w:hAnsi="Arial"/>
                <w:sz w:val="15"/>
                <w:szCs w:val="15"/>
                <w:color w:val="auto"/>
              </w:rPr>
              <w:t>(5.5)</w:t>
            </w:r>
          </w:p>
        </w:tc>
        <w:tc>
          <w:tcPr>
            <w:tcW w:w="100" w:type="dxa"/>
            <w:vAlign w:val="bottom"/>
          </w:tcPr>
          <w:p>
            <w:pPr>
              <w:spacing w:after="0"/>
              <w:rPr>
                <w:sz w:val="20"/>
                <w:szCs w:val="20"/>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4.5</w:t>
            </w:r>
          </w:p>
        </w:tc>
        <w:tc>
          <w:tcPr>
            <w:tcW w:w="80" w:type="dxa"/>
            <w:vAlign w:val="bottom"/>
          </w:tcPr>
          <w:p>
            <w:pPr>
              <w:spacing w:after="0"/>
              <w:rPr>
                <w:sz w:val="20"/>
                <w:szCs w:val="20"/>
                <w:color w:val="auto"/>
              </w:rPr>
            </w:pPr>
          </w:p>
        </w:tc>
        <w:tc>
          <w:tcPr>
            <w:tcW w:w="1640" w:type="dxa"/>
            <w:vAlign w:val="bottom"/>
          </w:tcPr>
          <w:p>
            <w:pPr>
              <w:jc w:val="right"/>
              <w:ind w:right="126"/>
              <w:spacing w:after="0"/>
              <w:rPr>
                <w:sz w:val="20"/>
                <w:szCs w:val="20"/>
                <w:color w:val="auto"/>
              </w:rPr>
            </w:pPr>
            <w:r>
              <w:rPr>
                <w:rFonts w:ascii="Arial" w:cs="Arial" w:eastAsia="Arial" w:hAnsi="Arial"/>
                <w:sz w:val="15"/>
                <w:szCs w:val="15"/>
                <w:color w:val="auto"/>
              </w:rPr>
              <w:t>10.3</w:t>
            </w:r>
          </w:p>
        </w:tc>
        <w:tc>
          <w:tcPr>
            <w:tcW w:w="0" w:type="dxa"/>
            <w:vAlign w:val="bottom"/>
          </w:tcPr>
          <w:p>
            <w:pPr>
              <w:spacing w:after="0"/>
              <w:rPr>
                <w:sz w:val="1"/>
                <w:szCs w:val="1"/>
                <w:color w:val="auto"/>
              </w:rPr>
            </w:pPr>
          </w:p>
        </w:tc>
      </w:tr>
      <w:tr>
        <w:trPr>
          <w:trHeight w:val="232"/>
        </w:trPr>
        <w:tc>
          <w:tcPr>
            <w:tcW w:w="2660" w:type="dxa"/>
            <w:vAlign w:val="bottom"/>
          </w:tcPr>
          <w:p>
            <w:pPr>
              <w:ind w:left="220"/>
              <w:spacing w:after="0"/>
              <w:rPr>
                <w:sz w:val="20"/>
                <w:szCs w:val="20"/>
                <w:color w:val="auto"/>
              </w:rPr>
            </w:pPr>
            <w:r>
              <w:rPr>
                <w:rFonts w:ascii="Arial" w:cs="Arial" w:eastAsia="Arial" w:hAnsi="Arial"/>
                <w:sz w:val="15"/>
                <w:szCs w:val="15"/>
                <w:color w:val="auto"/>
              </w:rPr>
              <w:t>Tier 1 capital</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81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160</w:t>
            </w:r>
          </w:p>
        </w:tc>
        <w:tc>
          <w:tcPr>
            <w:tcW w:w="100" w:type="dxa"/>
            <w:vAlign w:val="bottom"/>
          </w:tcPr>
          <w:p>
            <w:pPr>
              <w:spacing w:after="0"/>
              <w:rPr>
                <w:sz w:val="20"/>
                <w:szCs w:val="20"/>
                <w:color w:val="auto"/>
              </w:rPr>
            </w:pPr>
          </w:p>
        </w:tc>
        <w:tc>
          <w:tcPr>
            <w:tcW w:w="1340" w:type="dxa"/>
            <w:vAlign w:val="bottom"/>
          </w:tcPr>
          <w:p>
            <w:pPr>
              <w:ind w:left="880"/>
              <w:spacing w:after="0"/>
              <w:rPr>
                <w:sz w:val="20"/>
                <w:szCs w:val="20"/>
                <w:color w:val="auto"/>
              </w:rPr>
            </w:pPr>
            <w:r>
              <w:rPr>
                <w:rFonts w:ascii="Arial" w:cs="Arial" w:eastAsia="Arial" w:hAnsi="Arial"/>
                <w:sz w:val="15"/>
                <w:szCs w:val="15"/>
                <w:color w:val="auto"/>
              </w:rPr>
              <w:t>(4.1)</w:t>
            </w:r>
          </w:p>
        </w:tc>
        <w:tc>
          <w:tcPr>
            <w:tcW w:w="100" w:type="dxa"/>
            <w:vAlign w:val="bottom"/>
          </w:tcPr>
          <w:p>
            <w:pPr>
              <w:spacing w:after="0"/>
              <w:rPr>
                <w:sz w:val="20"/>
                <w:szCs w:val="20"/>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6.0</w:t>
            </w:r>
          </w:p>
        </w:tc>
        <w:tc>
          <w:tcPr>
            <w:tcW w:w="80" w:type="dxa"/>
            <w:vAlign w:val="bottom"/>
          </w:tcPr>
          <w:p>
            <w:pPr>
              <w:spacing w:after="0"/>
              <w:rPr>
                <w:sz w:val="20"/>
                <w:szCs w:val="20"/>
                <w:color w:val="auto"/>
              </w:rPr>
            </w:pPr>
          </w:p>
        </w:tc>
        <w:tc>
          <w:tcPr>
            <w:tcW w:w="1640" w:type="dxa"/>
            <w:vAlign w:val="bottom"/>
          </w:tcPr>
          <w:p>
            <w:pPr>
              <w:jc w:val="right"/>
              <w:ind w:right="126"/>
              <w:spacing w:after="0"/>
              <w:rPr>
                <w:sz w:val="20"/>
                <w:szCs w:val="20"/>
                <w:color w:val="auto"/>
              </w:rPr>
            </w:pPr>
            <w:r>
              <w:rPr>
                <w:rFonts w:ascii="Arial" w:cs="Arial" w:eastAsia="Arial" w:hAnsi="Arial"/>
                <w:sz w:val="15"/>
                <w:szCs w:val="15"/>
                <w:color w:val="auto"/>
              </w:rPr>
              <w:t>11.8</w:t>
            </w:r>
          </w:p>
        </w:tc>
        <w:tc>
          <w:tcPr>
            <w:tcW w:w="0" w:type="dxa"/>
            <w:vAlign w:val="bottom"/>
          </w:tcPr>
          <w:p>
            <w:pPr>
              <w:spacing w:after="0"/>
              <w:rPr>
                <w:sz w:val="1"/>
                <w:szCs w:val="1"/>
                <w:color w:val="auto"/>
              </w:rPr>
            </w:pPr>
          </w:p>
        </w:tc>
      </w:tr>
      <w:tr>
        <w:trPr>
          <w:trHeight w:val="232"/>
        </w:trPr>
        <w:tc>
          <w:tcPr>
            <w:tcW w:w="2660" w:type="dxa"/>
            <w:vAlign w:val="bottom"/>
          </w:tcPr>
          <w:p>
            <w:pPr>
              <w:ind w:left="220"/>
              <w:spacing w:after="0"/>
              <w:rPr>
                <w:sz w:val="20"/>
                <w:szCs w:val="20"/>
                <w:color w:val="auto"/>
              </w:rPr>
            </w:pPr>
            <w:r>
              <w:rPr>
                <w:rFonts w:ascii="Arial" w:cs="Arial" w:eastAsia="Arial" w:hAnsi="Arial"/>
                <w:sz w:val="15"/>
                <w:szCs w:val="15"/>
                <w:color w:val="auto"/>
              </w:rPr>
              <w:t>Adjusted total capital</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109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188</w:t>
            </w:r>
          </w:p>
        </w:tc>
        <w:tc>
          <w:tcPr>
            <w:tcW w:w="100" w:type="dxa"/>
            <w:vAlign w:val="bottom"/>
          </w:tcPr>
          <w:p>
            <w:pPr>
              <w:spacing w:after="0"/>
              <w:rPr>
                <w:sz w:val="20"/>
                <w:szCs w:val="20"/>
                <w:color w:val="auto"/>
              </w:rPr>
            </w:pPr>
          </w:p>
        </w:tc>
        <w:tc>
          <w:tcPr>
            <w:tcW w:w="1340" w:type="dxa"/>
            <w:vAlign w:val="bottom"/>
          </w:tcPr>
          <w:p>
            <w:pPr>
              <w:ind w:left="880"/>
              <w:spacing w:after="0"/>
              <w:rPr>
                <w:sz w:val="20"/>
                <w:szCs w:val="20"/>
                <w:color w:val="auto"/>
              </w:rPr>
            </w:pPr>
            <w:r>
              <w:rPr>
                <w:rFonts w:ascii="Arial" w:cs="Arial" w:eastAsia="Arial" w:hAnsi="Arial"/>
                <w:sz w:val="15"/>
                <w:szCs w:val="15"/>
                <w:color w:val="auto"/>
              </w:rPr>
              <w:t>(4.1)</w:t>
            </w:r>
          </w:p>
        </w:tc>
        <w:tc>
          <w:tcPr>
            <w:tcW w:w="100" w:type="dxa"/>
            <w:vAlign w:val="bottom"/>
          </w:tcPr>
          <w:p>
            <w:pPr>
              <w:spacing w:after="0"/>
              <w:rPr>
                <w:sz w:val="20"/>
                <w:szCs w:val="20"/>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8.0</w:t>
            </w:r>
          </w:p>
        </w:tc>
        <w:tc>
          <w:tcPr>
            <w:tcW w:w="80" w:type="dxa"/>
            <w:vAlign w:val="bottom"/>
          </w:tcPr>
          <w:p>
            <w:pPr>
              <w:spacing w:after="0"/>
              <w:rPr>
                <w:sz w:val="20"/>
                <w:szCs w:val="20"/>
                <w:color w:val="auto"/>
              </w:rPr>
            </w:pPr>
          </w:p>
        </w:tc>
        <w:tc>
          <w:tcPr>
            <w:tcW w:w="1640" w:type="dxa"/>
            <w:vAlign w:val="bottom"/>
          </w:tcPr>
          <w:p>
            <w:pPr>
              <w:jc w:val="right"/>
              <w:ind w:right="126"/>
              <w:spacing w:after="0"/>
              <w:rPr>
                <w:sz w:val="20"/>
                <w:szCs w:val="20"/>
                <w:color w:val="auto"/>
              </w:rPr>
            </w:pPr>
            <w:r>
              <w:rPr>
                <w:rFonts w:ascii="Arial" w:cs="Arial" w:eastAsia="Arial" w:hAnsi="Arial"/>
                <w:sz w:val="15"/>
                <w:szCs w:val="15"/>
                <w:color w:val="auto"/>
              </w:rPr>
              <w:t>13.9</w:t>
            </w:r>
          </w:p>
        </w:tc>
        <w:tc>
          <w:tcPr>
            <w:tcW w:w="0" w:type="dxa"/>
            <w:vAlign w:val="bottom"/>
          </w:tcPr>
          <w:p>
            <w:pPr>
              <w:spacing w:after="0"/>
              <w:rPr>
                <w:sz w:val="1"/>
                <w:szCs w:val="1"/>
                <w:color w:val="auto"/>
              </w:rPr>
            </w:pPr>
          </w:p>
        </w:tc>
      </w:tr>
      <w:tr>
        <w:trPr>
          <w:trHeight w:val="227"/>
        </w:trPr>
        <w:tc>
          <w:tcPr>
            <w:tcW w:w="2660" w:type="dxa"/>
            <w:vAlign w:val="bottom"/>
          </w:tcPr>
          <w:p>
            <w:pPr>
              <w:ind w:left="20"/>
              <w:spacing w:after="0"/>
              <w:rPr>
                <w:sz w:val="20"/>
                <w:szCs w:val="20"/>
                <w:color w:val="auto"/>
              </w:rPr>
            </w:pPr>
            <w:r>
              <w:rPr>
                <w:rFonts w:ascii="Arial" w:cs="Arial" w:eastAsia="Arial" w:hAnsi="Arial"/>
                <w:sz w:val="15"/>
                <w:szCs w:val="15"/>
                <w:b w:val="1"/>
                <w:bCs w:val="1"/>
                <w:color w:val="auto"/>
              </w:rPr>
              <w:t>Leverage capital:</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60" w:type="dxa"/>
            <w:vAlign w:val="bottom"/>
          </w:tcPr>
          <w:p>
            <w:pPr>
              <w:ind w:left="220"/>
              <w:spacing w:after="0"/>
              <w:rPr>
                <w:sz w:val="20"/>
                <w:szCs w:val="20"/>
                <w:color w:val="auto"/>
              </w:rPr>
            </w:pPr>
            <w:r>
              <w:rPr>
                <w:rFonts w:ascii="Arial" w:cs="Arial" w:eastAsia="Arial" w:hAnsi="Arial"/>
                <w:sz w:val="15"/>
                <w:szCs w:val="15"/>
                <w:color w:val="auto"/>
              </w:rPr>
              <w:t>Core capital (statutory)</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114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114</w:t>
            </w:r>
          </w:p>
        </w:tc>
        <w:tc>
          <w:tcPr>
            <w:tcW w:w="100" w:type="dxa"/>
            <w:vAlign w:val="bottom"/>
          </w:tcPr>
          <w:p>
            <w:pPr>
              <w:spacing w:after="0"/>
              <w:rPr>
                <w:sz w:val="20"/>
                <w:szCs w:val="20"/>
                <w:color w:val="auto"/>
              </w:rPr>
            </w:pPr>
          </w:p>
        </w:tc>
        <w:tc>
          <w:tcPr>
            <w:tcW w:w="1340" w:type="dxa"/>
            <w:vAlign w:val="bottom"/>
          </w:tcPr>
          <w:p>
            <w:pPr>
              <w:ind w:left="880"/>
              <w:spacing w:after="0"/>
              <w:rPr>
                <w:sz w:val="20"/>
                <w:szCs w:val="20"/>
                <w:color w:val="auto"/>
              </w:rPr>
            </w:pPr>
            <w:r>
              <w:rPr>
                <w:rFonts w:ascii="Arial" w:cs="Arial" w:eastAsia="Arial" w:hAnsi="Arial"/>
                <w:sz w:val="15"/>
                <w:szCs w:val="15"/>
                <w:color w:val="auto"/>
              </w:rPr>
              <w:t>(0.9)</w:t>
            </w:r>
          </w:p>
        </w:tc>
        <w:tc>
          <w:tcPr>
            <w:tcW w:w="100" w:type="dxa"/>
            <w:vAlign w:val="bottom"/>
          </w:tcPr>
          <w:p>
            <w:pPr>
              <w:spacing w:after="0"/>
              <w:rPr>
                <w:sz w:val="20"/>
                <w:szCs w:val="20"/>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2.5</w:t>
            </w:r>
          </w:p>
        </w:tc>
        <w:tc>
          <w:tcPr>
            <w:tcW w:w="80" w:type="dxa"/>
            <w:vAlign w:val="bottom"/>
          </w:tcPr>
          <w:p>
            <w:pPr>
              <w:spacing w:after="0"/>
              <w:rPr>
                <w:sz w:val="20"/>
                <w:szCs w:val="20"/>
                <w:color w:val="auto"/>
              </w:rPr>
            </w:pPr>
          </w:p>
        </w:tc>
        <w:tc>
          <w:tcPr>
            <w:tcW w:w="1640" w:type="dxa"/>
            <w:vAlign w:val="bottom"/>
          </w:tcPr>
          <w:p>
            <w:pPr>
              <w:jc w:val="right"/>
              <w:ind w:right="126"/>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232"/>
        </w:trPr>
        <w:tc>
          <w:tcPr>
            <w:tcW w:w="2660" w:type="dxa"/>
            <w:vAlign w:val="bottom"/>
          </w:tcPr>
          <w:p>
            <w:pPr>
              <w:ind w:left="220"/>
              <w:spacing w:after="0"/>
              <w:rPr>
                <w:sz w:val="20"/>
                <w:szCs w:val="20"/>
                <w:color w:val="auto"/>
              </w:rPr>
            </w:pPr>
            <w:r>
              <w:rPr>
                <w:rFonts w:ascii="Arial" w:cs="Arial" w:eastAsia="Arial" w:hAnsi="Arial"/>
                <w:sz w:val="15"/>
                <w:szCs w:val="15"/>
                <w:color w:val="auto"/>
              </w:rPr>
              <w:t>Tier 1 capital</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114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137</w:t>
            </w:r>
          </w:p>
        </w:tc>
        <w:tc>
          <w:tcPr>
            <w:tcW w:w="100" w:type="dxa"/>
            <w:vAlign w:val="bottom"/>
          </w:tcPr>
          <w:p>
            <w:pPr>
              <w:spacing w:after="0"/>
              <w:rPr>
                <w:sz w:val="20"/>
                <w:szCs w:val="20"/>
                <w:color w:val="auto"/>
              </w:rPr>
            </w:pPr>
          </w:p>
        </w:tc>
        <w:tc>
          <w:tcPr>
            <w:tcW w:w="1340" w:type="dxa"/>
            <w:vAlign w:val="bottom"/>
          </w:tcPr>
          <w:p>
            <w:pPr>
              <w:ind w:left="880"/>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20"/>
                <w:szCs w:val="20"/>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2.5</w:t>
            </w:r>
          </w:p>
        </w:tc>
        <w:tc>
          <w:tcPr>
            <w:tcW w:w="80" w:type="dxa"/>
            <w:vAlign w:val="bottom"/>
          </w:tcPr>
          <w:p>
            <w:pPr>
              <w:spacing w:after="0"/>
              <w:rPr>
                <w:sz w:val="20"/>
                <w:szCs w:val="20"/>
                <w:color w:val="auto"/>
              </w:rPr>
            </w:pPr>
          </w:p>
        </w:tc>
        <w:tc>
          <w:tcPr>
            <w:tcW w:w="1640" w:type="dxa"/>
            <w:vAlign w:val="bottom"/>
          </w:tcPr>
          <w:p>
            <w:pPr>
              <w:jc w:val="right"/>
              <w:ind w:right="126"/>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220" w:hanging="217"/>
        <w:spacing w:after="0"/>
        <w:tabs>
          <w:tab w:leader="none" w:pos="220" w:val="left"/>
        </w:tabs>
        <w:numPr>
          <w:ilvl w:val="0"/>
          <w:numId w:val="139"/>
        </w:numPr>
        <w:rPr>
          <w:rFonts w:ascii="Arial" w:cs="Arial" w:eastAsia="Arial" w:hAnsi="Arial"/>
          <w:sz w:val="18"/>
          <w:szCs w:val="18"/>
          <w:color w:val="auto"/>
          <w:vertAlign w:val="superscript"/>
        </w:rPr>
      </w:pPr>
      <w:r>
        <w:rPr>
          <w:rFonts w:ascii="Arial" w:cs="Arial" w:eastAsia="Arial" w:hAnsi="Arial"/>
          <w:sz w:val="14"/>
          <w:szCs w:val="14"/>
          <w:color w:val="auto"/>
        </w:rPr>
        <w:t>Ratios are calculated as a percentage of risk-weighted assets for risk-based capital metrics and as a percentage of adjusted total assets for leverage capital metrics.</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139"/>
        </w:numPr>
        <w:rPr>
          <w:rFonts w:ascii="Arial" w:cs="Arial" w:eastAsia="Arial" w:hAnsi="Arial"/>
          <w:sz w:val="18"/>
          <w:szCs w:val="18"/>
          <w:color w:val="auto"/>
          <w:vertAlign w:val="superscript"/>
        </w:rPr>
      </w:pPr>
      <w:r>
        <w:rPr>
          <w:rFonts w:ascii="Arial" w:cs="Arial" w:eastAsia="Arial" w:hAnsi="Arial"/>
          <w:sz w:val="14"/>
          <w:szCs w:val="14"/>
          <w:color w:val="auto"/>
        </w:rPr>
        <w:t>Prescribed capital conservation buffer amount, or PCCBA, for risk-based capital and prescribed leverage buffer amount, or PLBA, for leverage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365125</wp:posOffset>
            </wp:positionV>
            <wp:extent cx="680593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21" w:name="page122"/>
    <w:bookmarkEnd w:id="121"/>
    <w:p>
      <w:pPr>
        <w:ind w:left="7580"/>
        <w:spacing w:after="0"/>
        <w:rPr>
          <w:sz w:val="20"/>
          <w:szCs w:val="20"/>
          <w:color w:val="auto"/>
        </w:rPr>
      </w:pPr>
      <w:r>
        <w:rPr>
          <w:rFonts w:ascii="Arial" w:cs="Arial" w:eastAsia="Arial" w:hAnsi="Arial"/>
          <w:sz w:val="14"/>
          <w:szCs w:val="14"/>
          <w:color w:val="05314D"/>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17145</wp:posOffset>
            </wp:positionV>
            <wp:extent cx="706501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0650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3. Quantitative and Qualitative Disclosures about Market Risk</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Information about market risk is set forth in “MD&amp;A—Risk Management—Market Risk Management, including Interest-Rate Risk Management.”</w:t>
      </w:r>
    </w:p>
    <w:p>
      <w:pPr>
        <w:spacing w:after="0" w:line="192"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4. Controls and Procedures</w:t>
      </w:r>
    </w:p>
    <w:p>
      <w:pPr>
        <w:spacing w:after="0" w:line="112"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Overview</w:t>
      </w:r>
    </w:p>
    <w:p>
      <w:pPr>
        <w:spacing w:after="0" w:line="76"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We are required under applicable laws and regulations to maintain controls and procedures, which include disclosure controls and procedures as well as internal control over financial reporting, as further described below.</w:t>
      </w:r>
    </w:p>
    <w:p>
      <w:pPr>
        <w:spacing w:after="0" w:line="6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Evaluation of Disclosure Controls and Procedures</w:t>
      </w:r>
    </w:p>
    <w:p>
      <w:pPr>
        <w:spacing w:after="0" w:line="10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Disclosure Controls and Procedures</w:t>
      </w:r>
    </w:p>
    <w:p>
      <w:pPr>
        <w:spacing w:after="0" w:line="80"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Disclosure controls and procedures refer to controls and other procedures designed to provide reasonable assurance that information required to be disclosed in the reports we file or submit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us in the reports that we file or submit under the Exchange Act is accumulated and communicated to management, including our Chief Executive Officer and Chief Financial Officer, as appropriate, to allow timely decisions regarding our required disclosure. In designing and evaluating our disclosure controls and procedures, management recognizes that any controls and procedures, no matter how well designed and operated, can provide only reasonable assurance of achieving the desired control objectives, and management was required to apply its judgment in evaluating and implementing possible controls and procedures.</w:t>
      </w:r>
    </w:p>
    <w:p>
      <w:pPr>
        <w:spacing w:after="0" w:line="8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Evaluation of Disclosure Controls and Procedures</w:t>
      </w:r>
    </w:p>
    <w:p>
      <w:pPr>
        <w:spacing w:after="0" w:line="80"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As required by Rule 13a-15 under the Exchange Act, management has evaluated, with the participation of our Chief Executive Officer and Chief Financial Officer, the effectiveness of our disclosure controls and procedures in effect as of September 30, 2024, the end of the period covered by this report. As a result of management’s evaluation, our Chief Executive Officer and Chief Financial Officer concluded that our disclosure controls and procedures were not effective at a reasonable assurance level as of September 30, 2024, or as of the date of filing this report.</w:t>
      </w:r>
    </w:p>
    <w:p>
      <w:pPr>
        <w:spacing w:after="0" w:line="48"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Our disclosure controls and procedures were not effective as of September 30, 2024, or as of the date of filing this report because they did not adequately ensure the accumulation and communication to management of information known to FHFA that is needed to meet our disclosure obligations under the federal securities laws. As a result, we were not able to rely upon the disclosure controls and procedures that were in place as of September 30, 2024, or as of the date of this filing, and we continue to have a material weakness in our internal control over financial reporting. This material weakness is described in more detail below under “Description of Material Weakness.” Based on discussions with FHFA and the structural nature of this material weakness, we do not expect to remediate this material weakness while we are under conservatorship.</w:t>
      </w:r>
    </w:p>
    <w:p>
      <w:pPr>
        <w:spacing w:after="0" w:line="87"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Description of Material Weakness</w:t>
      </w:r>
    </w:p>
    <w:p>
      <w:pPr>
        <w:spacing w:after="0" w:line="63" w:lineRule="exact"/>
        <w:rPr>
          <w:sz w:val="20"/>
          <w:szCs w:val="20"/>
          <w:color w:val="auto"/>
        </w:rPr>
      </w:pPr>
    </w:p>
    <w:p>
      <w:pPr>
        <w:ind w:right="140"/>
        <w:spacing w:after="0" w:line="272" w:lineRule="auto"/>
        <w:rPr>
          <w:sz w:val="20"/>
          <w:szCs w:val="20"/>
          <w:color w:val="auto"/>
        </w:rPr>
      </w:pPr>
      <w:r>
        <w:rPr>
          <w:rFonts w:ascii="Arial" w:cs="Arial" w:eastAsia="Arial" w:hAnsi="Arial"/>
          <w:sz w:val="16"/>
          <w:szCs w:val="16"/>
          <w:color w:val="auto"/>
        </w:rPr>
        <w:t>The Public Company Accounting Oversight Board’s Auditing Standard 2201 defines a material weakness as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Management has determined that we continued to have the following material weakness as of September 30, 2024, and as of the date of filing this report:</w:t>
      </w:r>
    </w:p>
    <w:p>
      <w:pPr>
        <w:spacing w:after="0" w:line="100" w:lineRule="exact"/>
        <w:rPr>
          <w:sz w:val="20"/>
          <w:szCs w:val="20"/>
          <w:color w:val="auto"/>
        </w:rPr>
      </w:pPr>
    </w:p>
    <w:p>
      <w:pPr>
        <w:ind w:left="620" w:hanging="307"/>
        <w:spacing w:after="0" w:line="262" w:lineRule="auto"/>
        <w:tabs>
          <w:tab w:leader="none" w:pos="612" w:val="left"/>
        </w:tabs>
        <w:numPr>
          <w:ilvl w:val="0"/>
          <w:numId w:val="140"/>
        </w:numPr>
        <w:rPr>
          <w:rFonts w:ascii="Arial" w:cs="Arial" w:eastAsia="Arial" w:hAnsi="Arial"/>
          <w:sz w:val="16"/>
          <w:szCs w:val="16"/>
          <w:color w:val="auto"/>
        </w:rPr>
      </w:pPr>
      <w:r>
        <w:rPr>
          <w:rFonts w:ascii="Arial" w:cs="Arial" w:eastAsia="Arial" w:hAnsi="Arial"/>
          <w:sz w:val="16"/>
          <w:szCs w:val="16"/>
          <w:i w:val="1"/>
          <w:iCs w:val="1"/>
          <w:color w:val="auto"/>
        </w:rPr>
        <w:t xml:space="preserve">Disclosure Controls and Procedures. </w:t>
      </w:r>
      <w:r>
        <w:rPr>
          <w:rFonts w:ascii="Arial" w:cs="Arial" w:eastAsia="Arial" w:hAnsi="Arial"/>
          <w:sz w:val="16"/>
          <w:szCs w:val="16"/>
          <w:color w:val="auto"/>
        </w:rPr>
        <w:t>We have been under the conservatorship of FHFA since September 2008. Under the GSE Act, FHFA is an</w:t>
      </w:r>
      <w:r>
        <w:rPr>
          <w:rFonts w:ascii="Arial" w:cs="Arial" w:eastAsia="Arial" w:hAnsi="Arial"/>
          <w:sz w:val="16"/>
          <w:szCs w:val="16"/>
          <w:i w:val="1"/>
          <w:iCs w:val="1"/>
          <w:color w:val="auto"/>
        </w:rPr>
        <w:t xml:space="preserve"> </w:t>
      </w:r>
      <w:r>
        <w:rPr>
          <w:rFonts w:ascii="Arial" w:cs="Arial" w:eastAsia="Arial" w:hAnsi="Arial"/>
          <w:sz w:val="16"/>
          <w:szCs w:val="16"/>
          <w:color w:val="auto"/>
        </w:rPr>
        <w:t>independent agency that currently functions as both our conservator and our regulator with respect to our safety, soundness, and mission. Because of the nature of the conservatorship under the GSE Act, which places us under the “control” of FHFA (as that term is defined by securities laws), some of the information that we may need to meet our disclosure obligations may be solely within the knowledge of FHFA. As our conservator, FHFA has the power to take actions without our knowledge that could be material to our stockholders and other stakeholders, and could significantly affect our financial performance or our continued existence as an ongoing business. Although we and FHFA attempted to design and implement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501015</wp:posOffset>
            </wp:positionV>
            <wp:extent cx="713867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20" w:type="dxa"/>
            <w:vAlign w:val="bottom"/>
          </w:tcPr>
          <w:p>
            <w:pPr>
              <w:ind w:left="20"/>
              <w:spacing w:after="0"/>
              <w:rPr>
                <w:sz w:val="20"/>
                <w:szCs w:val="20"/>
                <w:color w:val="auto"/>
              </w:rPr>
            </w:pPr>
            <w:r>
              <w:rPr>
                <w:rFonts w:ascii="Arial" w:cs="Arial" w:eastAsia="Arial" w:hAnsi="Arial"/>
                <w:sz w:val="14"/>
                <w:szCs w:val="14"/>
                <w:color w:val="05314D"/>
              </w:rPr>
              <w:t>Fannie Mae Third Quarter 2024 Form 10-Q</w:t>
            </w:r>
          </w:p>
        </w:tc>
        <w:tc>
          <w:tcPr>
            <w:tcW w:w="4420" w:type="dxa"/>
            <w:vAlign w:val="bottom"/>
          </w:tcPr>
          <w:p>
            <w:pPr>
              <w:jc w:val="right"/>
              <w:spacing w:after="0"/>
              <w:rPr>
                <w:sz w:val="20"/>
                <w:szCs w:val="20"/>
                <w:color w:val="auto"/>
              </w:rPr>
            </w:pPr>
            <w:r>
              <w:rPr>
                <w:rFonts w:ascii="Arial" w:cs="Arial" w:eastAsia="Arial" w:hAnsi="Arial"/>
                <w:sz w:val="14"/>
                <w:szCs w:val="14"/>
                <w:color w:val="05314D"/>
              </w:rPr>
              <w:t>119</w:t>
            </w:r>
          </w:p>
        </w:tc>
      </w:tr>
      <w:tr>
        <w:trPr>
          <w:trHeight w:val="220"/>
        </w:trPr>
        <w:tc>
          <w:tcPr>
            <w:tcW w:w="6820" w:type="dxa"/>
            <w:vAlign w:val="bottom"/>
            <w:tcBorders>
              <w:bottom w:val="single" w:sz="8" w:color="9A9A9A"/>
            </w:tcBorders>
          </w:tcPr>
          <w:p>
            <w:pPr>
              <w:spacing w:after="0"/>
              <w:rPr>
                <w:sz w:val="19"/>
                <w:szCs w:val="19"/>
                <w:color w:val="auto"/>
              </w:rPr>
            </w:pPr>
          </w:p>
        </w:tc>
        <w:tc>
          <w:tcPr>
            <w:tcW w:w="44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22" w:name="page123"/>
    <w:bookmarkEnd w:id="122"/>
    <w:p>
      <w:pPr>
        <w:ind w:left="9600"/>
        <w:spacing w:after="0"/>
        <w:rPr>
          <w:sz w:val="20"/>
          <w:szCs w:val="20"/>
          <w:color w:val="auto"/>
        </w:rPr>
      </w:pPr>
      <w:r>
        <w:rPr>
          <w:rFonts w:ascii="Arial" w:cs="Arial" w:eastAsia="Arial" w:hAnsi="Arial"/>
          <w:sz w:val="14"/>
          <w:szCs w:val="14"/>
          <w:color w:val="001543"/>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0722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20" w:right="120"/>
        <w:spacing w:after="0" w:line="263" w:lineRule="auto"/>
        <w:rPr>
          <w:sz w:val="20"/>
          <w:szCs w:val="20"/>
          <w:color w:val="auto"/>
        </w:rPr>
      </w:pPr>
      <w:r>
        <w:rPr>
          <w:rFonts w:ascii="Arial" w:cs="Arial" w:eastAsia="Arial" w:hAnsi="Arial"/>
          <w:sz w:val="16"/>
          <w:szCs w:val="16"/>
          <w:color w:val="auto"/>
        </w:rPr>
        <w:t>disclosure policies and procedures that would account for the conservatorship and accomplish the same objectives as a disclosure controls and procedures policy of a typical reporting company, there are inherent structural limitations on our ability to design, implement, operate, and test effective disclosure controls and procedures. As both our regulator and our conservator under the GSE Act, FHFA is limited in its ability to design and implement a complete set of disclosure controls and procedures relating to Fannie Mae, particularly with respect to current reporting pursuant to Form 8-K. Similarly, as a regulated entity, we are limited in our ability to design, implement, operate, and test the controls and procedures for which FHFA is responsible.</w:t>
      </w:r>
    </w:p>
    <w:p>
      <w:pPr>
        <w:spacing w:after="0" w:line="41" w:lineRule="exact"/>
        <w:rPr>
          <w:sz w:val="20"/>
          <w:szCs w:val="20"/>
          <w:color w:val="auto"/>
        </w:rPr>
      </w:pPr>
    </w:p>
    <w:p>
      <w:pPr>
        <w:ind w:right="360"/>
        <w:spacing w:after="0" w:line="263" w:lineRule="auto"/>
        <w:rPr>
          <w:sz w:val="20"/>
          <w:szCs w:val="20"/>
          <w:color w:val="auto"/>
        </w:rPr>
      </w:pPr>
      <w:r>
        <w:rPr>
          <w:rFonts w:ascii="Arial" w:cs="Arial" w:eastAsia="Arial" w:hAnsi="Arial"/>
          <w:sz w:val="16"/>
          <w:szCs w:val="16"/>
          <w:color w:val="auto"/>
        </w:rPr>
        <w:t>Due to these circumstances, we have not been able to update our disclosure controls and procedures in a manner that adequately ensures the accumulation and communication to management of information known to FHFA that is needed to meet our disclosure obligations under the federal securities laws, including disclosures affecting our condensed consolidated financial statements. As a result, we did not maintain effective controls and procedures designed to ensure complete and accurate disclosure as required by GAAP as of September 30, 2024, or as of the date of filing this report. Based on discussions with FHFA and the structural nature of this weakness, we do not expect to remediate this material weakness while we are under conservatorship.</w:t>
      </w:r>
    </w:p>
    <w:p>
      <w:pPr>
        <w:spacing w:after="0" w:line="87"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Mitigating Actions Related to Material Weakness</w:t>
      </w:r>
    </w:p>
    <w:p>
      <w:pPr>
        <w:spacing w:after="0" w:line="63" w:lineRule="exact"/>
        <w:rPr>
          <w:sz w:val="20"/>
          <w:szCs w:val="20"/>
          <w:color w:val="auto"/>
        </w:rPr>
      </w:pPr>
    </w:p>
    <w:p>
      <w:pPr>
        <w:ind w:right="100"/>
        <w:spacing w:after="0" w:line="310" w:lineRule="auto"/>
        <w:rPr>
          <w:sz w:val="20"/>
          <w:szCs w:val="20"/>
          <w:color w:val="auto"/>
        </w:rPr>
      </w:pPr>
      <w:r>
        <w:rPr>
          <w:rFonts w:ascii="Arial" w:cs="Arial" w:eastAsia="Arial" w:hAnsi="Arial"/>
          <w:sz w:val="16"/>
          <w:szCs w:val="16"/>
          <w:color w:val="auto"/>
        </w:rPr>
        <w:t>We and FHFA have engaged in the following practices intended to permit accumulation and communication to management of information needed to meet our disclosure obligations under the federal securities laws:</w:t>
      </w:r>
    </w:p>
    <w:p>
      <w:pPr>
        <w:spacing w:after="0" w:line="2" w:lineRule="exact"/>
        <w:rPr>
          <w:sz w:val="20"/>
          <w:szCs w:val="20"/>
          <w:color w:val="auto"/>
        </w:rPr>
      </w:pPr>
    </w:p>
    <w:p>
      <w:pPr>
        <w:ind w:left="620" w:right="180" w:hanging="307"/>
        <w:spacing w:after="0" w:line="293" w:lineRule="auto"/>
        <w:tabs>
          <w:tab w:leader="none" w:pos="612" w:val="left"/>
        </w:tabs>
        <w:numPr>
          <w:ilvl w:val="0"/>
          <w:numId w:val="141"/>
        </w:numPr>
        <w:rPr>
          <w:rFonts w:ascii="Arial" w:cs="Arial" w:eastAsia="Arial" w:hAnsi="Arial"/>
          <w:sz w:val="16"/>
          <w:szCs w:val="16"/>
          <w:color w:val="auto"/>
        </w:rPr>
      </w:pPr>
      <w:r>
        <w:rPr>
          <w:rFonts w:ascii="Arial" w:cs="Arial" w:eastAsia="Arial" w:hAnsi="Arial"/>
          <w:sz w:val="16"/>
          <w:szCs w:val="16"/>
          <w:color w:val="auto"/>
        </w:rPr>
        <w:t>FHFA has established the Division of Conservatorship Oversight and Readiness, which is intended to facilitate operation of the company with the oversight of the conservator.</w:t>
      </w:r>
    </w:p>
    <w:p>
      <w:pPr>
        <w:spacing w:after="0" w:line="14" w:lineRule="exact"/>
        <w:rPr>
          <w:rFonts w:ascii="Arial" w:cs="Arial" w:eastAsia="Arial" w:hAnsi="Arial"/>
          <w:sz w:val="16"/>
          <w:szCs w:val="16"/>
          <w:color w:val="auto"/>
        </w:rPr>
      </w:pPr>
    </w:p>
    <w:p>
      <w:pPr>
        <w:ind w:left="620" w:right="60" w:hanging="307"/>
        <w:spacing w:after="0" w:line="293" w:lineRule="auto"/>
        <w:tabs>
          <w:tab w:leader="none" w:pos="612" w:val="left"/>
        </w:tabs>
        <w:numPr>
          <w:ilvl w:val="0"/>
          <w:numId w:val="141"/>
        </w:numPr>
        <w:rPr>
          <w:rFonts w:ascii="Arial" w:cs="Arial" w:eastAsia="Arial" w:hAnsi="Arial"/>
          <w:sz w:val="16"/>
          <w:szCs w:val="16"/>
          <w:color w:val="auto"/>
        </w:rPr>
      </w:pPr>
      <w:r>
        <w:rPr>
          <w:rFonts w:ascii="Arial" w:cs="Arial" w:eastAsia="Arial" w:hAnsi="Arial"/>
          <w:sz w:val="16"/>
          <w:szCs w:val="16"/>
          <w:color w:val="auto"/>
        </w:rPr>
        <w:t>We have provided drafts of our SEC filings to FHFA personnel for their review and comment prior to filing. We also have provided drafts of external press releases, statements, and speeches to FHFA personnel for their review and comment prior to release.</w:t>
      </w:r>
    </w:p>
    <w:p>
      <w:pPr>
        <w:spacing w:after="0" w:line="27" w:lineRule="exact"/>
        <w:rPr>
          <w:rFonts w:ascii="Arial" w:cs="Arial" w:eastAsia="Arial" w:hAnsi="Arial"/>
          <w:sz w:val="16"/>
          <w:szCs w:val="16"/>
          <w:color w:val="auto"/>
        </w:rPr>
      </w:pPr>
    </w:p>
    <w:p>
      <w:pPr>
        <w:ind w:left="620" w:right="40" w:hanging="307"/>
        <w:spacing w:after="0" w:line="262" w:lineRule="auto"/>
        <w:tabs>
          <w:tab w:leader="none" w:pos="612" w:val="left"/>
        </w:tabs>
        <w:numPr>
          <w:ilvl w:val="0"/>
          <w:numId w:val="141"/>
        </w:numPr>
        <w:rPr>
          <w:rFonts w:ascii="Arial" w:cs="Arial" w:eastAsia="Arial" w:hAnsi="Arial"/>
          <w:sz w:val="16"/>
          <w:szCs w:val="16"/>
          <w:color w:val="auto"/>
        </w:rPr>
      </w:pPr>
      <w:r>
        <w:rPr>
          <w:rFonts w:ascii="Arial" w:cs="Arial" w:eastAsia="Arial" w:hAnsi="Arial"/>
          <w:sz w:val="16"/>
          <w:szCs w:val="16"/>
          <w:color w:val="auto"/>
        </w:rPr>
        <w:t>FHFA personnel, including senior officials, have reviewed our SEC filings prior to filing, including this quarterly report on Form 10-Q for the quarter ended September 30, 2024 (“Third Quarter 2024 Form 10-Q”), and engaged in discussions regarding issues associated with the information contained in those filings. Prior to filing our Third Quarter 2024 Form 10-Q, FHFA provided Fannie Mae management with written acknowledgment that it had reviewed the Third Quarter 2024 Form 10-Q, and it was not aware of any material misstatements or omissions in the Third Quarter 2024 Form 10-Q and had no objection to our filing the Third Quarter 2024 Form 10-Q.</w:t>
      </w:r>
    </w:p>
    <w:p>
      <w:pPr>
        <w:spacing w:after="0" w:line="52" w:lineRule="exact"/>
        <w:rPr>
          <w:rFonts w:ascii="Arial" w:cs="Arial" w:eastAsia="Arial" w:hAnsi="Arial"/>
          <w:sz w:val="16"/>
          <w:szCs w:val="16"/>
          <w:color w:val="auto"/>
        </w:rPr>
      </w:pPr>
    </w:p>
    <w:p>
      <w:pPr>
        <w:ind w:left="620" w:hanging="307"/>
        <w:spacing w:after="0"/>
        <w:tabs>
          <w:tab w:leader="none" w:pos="62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Our senior management meets regularly with senior leadership at FHFA, including, but not limited to, the Director.</w:t>
      </w:r>
    </w:p>
    <w:p>
      <w:pPr>
        <w:spacing w:after="0" w:line="86" w:lineRule="exact"/>
        <w:rPr>
          <w:rFonts w:ascii="Arial" w:cs="Arial" w:eastAsia="Arial" w:hAnsi="Arial"/>
          <w:sz w:val="16"/>
          <w:szCs w:val="16"/>
          <w:color w:val="auto"/>
        </w:rPr>
      </w:pPr>
    </w:p>
    <w:p>
      <w:pPr>
        <w:ind w:left="620" w:right="620" w:hanging="307"/>
        <w:spacing w:after="0" w:line="293" w:lineRule="auto"/>
        <w:tabs>
          <w:tab w:leader="none" w:pos="612" w:val="left"/>
        </w:tabs>
        <w:numPr>
          <w:ilvl w:val="0"/>
          <w:numId w:val="141"/>
        </w:numPr>
        <w:rPr>
          <w:rFonts w:ascii="Arial" w:cs="Arial" w:eastAsia="Arial" w:hAnsi="Arial"/>
          <w:sz w:val="16"/>
          <w:szCs w:val="16"/>
          <w:color w:val="auto"/>
        </w:rPr>
      </w:pPr>
      <w:r>
        <w:rPr>
          <w:rFonts w:ascii="Arial" w:cs="Arial" w:eastAsia="Arial" w:hAnsi="Arial"/>
          <w:sz w:val="16"/>
          <w:szCs w:val="16"/>
          <w:color w:val="auto"/>
        </w:rPr>
        <w:t>FHFA representatives attend meetings frequently with various groups within the company to enhance the flow of information and to provide oversight on a variety of matters, including accounting, credit and market risk management, external communications, and legal matters.</w:t>
      </w:r>
    </w:p>
    <w:p>
      <w:pPr>
        <w:spacing w:after="0" w:line="14" w:lineRule="exact"/>
        <w:rPr>
          <w:rFonts w:ascii="Arial" w:cs="Arial" w:eastAsia="Arial" w:hAnsi="Arial"/>
          <w:sz w:val="16"/>
          <w:szCs w:val="16"/>
          <w:color w:val="auto"/>
        </w:rPr>
      </w:pPr>
    </w:p>
    <w:p>
      <w:pPr>
        <w:ind w:left="620" w:right="500" w:hanging="307"/>
        <w:spacing w:after="0" w:line="293" w:lineRule="auto"/>
        <w:tabs>
          <w:tab w:leader="none" w:pos="612" w:val="left"/>
        </w:tabs>
        <w:numPr>
          <w:ilvl w:val="0"/>
          <w:numId w:val="141"/>
        </w:numPr>
        <w:rPr>
          <w:rFonts w:ascii="Arial" w:cs="Arial" w:eastAsia="Arial" w:hAnsi="Arial"/>
          <w:sz w:val="16"/>
          <w:szCs w:val="16"/>
          <w:color w:val="auto"/>
        </w:rPr>
      </w:pPr>
      <w:r>
        <w:rPr>
          <w:rFonts w:ascii="Arial" w:cs="Arial" w:eastAsia="Arial" w:hAnsi="Arial"/>
          <w:sz w:val="16"/>
          <w:szCs w:val="16"/>
          <w:color w:val="auto"/>
        </w:rPr>
        <w:t>Senior officials within FHFA’s Office of the Chief Accountant have met frequently with our senior finance executives regarding our accounting policies, practices, and procedures.</w:t>
      </w:r>
    </w:p>
    <w:p>
      <w:pPr>
        <w:spacing w:after="0" w:line="6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Changes in Internal Control Over Financial Reporting</w:t>
      </w:r>
    </w:p>
    <w:p>
      <w:pPr>
        <w:spacing w:after="0" w:line="76"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Management has evaluated, with the participation of our Chief Executive Officer and Chief Financial Officer, whether any changes in our internal control over financial reporting that occurred during our last fiscal quarter have materially affected, or are reasonably likely to materially affect, our internal control over financial reporting. There were no changes in our internal control over financial reporting from July 1, 2024 through September 30, 2024 that management believes have materially affected, or are reasonably likely to materially affect, our internal control over financial reporting.</w:t>
      </w:r>
    </w:p>
    <w:p>
      <w:pPr>
        <w:spacing w:after="0" w:line="35" w:lineRule="exact"/>
        <w:rPr>
          <w:sz w:val="20"/>
          <w:szCs w:val="20"/>
          <w:color w:val="auto"/>
        </w:rPr>
      </w:pPr>
    </w:p>
    <w:p>
      <w:pPr>
        <w:ind w:right="240"/>
        <w:spacing w:after="0" w:line="281" w:lineRule="auto"/>
        <w:rPr>
          <w:sz w:val="20"/>
          <w:szCs w:val="20"/>
          <w:color w:val="auto"/>
        </w:rPr>
      </w:pPr>
      <w:r>
        <w:rPr>
          <w:rFonts w:ascii="Arial" w:cs="Arial" w:eastAsia="Arial" w:hAnsi="Arial"/>
          <w:sz w:val="16"/>
          <w:szCs w:val="16"/>
          <w:color w:val="auto"/>
        </w:rPr>
        <w:t>In the ordinary course of business, we review our system of internal control over financial reporting and make changes that we believe will improve these controls and increase efficiency, while continuing to ensure that we maintain effective internal controls. Changes may include implementing new, more efficient systems, automating manual processes, and updating existing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713867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20" w:type="dxa"/>
            <w:vAlign w:val="bottom"/>
          </w:tcPr>
          <w:p>
            <w:pPr>
              <w:ind w:left="20"/>
              <w:spacing w:after="0"/>
              <w:rPr>
                <w:sz w:val="20"/>
                <w:szCs w:val="20"/>
                <w:color w:val="auto"/>
              </w:rPr>
            </w:pPr>
            <w:r>
              <w:rPr>
                <w:rFonts w:ascii="Arial" w:cs="Arial" w:eastAsia="Arial" w:hAnsi="Arial"/>
                <w:sz w:val="14"/>
                <w:szCs w:val="14"/>
                <w:color w:val="05314D"/>
              </w:rPr>
              <w:t>Fannie Mae Third Quarter 2024 Form 10-Q</w:t>
            </w:r>
          </w:p>
        </w:tc>
        <w:tc>
          <w:tcPr>
            <w:tcW w:w="4420" w:type="dxa"/>
            <w:vAlign w:val="bottom"/>
          </w:tcPr>
          <w:p>
            <w:pPr>
              <w:jc w:val="right"/>
              <w:spacing w:after="0"/>
              <w:rPr>
                <w:sz w:val="20"/>
                <w:szCs w:val="20"/>
                <w:color w:val="auto"/>
              </w:rPr>
            </w:pPr>
            <w:r>
              <w:rPr>
                <w:rFonts w:ascii="Arial" w:cs="Arial" w:eastAsia="Arial" w:hAnsi="Arial"/>
                <w:sz w:val="14"/>
                <w:szCs w:val="14"/>
                <w:color w:val="05314D"/>
              </w:rPr>
              <w:t>120</w:t>
            </w:r>
          </w:p>
        </w:tc>
      </w:tr>
      <w:tr>
        <w:trPr>
          <w:trHeight w:val="220"/>
        </w:trPr>
        <w:tc>
          <w:tcPr>
            <w:tcW w:w="6820" w:type="dxa"/>
            <w:vAlign w:val="bottom"/>
            <w:tcBorders>
              <w:bottom w:val="single" w:sz="8" w:color="9A9A9A"/>
            </w:tcBorders>
          </w:tcPr>
          <w:p>
            <w:pPr>
              <w:spacing w:after="0"/>
              <w:rPr>
                <w:sz w:val="19"/>
                <w:szCs w:val="19"/>
                <w:color w:val="auto"/>
              </w:rPr>
            </w:pPr>
          </w:p>
        </w:tc>
        <w:tc>
          <w:tcPr>
            <w:tcW w:w="44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23" w:name="page124"/>
    <w:bookmarkEnd w:id="123"/>
    <w:p>
      <w:pPr>
        <w:ind w:left="10060"/>
        <w:spacing w:after="0"/>
        <w:rPr>
          <w:sz w:val="20"/>
          <w:szCs w:val="20"/>
          <w:color w:val="auto"/>
        </w:rPr>
      </w:pPr>
      <w:r>
        <w:rPr>
          <w:rFonts w:ascii="Arial" w:cs="Arial" w:eastAsia="Arial" w:hAnsi="Arial"/>
          <w:sz w:val="14"/>
          <w:szCs w:val="14"/>
          <w:color w:val="05314D"/>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0722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940"/>
        <w:spacing w:after="0"/>
        <w:rPr>
          <w:sz w:val="20"/>
          <w:szCs w:val="20"/>
          <w:color w:val="auto"/>
        </w:rPr>
      </w:pPr>
      <w:r>
        <w:rPr>
          <w:rFonts w:ascii="Georgia" w:cs="Georgia" w:eastAsia="Georgia" w:hAnsi="Georgia"/>
          <w:sz w:val="31"/>
          <w:szCs w:val="31"/>
          <w:b w:val="1"/>
          <w:bCs w:val="1"/>
          <w:color w:val="05314D"/>
        </w:rPr>
        <w:t>PART II—OTHER INFORMATION</w:t>
      </w:r>
    </w:p>
    <w:p>
      <w:pPr>
        <w:spacing w:after="0" w:line="185"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1. Legal Proceedings</w:t>
      </w:r>
    </w:p>
    <w:p>
      <w:pPr>
        <w:spacing w:after="0" w:line="65"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color w:val="auto"/>
        </w:rPr>
        <w:t>The information in this item supplements and updates information regarding certain legal proceedings set forth in “Legal Proceedings” in our 2023 Form 10-K, our First Quarter 2024 Form 10-Q and our Second Quarter 2024 Form 10-Q. We also provide information regarding material legal proceedings in “Note 14, Commitments and Contingencies,” which is incorporated herein by reference. In addition to the matters specifically described or incorporated by reference in this item, we are involved in legal and regulatory proceedings that arise in the ordinary course of business that we do not expect will have a material impact on our business or financial condition. However, litigation claims and proceedings of all types are subject to many factors and their outcome and effect on our business and financial condition generally cannot be predicted accurately.</w:t>
      </w:r>
    </w:p>
    <w:p>
      <w:pPr>
        <w:spacing w:after="0" w:line="54"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We establish an accrual for legal claims only when a loss is probable and we can reasonably estimate the amount of such loss. The actual costs of resolving legal claims may be substantially higher or lower than the amounts accrued for those claims. If certain of these matters are determined against us, FHFA or Treasury, it could have a material adverse effect on our results of operations, liquidity and financial condition, including our net worth.</w:t>
      </w:r>
    </w:p>
    <w:p>
      <w:pPr>
        <w:spacing w:after="0" w:line="78"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Senior Preferred Stock Purchase Agreements Litigation</w:t>
      </w:r>
    </w:p>
    <w:p>
      <w:pPr>
        <w:spacing w:after="0" w:line="63"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Since June 2013, preferred and common stockholders of Fannie Mae and Freddie Mac filed lawsuits in multiple federal courts against one or more of the United States, Treasury and FHFA, challenging actions taken by the defendants relating to the Fannie Mae and Freddie Mac senior preferred stock purchase agreements and the conservatorships of Fannie Mae and Freddie Mac. Some of these lawsuits also contain claims against Fannie Mae and Freddie Mac. The legal claims being advanced by one or more of these lawsuits include challenges to the net worth sweep dividend provisions of the senior preferred stock that were implemented pursuant to August 2012 amendments to the agreements, the payment of dividends to Treasury under the net worth sweep dividend provisions, and FHFA’s decision to require Fannie Mae and Freddie Mac to draw funds from Treasury to pay dividends to Treasury prior to the August 2012 amendments. The plaintiffs seek various forms of equitable and injunctive relief as well as damages. The cases that remain pending after June 30, 2024 are as follows:</w:t>
      </w:r>
    </w:p>
    <w:p>
      <w:pPr>
        <w:spacing w:after="0" w:line="43" w:lineRule="exact"/>
        <w:rPr>
          <w:sz w:val="20"/>
          <w:szCs w:val="20"/>
          <w:color w:val="auto"/>
        </w:rPr>
      </w:pPr>
    </w:p>
    <w:p>
      <w:pPr>
        <w:ind w:right="80"/>
        <w:spacing w:after="0" w:line="263" w:lineRule="auto"/>
        <w:rPr>
          <w:sz w:val="20"/>
          <w:szCs w:val="20"/>
          <w:color w:val="auto"/>
        </w:rPr>
      </w:pPr>
      <w:r>
        <w:rPr>
          <w:rFonts w:ascii="Arial" w:cs="Arial" w:eastAsia="Arial" w:hAnsi="Arial"/>
          <w:sz w:val="16"/>
          <w:szCs w:val="16"/>
          <w:i w:val="1"/>
          <w:iCs w:val="1"/>
          <w:color w:val="auto"/>
        </w:rPr>
        <w:t>District of Columbia (In re Fannie Mae/Freddie Mac Senior Preferred Stock Purchase Agreement Class Action Litigations and Fairholme Funds v. FHFA)</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Fannie Mae is a defendant in two cases filed in the U.S. District Court for the District of Columbia, including a consolidated class action. The cases were consolidated for trial, and on August 14, 2023, the jury returned a verdict for the plaintiffs and awarded damages of $299.4 million to Fannie Mae preferred stockholders. On March 20, 2024, the court entered final judgment and set the amount of prejudgment interest owed by Fannie Mae at $199.7 million. On April 17, 2024, the defendants filed a motion for judgment as a matter of law, which has been fully briefed. The parties will have 30 days to appeal following the court’s decision on the motion. See “Note 14, Commitments and Contingencies” for additional information.</w:t>
      </w:r>
    </w:p>
    <w:p>
      <w:pPr>
        <w:spacing w:after="0" w:line="41"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i w:val="1"/>
          <w:iCs w:val="1"/>
          <w:color w:val="auto"/>
        </w:rPr>
        <w:t xml:space="preserve">Western District of Michigan (Rop et al. v. FHFA et al.). </w:t>
      </w:r>
      <w:r>
        <w:rPr>
          <w:rFonts w:ascii="Arial" w:cs="Arial" w:eastAsia="Arial" w:hAnsi="Arial"/>
          <w:sz w:val="16"/>
          <w:szCs w:val="16"/>
          <w:color w:val="auto"/>
        </w:rPr>
        <w:t>On June 1, 2017, preferred and common stockholders of Fannie Mae and Freddie Mac filed a</w:t>
      </w:r>
      <w:r>
        <w:rPr>
          <w:rFonts w:ascii="Arial" w:cs="Arial" w:eastAsia="Arial" w:hAnsi="Arial"/>
          <w:sz w:val="16"/>
          <w:szCs w:val="16"/>
          <w:i w:val="1"/>
          <w:iCs w:val="1"/>
          <w:color w:val="auto"/>
        </w:rPr>
        <w:t xml:space="preserve"> </w:t>
      </w:r>
      <w:r>
        <w:rPr>
          <w:rFonts w:ascii="Arial" w:cs="Arial" w:eastAsia="Arial" w:hAnsi="Arial"/>
          <w:sz w:val="16"/>
          <w:szCs w:val="16"/>
          <w:color w:val="auto"/>
        </w:rPr>
        <w:t>complaint for declaratory and injunctive relief against FHFA and Treasury in the U.S. District Court for the Western District of Michigan. FHFA and Treasury moved to dismiss the case on September 8, 2017, and plaintiffs filed a motion for summary judgment on October 6, 2017. On September 8, 2020, the court denied plaintiffs’ motion for summary judgment and granted defendants’ motion to dismiss. On October 4, 2022, the U.S. Court of Appeals for the Sixth Circuit reversed the dismissal and remanded the case to the district court to determine whether the stockholders suffered compensable harm. On February 2, 2023, plaintiffs filed a petition with the Supreme Court seeking review of the Sixth Circuit’s decision, which the Supreme Court denied on June 12, 2023. On August 11, 2023, plaintiffs submitted a motion for leave to file an amended complaint in the district court.</w:t>
      </w:r>
    </w:p>
    <w:p>
      <w:pPr>
        <w:spacing w:after="0" w:line="43"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i w:val="1"/>
          <w:iCs w:val="1"/>
          <w:color w:val="auto"/>
        </w:rPr>
        <w:t>Eastern District of Pennsylvania (Wazee Street Opportunities Fund IV L.P. et al. v. FHFA et al.)</w:t>
      </w:r>
      <w:r>
        <w:rPr>
          <w:rFonts w:ascii="Arial" w:cs="Arial" w:eastAsia="Arial" w:hAnsi="Arial"/>
          <w:sz w:val="16"/>
          <w:szCs w:val="16"/>
          <w:color w:val="auto"/>
        </w:rPr>
        <w:t>. On August 16, 2018, common stockholders of Fannie Mae</w:t>
      </w:r>
      <w:r>
        <w:rPr>
          <w:rFonts w:ascii="Arial" w:cs="Arial" w:eastAsia="Arial" w:hAnsi="Arial"/>
          <w:sz w:val="16"/>
          <w:szCs w:val="16"/>
          <w:i w:val="1"/>
          <w:iCs w:val="1"/>
          <w:color w:val="auto"/>
        </w:rPr>
        <w:t xml:space="preserve"> </w:t>
      </w:r>
      <w:r>
        <w:rPr>
          <w:rFonts w:ascii="Arial" w:cs="Arial" w:eastAsia="Arial" w:hAnsi="Arial"/>
          <w:sz w:val="16"/>
          <w:szCs w:val="16"/>
          <w:color w:val="auto"/>
        </w:rPr>
        <w:t>and Freddie Mac filed a complaint for declaratory and injunctive relief against FHFA and Treasury in the U.S. District Court for the Eastern District of Pennsylvania. FHFA and Treasury moved to dismiss the case on November 16, 2018, and plaintiffs filed a motion for summary judgment on December 21, 2018. On July 1, 2024, plaintiffs filed a motion for leave to amend their complaint.</w:t>
      </w:r>
    </w:p>
    <w:p>
      <w:pPr>
        <w:spacing w:after="0" w:line="33"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i w:val="1"/>
          <w:iCs w:val="1"/>
          <w:color w:val="auto"/>
        </w:rPr>
        <w:t xml:space="preserve">U.S. Court of Federal Claims (Fisher et al. v. United States of America). </w:t>
      </w:r>
      <w:r>
        <w:rPr>
          <w:rFonts w:ascii="Arial" w:cs="Arial" w:eastAsia="Arial" w:hAnsi="Arial"/>
          <w:sz w:val="16"/>
          <w:szCs w:val="16"/>
          <w:color w:val="auto"/>
        </w:rPr>
        <w:t>On December 2, 2013, common stockholders of Fannie Mae filed a lawsuit against</w:t>
      </w:r>
      <w:r>
        <w:rPr>
          <w:rFonts w:ascii="Arial" w:cs="Arial" w:eastAsia="Arial" w:hAnsi="Arial"/>
          <w:sz w:val="16"/>
          <w:szCs w:val="16"/>
          <w:i w:val="1"/>
          <w:iCs w:val="1"/>
          <w:color w:val="auto"/>
        </w:rPr>
        <w:t xml:space="preserve"> </w:t>
      </w:r>
      <w:r>
        <w:rPr>
          <w:rFonts w:ascii="Arial" w:cs="Arial" w:eastAsia="Arial" w:hAnsi="Arial"/>
          <w:sz w:val="16"/>
          <w:szCs w:val="16"/>
          <w:color w:val="auto"/>
        </w:rPr>
        <w:t>the United States that listed Fannie Mae as a nominal defendant. The plaintiffs alleged that the net worth sweep dividend provisions of the senior preferred stock that were implemented pursuant to the August 2012 amendment constituted a taking of Fannie Mae’s property without just compensation in violation of the U.S. Constitution. On February 15, 2023, the court issued an order for plaintiffs to show cause why their claims should not be dismissed, as claims similar to theirs brought by other Fannie Mae stockholders in other cases against the United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373380</wp:posOffset>
            </wp:positionV>
            <wp:extent cx="713867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20" w:type="dxa"/>
            <w:vAlign w:val="bottom"/>
          </w:tcPr>
          <w:p>
            <w:pPr>
              <w:ind w:left="20"/>
              <w:spacing w:after="0"/>
              <w:rPr>
                <w:sz w:val="20"/>
                <w:szCs w:val="20"/>
                <w:color w:val="auto"/>
              </w:rPr>
            </w:pPr>
            <w:r>
              <w:rPr>
                <w:rFonts w:ascii="Arial" w:cs="Arial" w:eastAsia="Arial" w:hAnsi="Arial"/>
                <w:sz w:val="14"/>
                <w:szCs w:val="14"/>
                <w:color w:val="05314D"/>
              </w:rPr>
              <w:t>Fannie Mae Third Quarter 2024 Form 10-Q</w:t>
            </w:r>
          </w:p>
        </w:tc>
        <w:tc>
          <w:tcPr>
            <w:tcW w:w="4420" w:type="dxa"/>
            <w:vAlign w:val="bottom"/>
          </w:tcPr>
          <w:p>
            <w:pPr>
              <w:jc w:val="right"/>
              <w:spacing w:after="0"/>
              <w:rPr>
                <w:sz w:val="20"/>
                <w:szCs w:val="20"/>
                <w:color w:val="auto"/>
              </w:rPr>
            </w:pPr>
            <w:r>
              <w:rPr>
                <w:rFonts w:ascii="Arial" w:cs="Arial" w:eastAsia="Arial" w:hAnsi="Arial"/>
                <w:sz w:val="14"/>
                <w:szCs w:val="14"/>
                <w:color w:val="05314D"/>
              </w:rPr>
              <w:t>121</w:t>
            </w:r>
          </w:p>
        </w:tc>
      </w:tr>
      <w:tr>
        <w:trPr>
          <w:trHeight w:val="220"/>
        </w:trPr>
        <w:tc>
          <w:tcPr>
            <w:tcW w:w="6820" w:type="dxa"/>
            <w:vAlign w:val="bottom"/>
            <w:tcBorders>
              <w:bottom w:val="single" w:sz="8" w:color="9A9A9A"/>
            </w:tcBorders>
          </w:tcPr>
          <w:p>
            <w:pPr>
              <w:spacing w:after="0"/>
              <w:rPr>
                <w:sz w:val="19"/>
                <w:szCs w:val="19"/>
                <w:color w:val="auto"/>
              </w:rPr>
            </w:pPr>
          </w:p>
        </w:tc>
        <w:tc>
          <w:tcPr>
            <w:tcW w:w="44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24" w:name="page125"/>
    <w:bookmarkEnd w:id="124"/>
    <w:p>
      <w:pPr>
        <w:ind w:left="10060"/>
        <w:spacing w:after="0"/>
        <w:rPr>
          <w:sz w:val="20"/>
          <w:szCs w:val="20"/>
          <w:color w:val="auto"/>
        </w:rPr>
      </w:pPr>
      <w:r>
        <w:rPr>
          <w:rFonts w:ascii="Arial" w:cs="Arial" w:eastAsia="Arial" w:hAnsi="Arial"/>
          <w:sz w:val="14"/>
          <w:szCs w:val="14"/>
          <w:color w:val="05314D"/>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0722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States had been dismissed by the court. On September 1, 2023, the court dismissed the case with prejudice. On October 30, 2023, plaintiffs filed a notice of appeal.</w:t>
      </w:r>
    </w:p>
    <w:p>
      <w:pPr>
        <w:spacing w:after="0" w:line="68"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1A. Risk Factors</w:t>
      </w:r>
    </w:p>
    <w:p>
      <w:pPr>
        <w:spacing w:after="0" w:line="104"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In addition to the information in this report, you should carefully consider the risks relating to our business that we identify in “Risk Factors” in our 2023 Form 10-K. This section supplements and updates that discussion. Also refer to “MD&amp;A—Risk Management,” “MD&amp;A—Single-Family Business” and “MD&amp;A—Multifamily Business” in our 2023 Form 10-K and in this report for more detailed descriptions of the primary risks to our business and how we seek to manage those risks.</w:t>
      </w:r>
    </w:p>
    <w:p>
      <w:pPr>
        <w:spacing w:after="0" w:line="33"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The risks we face could materially adversely affect our business, results of operations, financial condition, liquidity and net worth, and could cause our actual results to differ materially from our past results or the results contemplated by any forward-looking statements we make. We believe the risks described in the sections of this report and our 2023 Form 10-K referenced above are the most significant we face; however, these are not the only risks we face. We face additional risks and uncertainties not currently known to us or that we currently believe are immaterial.</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experienced financial losses due to mortgage fraud and could experience additional financial losses due to mortgage fraud.</w:t>
      </w:r>
    </w:p>
    <w:p>
      <w:pPr>
        <w:spacing w:after="0" w:line="98"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We use a process of delegated underwriting in which lenders make specific representations and warranties about the characteristics of the mortgage loans we purchase and securitize. As a result, we do not independently verify most borrower information that is provided to us. This exposes us to the risk that one or more of the parties involved in a transaction (such as the borrower, borrower’s attorney, sponsor, seller, broker, appraiser, property inspector, title agent, lender or servicer) will engage in fraud by misrepresenting facts about a mortgage loan. Similarly, we rely on delegated servicing of loans and use of a variety of external resources to assist in asset management functions, including managing our REO inventory. We have experienced financial losses resulting from mortgage fraud, including institutional fraud perpetrated by counterparties. In the future, we may experience additional financial losses as a result of mortgage fraud.</w:t>
      </w:r>
    </w:p>
    <w:p>
      <w:pPr>
        <w:spacing w:after="0" w:line="43"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We have discovered instances of multifamily lending transactions in which one or more of the parties involved engaged in mortgage fraud or possible mortgage fraud, and we continue to investigate additional multifamily lending transactions in which we suspect fraud may have occurred. Certain gaps have been identified in our processes for managing multifamily loan origination fraud risk and for overseeing our multifamily seller/servicer counterparties. See “MD&amp;A—Multifamily Business—Multifamily Mortgage Credit Risk Management—Multifamily Guaranty Book Diversification and Monitoring” for a discussion of actions we are taking to improve our processes that are intended to reduce the risk we face from fraudulent practices. Until we complete our work to improve our processes for managing multifamily loan origination fraud risk and oversight of multifamily seller/servicer counterparties, we may face a higher risk that we will be unable to detect or prevent fraudulent multifamily lending transactions, which could negatively affect our financial results and condition. Moreover, even when we have completed these process improvements, our mortgage fraud risk mitigation measures will not eliminate our exposure to this risk and we may still experience additional financial losses as a result of mortgage fraud.</w:t>
      </w:r>
    </w:p>
    <w:p>
      <w:pPr>
        <w:spacing w:after="0" w:line="110"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2. Unregistered Sales of Equity Securities and Use of Proceeds</w:t>
      </w:r>
    </w:p>
    <w:p>
      <w:pPr>
        <w:spacing w:after="0" w:line="112"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Common Stock</w:t>
      </w:r>
    </w:p>
    <w:p>
      <w:pPr>
        <w:spacing w:after="0" w:line="63" w:lineRule="exact"/>
        <w:rPr>
          <w:sz w:val="20"/>
          <w:szCs w:val="20"/>
          <w:color w:val="auto"/>
        </w:rPr>
      </w:pPr>
    </w:p>
    <w:p>
      <w:pPr>
        <w:ind w:right="420"/>
        <w:spacing w:after="0" w:line="310" w:lineRule="auto"/>
        <w:rPr>
          <w:sz w:val="20"/>
          <w:szCs w:val="20"/>
          <w:color w:val="auto"/>
        </w:rPr>
      </w:pPr>
      <w:r>
        <w:rPr>
          <w:rFonts w:ascii="Arial" w:cs="Arial" w:eastAsia="Arial" w:hAnsi="Arial"/>
          <w:sz w:val="16"/>
          <w:szCs w:val="16"/>
          <w:color w:val="auto"/>
        </w:rPr>
        <w:t>Our common stock is traded in the over-the-counter market and quoted on the OTCQB, operated by OTC Markets Group Inc., under the ticker symbol “FNMA.”</w:t>
      </w:r>
    </w:p>
    <w:p>
      <w:pPr>
        <w:spacing w:after="0" w:line="22"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Recent Sales of Unregistered Equity Securities</w:t>
      </w:r>
    </w:p>
    <w:p>
      <w:pPr>
        <w:spacing w:after="0" w:line="63" w:lineRule="exact"/>
        <w:rPr>
          <w:sz w:val="20"/>
          <w:szCs w:val="20"/>
          <w:color w:val="auto"/>
        </w:rPr>
      </w:pPr>
    </w:p>
    <w:p>
      <w:pPr>
        <w:ind w:right="200"/>
        <w:spacing w:after="0" w:line="272" w:lineRule="auto"/>
        <w:rPr>
          <w:sz w:val="20"/>
          <w:szCs w:val="20"/>
          <w:color w:val="auto"/>
        </w:rPr>
      </w:pPr>
      <w:r>
        <w:rPr>
          <w:rFonts w:ascii="Arial" w:cs="Arial" w:eastAsia="Arial" w:hAnsi="Arial"/>
          <w:sz w:val="16"/>
          <w:szCs w:val="16"/>
          <w:color w:val="auto"/>
        </w:rPr>
        <w:t>Under the terms of our senior preferred stock purchase agreement with Treasury, we are prohibited from selling or issuing our equity interests without the prior written consent of Treasury except under limited circumstances, which are described in “Business—Conservatorship and Treasury Agreements— Treasury Agreements—Covenants” in our 2023 Form 10-K. During the quarter ended September 30, 2024, we did not sell any equity securities.</w:t>
      </w:r>
    </w:p>
    <w:p>
      <w:pPr>
        <w:spacing w:after="0" w:line="9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Information about Certain Securities Issuances by Fannie Mae</w:t>
      </w:r>
    </w:p>
    <w:p>
      <w:pPr>
        <w:spacing w:after="0" w:line="63" w:lineRule="exact"/>
        <w:rPr>
          <w:sz w:val="20"/>
          <w:szCs w:val="20"/>
          <w:color w:val="auto"/>
        </w:rPr>
      </w:pPr>
    </w:p>
    <w:p>
      <w:pPr>
        <w:jc w:val="both"/>
        <w:ind w:right="80"/>
        <w:spacing w:after="0" w:line="272" w:lineRule="auto"/>
        <w:rPr>
          <w:sz w:val="20"/>
          <w:szCs w:val="20"/>
          <w:color w:val="auto"/>
        </w:rPr>
      </w:pPr>
      <w:r>
        <w:rPr>
          <w:rFonts w:ascii="Arial" w:cs="Arial" w:eastAsia="Arial" w:hAnsi="Arial"/>
          <w:sz w:val="16"/>
          <w:szCs w:val="16"/>
          <w:color w:val="auto"/>
        </w:rPr>
        <w:t>Pursuant to SEC regulations, public companies are required to disclose certain information when they incur a material direct financial obligation or become directly or contingently liable for a material obligation under an off-balance sheet arrangement. The disclosure must be made in a current report on Form 8-K under Item 2.03 or, if the obligation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377825</wp:posOffset>
            </wp:positionV>
            <wp:extent cx="713867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20" w:type="dxa"/>
            <w:vAlign w:val="bottom"/>
          </w:tcPr>
          <w:p>
            <w:pPr>
              <w:ind w:left="20"/>
              <w:spacing w:after="0"/>
              <w:rPr>
                <w:sz w:val="20"/>
                <w:szCs w:val="20"/>
                <w:color w:val="auto"/>
              </w:rPr>
            </w:pPr>
            <w:r>
              <w:rPr>
                <w:rFonts w:ascii="Arial" w:cs="Arial" w:eastAsia="Arial" w:hAnsi="Arial"/>
                <w:sz w:val="14"/>
                <w:szCs w:val="14"/>
                <w:color w:val="05314D"/>
              </w:rPr>
              <w:t>Fannie Mae Third Quarter 2024 Form 10-Q</w:t>
            </w:r>
          </w:p>
        </w:tc>
        <w:tc>
          <w:tcPr>
            <w:tcW w:w="4420" w:type="dxa"/>
            <w:vAlign w:val="bottom"/>
          </w:tcPr>
          <w:p>
            <w:pPr>
              <w:jc w:val="right"/>
              <w:spacing w:after="0"/>
              <w:rPr>
                <w:sz w:val="20"/>
                <w:szCs w:val="20"/>
                <w:color w:val="auto"/>
              </w:rPr>
            </w:pPr>
            <w:r>
              <w:rPr>
                <w:rFonts w:ascii="Arial" w:cs="Arial" w:eastAsia="Arial" w:hAnsi="Arial"/>
                <w:sz w:val="14"/>
                <w:szCs w:val="14"/>
                <w:color w:val="05314D"/>
              </w:rPr>
              <w:t>122</w:t>
            </w:r>
          </w:p>
        </w:tc>
      </w:tr>
      <w:tr>
        <w:trPr>
          <w:trHeight w:val="207"/>
        </w:trPr>
        <w:tc>
          <w:tcPr>
            <w:tcW w:w="6820" w:type="dxa"/>
            <w:vAlign w:val="bottom"/>
            <w:tcBorders>
              <w:bottom w:val="single" w:sz="8" w:color="9A9A9A"/>
            </w:tcBorders>
          </w:tcPr>
          <w:p>
            <w:pPr>
              <w:spacing w:after="0"/>
              <w:rPr>
                <w:sz w:val="17"/>
                <w:szCs w:val="17"/>
                <w:color w:val="auto"/>
              </w:rPr>
            </w:pPr>
          </w:p>
        </w:tc>
        <w:tc>
          <w:tcPr>
            <w:tcW w:w="44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25" w:name="page126"/>
    <w:bookmarkEnd w:id="125"/>
    <w:p>
      <w:pPr>
        <w:ind w:left="10060"/>
        <w:spacing w:after="0"/>
        <w:rPr>
          <w:sz w:val="20"/>
          <w:szCs w:val="20"/>
          <w:color w:val="auto"/>
        </w:rPr>
      </w:pPr>
      <w:r>
        <w:rPr>
          <w:rFonts w:ascii="Arial" w:cs="Arial" w:eastAsia="Arial" w:hAnsi="Arial"/>
          <w:sz w:val="14"/>
          <w:szCs w:val="14"/>
          <w:color w:val="05314D"/>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0722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incurred in connection with certain types of securities offerings, in prospectuses for that offering that are filed with the SEC.</w:t>
      </w:r>
    </w:p>
    <w:p>
      <w:pPr>
        <w:spacing w:after="0" w:line="87" w:lineRule="exact"/>
        <w:rPr>
          <w:sz w:val="20"/>
          <w:szCs w:val="20"/>
          <w:color w:val="auto"/>
        </w:rPr>
      </w:pPr>
    </w:p>
    <w:p>
      <w:pPr>
        <w:ind w:right="80"/>
        <w:spacing w:after="0" w:line="263" w:lineRule="auto"/>
        <w:rPr>
          <w:sz w:val="20"/>
          <w:szCs w:val="20"/>
          <w:color w:val="auto"/>
        </w:rPr>
      </w:pPr>
      <w:r>
        <w:rPr>
          <w:rFonts w:ascii="Arial" w:cs="Arial" w:eastAsia="Arial" w:hAnsi="Arial"/>
          <w:sz w:val="16"/>
          <w:szCs w:val="16"/>
          <w:color w:val="auto"/>
        </w:rPr>
        <w:t>Because the securities we issue are exempted securities under the Securities Act of 1933, we do not file registration statements or prospectuses with the SEC with respect to our securities offerings. To comply with the disclosure requirements of Form 8-K relating to the incurrence of material financial obligations, in accordance with a “no-action” letter we received from the SEC staff in 2004, we report our incurrence of these types of obligations in offering circulars or prospectuses (or supplements thereto) that we post on our website within the same time period that a prospectus for a non-exempt securities offering would be required to be filed with the SEC. To the extent we incur a material financial obligation that is not disclosed in this manner, we would file a Form 8-K if required to do so under applicable Form 8-K requirements.</w:t>
      </w:r>
    </w:p>
    <w:p>
      <w:pPr>
        <w:spacing w:after="0" w:line="41" w:lineRule="exact"/>
        <w:rPr>
          <w:sz w:val="20"/>
          <w:szCs w:val="20"/>
          <w:color w:val="auto"/>
        </w:rPr>
      </w:pPr>
    </w:p>
    <w:p>
      <w:pPr>
        <w:ind w:right="460"/>
        <w:spacing w:after="0" w:line="281" w:lineRule="auto"/>
        <w:rPr>
          <w:sz w:val="20"/>
          <w:szCs w:val="20"/>
          <w:color w:val="auto"/>
        </w:rPr>
      </w:pPr>
      <w:r>
        <w:rPr>
          <w:rFonts w:ascii="Arial" w:cs="Arial" w:eastAsia="Arial" w:hAnsi="Arial"/>
          <w:sz w:val="16"/>
          <w:szCs w:val="16"/>
          <w:color w:val="auto"/>
        </w:rPr>
        <w:t>The website address for disclosure about our debt securities is www.fanniemae.com/debtsearch. From this address, investors can access the offering circular and related supplements for debt securities offerings under Fannie Mae’s universal debt facility, including pricing supplements for individual issuances of debt securities.</w:t>
      </w:r>
    </w:p>
    <w:p>
      <w:pPr>
        <w:spacing w:after="0" w:line="24" w:lineRule="exact"/>
        <w:rPr>
          <w:sz w:val="20"/>
          <w:szCs w:val="20"/>
          <w:color w:val="auto"/>
        </w:rPr>
      </w:pPr>
    </w:p>
    <w:p>
      <w:pPr>
        <w:ind w:right="420"/>
        <w:spacing w:after="0" w:line="272" w:lineRule="auto"/>
        <w:rPr>
          <w:sz w:val="20"/>
          <w:szCs w:val="20"/>
          <w:color w:val="auto"/>
        </w:rPr>
      </w:pPr>
      <w:r>
        <w:rPr>
          <w:rFonts w:ascii="Arial" w:cs="Arial" w:eastAsia="Arial" w:hAnsi="Arial"/>
          <w:sz w:val="16"/>
          <w:szCs w:val="16"/>
          <w:color w:val="auto"/>
        </w:rPr>
        <w:t>Disclosure about our obligations pursuant to the MBS we issue, some of which may be off-balance sheet obligations, can be found at www.fanniemae.com/mbsdisclosure. From this address, investors can access information and documents about our MBS, including prospectuses and related prospectus supplements.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are providing our website address solely for your information. Information appearing on our website is not incorporated into this report.</w:t>
      </w:r>
    </w:p>
    <w:p>
      <w:pPr>
        <w:spacing w:after="0" w:line="146"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Our Purchases of Equity Securities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We did not repurchase any of our equity securities during the third quarter of 2024.</w:t>
      </w:r>
    </w:p>
    <w:p>
      <w:pPr>
        <w:spacing w:after="0" w:line="13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Dividend Restrictions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Our payment of dividends is subject to the following restrictions:</w:t>
      </w:r>
    </w:p>
    <w:p>
      <w:pPr>
        <w:spacing w:after="0" w:line="87"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i w:val="1"/>
          <w:iCs w:val="1"/>
          <w:color w:val="auto"/>
        </w:rPr>
        <w:t xml:space="preserve">Restrictions Relating to Conservatorship. </w:t>
      </w:r>
      <w:r>
        <w:rPr>
          <w:rFonts w:ascii="Arial" w:cs="Arial" w:eastAsia="Arial" w:hAnsi="Arial"/>
          <w:sz w:val="16"/>
          <w:szCs w:val="16"/>
          <w:color w:val="auto"/>
        </w:rPr>
        <w:t>Our conservator announced on September 7, 2008 that we would not pay any dividends on the common stock or</w:t>
      </w:r>
      <w:r>
        <w:rPr>
          <w:rFonts w:ascii="Arial" w:cs="Arial" w:eastAsia="Arial" w:hAnsi="Arial"/>
          <w:sz w:val="16"/>
          <w:szCs w:val="16"/>
          <w:i w:val="1"/>
          <w:iCs w:val="1"/>
          <w:color w:val="auto"/>
        </w:rPr>
        <w:t xml:space="preserve"> </w:t>
      </w:r>
      <w:r>
        <w:rPr>
          <w:rFonts w:ascii="Arial" w:cs="Arial" w:eastAsia="Arial" w:hAnsi="Arial"/>
          <w:sz w:val="16"/>
          <w:szCs w:val="16"/>
          <w:color w:val="auto"/>
        </w:rPr>
        <w:t>on any series of preferred stock, other than the senior preferred stock. In addition, FHFA’s regulations relating to conservatorship and receivership operations prohibit us from paying any dividends while in conservatorship unless authorized by the Director of FHFA. The Director of FHFA has directed us to make dividend payments on the senior preferred stock on a quarterly basis for every dividend period for which dividends were payable.</w:t>
      </w:r>
    </w:p>
    <w:p>
      <w:pPr>
        <w:spacing w:after="0" w:line="33"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i w:val="1"/>
          <w:iCs w:val="1"/>
          <w:color w:val="auto"/>
        </w:rPr>
        <w:t xml:space="preserve">Restrictions Under Senior Preferred Stock Purchase Agreement and Senior Preferred Stock. </w:t>
      </w:r>
      <w:r>
        <w:rPr>
          <w:rFonts w:ascii="Arial" w:cs="Arial" w:eastAsia="Arial" w:hAnsi="Arial"/>
          <w:sz w:val="16"/>
          <w:szCs w:val="16"/>
          <w:color w:val="auto"/>
        </w:rPr>
        <w:t>The senior preferred stock purchase agreement prohibits us</w:t>
      </w:r>
      <w:r>
        <w:rPr>
          <w:rFonts w:ascii="Arial" w:cs="Arial" w:eastAsia="Arial" w:hAnsi="Arial"/>
          <w:sz w:val="16"/>
          <w:szCs w:val="16"/>
          <w:i w:val="1"/>
          <w:iCs w:val="1"/>
          <w:color w:val="auto"/>
        </w:rPr>
        <w:t xml:space="preserve"> </w:t>
      </w:r>
      <w:r>
        <w:rPr>
          <w:rFonts w:ascii="Arial" w:cs="Arial" w:eastAsia="Arial" w:hAnsi="Arial"/>
          <w:sz w:val="16"/>
          <w:szCs w:val="16"/>
          <w:color w:val="auto"/>
        </w:rPr>
        <w:t>from declaring or paying any dividends on Fannie Mae equity securities (other than the senior preferred stock) without the prior written consent of Treasury. In addition, the provisions of the senior preferred stock provide for dividends each quarter through and including the capital reserve end date in the amount, if any, by which our net worth as of the end of the immediately preceding fiscal quarter exceeds an applicable capital reserve amount. The applicable capital reserve amount is the amount of adjusted total capital necessary for us to meet the capital requirements and buffers set forth in the enterprise regulatory capital framework. The capital reserve end date is defined as the last day of the second consecutive fiscal quarter during which we have had and maintained capital equal to, or in excess of, all of the capital requirements and buffers under the enterprise regulatory capital framework. After the capital reserve end date, the amount of quarterly dividends to Treasury will be equal to the lesser of any quarterly increase in our net worth and a 10% annual rate on the then-current liquidation preference of the senior preferred stock. As a result, our ability to retain earnings in excess of the capital requirements and buffers set forth in the enterprise regulatory capital framework will be limited. For more information on the terms of the senior preferred stock purchase agreement and senior preferred stock, see “Business—Conservatorship and Treasury Agreements” in our 2023 Form 10-K.</w:t>
      </w:r>
    </w:p>
    <w:p>
      <w:pPr>
        <w:spacing w:after="0" w:line="46" w:lineRule="exact"/>
        <w:rPr>
          <w:sz w:val="20"/>
          <w:szCs w:val="20"/>
          <w:color w:val="auto"/>
        </w:rPr>
      </w:pPr>
    </w:p>
    <w:p>
      <w:pPr>
        <w:ind w:right="380"/>
        <w:spacing w:after="0" w:line="281" w:lineRule="auto"/>
        <w:rPr>
          <w:sz w:val="20"/>
          <w:szCs w:val="20"/>
          <w:color w:val="auto"/>
        </w:rPr>
      </w:pPr>
      <w:r>
        <w:rPr>
          <w:rFonts w:ascii="Arial" w:cs="Arial" w:eastAsia="Arial" w:hAnsi="Arial"/>
          <w:sz w:val="16"/>
          <w:szCs w:val="16"/>
          <w:i w:val="1"/>
          <w:iCs w:val="1"/>
          <w:color w:val="auto"/>
        </w:rPr>
        <w:t xml:space="preserve">Additional Restrictions Relating to Preferred Stock. </w:t>
      </w:r>
      <w:r>
        <w:rPr>
          <w:rFonts w:ascii="Arial" w:cs="Arial" w:eastAsia="Arial" w:hAnsi="Arial"/>
          <w:sz w:val="16"/>
          <w:szCs w:val="16"/>
          <w:color w:val="auto"/>
        </w:rPr>
        <w:t>Payment of dividends on our common stock is also subject to the prior payment of dividends on our</w:t>
      </w:r>
      <w:r>
        <w:rPr>
          <w:rFonts w:ascii="Arial" w:cs="Arial" w:eastAsia="Arial" w:hAnsi="Arial"/>
          <w:sz w:val="16"/>
          <w:szCs w:val="16"/>
          <w:i w:val="1"/>
          <w:iCs w:val="1"/>
          <w:color w:val="auto"/>
        </w:rPr>
        <w:t xml:space="preserve"> </w:t>
      </w:r>
      <w:r>
        <w:rPr>
          <w:rFonts w:ascii="Arial" w:cs="Arial" w:eastAsia="Arial" w:hAnsi="Arial"/>
          <w:sz w:val="16"/>
          <w:szCs w:val="16"/>
          <w:color w:val="auto"/>
        </w:rPr>
        <w:t>preferred stock and our senior preferred stock. Payment of dividends on all outstanding preferred stock, other than the senior preferred stock, is also subject to the prior payment of dividends on the senior preferred stock.</w:t>
      </w:r>
    </w:p>
    <w:p>
      <w:pPr>
        <w:spacing w:after="0" w:line="24" w:lineRule="exact"/>
        <w:rPr>
          <w:sz w:val="20"/>
          <w:szCs w:val="20"/>
          <w:color w:val="auto"/>
        </w:rPr>
      </w:pPr>
    </w:p>
    <w:p>
      <w:pPr>
        <w:ind w:right="200"/>
        <w:spacing w:after="0" w:line="263" w:lineRule="auto"/>
        <w:rPr>
          <w:sz w:val="20"/>
          <w:szCs w:val="20"/>
          <w:color w:val="auto"/>
        </w:rPr>
      </w:pPr>
      <w:r>
        <w:rPr>
          <w:rFonts w:ascii="Arial" w:cs="Arial" w:eastAsia="Arial" w:hAnsi="Arial"/>
          <w:sz w:val="16"/>
          <w:szCs w:val="16"/>
          <w:i w:val="1"/>
          <w:iCs w:val="1"/>
          <w:color w:val="auto"/>
        </w:rPr>
        <w:t xml:space="preserve">Statutory Restrictions. </w:t>
      </w:r>
      <w:r>
        <w:rPr>
          <w:rFonts w:ascii="Arial" w:cs="Arial" w:eastAsia="Arial" w:hAnsi="Arial"/>
          <w:sz w:val="16"/>
          <w:szCs w:val="16"/>
          <w:color w:val="auto"/>
        </w:rPr>
        <w:t>Under the GSE Act, we are not permitted to make a capital distribution (including the payment of dividends) if, after making the</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we would be undercapitalized. The Director of FHFA, however, may permit us to repurchase shares if the repurchase is made in connection with the issuance of additional shares or obligations in at least an equivalent amount and will reduce our financial obligations or otherwise improve our financial condition. The GSE Act also provides that: (1) if we are classified as undercapitalized, we may not make a capital distribution that would result in our reclassification as significantly or critically undercapitalized; and (2) if we are classified as significantly undercapitalized, we may not make a capital distribution that would result in our reclassification as critically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375285</wp:posOffset>
            </wp:positionV>
            <wp:extent cx="713867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20" w:type="dxa"/>
            <w:vAlign w:val="bottom"/>
          </w:tcPr>
          <w:p>
            <w:pPr>
              <w:ind w:left="20"/>
              <w:spacing w:after="0"/>
              <w:rPr>
                <w:sz w:val="20"/>
                <w:szCs w:val="20"/>
                <w:color w:val="auto"/>
              </w:rPr>
            </w:pPr>
            <w:r>
              <w:rPr>
                <w:rFonts w:ascii="Arial" w:cs="Arial" w:eastAsia="Arial" w:hAnsi="Arial"/>
                <w:sz w:val="14"/>
                <w:szCs w:val="14"/>
                <w:color w:val="05314D"/>
              </w:rPr>
              <w:t>Fannie Mae Third Quarter 2024 Form 10-Q</w:t>
            </w:r>
          </w:p>
        </w:tc>
        <w:tc>
          <w:tcPr>
            <w:tcW w:w="4420" w:type="dxa"/>
            <w:vAlign w:val="bottom"/>
          </w:tcPr>
          <w:p>
            <w:pPr>
              <w:jc w:val="right"/>
              <w:spacing w:after="0"/>
              <w:rPr>
                <w:sz w:val="20"/>
                <w:szCs w:val="20"/>
                <w:color w:val="auto"/>
              </w:rPr>
            </w:pPr>
            <w:r>
              <w:rPr>
                <w:rFonts w:ascii="Arial" w:cs="Arial" w:eastAsia="Arial" w:hAnsi="Arial"/>
                <w:sz w:val="14"/>
                <w:szCs w:val="14"/>
                <w:color w:val="05314D"/>
              </w:rPr>
              <w:t>123</w:t>
            </w:r>
          </w:p>
        </w:tc>
      </w:tr>
      <w:tr>
        <w:trPr>
          <w:trHeight w:val="220"/>
        </w:trPr>
        <w:tc>
          <w:tcPr>
            <w:tcW w:w="6820" w:type="dxa"/>
            <w:vAlign w:val="bottom"/>
            <w:tcBorders>
              <w:bottom w:val="single" w:sz="8" w:color="9A9A9A"/>
            </w:tcBorders>
          </w:tcPr>
          <w:p>
            <w:pPr>
              <w:spacing w:after="0"/>
              <w:rPr>
                <w:sz w:val="19"/>
                <w:szCs w:val="19"/>
                <w:color w:val="auto"/>
              </w:rPr>
            </w:pPr>
          </w:p>
        </w:tc>
        <w:tc>
          <w:tcPr>
            <w:tcW w:w="44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26" w:name="page127"/>
    <w:bookmarkEnd w:id="126"/>
    <w:p>
      <w:pPr>
        <w:ind w:left="10060"/>
        <w:spacing w:after="0"/>
        <w:rPr>
          <w:sz w:val="20"/>
          <w:szCs w:val="20"/>
          <w:color w:val="auto"/>
        </w:rPr>
      </w:pPr>
      <w:r>
        <w:rPr>
          <w:rFonts w:ascii="Arial" w:cs="Arial" w:eastAsia="Arial" w:hAnsi="Arial"/>
          <w:sz w:val="14"/>
          <w:szCs w:val="14"/>
          <w:color w:val="05314D"/>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0722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color w:val="auto"/>
        </w:rPr>
        <w:t>undercapitalized and we may not make any other capital distribution without the approval of the Director of FHFA. Our capital classifications have been suspended during conservatorship. In addition, under the Charter Act, we must obtain the prior written approval of FHFA to make a capital distribution that would decrease our total capital to an amount less than the risk-based capital level or that would decrease our core capital to an amount less than the minimum capital level.</w:t>
      </w:r>
    </w:p>
    <w:p>
      <w:pPr>
        <w:spacing w:after="0" w:line="33" w:lineRule="exact"/>
        <w:rPr>
          <w:sz w:val="20"/>
          <w:szCs w:val="20"/>
          <w:color w:val="auto"/>
        </w:rPr>
      </w:pPr>
    </w:p>
    <w:p>
      <w:pPr>
        <w:ind w:right="560"/>
        <w:spacing w:after="0" w:line="293" w:lineRule="auto"/>
        <w:rPr>
          <w:sz w:val="20"/>
          <w:szCs w:val="20"/>
          <w:color w:val="auto"/>
        </w:rPr>
      </w:pPr>
      <w:r>
        <w:rPr>
          <w:rFonts w:ascii="Arial" w:cs="Arial" w:eastAsia="Arial" w:hAnsi="Arial"/>
          <w:sz w:val="16"/>
          <w:szCs w:val="16"/>
          <w:color w:val="auto"/>
        </w:rPr>
        <w:t>While not currently applicable, our payment of dividends will be subject to the following restrictions under the enterprise regulatory capital framework effective on the date of termination of our conservatorship:</w:t>
      </w:r>
    </w:p>
    <w:p>
      <w:pPr>
        <w:spacing w:after="0" w:line="15"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i w:val="1"/>
          <w:iCs w:val="1"/>
          <w:color w:val="auto"/>
        </w:rPr>
        <w:t xml:space="preserve">Restrictions Under Enterprise Regulatory Capital Framework. </w:t>
      </w:r>
      <w:r>
        <w:rPr>
          <w:rFonts w:ascii="Arial" w:cs="Arial" w:eastAsia="Arial" w:hAnsi="Arial"/>
          <w:sz w:val="16"/>
          <w:szCs w:val="16"/>
          <w:color w:val="auto"/>
        </w:rPr>
        <w:t>During a calendar quarter, we will not be permitted to pay dividends or make any other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distributions (or create an obligation to make such distributions) that, in the aggregate, exceed the amount equal to our eligible retained income for the quarter multiplied by our maximum payout ratio. The maximum payout ratio for a given quarter is the lowest of the payout ratios determined by our capital conservation buffer and our leverage buffer. We will not be subject to this limitation on distributions if we have a capital conservation buffer that is greater than our prescribed capital conservation buffer amount and a leverage buffer that is greater than our prescribed leverage buffer amount. Notwithstanding the above-described limitations, FHFA may permit us to make a distribution upon our request, if FHFA determines that the distribution would not be contrary to the purposes of this section of the enterprise regulatory capital framework or to our safety and soundness. We will not be permitted to make any distributions during a quarter if our eligible retained income is negative and either (a) our capital conservation buffer is less than our stress capital buffer or</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(b) our leverage buffer is less than our prescribed leverage buffer amount.</w:t>
      </w:r>
    </w:p>
    <w:p>
      <w:pPr>
        <w:spacing w:after="0" w:line="131"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3. Defaults Upon Senior Securities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53"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4. Mine Safety Disclosures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40"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5. Other Information</w:t>
      </w:r>
    </w:p>
    <w:p>
      <w:pPr>
        <w:spacing w:after="0" w:line="125"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Trading Arrangements</w:t>
      </w:r>
    </w:p>
    <w:p>
      <w:pPr>
        <w:spacing w:after="0" w:line="63"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During the quarter ended September 30, 2024, no Fannie Mae director or officer (as that term is defined by the SEC in Rule 16a-1(f) under the Exchange Act) adopted or terminated a Rule 10b5-1 trading arrangement or a non-Rule 10b5-1 trading arrangement for transactions in Fannie Mae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367030</wp:posOffset>
            </wp:positionV>
            <wp:extent cx="713867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20" w:type="dxa"/>
            <w:vAlign w:val="bottom"/>
          </w:tcPr>
          <w:p>
            <w:pPr>
              <w:ind w:left="20"/>
              <w:spacing w:after="0"/>
              <w:rPr>
                <w:sz w:val="20"/>
                <w:szCs w:val="20"/>
                <w:color w:val="auto"/>
              </w:rPr>
            </w:pPr>
            <w:r>
              <w:rPr>
                <w:rFonts w:ascii="Arial" w:cs="Arial" w:eastAsia="Arial" w:hAnsi="Arial"/>
                <w:sz w:val="14"/>
                <w:szCs w:val="14"/>
                <w:color w:val="05314D"/>
              </w:rPr>
              <w:t>Fannie Mae Third Quarter 2024 Form 10-Q</w:t>
            </w:r>
          </w:p>
        </w:tc>
        <w:tc>
          <w:tcPr>
            <w:tcW w:w="4420" w:type="dxa"/>
            <w:vAlign w:val="bottom"/>
          </w:tcPr>
          <w:p>
            <w:pPr>
              <w:jc w:val="right"/>
              <w:spacing w:after="0"/>
              <w:rPr>
                <w:sz w:val="20"/>
                <w:szCs w:val="20"/>
                <w:color w:val="auto"/>
              </w:rPr>
            </w:pPr>
            <w:r>
              <w:rPr>
                <w:rFonts w:ascii="Arial" w:cs="Arial" w:eastAsia="Arial" w:hAnsi="Arial"/>
                <w:sz w:val="14"/>
                <w:szCs w:val="14"/>
                <w:color w:val="05314D"/>
              </w:rPr>
              <w:t>124</w:t>
            </w:r>
          </w:p>
        </w:tc>
      </w:tr>
      <w:tr>
        <w:trPr>
          <w:trHeight w:val="220"/>
        </w:trPr>
        <w:tc>
          <w:tcPr>
            <w:tcW w:w="6820" w:type="dxa"/>
            <w:vAlign w:val="bottom"/>
            <w:tcBorders>
              <w:bottom w:val="single" w:sz="8" w:color="9A9A9A"/>
            </w:tcBorders>
          </w:tcPr>
          <w:p>
            <w:pPr>
              <w:spacing w:after="0"/>
              <w:rPr>
                <w:sz w:val="19"/>
                <w:szCs w:val="19"/>
                <w:color w:val="auto"/>
              </w:rPr>
            </w:pPr>
          </w:p>
        </w:tc>
        <w:tc>
          <w:tcPr>
            <w:tcW w:w="44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27" w:name="page128"/>
    <w:bookmarkEnd w:id="127"/>
    <w:p>
      <w:pPr>
        <w:ind w:left="10060"/>
        <w:spacing w:after="0"/>
        <w:rPr>
          <w:sz w:val="20"/>
          <w:szCs w:val="20"/>
          <w:color w:val="auto"/>
        </w:rPr>
      </w:pPr>
      <w:r>
        <w:rPr>
          <w:rFonts w:ascii="Arial" w:cs="Arial" w:eastAsia="Arial" w:hAnsi="Arial"/>
          <w:sz w:val="14"/>
          <w:szCs w:val="14"/>
          <w:color w:val="05314D"/>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0722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6. Exhibits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The exhibits listed below are being filed or furnished with or incorporated by reference into this report.</w:t>
      </w:r>
    </w:p>
    <w:p>
      <w:pPr>
        <w:spacing w:after="0" w:line="130"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320" w:type="dxa"/>
            <w:vAlign w:val="bottom"/>
          </w:tcPr>
          <w:p>
            <w:pPr>
              <w:spacing w:after="0"/>
              <w:rPr>
                <w:sz w:val="20"/>
                <w:szCs w:val="20"/>
                <w:color w:val="auto"/>
              </w:rPr>
            </w:pPr>
            <w:r>
              <w:rPr>
                <w:rFonts w:ascii="Arial" w:cs="Arial" w:eastAsia="Arial" w:hAnsi="Arial"/>
                <w:sz w:val="15"/>
                <w:szCs w:val="15"/>
                <w:b w:val="1"/>
                <w:bCs w:val="1"/>
                <w:color w:val="auto"/>
                <w:w w:val="97"/>
              </w:rPr>
              <w:t>Item</w:t>
            </w:r>
          </w:p>
        </w:tc>
        <w:tc>
          <w:tcPr>
            <w:tcW w:w="1060" w:type="dxa"/>
            <w:vAlign w:val="bottom"/>
          </w:tcPr>
          <w:p>
            <w:pPr>
              <w:spacing w:after="0"/>
              <w:rPr>
                <w:sz w:val="14"/>
                <w:szCs w:val="14"/>
                <w:color w:val="auto"/>
              </w:rPr>
            </w:pPr>
          </w:p>
        </w:tc>
        <w:tc>
          <w:tcPr>
            <w:tcW w:w="9600" w:type="dxa"/>
            <w:vAlign w:val="bottom"/>
            <w:gridSpan w:val="10"/>
          </w:tcPr>
          <w:p>
            <w:pPr>
              <w:ind w:left="4420"/>
              <w:spacing w:after="0"/>
              <w:rPr>
                <w:sz w:val="20"/>
                <w:szCs w:val="20"/>
                <w:color w:val="auto"/>
              </w:rPr>
            </w:pPr>
            <w:r>
              <w:rPr>
                <w:rFonts w:ascii="Arial" w:cs="Arial" w:eastAsia="Arial" w:hAnsi="Arial"/>
                <w:sz w:val="15"/>
                <w:szCs w:val="15"/>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6"/>
        </w:trPr>
        <w:tc>
          <w:tcPr>
            <w:tcW w:w="320" w:type="dxa"/>
            <w:vAlign w:val="bottom"/>
          </w:tcPr>
          <w:p>
            <w:pPr>
              <w:spacing w:after="0"/>
              <w:rPr>
                <w:sz w:val="20"/>
                <w:szCs w:val="20"/>
                <w:color w:val="auto"/>
              </w:rPr>
            </w:pPr>
            <w:r>
              <w:rPr>
                <w:rFonts w:ascii="Arial" w:cs="Arial" w:eastAsia="Arial" w:hAnsi="Arial"/>
                <w:sz w:val="15"/>
                <w:szCs w:val="15"/>
                <w:color w:val="auto"/>
              </w:rPr>
              <w:t>3.1</w:t>
            </w:r>
          </w:p>
        </w:tc>
        <w:tc>
          <w:tcPr>
            <w:tcW w:w="1060" w:type="dxa"/>
            <w:vAlign w:val="bottom"/>
          </w:tcPr>
          <w:p>
            <w:pPr>
              <w:spacing w:after="0"/>
              <w:rPr>
                <w:sz w:val="16"/>
                <w:szCs w:val="16"/>
                <w:color w:val="auto"/>
              </w:rPr>
            </w:pPr>
          </w:p>
        </w:tc>
        <w:tc>
          <w:tcPr>
            <w:tcW w:w="9600" w:type="dxa"/>
            <w:vAlign w:val="bottom"/>
            <w:gridSpan w:val="10"/>
          </w:tcPr>
          <w:p>
            <w:pPr>
              <w:spacing w:after="0"/>
              <w:rPr>
                <w:rFonts w:ascii="Arial" w:cs="Arial" w:eastAsia="Arial" w:hAnsi="Arial"/>
                <w:sz w:val="15"/>
                <w:szCs w:val="15"/>
                <w:color w:val="0000FF"/>
              </w:rPr>
            </w:pPr>
            <w:hyperlink r:id="rId587">
              <w:r>
                <w:rPr>
                  <w:rFonts w:ascii="Arial" w:cs="Arial" w:eastAsia="Arial" w:hAnsi="Arial"/>
                  <w:sz w:val="15"/>
                  <w:szCs w:val="15"/>
                  <w:color w:val="0000FF"/>
                </w:rPr>
                <w:t>Fannie Mae Charter Act (12 U.S.C. § 1716 et seq.) as amended through July 25, 2019 (Incorporated by reference to Exhibit 3.1 to Fannie</w:t>
              </w:r>
            </w:hyperlink>
          </w:p>
        </w:tc>
      </w:tr>
      <w:tr>
        <w:trPr>
          <w:trHeight w:val="135"/>
        </w:trPr>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400" w:type="dxa"/>
            <w:vAlign w:val="bottom"/>
            <w:tcBorders>
              <w:top w:val="single" w:sz="8" w:color="0000FF"/>
            </w:tcBorders>
            <w:gridSpan w:val="9"/>
          </w:tcPr>
          <w:p>
            <w:pPr>
              <w:spacing w:after="0" w:line="135" w:lineRule="exact"/>
              <w:rPr>
                <w:rFonts w:ascii="Arial" w:cs="Arial" w:eastAsia="Arial" w:hAnsi="Arial"/>
                <w:sz w:val="15"/>
                <w:szCs w:val="15"/>
                <w:color w:val="0000FF"/>
              </w:rPr>
            </w:pPr>
            <w:hyperlink r:id="rId587">
              <w:r>
                <w:rPr>
                  <w:rFonts w:ascii="Arial" w:cs="Arial" w:eastAsia="Arial" w:hAnsi="Arial"/>
                  <w:sz w:val="15"/>
                  <w:szCs w:val="15"/>
                  <w:color w:val="0000FF"/>
                </w:rPr>
                <w:t>Mae’s Quarterly Report on Form 10-Q for the quarter ended September 30, 2019, filed October 31, 2019.)</w:t>
              </w:r>
            </w:hyperlink>
          </w:p>
        </w:tc>
        <w:tc>
          <w:tcPr>
            <w:tcW w:w="200" w:type="dxa"/>
            <w:vAlign w:val="bottom"/>
          </w:tcPr>
          <w:p>
            <w:pPr>
              <w:spacing w:after="0"/>
              <w:rPr>
                <w:sz w:val="11"/>
                <w:szCs w:val="11"/>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r>
      <w:tr>
        <w:trPr>
          <w:trHeight w:val="186"/>
        </w:trPr>
        <w:tc>
          <w:tcPr>
            <w:tcW w:w="320" w:type="dxa"/>
            <w:vAlign w:val="bottom"/>
          </w:tcPr>
          <w:p>
            <w:pPr>
              <w:spacing w:after="0"/>
              <w:rPr>
                <w:sz w:val="20"/>
                <w:szCs w:val="20"/>
                <w:color w:val="auto"/>
              </w:rPr>
            </w:pPr>
            <w:r>
              <w:rPr>
                <w:rFonts w:ascii="Arial" w:cs="Arial" w:eastAsia="Arial" w:hAnsi="Arial"/>
                <w:sz w:val="15"/>
                <w:szCs w:val="15"/>
                <w:color w:val="auto"/>
              </w:rPr>
              <w:t>3.2</w:t>
            </w:r>
          </w:p>
        </w:tc>
        <w:tc>
          <w:tcPr>
            <w:tcW w:w="1060" w:type="dxa"/>
            <w:vAlign w:val="bottom"/>
          </w:tcPr>
          <w:p>
            <w:pPr>
              <w:spacing w:after="0"/>
              <w:rPr>
                <w:sz w:val="16"/>
                <w:szCs w:val="16"/>
                <w:color w:val="auto"/>
              </w:rPr>
            </w:pPr>
          </w:p>
        </w:tc>
        <w:tc>
          <w:tcPr>
            <w:tcW w:w="9600" w:type="dxa"/>
            <w:vAlign w:val="bottom"/>
            <w:gridSpan w:val="10"/>
          </w:tcPr>
          <w:p>
            <w:pPr>
              <w:spacing w:after="0"/>
              <w:rPr>
                <w:rFonts w:ascii="Arial" w:cs="Arial" w:eastAsia="Arial" w:hAnsi="Arial"/>
                <w:sz w:val="15"/>
                <w:szCs w:val="15"/>
                <w:color w:val="0000FF"/>
              </w:rPr>
            </w:pPr>
            <w:hyperlink r:id="rId588">
              <w:r>
                <w:rPr>
                  <w:rFonts w:ascii="Arial" w:cs="Arial" w:eastAsia="Arial" w:hAnsi="Arial"/>
                  <w:sz w:val="15"/>
                  <w:szCs w:val="15"/>
                  <w:color w:val="0000FF"/>
                </w:rPr>
                <w:t>Fannie Mae Bylaws, as amended through January 29, 2019 (Incorporated by reference to Exhibit 3.2 to Fannie Mae’s Annual Report on</w:t>
              </w:r>
            </w:hyperlink>
          </w:p>
        </w:tc>
      </w:tr>
      <w:tr>
        <w:trPr>
          <w:trHeight w:val="135"/>
        </w:trPr>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300" w:type="dxa"/>
            <w:vAlign w:val="bottom"/>
            <w:tcBorders>
              <w:top w:val="single" w:sz="8" w:color="0000FF"/>
            </w:tcBorders>
            <w:gridSpan w:val="8"/>
          </w:tcPr>
          <w:p>
            <w:pPr>
              <w:spacing w:after="0" w:line="135" w:lineRule="exact"/>
              <w:rPr>
                <w:rFonts w:ascii="Arial" w:cs="Arial" w:eastAsia="Arial" w:hAnsi="Arial"/>
                <w:sz w:val="15"/>
                <w:szCs w:val="15"/>
                <w:color w:val="0000FF"/>
              </w:rPr>
            </w:pPr>
            <w:hyperlink r:id="rId588">
              <w:r>
                <w:rPr>
                  <w:rFonts w:ascii="Arial" w:cs="Arial" w:eastAsia="Arial" w:hAnsi="Arial"/>
                  <w:sz w:val="15"/>
                  <w:szCs w:val="15"/>
                  <w:color w:val="0000FF"/>
                </w:rPr>
                <w:t>Form 10-K for the year ended December 31, 2018, filed February 14, 2019.)</w:t>
              </w:r>
            </w:hyperlink>
          </w:p>
        </w:tc>
        <w:tc>
          <w:tcPr>
            <w:tcW w:w="300" w:type="dxa"/>
            <w:vAlign w:val="bottom"/>
            <w:gridSpan w:val="2"/>
          </w:tcPr>
          <w:p>
            <w:pPr>
              <w:spacing w:after="0"/>
              <w:rPr>
                <w:sz w:val="11"/>
                <w:szCs w:val="11"/>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r>
      <w:tr>
        <w:trPr>
          <w:trHeight w:val="186"/>
        </w:trPr>
        <w:tc>
          <w:tcPr>
            <w:tcW w:w="320" w:type="dxa"/>
            <w:vAlign w:val="bottom"/>
          </w:tcPr>
          <w:p>
            <w:pPr>
              <w:spacing w:after="0"/>
              <w:rPr>
                <w:sz w:val="20"/>
                <w:szCs w:val="20"/>
                <w:color w:val="auto"/>
              </w:rPr>
            </w:pPr>
            <w:r>
              <w:rPr>
                <w:rFonts w:ascii="Arial" w:cs="Arial" w:eastAsia="Arial" w:hAnsi="Arial"/>
                <w:sz w:val="15"/>
                <w:szCs w:val="15"/>
                <w:color w:val="auto"/>
              </w:rPr>
              <w:t>31.1</w:t>
            </w:r>
          </w:p>
        </w:tc>
        <w:tc>
          <w:tcPr>
            <w:tcW w:w="1060" w:type="dxa"/>
            <w:vAlign w:val="bottom"/>
          </w:tcPr>
          <w:p>
            <w:pPr>
              <w:spacing w:after="0"/>
              <w:rPr>
                <w:sz w:val="16"/>
                <w:szCs w:val="16"/>
                <w:color w:val="auto"/>
              </w:rPr>
            </w:pPr>
          </w:p>
        </w:tc>
        <w:tc>
          <w:tcPr>
            <w:tcW w:w="9600" w:type="dxa"/>
            <w:vAlign w:val="bottom"/>
            <w:gridSpan w:val="10"/>
          </w:tcPr>
          <w:p>
            <w:pPr>
              <w:spacing w:after="0"/>
              <w:rPr>
                <w:sz w:val="20"/>
                <w:szCs w:val="20"/>
                <w:color w:val="auto"/>
              </w:rPr>
            </w:pPr>
            <w:r>
              <w:rPr>
                <w:rFonts w:ascii="Arial" w:cs="Arial" w:eastAsia="Arial" w:hAnsi="Arial"/>
                <w:sz w:val="15"/>
                <w:szCs w:val="15"/>
                <w:color w:val="0000FF"/>
              </w:rPr>
              <w:t>Certification of Chief Executive Officer pursuant to Securities Exchange Act Rule 13a-14(a)</w:t>
            </w:r>
          </w:p>
        </w:tc>
      </w:tr>
      <w:tr>
        <w:trPr>
          <w:trHeight w:val="186"/>
        </w:trPr>
        <w:tc>
          <w:tcPr>
            <w:tcW w:w="320" w:type="dxa"/>
            <w:vAlign w:val="bottom"/>
          </w:tcPr>
          <w:p>
            <w:pPr>
              <w:spacing w:after="0"/>
              <w:rPr>
                <w:sz w:val="20"/>
                <w:szCs w:val="20"/>
                <w:color w:val="auto"/>
              </w:rPr>
            </w:pPr>
            <w:r>
              <w:rPr>
                <w:rFonts w:ascii="Arial" w:cs="Arial" w:eastAsia="Arial" w:hAnsi="Arial"/>
                <w:sz w:val="15"/>
                <w:szCs w:val="15"/>
                <w:color w:val="auto"/>
              </w:rPr>
              <w:t>31.2</w:t>
            </w:r>
          </w:p>
        </w:tc>
        <w:tc>
          <w:tcPr>
            <w:tcW w:w="1060" w:type="dxa"/>
            <w:vAlign w:val="bottom"/>
          </w:tcPr>
          <w:p>
            <w:pPr>
              <w:spacing w:after="0"/>
              <w:rPr>
                <w:sz w:val="16"/>
                <w:szCs w:val="16"/>
                <w:color w:val="auto"/>
              </w:rPr>
            </w:pPr>
          </w:p>
        </w:tc>
        <w:tc>
          <w:tcPr>
            <w:tcW w:w="6220" w:type="dxa"/>
            <w:vAlign w:val="bottom"/>
            <w:tcBorders>
              <w:top w:val="single" w:sz="8" w:color="0000FF"/>
            </w:tcBorders>
            <w:gridSpan w:val="6"/>
          </w:tcPr>
          <w:p>
            <w:pPr>
              <w:spacing w:after="0"/>
              <w:rPr>
                <w:sz w:val="20"/>
                <w:szCs w:val="20"/>
                <w:color w:val="auto"/>
              </w:rPr>
            </w:pPr>
            <w:r>
              <w:rPr>
                <w:rFonts w:ascii="Arial" w:cs="Arial" w:eastAsia="Arial" w:hAnsi="Arial"/>
                <w:sz w:val="15"/>
                <w:szCs w:val="15"/>
                <w:color w:val="0000FF"/>
              </w:rPr>
              <w:t>Certification of Chief Financial Officer pursuant to Securities Exchange Act Rule 13a-14(a)</w:t>
            </w:r>
          </w:p>
        </w:tc>
        <w:tc>
          <w:tcPr>
            <w:tcW w:w="3380" w:type="dxa"/>
            <w:vAlign w:val="bottom"/>
            <w:gridSpan w:val="4"/>
          </w:tcPr>
          <w:p>
            <w:pPr>
              <w:spacing w:after="0"/>
              <w:rPr>
                <w:sz w:val="16"/>
                <w:szCs w:val="16"/>
                <w:color w:val="auto"/>
              </w:rPr>
            </w:pPr>
          </w:p>
        </w:tc>
      </w:tr>
      <w:tr>
        <w:trPr>
          <w:trHeight w:val="186"/>
        </w:trPr>
        <w:tc>
          <w:tcPr>
            <w:tcW w:w="320" w:type="dxa"/>
            <w:vAlign w:val="bottom"/>
          </w:tcPr>
          <w:p>
            <w:pPr>
              <w:spacing w:after="0"/>
              <w:rPr>
                <w:sz w:val="20"/>
                <w:szCs w:val="20"/>
                <w:color w:val="auto"/>
              </w:rPr>
            </w:pPr>
            <w:r>
              <w:rPr>
                <w:rFonts w:ascii="Arial" w:cs="Arial" w:eastAsia="Arial" w:hAnsi="Arial"/>
                <w:sz w:val="15"/>
                <w:szCs w:val="15"/>
                <w:color w:val="auto"/>
              </w:rPr>
              <w:t>32.1</w:t>
            </w:r>
          </w:p>
        </w:tc>
        <w:tc>
          <w:tcPr>
            <w:tcW w:w="1060" w:type="dxa"/>
            <w:vAlign w:val="bottom"/>
          </w:tcPr>
          <w:p>
            <w:pPr>
              <w:spacing w:after="0"/>
              <w:rPr>
                <w:sz w:val="16"/>
                <w:szCs w:val="16"/>
                <w:color w:val="auto"/>
              </w:rPr>
            </w:pPr>
          </w:p>
        </w:tc>
        <w:tc>
          <w:tcPr>
            <w:tcW w:w="6160" w:type="dxa"/>
            <w:vAlign w:val="bottom"/>
            <w:tcBorders>
              <w:top w:val="single" w:sz="8" w:color="0000FF"/>
            </w:tcBorders>
            <w:gridSpan w:val="5"/>
          </w:tcPr>
          <w:p>
            <w:pPr>
              <w:spacing w:after="0"/>
              <w:rPr>
                <w:sz w:val="20"/>
                <w:szCs w:val="20"/>
                <w:color w:val="auto"/>
              </w:rPr>
            </w:pPr>
            <w:r>
              <w:rPr>
                <w:rFonts w:ascii="Arial" w:cs="Arial" w:eastAsia="Arial" w:hAnsi="Arial"/>
                <w:sz w:val="15"/>
                <w:szCs w:val="15"/>
                <w:color w:val="0000FF"/>
              </w:rPr>
              <w:t>Certification of Chief Executive Officer pursuant to 18 U.S.C. Section 1350</w:t>
            </w:r>
          </w:p>
        </w:tc>
        <w:tc>
          <w:tcPr>
            <w:tcW w:w="3440" w:type="dxa"/>
            <w:vAlign w:val="bottom"/>
            <w:gridSpan w:val="5"/>
          </w:tcPr>
          <w:p>
            <w:pPr>
              <w:spacing w:after="0"/>
              <w:rPr>
                <w:sz w:val="16"/>
                <w:szCs w:val="16"/>
                <w:color w:val="auto"/>
              </w:rPr>
            </w:pPr>
          </w:p>
        </w:tc>
      </w:tr>
      <w:tr>
        <w:trPr>
          <w:trHeight w:val="186"/>
        </w:trPr>
        <w:tc>
          <w:tcPr>
            <w:tcW w:w="320" w:type="dxa"/>
            <w:vAlign w:val="bottom"/>
          </w:tcPr>
          <w:p>
            <w:pPr>
              <w:spacing w:after="0"/>
              <w:rPr>
                <w:sz w:val="20"/>
                <w:szCs w:val="20"/>
                <w:color w:val="auto"/>
              </w:rPr>
            </w:pPr>
            <w:r>
              <w:rPr>
                <w:rFonts w:ascii="Arial" w:cs="Arial" w:eastAsia="Arial" w:hAnsi="Arial"/>
                <w:sz w:val="15"/>
                <w:szCs w:val="15"/>
                <w:color w:val="auto"/>
              </w:rPr>
              <w:t>32.2</w:t>
            </w:r>
          </w:p>
        </w:tc>
        <w:tc>
          <w:tcPr>
            <w:tcW w:w="1060" w:type="dxa"/>
            <w:vAlign w:val="bottom"/>
          </w:tcPr>
          <w:p>
            <w:pPr>
              <w:spacing w:after="0"/>
              <w:rPr>
                <w:sz w:val="16"/>
                <w:szCs w:val="16"/>
                <w:color w:val="auto"/>
              </w:rPr>
            </w:pPr>
          </w:p>
        </w:tc>
        <w:tc>
          <w:tcPr>
            <w:tcW w:w="504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5"/>
                <w:szCs w:val="15"/>
                <w:color w:val="0000FF"/>
              </w:rPr>
              <w:t>Certification of Chief Financial Officer pursuant to 18 U.S.C. Section 1350</w:t>
            </w:r>
          </w:p>
        </w:tc>
        <w:tc>
          <w:tcPr>
            <w:tcW w:w="40" w:type="dxa"/>
            <w:vAlign w:val="bottom"/>
            <w:tcBorders>
              <w:top w:val="single" w:sz="8" w:color="0000FF"/>
            </w:tcBorders>
          </w:tcPr>
          <w:p>
            <w:pPr>
              <w:spacing w:after="0"/>
              <w:rPr>
                <w:sz w:val="16"/>
                <w:szCs w:val="16"/>
                <w:color w:val="auto"/>
              </w:rPr>
            </w:pPr>
          </w:p>
        </w:tc>
        <w:tc>
          <w:tcPr>
            <w:tcW w:w="4520" w:type="dxa"/>
            <w:vAlign w:val="bottom"/>
            <w:gridSpan w:val="7"/>
          </w:tcPr>
          <w:p>
            <w:pPr>
              <w:spacing w:after="0"/>
              <w:rPr>
                <w:sz w:val="16"/>
                <w:szCs w:val="16"/>
                <w:color w:val="auto"/>
              </w:rPr>
            </w:pPr>
          </w:p>
        </w:tc>
      </w:tr>
      <w:tr>
        <w:trPr>
          <w:trHeight w:val="174"/>
        </w:trPr>
        <w:tc>
          <w:tcPr>
            <w:tcW w:w="320" w:type="dxa"/>
            <w:vAlign w:val="bottom"/>
          </w:tcPr>
          <w:p>
            <w:pPr>
              <w:spacing w:after="0"/>
              <w:rPr>
                <w:sz w:val="20"/>
                <w:szCs w:val="20"/>
                <w:color w:val="auto"/>
              </w:rPr>
            </w:pPr>
            <w:r>
              <w:rPr>
                <w:rFonts w:ascii="Arial" w:cs="Arial" w:eastAsia="Arial" w:hAnsi="Arial"/>
                <w:sz w:val="15"/>
                <w:szCs w:val="15"/>
                <w:color w:val="auto"/>
              </w:rPr>
              <w:t>101.</w:t>
            </w:r>
          </w:p>
        </w:tc>
        <w:tc>
          <w:tcPr>
            <w:tcW w:w="1060" w:type="dxa"/>
            <w:vAlign w:val="bottom"/>
          </w:tcPr>
          <w:p>
            <w:pPr>
              <w:ind w:left="20"/>
              <w:spacing w:after="0"/>
              <w:rPr>
                <w:sz w:val="20"/>
                <w:szCs w:val="20"/>
                <w:color w:val="auto"/>
              </w:rPr>
            </w:pPr>
            <w:r>
              <w:rPr>
                <w:rFonts w:ascii="Arial" w:cs="Arial" w:eastAsia="Arial" w:hAnsi="Arial"/>
                <w:sz w:val="15"/>
                <w:szCs w:val="15"/>
                <w:color w:val="auto"/>
              </w:rPr>
              <w:t>INS</w:t>
            </w:r>
          </w:p>
        </w:tc>
        <w:tc>
          <w:tcPr>
            <w:tcW w:w="9600" w:type="dxa"/>
            <w:vAlign w:val="bottom"/>
            <w:gridSpan w:val="10"/>
          </w:tcPr>
          <w:p>
            <w:pPr>
              <w:spacing w:after="0"/>
              <w:rPr>
                <w:sz w:val="20"/>
                <w:szCs w:val="20"/>
                <w:color w:val="auto"/>
              </w:rPr>
            </w:pPr>
            <w:r>
              <w:rPr>
                <w:rFonts w:ascii="Arial" w:cs="Arial" w:eastAsia="Arial" w:hAnsi="Arial"/>
                <w:sz w:val="15"/>
                <w:szCs w:val="15"/>
                <w:color w:val="auto"/>
              </w:rPr>
              <w:t>Inline XBRL Instance Document* - the instance document does not appear in the Interactive Data File because its XBRL tags are embedded</w:t>
            </w:r>
          </w:p>
        </w:tc>
      </w:tr>
      <w:tr>
        <w:trPr>
          <w:trHeight w:val="204"/>
        </w:trPr>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0" w:type="dxa"/>
            <w:vAlign w:val="bottom"/>
            <w:gridSpan w:val="10"/>
          </w:tcPr>
          <w:p>
            <w:pPr>
              <w:spacing w:after="0"/>
              <w:rPr>
                <w:sz w:val="20"/>
                <w:szCs w:val="20"/>
                <w:color w:val="auto"/>
              </w:rPr>
            </w:pPr>
            <w:r>
              <w:rPr>
                <w:rFonts w:ascii="Arial" w:cs="Arial" w:eastAsia="Arial" w:hAnsi="Arial"/>
                <w:sz w:val="15"/>
                <w:szCs w:val="15"/>
                <w:color w:val="auto"/>
              </w:rPr>
              <w:t>within the Inline XBRL document</w:t>
            </w:r>
          </w:p>
        </w:tc>
      </w:tr>
      <w:tr>
        <w:trPr>
          <w:trHeight w:val="206"/>
        </w:trPr>
        <w:tc>
          <w:tcPr>
            <w:tcW w:w="320" w:type="dxa"/>
            <w:vAlign w:val="bottom"/>
          </w:tcPr>
          <w:p>
            <w:pPr>
              <w:spacing w:after="0"/>
              <w:rPr>
                <w:sz w:val="20"/>
                <w:szCs w:val="20"/>
                <w:color w:val="auto"/>
              </w:rPr>
            </w:pPr>
            <w:r>
              <w:rPr>
                <w:rFonts w:ascii="Arial" w:cs="Arial" w:eastAsia="Arial" w:hAnsi="Arial"/>
                <w:sz w:val="15"/>
                <w:szCs w:val="15"/>
                <w:color w:val="auto"/>
              </w:rPr>
              <w:t>101.</w:t>
            </w:r>
          </w:p>
        </w:tc>
        <w:tc>
          <w:tcPr>
            <w:tcW w:w="1060" w:type="dxa"/>
            <w:vAlign w:val="bottom"/>
          </w:tcPr>
          <w:p>
            <w:pPr>
              <w:ind w:left="20"/>
              <w:spacing w:after="0"/>
              <w:rPr>
                <w:sz w:val="20"/>
                <w:szCs w:val="20"/>
                <w:color w:val="auto"/>
              </w:rPr>
            </w:pPr>
            <w:r>
              <w:rPr>
                <w:rFonts w:ascii="Arial" w:cs="Arial" w:eastAsia="Arial" w:hAnsi="Arial"/>
                <w:sz w:val="15"/>
                <w:szCs w:val="15"/>
                <w:color w:val="auto"/>
              </w:rPr>
              <w:t>SCH</w:t>
            </w:r>
          </w:p>
        </w:tc>
        <w:tc>
          <w:tcPr>
            <w:tcW w:w="9600" w:type="dxa"/>
            <w:vAlign w:val="bottom"/>
            <w:gridSpan w:val="10"/>
          </w:tcPr>
          <w:p>
            <w:pPr>
              <w:spacing w:after="0"/>
              <w:rPr>
                <w:sz w:val="20"/>
                <w:szCs w:val="20"/>
                <w:color w:val="auto"/>
              </w:rPr>
            </w:pPr>
            <w:r>
              <w:rPr>
                <w:rFonts w:ascii="Arial" w:cs="Arial" w:eastAsia="Arial" w:hAnsi="Arial"/>
                <w:sz w:val="15"/>
                <w:szCs w:val="15"/>
                <w:color w:val="auto"/>
              </w:rPr>
              <w:t>Inline XBRL Taxonomy Extension Schema*</w:t>
            </w:r>
          </w:p>
        </w:tc>
      </w:tr>
      <w:tr>
        <w:trPr>
          <w:trHeight w:val="206"/>
        </w:trPr>
        <w:tc>
          <w:tcPr>
            <w:tcW w:w="320" w:type="dxa"/>
            <w:vAlign w:val="bottom"/>
          </w:tcPr>
          <w:p>
            <w:pPr>
              <w:spacing w:after="0"/>
              <w:rPr>
                <w:sz w:val="20"/>
                <w:szCs w:val="20"/>
                <w:color w:val="auto"/>
              </w:rPr>
            </w:pPr>
            <w:r>
              <w:rPr>
                <w:rFonts w:ascii="Arial" w:cs="Arial" w:eastAsia="Arial" w:hAnsi="Arial"/>
                <w:sz w:val="15"/>
                <w:szCs w:val="15"/>
                <w:color w:val="auto"/>
              </w:rPr>
              <w:t>101.</w:t>
            </w:r>
          </w:p>
        </w:tc>
        <w:tc>
          <w:tcPr>
            <w:tcW w:w="1060" w:type="dxa"/>
            <w:vAlign w:val="bottom"/>
          </w:tcPr>
          <w:p>
            <w:pPr>
              <w:ind w:left="20"/>
              <w:spacing w:after="0"/>
              <w:rPr>
                <w:sz w:val="20"/>
                <w:szCs w:val="20"/>
                <w:color w:val="auto"/>
              </w:rPr>
            </w:pPr>
            <w:r>
              <w:rPr>
                <w:rFonts w:ascii="Arial" w:cs="Arial" w:eastAsia="Arial" w:hAnsi="Arial"/>
                <w:sz w:val="15"/>
                <w:szCs w:val="15"/>
                <w:color w:val="auto"/>
              </w:rPr>
              <w:t>CAL</w:t>
            </w:r>
          </w:p>
        </w:tc>
        <w:tc>
          <w:tcPr>
            <w:tcW w:w="9600" w:type="dxa"/>
            <w:vAlign w:val="bottom"/>
            <w:gridSpan w:val="10"/>
          </w:tcPr>
          <w:p>
            <w:pPr>
              <w:spacing w:after="0"/>
              <w:rPr>
                <w:sz w:val="20"/>
                <w:szCs w:val="20"/>
                <w:color w:val="auto"/>
              </w:rPr>
            </w:pPr>
            <w:r>
              <w:rPr>
                <w:rFonts w:ascii="Arial" w:cs="Arial" w:eastAsia="Arial" w:hAnsi="Arial"/>
                <w:sz w:val="15"/>
                <w:szCs w:val="15"/>
                <w:color w:val="auto"/>
              </w:rPr>
              <w:t>Inline XBRL Taxonomy Extension Calculation*</w:t>
            </w:r>
          </w:p>
        </w:tc>
      </w:tr>
      <w:tr>
        <w:trPr>
          <w:trHeight w:val="206"/>
        </w:trPr>
        <w:tc>
          <w:tcPr>
            <w:tcW w:w="320" w:type="dxa"/>
            <w:vAlign w:val="bottom"/>
          </w:tcPr>
          <w:p>
            <w:pPr>
              <w:spacing w:after="0"/>
              <w:rPr>
                <w:sz w:val="20"/>
                <w:szCs w:val="20"/>
                <w:color w:val="auto"/>
              </w:rPr>
            </w:pPr>
            <w:r>
              <w:rPr>
                <w:rFonts w:ascii="Arial" w:cs="Arial" w:eastAsia="Arial" w:hAnsi="Arial"/>
                <w:sz w:val="15"/>
                <w:szCs w:val="15"/>
                <w:color w:val="auto"/>
              </w:rPr>
              <w:t>101.</w:t>
            </w:r>
          </w:p>
        </w:tc>
        <w:tc>
          <w:tcPr>
            <w:tcW w:w="1060" w:type="dxa"/>
            <w:vAlign w:val="bottom"/>
          </w:tcPr>
          <w:p>
            <w:pPr>
              <w:ind w:left="20"/>
              <w:spacing w:after="0"/>
              <w:rPr>
                <w:sz w:val="20"/>
                <w:szCs w:val="20"/>
                <w:color w:val="auto"/>
              </w:rPr>
            </w:pPr>
            <w:r>
              <w:rPr>
                <w:rFonts w:ascii="Arial" w:cs="Arial" w:eastAsia="Arial" w:hAnsi="Arial"/>
                <w:sz w:val="15"/>
                <w:szCs w:val="15"/>
                <w:color w:val="auto"/>
              </w:rPr>
              <w:t>DEF</w:t>
            </w:r>
          </w:p>
        </w:tc>
        <w:tc>
          <w:tcPr>
            <w:tcW w:w="9600" w:type="dxa"/>
            <w:vAlign w:val="bottom"/>
            <w:gridSpan w:val="10"/>
          </w:tcPr>
          <w:p>
            <w:pPr>
              <w:spacing w:after="0"/>
              <w:rPr>
                <w:sz w:val="20"/>
                <w:szCs w:val="20"/>
                <w:color w:val="auto"/>
              </w:rPr>
            </w:pPr>
            <w:r>
              <w:rPr>
                <w:rFonts w:ascii="Arial" w:cs="Arial" w:eastAsia="Arial" w:hAnsi="Arial"/>
                <w:sz w:val="15"/>
                <w:szCs w:val="15"/>
                <w:color w:val="auto"/>
              </w:rPr>
              <w:t>Inline XBRL Taxonomy Extension Definition*</w:t>
            </w:r>
          </w:p>
        </w:tc>
      </w:tr>
      <w:tr>
        <w:trPr>
          <w:trHeight w:val="206"/>
        </w:trPr>
        <w:tc>
          <w:tcPr>
            <w:tcW w:w="320" w:type="dxa"/>
            <w:vAlign w:val="bottom"/>
          </w:tcPr>
          <w:p>
            <w:pPr>
              <w:spacing w:after="0"/>
              <w:rPr>
                <w:sz w:val="20"/>
                <w:szCs w:val="20"/>
                <w:color w:val="auto"/>
              </w:rPr>
            </w:pPr>
            <w:r>
              <w:rPr>
                <w:rFonts w:ascii="Arial" w:cs="Arial" w:eastAsia="Arial" w:hAnsi="Arial"/>
                <w:sz w:val="15"/>
                <w:szCs w:val="15"/>
                <w:color w:val="auto"/>
              </w:rPr>
              <w:t>101.</w:t>
            </w:r>
          </w:p>
        </w:tc>
        <w:tc>
          <w:tcPr>
            <w:tcW w:w="1060" w:type="dxa"/>
            <w:vAlign w:val="bottom"/>
          </w:tcPr>
          <w:p>
            <w:pPr>
              <w:ind w:left="20"/>
              <w:spacing w:after="0"/>
              <w:rPr>
                <w:sz w:val="20"/>
                <w:szCs w:val="20"/>
                <w:color w:val="auto"/>
              </w:rPr>
            </w:pPr>
            <w:r>
              <w:rPr>
                <w:rFonts w:ascii="Arial" w:cs="Arial" w:eastAsia="Arial" w:hAnsi="Arial"/>
                <w:sz w:val="15"/>
                <w:szCs w:val="15"/>
                <w:color w:val="auto"/>
              </w:rPr>
              <w:t>LAB</w:t>
            </w:r>
          </w:p>
        </w:tc>
        <w:tc>
          <w:tcPr>
            <w:tcW w:w="9600" w:type="dxa"/>
            <w:vAlign w:val="bottom"/>
            <w:gridSpan w:val="10"/>
          </w:tcPr>
          <w:p>
            <w:pPr>
              <w:spacing w:after="0"/>
              <w:rPr>
                <w:sz w:val="20"/>
                <w:szCs w:val="20"/>
                <w:color w:val="auto"/>
              </w:rPr>
            </w:pPr>
            <w:r>
              <w:rPr>
                <w:rFonts w:ascii="Arial" w:cs="Arial" w:eastAsia="Arial" w:hAnsi="Arial"/>
                <w:sz w:val="15"/>
                <w:szCs w:val="15"/>
                <w:color w:val="auto"/>
              </w:rPr>
              <w:t>Inline XBRL Taxonomy Extension Label*</w:t>
            </w:r>
          </w:p>
        </w:tc>
      </w:tr>
      <w:tr>
        <w:trPr>
          <w:trHeight w:val="206"/>
        </w:trPr>
        <w:tc>
          <w:tcPr>
            <w:tcW w:w="320" w:type="dxa"/>
            <w:vAlign w:val="bottom"/>
          </w:tcPr>
          <w:p>
            <w:pPr>
              <w:spacing w:after="0"/>
              <w:rPr>
                <w:sz w:val="20"/>
                <w:szCs w:val="20"/>
                <w:color w:val="auto"/>
              </w:rPr>
            </w:pPr>
            <w:r>
              <w:rPr>
                <w:rFonts w:ascii="Arial" w:cs="Arial" w:eastAsia="Arial" w:hAnsi="Arial"/>
                <w:sz w:val="15"/>
                <w:szCs w:val="15"/>
                <w:color w:val="auto"/>
              </w:rPr>
              <w:t>101.</w:t>
            </w:r>
          </w:p>
        </w:tc>
        <w:tc>
          <w:tcPr>
            <w:tcW w:w="1060" w:type="dxa"/>
            <w:vAlign w:val="bottom"/>
          </w:tcPr>
          <w:p>
            <w:pPr>
              <w:ind w:left="20"/>
              <w:spacing w:after="0"/>
              <w:rPr>
                <w:sz w:val="20"/>
                <w:szCs w:val="20"/>
                <w:color w:val="auto"/>
              </w:rPr>
            </w:pPr>
            <w:r>
              <w:rPr>
                <w:rFonts w:ascii="Arial" w:cs="Arial" w:eastAsia="Arial" w:hAnsi="Arial"/>
                <w:sz w:val="15"/>
                <w:szCs w:val="15"/>
                <w:color w:val="auto"/>
              </w:rPr>
              <w:t>PRE</w:t>
            </w:r>
          </w:p>
        </w:tc>
        <w:tc>
          <w:tcPr>
            <w:tcW w:w="9600" w:type="dxa"/>
            <w:vAlign w:val="bottom"/>
            <w:gridSpan w:val="10"/>
          </w:tcPr>
          <w:p>
            <w:pPr>
              <w:spacing w:after="0"/>
              <w:rPr>
                <w:sz w:val="20"/>
                <w:szCs w:val="20"/>
                <w:color w:val="auto"/>
              </w:rPr>
            </w:pPr>
            <w:r>
              <w:rPr>
                <w:rFonts w:ascii="Arial" w:cs="Arial" w:eastAsia="Arial" w:hAnsi="Arial"/>
                <w:sz w:val="15"/>
                <w:szCs w:val="15"/>
                <w:color w:val="auto"/>
              </w:rPr>
              <w:t>Inline XBRL Taxonomy Extension Presentation*</w:t>
            </w:r>
          </w:p>
        </w:tc>
      </w:tr>
    </w:tbl>
    <w:p>
      <w:pPr>
        <w:spacing w:after="0" w:line="2" w:lineRule="exact"/>
        <w:rPr>
          <w:sz w:val="20"/>
          <w:szCs w:val="20"/>
          <w:color w:val="auto"/>
        </w:rPr>
      </w:pPr>
    </w:p>
    <w:p>
      <w:pPr>
        <w:ind w:left="160" w:right="4220" w:firstLine="15"/>
        <w:spacing w:after="0" w:line="516" w:lineRule="auto"/>
        <w:tabs>
          <w:tab w:leader="none" w:pos="1569" w:val="left"/>
        </w:tabs>
        <w:numPr>
          <w:ilvl w:val="1"/>
          <w:numId w:val="142"/>
        </w:numPr>
        <w:rPr>
          <w:rFonts w:ascii="Arial" w:cs="Arial" w:eastAsia="Arial" w:hAnsi="Arial"/>
          <w:sz w:val="15"/>
          <w:szCs w:val="15"/>
          <w:color w:val="auto"/>
        </w:rPr>
      </w:pPr>
      <w:r>
        <w:rPr>
          <w:rFonts w:ascii="Arial" w:cs="Arial" w:eastAsia="Arial" w:hAnsi="Arial"/>
          <w:sz w:val="15"/>
          <w:szCs w:val="15"/>
          <w:color w:val="auto"/>
        </w:rPr>
        <w:t xml:space="preserve">Cover Page Interactive Data File* (embedded within the Inline XBRL document) </w:t>
      </w:r>
      <w:r>
        <w:rPr>
          <w:rFonts w:ascii="Arial" w:cs="Arial" w:eastAsia="Arial" w:hAnsi="Arial"/>
          <w:sz w:val="16"/>
          <w:szCs w:val="16"/>
          <w:color w:val="auto"/>
        </w:rPr>
        <w:t>* The financial information contained in these Inline XBRL documents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258445</wp:posOffset>
            </wp:positionV>
            <wp:extent cx="713867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20" w:type="dxa"/>
            <w:vAlign w:val="bottom"/>
          </w:tcPr>
          <w:p>
            <w:pPr>
              <w:ind w:left="20"/>
              <w:spacing w:after="0"/>
              <w:rPr>
                <w:sz w:val="20"/>
                <w:szCs w:val="20"/>
                <w:color w:val="auto"/>
              </w:rPr>
            </w:pPr>
            <w:r>
              <w:rPr>
                <w:rFonts w:ascii="Arial" w:cs="Arial" w:eastAsia="Arial" w:hAnsi="Arial"/>
                <w:sz w:val="14"/>
                <w:szCs w:val="14"/>
                <w:color w:val="05314D"/>
              </w:rPr>
              <w:t>Fannie Mae Third Quarter 2024 Form 10-Q</w:t>
            </w:r>
          </w:p>
        </w:tc>
        <w:tc>
          <w:tcPr>
            <w:tcW w:w="4420" w:type="dxa"/>
            <w:vAlign w:val="bottom"/>
          </w:tcPr>
          <w:p>
            <w:pPr>
              <w:jc w:val="right"/>
              <w:spacing w:after="0"/>
              <w:rPr>
                <w:sz w:val="20"/>
                <w:szCs w:val="20"/>
                <w:color w:val="auto"/>
              </w:rPr>
            </w:pPr>
            <w:r>
              <w:rPr>
                <w:rFonts w:ascii="Arial" w:cs="Arial" w:eastAsia="Arial" w:hAnsi="Arial"/>
                <w:sz w:val="14"/>
                <w:szCs w:val="14"/>
                <w:color w:val="05314D"/>
              </w:rPr>
              <w:t>125</w:t>
            </w:r>
          </w:p>
        </w:tc>
      </w:tr>
      <w:tr>
        <w:trPr>
          <w:trHeight w:val="220"/>
        </w:trPr>
        <w:tc>
          <w:tcPr>
            <w:tcW w:w="6820" w:type="dxa"/>
            <w:vAlign w:val="bottom"/>
            <w:tcBorders>
              <w:bottom w:val="single" w:sz="8" w:color="9A9A9A"/>
            </w:tcBorders>
          </w:tcPr>
          <w:p>
            <w:pPr>
              <w:spacing w:after="0"/>
              <w:rPr>
                <w:sz w:val="19"/>
                <w:szCs w:val="19"/>
                <w:color w:val="auto"/>
              </w:rPr>
            </w:pPr>
          </w:p>
        </w:tc>
        <w:tc>
          <w:tcPr>
            <w:tcW w:w="44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9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28" w:name="page129"/>
    <w:bookmarkEnd w:id="128"/>
    <w:p>
      <w:pPr>
        <w:jc w:val="right"/>
        <w:ind w:right="120"/>
        <w:spacing w:after="0"/>
        <w:rPr>
          <w:sz w:val="20"/>
          <w:szCs w:val="20"/>
          <w:color w:val="auto"/>
        </w:rPr>
      </w:pPr>
      <w:r>
        <w:rPr>
          <w:rFonts w:ascii="Arial" w:cs="Arial" w:eastAsia="Arial" w:hAnsi="Arial"/>
          <w:sz w:val="14"/>
          <w:szCs w:val="14"/>
          <w:color w:val="05314D"/>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0722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2">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Georgia" w:cs="Georgia" w:eastAsia="Georgia" w:hAnsi="Georgia"/>
          <w:sz w:val="21"/>
          <w:szCs w:val="21"/>
          <w:b w:val="1"/>
          <w:bCs w:val="1"/>
          <w:color w:val="auto"/>
        </w:rPr>
        <w:t>SIGNATURES</w:t>
      </w:r>
    </w:p>
    <w:p>
      <w:pPr>
        <w:spacing w:after="0" w:line="140" w:lineRule="exact"/>
        <w:rPr>
          <w:sz w:val="20"/>
          <w:szCs w:val="20"/>
          <w:color w:val="auto"/>
        </w:rPr>
      </w:pPr>
    </w:p>
    <w:p>
      <w:pPr>
        <w:ind w:right="880"/>
        <w:spacing w:after="0" w:line="29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386" w:lineRule="exact"/>
        <w:rPr>
          <w:sz w:val="20"/>
          <w:szCs w:val="20"/>
          <w:color w:val="auto"/>
        </w:rPr>
      </w:pPr>
    </w:p>
    <w:p>
      <w:pPr>
        <w:ind w:left="5700"/>
        <w:spacing w:after="0"/>
        <w:rPr>
          <w:sz w:val="20"/>
          <w:szCs w:val="20"/>
          <w:color w:val="auto"/>
        </w:rPr>
      </w:pPr>
      <w:r>
        <w:rPr>
          <w:rFonts w:ascii="Arial" w:cs="Arial" w:eastAsia="Arial" w:hAnsi="Arial"/>
          <w:sz w:val="15"/>
          <w:szCs w:val="15"/>
          <w:color w:val="auto"/>
        </w:rPr>
        <w:t>Federal National Mortgage Association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240"/>
        <w:spacing w:after="0"/>
        <w:tabs>
          <w:tab w:leader="none" w:pos="684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Priscilla Almodovar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4316095</wp:posOffset>
            </wp:positionH>
            <wp:positionV relativeFrom="paragraph">
              <wp:posOffset>20955</wp:posOffset>
            </wp:positionV>
            <wp:extent cx="282448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3">
                      <a:extLst>
                        <a:ext uri="{28A0092B-C50C-407E-A947-70E740481C1C}"/>
                      </a:extLst>
                    </a:blip>
                    <a:srcRect/>
                    <a:stretch>
                      <a:fillRect/>
                    </a:stretch>
                  </pic:blipFill>
                  <pic:spPr bwMode="auto">
                    <a:xfrm>
                      <a:off x="0" y="0"/>
                      <a:ext cx="2824480" cy="8255"/>
                    </a:xfrm>
                    <a:prstGeom prst="rect">
                      <a:avLst/>
                    </a:prstGeom>
                    <a:noFill/>
                  </pic:spPr>
                </pic:pic>
              </a:graphicData>
            </a:graphic>
          </wp:anchor>
        </w:drawing>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5"/>
          <w:szCs w:val="15"/>
          <w:color w:val="auto"/>
        </w:rPr>
        <w:t>Priscilla Almodovar</w:t>
      </w:r>
    </w:p>
    <w:p>
      <w:pPr>
        <w:ind w:left="6820"/>
        <w:spacing w:after="0"/>
        <w:rPr>
          <w:sz w:val="20"/>
          <w:szCs w:val="20"/>
          <w:color w:val="auto"/>
        </w:rPr>
      </w:pPr>
      <w:r>
        <w:rPr>
          <w:rFonts w:ascii="Arial" w:cs="Arial" w:eastAsia="Arial" w:hAnsi="Arial"/>
          <w:sz w:val="15"/>
          <w:szCs w:val="15"/>
          <w:color w:val="auto"/>
        </w:rPr>
        <w:t>President and Chief Executive Officer</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Date: October 31, 2024</w:t>
      </w:r>
    </w:p>
    <w:p>
      <w:pPr>
        <w:spacing w:after="0" w:line="135" w:lineRule="exact"/>
        <w:rPr>
          <w:sz w:val="20"/>
          <w:szCs w:val="20"/>
          <w:color w:val="auto"/>
        </w:rPr>
      </w:pPr>
    </w:p>
    <w:p>
      <w:pPr>
        <w:ind w:left="6240"/>
        <w:spacing w:after="0"/>
        <w:tabs>
          <w:tab w:leader="none" w:pos="684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Chryssa C. Halley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4316095</wp:posOffset>
            </wp:positionH>
            <wp:positionV relativeFrom="paragraph">
              <wp:posOffset>20955</wp:posOffset>
            </wp:positionV>
            <wp:extent cx="282448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4">
                      <a:extLst>
                        <a:ext uri="{28A0092B-C50C-407E-A947-70E740481C1C}"/>
                      </a:extLst>
                    </a:blip>
                    <a:srcRect/>
                    <a:stretch>
                      <a:fillRect/>
                    </a:stretch>
                  </pic:blipFill>
                  <pic:spPr bwMode="auto">
                    <a:xfrm>
                      <a:off x="0" y="0"/>
                      <a:ext cx="2824480" cy="8255"/>
                    </a:xfrm>
                    <a:prstGeom prst="rect">
                      <a:avLst/>
                    </a:prstGeom>
                    <a:noFill/>
                  </pic:spPr>
                </pic:pic>
              </a:graphicData>
            </a:graphic>
          </wp:anchor>
        </w:drawing>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5"/>
          <w:szCs w:val="15"/>
          <w:color w:val="auto"/>
        </w:rPr>
        <w:t>Chryssa C. Halley</w:t>
      </w:r>
    </w:p>
    <w:p>
      <w:pPr>
        <w:ind w:left="6820"/>
        <w:spacing w:after="0" w:line="215" w:lineRule="auto"/>
        <w:rPr>
          <w:sz w:val="20"/>
          <w:szCs w:val="20"/>
          <w:color w:val="auto"/>
        </w:rPr>
      </w:pPr>
      <w:r>
        <w:rPr>
          <w:rFonts w:ascii="Arial" w:cs="Arial" w:eastAsia="Arial" w:hAnsi="Arial"/>
          <w:sz w:val="15"/>
          <w:szCs w:val="15"/>
          <w:color w:val="auto"/>
        </w:rPr>
        <w:t>Executive Vice President and</w:t>
      </w:r>
    </w:p>
    <w:p>
      <w:pPr>
        <w:ind w:left="6820"/>
        <w:spacing w:after="0"/>
        <w:rPr>
          <w:sz w:val="20"/>
          <w:szCs w:val="20"/>
          <w:color w:val="auto"/>
        </w:rPr>
      </w:pPr>
      <w:r>
        <w:rPr>
          <w:rFonts w:ascii="Arial" w:cs="Arial" w:eastAsia="Arial" w:hAnsi="Arial"/>
          <w:sz w:val="15"/>
          <w:szCs w:val="15"/>
          <w:color w:val="auto"/>
        </w:rPr>
        <w:t>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Date: October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412750</wp:posOffset>
            </wp:positionV>
            <wp:extent cx="713867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20" w:type="dxa"/>
            <w:vAlign w:val="bottom"/>
          </w:tcPr>
          <w:p>
            <w:pPr>
              <w:ind w:left="20"/>
              <w:spacing w:after="0"/>
              <w:rPr>
                <w:sz w:val="20"/>
                <w:szCs w:val="20"/>
                <w:color w:val="auto"/>
              </w:rPr>
            </w:pPr>
            <w:r>
              <w:rPr>
                <w:rFonts w:ascii="Arial" w:cs="Arial" w:eastAsia="Arial" w:hAnsi="Arial"/>
                <w:sz w:val="14"/>
                <w:szCs w:val="14"/>
                <w:color w:val="05314D"/>
              </w:rPr>
              <w:t>Fannie Mae Third Quarter 2024 Form 10-Q</w:t>
            </w:r>
          </w:p>
        </w:tc>
        <w:tc>
          <w:tcPr>
            <w:tcW w:w="4420" w:type="dxa"/>
            <w:vAlign w:val="bottom"/>
          </w:tcPr>
          <w:p>
            <w:pPr>
              <w:jc w:val="right"/>
              <w:spacing w:after="0"/>
              <w:rPr>
                <w:sz w:val="20"/>
                <w:szCs w:val="20"/>
                <w:color w:val="auto"/>
              </w:rPr>
            </w:pPr>
            <w:r>
              <w:rPr>
                <w:rFonts w:ascii="Arial" w:cs="Arial" w:eastAsia="Arial" w:hAnsi="Arial"/>
                <w:sz w:val="14"/>
                <w:szCs w:val="14"/>
                <w:color w:val="05314D"/>
              </w:rPr>
              <w:t>126</w:t>
            </w:r>
          </w:p>
        </w:tc>
      </w:tr>
      <w:tr>
        <w:trPr>
          <w:trHeight w:val="207"/>
        </w:trPr>
        <w:tc>
          <w:tcPr>
            <w:tcW w:w="6820" w:type="dxa"/>
            <w:vAlign w:val="bottom"/>
            <w:tcBorders>
              <w:bottom w:val="single" w:sz="8" w:color="9A9A9A"/>
            </w:tcBorders>
          </w:tcPr>
          <w:p>
            <w:pPr>
              <w:spacing w:after="0"/>
              <w:rPr>
                <w:sz w:val="17"/>
                <w:szCs w:val="17"/>
                <w:color w:val="auto"/>
              </w:rPr>
            </w:pPr>
          </w:p>
        </w:tc>
        <w:tc>
          <w:tcPr>
            <w:tcW w:w="44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29" w:name="page130"/>
    <w:bookmarkEnd w:id="1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2219325</wp:posOffset>
            </wp:positionH>
            <wp:positionV relativeFrom="page">
              <wp:posOffset>5000625</wp:posOffset>
            </wp:positionV>
            <wp:extent cx="3110865" cy="91694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8">
                      <a:clrChange>
                        <a:clrFrom>
                          <a:srgbClr val="FFFFFF"/>
                        </a:clrFrom>
                        <a:clrTo>
                          <a:srgbClr val="FFFFFF">
                            <a:alpha val="0"/>
                          </a:srgbClr>
                        </a:clrTo>
                      </a:clrChange>
                      <a:extLst>
                        <a:ext uri="{28A0092B-C50C-407E-A947-70E740481C1C}"/>
                      </a:extLst>
                    </a:blip>
                    <a:srcRect/>
                    <a:stretch>
                      <a:fillRect/>
                    </a:stretch>
                  </pic:blipFill>
                  <pic:spPr bwMode="auto">
                    <a:xfrm>
                      <a:off x="0" y="0"/>
                      <a:ext cx="3110865" cy="916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21"/>
          <w:szCs w:val="21"/>
          <w:b w:val="1"/>
          <w:bCs w:val="1"/>
          <w:color w:val="auto"/>
        </w:rPr>
        <w:t>Exhibit 31.1</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w:t>
      </w:r>
    </w:p>
    <w:p>
      <w:pPr>
        <w:spacing w:after="0" w:line="236"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1"/>
          <w:szCs w:val="21"/>
          <w:b w:val="1"/>
          <w:bCs w:val="1"/>
          <w:color w:val="auto"/>
        </w:rPr>
        <w:t>PURSUANT TO SECURITIES EXCHANGE ACT RULE 13a-14(a)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Priscilla Almodovar, certify that:</w:t>
      </w:r>
    </w:p>
    <w:p>
      <w:pPr>
        <w:spacing w:after="0" w:line="55" w:lineRule="exact"/>
        <w:rPr>
          <w:sz w:val="20"/>
          <w:szCs w:val="20"/>
          <w:color w:val="auto"/>
        </w:rPr>
      </w:pPr>
    </w:p>
    <w:p>
      <w:pPr>
        <w:ind w:left="240" w:right="580" w:hanging="198"/>
        <w:spacing w:after="0" w:line="269" w:lineRule="auto"/>
        <w:tabs>
          <w:tab w:leader="none" w:pos="408" w:val="left"/>
        </w:tabs>
        <w:numPr>
          <w:ilvl w:val="0"/>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reviewed this Quarterly Report on Form 10-Q for the quarter ended September 30, 2024 of Fannie Mae (formally, the Federal National Mortgage Association);</w:t>
      </w:r>
    </w:p>
    <w:p>
      <w:pPr>
        <w:ind w:left="240" w:right="200" w:hanging="198"/>
        <w:spacing w:after="0" w:line="262" w:lineRule="auto"/>
        <w:tabs>
          <w:tab w:leader="none" w:pos="408" w:val="left"/>
        </w:tabs>
        <w:numPr>
          <w:ilvl w:val="0"/>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 w:lineRule="exact"/>
        <w:rPr>
          <w:rFonts w:ascii="Times New Roman" w:cs="Times New Roman" w:eastAsia="Times New Roman" w:hAnsi="Times New Roman"/>
          <w:sz w:val="21"/>
          <w:szCs w:val="21"/>
          <w:color w:val="auto"/>
        </w:rPr>
      </w:pPr>
    </w:p>
    <w:p>
      <w:pPr>
        <w:ind w:left="240" w:right="100" w:hanging="198"/>
        <w:spacing w:after="0" w:line="256" w:lineRule="auto"/>
        <w:tabs>
          <w:tab w:leader="none" w:pos="408" w:val="left"/>
        </w:tabs>
        <w:numPr>
          <w:ilvl w:val="0"/>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 w:lineRule="exact"/>
        <w:rPr>
          <w:rFonts w:ascii="Times New Roman" w:cs="Times New Roman" w:eastAsia="Times New Roman" w:hAnsi="Times New Roman"/>
          <w:sz w:val="21"/>
          <w:szCs w:val="21"/>
          <w:color w:val="auto"/>
        </w:rPr>
      </w:pPr>
    </w:p>
    <w:p>
      <w:pPr>
        <w:ind w:left="240" w:right="20" w:hanging="198"/>
        <w:spacing w:after="0" w:line="262" w:lineRule="auto"/>
        <w:tabs>
          <w:tab w:leader="none" w:pos="404" w:val="left"/>
        </w:tabs>
        <w:numPr>
          <w:ilvl w:val="0"/>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 w:lineRule="exact"/>
        <w:rPr>
          <w:rFonts w:ascii="Times New Roman" w:cs="Times New Roman" w:eastAsia="Times New Roman" w:hAnsi="Times New Roman"/>
          <w:sz w:val="21"/>
          <w:szCs w:val="21"/>
          <w:color w:val="auto"/>
        </w:rPr>
      </w:pPr>
    </w:p>
    <w:p>
      <w:pPr>
        <w:jc w:val="both"/>
        <w:ind w:left="500" w:right="140" w:hanging="187"/>
        <w:spacing w:after="0" w:line="256" w:lineRule="auto"/>
        <w:tabs>
          <w:tab w:leader="none" w:pos="656" w:val="left"/>
        </w:tabs>
        <w:numPr>
          <w:ilvl w:val="1"/>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21"/>
          <w:szCs w:val="21"/>
          <w:color w:val="auto"/>
        </w:rPr>
      </w:pPr>
    </w:p>
    <w:p>
      <w:pPr>
        <w:ind w:left="500" w:right="160" w:hanging="187"/>
        <w:spacing w:after="0" w:line="262" w:lineRule="auto"/>
        <w:tabs>
          <w:tab w:leader="none" w:pos="668" w:val="left"/>
        </w:tabs>
        <w:numPr>
          <w:ilvl w:val="1"/>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 w:lineRule="exact"/>
        <w:rPr>
          <w:rFonts w:ascii="Times New Roman" w:cs="Times New Roman" w:eastAsia="Times New Roman" w:hAnsi="Times New Roman"/>
          <w:sz w:val="21"/>
          <w:szCs w:val="21"/>
          <w:color w:val="auto"/>
        </w:rPr>
      </w:pPr>
    </w:p>
    <w:p>
      <w:pPr>
        <w:ind w:left="500" w:right="80" w:hanging="187"/>
        <w:spacing w:after="0" w:line="256" w:lineRule="auto"/>
        <w:tabs>
          <w:tab w:leader="none" w:pos="656" w:val="left"/>
        </w:tabs>
        <w:numPr>
          <w:ilvl w:val="1"/>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21"/>
          <w:szCs w:val="21"/>
          <w:color w:val="auto"/>
        </w:rPr>
      </w:pPr>
    </w:p>
    <w:p>
      <w:pPr>
        <w:ind w:left="500" w:right="460" w:hanging="187"/>
        <w:spacing w:after="0" w:line="273" w:lineRule="auto"/>
        <w:tabs>
          <w:tab w:leader="none" w:pos="668"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20"/>
          <w:szCs w:val="20"/>
          <w:color w:val="auto"/>
        </w:rPr>
      </w:pPr>
    </w:p>
    <w:p>
      <w:pPr>
        <w:ind w:left="240" w:right="220" w:hanging="198"/>
        <w:spacing w:after="0" w:line="256" w:lineRule="auto"/>
        <w:tabs>
          <w:tab w:leader="none" w:pos="404" w:val="left"/>
        </w:tabs>
        <w:numPr>
          <w:ilvl w:val="0"/>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21"/>
          <w:szCs w:val="21"/>
          <w:color w:val="auto"/>
        </w:rPr>
      </w:pPr>
    </w:p>
    <w:p>
      <w:pPr>
        <w:ind w:left="500" w:right="20" w:hanging="187"/>
        <w:spacing w:after="0" w:line="256" w:lineRule="auto"/>
        <w:tabs>
          <w:tab w:leader="none" w:pos="645" w:val="left"/>
        </w:tabs>
        <w:numPr>
          <w:ilvl w:val="1"/>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 w:lineRule="exact"/>
        <w:rPr>
          <w:rFonts w:ascii="Times New Roman" w:cs="Times New Roman" w:eastAsia="Times New Roman" w:hAnsi="Times New Roman"/>
          <w:sz w:val="21"/>
          <w:szCs w:val="21"/>
          <w:color w:val="auto"/>
        </w:rPr>
      </w:pPr>
    </w:p>
    <w:p>
      <w:pPr>
        <w:ind w:left="500" w:right="40" w:hanging="187"/>
        <w:spacing w:after="0" w:line="262" w:lineRule="auto"/>
        <w:tabs>
          <w:tab w:leader="none" w:pos="656" w:val="left"/>
        </w:tabs>
        <w:numPr>
          <w:ilvl w:val="1"/>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1"/>
          <w:szCs w:val="21"/>
          <w:color w:val="auto"/>
        </w:rPr>
        <w:t>/s/ Priscilla Almodovar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3702050</wp:posOffset>
            </wp:positionH>
            <wp:positionV relativeFrom="paragraph">
              <wp:posOffset>18415</wp:posOffset>
            </wp:positionV>
            <wp:extent cx="338074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9">
                      <a:extLst>
                        <a:ext uri="{28A0092B-C50C-407E-A947-70E740481C1C}"/>
                      </a:extLst>
                    </a:blip>
                    <a:srcRect/>
                    <a:stretch>
                      <a:fillRect/>
                    </a:stretch>
                  </pic:blipFill>
                  <pic:spPr bwMode="auto">
                    <a:xfrm>
                      <a:off x="0" y="0"/>
                      <a:ext cx="3380740" cy="8255"/>
                    </a:xfrm>
                    <a:prstGeom prst="rect">
                      <a:avLst/>
                    </a:prstGeom>
                    <a:noFill/>
                  </pic:spPr>
                </pic:pic>
              </a:graphicData>
            </a:graphic>
          </wp:anchor>
        </w:drawing>
      </w:r>
    </w:p>
    <w:p>
      <w:pPr>
        <w:ind w:left="5840"/>
        <w:spacing w:after="0"/>
        <w:rPr>
          <w:sz w:val="20"/>
          <w:szCs w:val="20"/>
          <w:color w:val="auto"/>
        </w:rPr>
      </w:pPr>
      <w:r>
        <w:rPr>
          <w:rFonts w:ascii="Times New Roman" w:cs="Times New Roman" w:eastAsia="Times New Roman" w:hAnsi="Times New Roman"/>
          <w:sz w:val="21"/>
          <w:szCs w:val="21"/>
          <w:color w:val="auto"/>
        </w:rPr>
        <w:t>Priscilla Almodovar</w:t>
      </w:r>
    </w:p>
    <w:p>
      <w:pPr>
        <w:ind w:left="5840"/>
        <w:spacing w:after="0"/>
        <w:rPr>
          <w:sz w:val="20"/>
          <w:szCs w:val="20"/>
          <w:color w:val="auto"/>
        </w:rPr>
      </w:pPr>
      <w:r>
        <w:rPr>
          <w:rFonts w:ascii="Times New Roman" w:cs="Times New Roman" w:eastAsia="Times New Roman" w:hAnsi="Times New Roman"/>
          <w:sz w:val="21"/>
          <w:szCs w:val="21"/>
          <w:color w:val="auto"/>
        </w:rPr>
        <w:t>President and Chief Executive Officer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October 31, 2024</w:t>
      </w:r>
    </w:p>
    <w:p>
      <w:pPr>
        <w:sectPr>
          <w:pgSz w:w="11900" w:h="16838" w:orient="portrait"/>
          <w:cols w:equalWidth="0" w:num="1">
            <w:col w:w="11240"/>
          </w:cols>
          <w:pgMar w:left="320" w:top="858"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21"/>
          <w:szCs w:val="21"/>
          <w:b w:val="1"/>
          <w:bCs w:val="1"/>
          <w:color w:val="auto"/>
        </w:rPr>
        <w:t>Exhibit 31.2</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w:t>
      </w:r>
    </w:p>
    <w:p>
      <w:pPr>
        <w:spacing w:after="0" w:line="236"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1"/>
          <w:szCs w:val="21"/>
          <w:b w:val="1"/>
          <w:bCs w:val="1"/>
          <w:color w:val="auto"/>
        </w:rPr>
        <w:t>PURSUANT TO SECURITIES EXCHANGE ACT RULE 13a-14(a)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Chryssa C. Halley, certify that:</w:t>
      </w:r>
    </w:p>
    <w:p>
      <w:pPr>
        <w:spacing w:after="0" w:line="55" w:lineRule="exact"/>
        <w:rPr>
          <w:sz w:val="20"/>
          <w:szCs w:val="20"/>
          <w:color w:val="auto"/>
        </w:rPr>
      </w:pPr>
    </w:p>
    <w:p>
      <w:pPr>
        <w:ind w:left="240" w:right="580" w:hanging="198"/>
        <w:spacing w:after="0" w:line="269" w:lineRule="auto"/>
        <w:tabs>
          <w:tab w:leader="none" w:pos="408"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reviewed this Quarterly Report on Form 10-Q for the quarter ended September 30, 2024 of Fannie Mae (formally, the Federal National Mortgage Association);</w:t>
      </w:r>
    </w:p>
    <w:p>
      <w:pPr>
        <w:ind w:left="240" w:right="200" w:hanging="198"/>
        <w:spacing w:after="0" w:line="262" w:lineRule="auto"/>
        <w:tabs>
          <w:tab w:leader="none" w:pos="408"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 w:lineRule="exact"/>
        <w:rPr>
          <w:rFonts w:ascii="Times New Roman" w:cs="Times New Roman" w:eastAsia="Times New Roman" w:hAnsi="Times New Roman"/>
          <w:sz w:val="21"/>
          <w:szCs w:val="21"/>
          <w:color w:val="auto"/>
        </w:rPr>
      </w:pPr>
    </w:p>
    <w:p>
      <w:pPr>
        <w:ind w:left="240" w:right="100" w:hanging="198"/>
        <w:spacing w:after="0" w:line="256" w:lineRule="auto"/>
        <w:tabs>
          <w:tab w:leader="none" w:pos="408"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 w:lineRule="exact"/>
        <w:rPr>
          <w:rFonts w:ascii="Times New Roman" w:cs="Times New Roman" w:eastAsia="Times New Roman" w:hAnsi="Times New Roman"/>
          <w:sz w:val="21"/>
          <w:szCs w:val="21"/>
          <w:color w:val="auto"/>
        </w:rPr>
      </w:pPr>
    </w:p>
    <w:p>
      <w:pPr>
        <w:ind w:left="240" w:right="20" w:hanging="198"/>
        <w:spacing w:after="0" w:line="262" w:lineRule="auto"/>
        <w:tabs>
          <w:tab w:leader="none" w:pos="404"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 w:lineRule="exact"/>
        <w:rPr>
          <w:rFonts w:ascii="Times New Roman" w:cs="Times New Roman" w:eastAsia="Times New Roman" w:hAnsi="Times New Roman"/>
          <w:sz w:val="21"/>
          <w:szCs w:val="21"/>
          <w:color w:val="auto"/>
        </w:rPr>
      </w:pPr>
    </w:p>
    <w:p>
      <w:pPr>
        <w:jc w:val="both"/>
        <w:ind w:left="500" w:right="140" w:hanging="187"/>
        <w:spacing w:after="0" w:line="256" w:lineRule="auto"/>
        <w:tabs>
          <w:tab w:leader="none" w:pos="656" w:val="left"/>
        </w:tabs>
        <w:numPr>
          <w:ilvl w:val="1"/>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21"/>
          <w:szCs w:val="21"/>
          <w:color w:val="auto"/>
        </w:rPr>
      </w:pPr>
    </w:p>
    <w:p>
      <w:pPr>
        <w:ind w:left="500" w:right="160" w:hanging="187"/>
        <w:spacing w:after="0" w:line="262" w:lineRule="auto"/>
        <w:tabs>
          <w:tab w:leader="none" w:pos="668" w:val="left"/>
        </w:tabs>
        <w:numPr>
          <w:ilvl w:val="1"/>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 w:lineRule="exact"/>
        <w:rPr>
          <w:rFonts w:ascii="Times New Roman" w:cs="Times New Roman" w:eastAsia="Times New Roman" w:hAnsi="Times New Roman"/>
          <w:sz w:val="21"/>
          <w:szCs w:val="21"/>
          <w:color w:val="auto"/>
        </w:rPr>
      </w:pPr>
    </w:p>
    <w:p>
      <w:pPr>
        <w:ind w:left="500" w:right="80" w:hanging="187"/>
        <w:spacing w:after="0" w:line="256" w:lineRule="auto"/>
        <w:tabs>
          <w:tab w:leader="none" w:pos="656" w:val="left"/>
        </w:tabs>
        <w:numPr>
          <w:ilvl w:val="1"/>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21"/>
          <w:szCs w:val="21"/>
          <w:color w:val="auto"/>
        </w:rPr>
      </w:pPr>
    </w:p>
    <w:p>
      <w:pPr>
        <w:ind w:left="500" w:right="460" w:hanging="187"/>
        <w:spacing w:after="0" w:line="273" w:lineRule="auto"/>
        <w:tabs>
          <w:tab w:leader="none" w:pos="668" w:val="left"/>
        </w:tabs>
        <w:numPr>
          <w:ilvl w:val="1"/>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20"/>
          <w:szCs w:val="20"/>
          <w:color w:val="auto"/>
        </w:rPr>
      </w:pPr>
    </w:p>
    <w:p>
      <w:pPr>
        <w:ind w:left="240" w:right="220" w:hanging="198"/>
        <w:spacing w:after="0" w:line="256" w:lineRule="auto"/>
        <w:tabs>
          <w:tab w:leader="none" w:pos="404"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21"/>
          <w:szCs w:val="21"/>
          <w:color w:val="auto"/>
        </w:rPr>
      </w:pPr>
    </w:p>
    <w:p>
      <w:pPr>
        <w:ind w:left="500" w:right="20" w:hanging="187"/>
        <w:spacing w:after="0" w:line="256" w:lineRule="auto"/>
        <w:tabs>
          <w:tab w:leader="none" w:pos="645" w:val="left"/>
        </w:tabs>
        <w:numPr>
          <w:ilvl w:val="1"/>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 w:lineRule="exact"/>
        <w:rPr>
          <w:rFonts w:ascii="Times New Roman" w:cs="Times New Roman" w:eastAsia="Times New Roman" w:hAnsi="Times New Roman"/>
          <w:sz w:val="21"/>
          <w:szCs w:val="21"/>
          <w:color w:val="auto"/>
        </w:rPr>
      </w:pPr>
    </w:p>
    <w:p>
      <w:pPr>
        <w:ind w:left="500" w:right="40" w:hanging="187"/>
        <w:spacing w:after="0" w:line="262" w:lineRule="auto"/>
        <w:tabs>
          <w:tab w:leader="none" w:pos="656" w:val="left"/>
        </w:tabs>
        <w:numPr>
          <w:ilvl w:val="1"/>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21"/>
          <w:szCs w:val="21"/>
          <w:color w:val="auto"/>
        </w:rPr>
        <w:t>/s/ Chryssa C. Halley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3865880</wp:posOffset>
            </wp:positionH>
            <wp:positionV relativeFrom="paragraph">
              <wp:posOffset>18415</wp:posOffset>
            </wp:positionV>
            <wp:extent cx="266065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00">
                      <a:extLst>
                        <a:ext uri="{28A0092B-C50C-407E-A947-70E740481C1C}"/>
                      </a:extLst>
                    </a:blip>
                    <a:srcRect/>
                    <a:stretch>
                      <a:fillRect/>
                    </a:stretch>
                  </pic:blipFill>
                  <pic:spPr bwMode="auto">
                    <a:xfrm>
                      <a:off x="0" y="0"/>
                      <a:ext cx="2660650" cy="8255"/>
                    </a:xfrm>
                    <a:prstGeom prst="rect">
                      <a:avLst/>
                    </a:prstGeom>
                    <a:noFill/>
                  </pic:spPr>
                </pic:pic>
              </a:graphicData>
            </a:graphic>
          </wp:anchor>
        </w:drawing>
      </w:r>
    </w:p>
    <w:p>
      <w:pPr>
        <w:ind w:left="6100"/>
        <w:spacing w:after="0"/>
        <w:rPr>
          <w:sz w:val="20"/>
          <w:szCs w:val="20"/>
          <w:color w:val="auto"/>
        </w:rPr>
      </w:pPr>
      <w:r>
        <w:rPr>
          <w:rFonts w:ascii="Times New Roman" w:cs="Times New Roman" w:eastAsia="Times New Roman" w:hAnsi="Times New Roman"/>
          <w:sz w:val="21"/>
          <w:szCs w:val="21"/>
          <w:color w:val="auto"/>
        </w:rPr>
        <w:t>Chryssa C. Halley</w:t>
      </w:r>
    </w:p>
    <w:p>
      <w:pPr>
        <w:ind w:left="6100"/>
        <w:spacing w:after="0" w:line="205" w:lineRule="auto"/>
        <w:rPr>
          <w:sz w:val="20"/>
          <w:szCs w:val="20"/>
          <w:color w:val="auto"/>
        </w:rPr>
      </w:pPr>
      <w:r>
        <w:rPr>
          <w:rFonts w:ascii="Times New Roman" w:cs="Times New Roman" w:eastAsia="Times New Roman" w:hAnsi="Times New Roman"/>
          <w:sz w:val="21"/>
          <w:szCs w:val="21"/>
          <w:color w:val="auto"/>
        </w:rPr>
        <w:t>Executive Vice President and Chief Financial</w:t>
      </w:r>
    </w:p>
    <w:p>
      <w:pPr>
        <w:ind w:left="6100"/>
        <w:spacing w:after="0"/>
        <w:rPr>
          <w:sz w:val="20"/>
          <w:szCs w:val="20"/>
          <w:color w:val="auto"/>
        </w:rPr>
      </w:pPr>
      <w:r>
        <w:rPr>
          <w:rFonts w:ascii="Times New Roman" w:cs="Times New Roman" w:eastAsia="Times New Roman" w:hAnsi="Times New Roman"/>
          <w:sz w:val="21"/>
          <w:szCs w:val="21"/>
          <w:color w:val="auto"/>
        </w:rPr>
        <w:t>Officer</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October 31, 2024</w:t>
      </w:r>
    </w:p>
    <w:p>
      <w:pPr>
        <w:sectPr>
          <w:pgSz w:w="11900" w:h="16838" w:orient="portrait"/>
          <w:cols w:equalWidth="0" w:num="1">
            <w:col w:w="11240"/>
          </w:cols>
          <w:pgMar w:left="320" w:top="858"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21"/>
          <w:szCs w:val="21"/>
          <w:b w:val="1"/>
          <w:bCs w:val="1"/>
          <w:color w:val="auto"/>
        </w:rPr>
        <w:t>Exhibit 32.1</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w:t>
      </w:r>
    </w:p>
    <w:p>
      <w:pPr>
        <w:spacing w:after="0" w:line="24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20"/>
          <w:szCs w:val="20"/>
          <w:color w:val="auto"/>
        </w:rPr>
        <w:t>In connection with the Quarterly Report on Form 10-Q of Fannie Mae (formally, the Federal National Mortgage Association) for the quarter ended September 30, 2024, as filed with the Securities and Exchange Commission on the date hereof (the "Report"), I, Priscilla Almodovar, President and Chief Executive Officer of Fannie Mae, certify, pursuant to 18 U.S.C. Section 1350, that to my knowledge:</w:t>
      </w:r>
    </w:p>
    <w:p>
      <w:pPr>
        <w:spacing w:after="0" w:line="169" w:lineRule="exact"/>
        <w:rPr>
          <w:sz w:val="20"/>
          <w:szCs w:val="20"/>
          <w:color w:val="auto"/>
        </w:rPr>
      </w:pPr>
    </w:p>
    <w:p>
      <w:pPr>
        <w:ind w:left="240" w:right="660" w:hanging="198"/>
        <w:spacing w:after="0" w:line="269" w:lineRule="auto"/>
        <w:tabs>
          <w:tab w:leader="none" w:pos="404"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Report fully complies with the requirements of Section 13(a) or 15(d), as applicable, of the Securities Exchange Act of 1934; and</w:t>
      </w:r>
    </w:p>
    <w:p>
      <w:pPr>
        <w:spacing w:after="0" w:line="180" w:lineRule="exact"/>
        <w:rPr>
          <w:rFonts w:ascii="Times New Roman" w:cs="Times New Roman" w:eastAsia="Times New Roman" w:hAnsi="Times New Roman"/>
          <w:sz w:val="21"/>
          <w:szCs w:val="21"/>
          <w:color w:val="auto"/>
        </w:rPr>
      </w:pPr>
    </w:p>
    <w:p>
      <w:pPr>
        <w:ind w:left="240" w:right="60" w:hanging="198"/>
        <w:spacing w:after="0" w:line="262" w:lineRule="auto"/>
        <w:tabs>
          <w:tab w:leader="none" w:pos="404"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in the Report fairly presents, in all material respects, the financial condition and results of operations of Fannie Mae.</w:t>
      </w:r>
    </w:p>
    <w:p>
      <w:pPr>
        <w:spacing w:after="0" w:line="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1"/>
          <w:szCs w:val="21"/>
          <w:color w:val="auto"/>
        </w:rPr>
        <w:t>/s/ Priscilla Almodovar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3604260</wp:posOffset>
            </wp:positionH>
            <wp:positionV relativeFrom="paragraph">
              <wp:posOffset>18415</wp:posOffset>
            </wp:positionV>
            <wp:extent cx="353631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1">
                      <a:extLst>
                        <a:ext uri="{28A0092B-C50C-407E-A947-70E740481C1C}"/>
                      </a:extLst>
                    </a:blip>
                    <a:srcRect/>
                    <a:stretch>
                      <a:fillRect/>
                    </a:stretch>
                  </pic:blipFill>
                  <pic:spPr bwMode="auto">
                    <a:xfrm>
                      <a:off x="0" y="0"/>
                      <a:ext cx="3536315" cy="8255"/>
                    </a:xfrm>
                    <a:prstGeom prst="rect">
                      <a:avLst/>
                    </a:prstGeom>
                    <a:noFill/>
                  </pic:spPr>
                </pic:pic>
              </a:graphicData>
            </a:graphic>
          </wp:anchor>
        </w:drawing>
      </w:r>
    </w:p>
    <w:p>
      <w:pPr>
        <w:ind w:left="5700"/>
        <w:spacing w:after="0"/>
        <w:rPr>
          <w:sz w:val="20"/>
          <w:szCs w:val="20"/>
          <w:color w:val="auto"/>
        </w:rPr>
      </w:pPr>
      <w:r>
        <w:rPr>
          <w:rFonts w:ascii="Times New Roman" w:cs="Times New Roman" w:eastAsia="Times New Roman" w:hAnsi="Times New Roman"/>
          <w:sz w:val="21"/>
          <w:szCs w:val="21"/>
          <w:color w:val="auto"/>
        </w:rPr>
        <w:t>Priscilla Almodovar</w:t>
      </w:r>
    </w:p>
    <w:p>
      <w:pPr>
        <w:ind w:left="5700"/>
        <w:spacing w:after="0"/>
        <w:rPr>
          <w:sz w:val="20"/>
          <w:szCs w:val="20"/>
          <w:color w:val="auto"/>
        </w:rPr>
      </w:pPr>
      <w:r>
        <w:rPr>
          <w:rFonts w:ascii="Times New Roman" w:cs="Times New Roman" w:eastAsia="Times New Roman" w:hAnsi="Times New Roman"/>
          <w:sz w:val="21"/>
          <w:szCs w:val="21"/>
          <w:color w:val="auto"/>
        </w:rPr>
        <w:t>President and Chief Executive Officer</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October 31, 2024</w:t>
      </w:r>
    </w:p>
    <w:p>
      <w:pPr>
        <w:spacing w:after="0" w:line="248"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1"/>
          <w:szCs w:val="21"/>
          <w:color w:val="auto"/>
        </w:rPr>
        <w:t>The foregoing certification is being furnished solely pursuant to 18 U.S.C. Section 1350 and is not being filed as part of the Report or as a separate disclosure document.</w:t>
      </w:r>
    </w:p>
    <w:p>
      <w:pPr>
        <w:sectPr>
          <w:pgSz w:w="11900" w:h="16838" w:orient="portrait"/>
          <w:cols w:equalWidth="0" w:num="1">
            <w:col w:w="11240"/>
          </w:cols>
          <w:pgMar w:left="320" w:top="858"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21"/>
          <w:szCs w:val="21"/>
          <w:b w:val="1"/>
          <w:bCs w:val="1"/>
          <w:color w:val="auto"/>
        </w:rPr>
        <w:t>Exhibit 32.2</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w:t>
      </w:r>
    </w:p>
    <w:p>
      <w:pPr>
        <w:spacing w:after="0" w:line="24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1"/>
          <w:szCs w:val="21"/>
          <w:color w:val="auto"/>
        </w:rPr>
        <w:t>In connection with the Quarterly Report on Form 10-Q of Fannie Mae (formally, the Federal National Mortgage Association) for the quarter ended September 30, 2024, as filed with the Securities and Exchange Commission on the date hereof (the “Report”), I, Chryssa C. Halley, Executive Vice President and Chief Financial Officer of Fannie Mae, certify, pursuant to 18 U.S.C. Section 1350, that to my knowledge:</w:t>
      </w:r>
    </w:p>
    <w:p>
      <w:pPr>
        <w:spacing w:after="0" w:line="194" w:lineRule="exact"/>
        <w:rPr>
          <w:sz w:val="20"/>
          <w:szCs w:val="20"/>
          <w:color w:val="auto"/>
        </w:rPr>
      </w:pPr>
    </w:p>
    <w:p>
      <w:pPr>
        <w:ind w:left="240" w:right="660" w:hanging="198"/>
        <w:spacing w:after="0" w:line="269" w:lineRule="auto"/>
        <w:tabs>
          <w:tab w:leader="none" w:pos="404"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Report fully complies with the requirements of Section 13(a) or 15(d), as applicable, of the Securities Exchange Act of 1934; and</w:t>
      </w:r>
    </w:p>
    <w:p>
      <w:pPr>
        <w:spacing w:after="0" w:line="193" w:lineRule="exact"/>
        <w:rPr>
          <w:rFonts w:ascii="Times New Roman" w:cs="Times New Roman" w:eastAsia="Times New Roman" w:hAnsi="Times New Roman"/>
          <w:sz w:val="21"/>
          <w:szCs w:val="21"/>
          <w:color w:val="auto"/>
        </w:rPr>
      </w:pPr>
    </w:p>
    <w:p>
      <w:pPr>
        <w:ind w:left="240" w:right="60" w:hanging="198"/>
        <w:spacing w:after="0" w:line="269" w:lineRule="auto"/>
        <w:tabs>
          <w:tab w:leader="none" w:pos="404"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in the Report fairly presents, in all material respects, the financial condition and results of operations of Fannie Mae.</w:t>
      </w:r>
    </w:p>
    <w:p>
      <w:pPr>
        <w:spacing w:after="0" w:line="206"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21"/>
          <w:szCs w:val="21"/>
          <w:color w:val="auto"/>
        </w:rPr>
        <w:t>/s/ Chryssa C. Halley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4365625</wp:posOffset>
            </wp:positionH>
            <wp:positionV relativeFrom="paragraph">
              <wp:posOffset>18415</wp:posOffset>
            </wp:positionV>
            <wp:extent cx="277495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2">
                      <a:extLst>
                        <a:ext uri="{28A0092B-C50C-407E-A947-70E740481C1C}"/>
                      </a:extLst>
                    </a:blip>
                    <a:srcRect/>
                    <a:stretch>
                      <a:fillRect/>
                    </a:stretch>
                  </pic:blipFill>
                  <pic:spPr bwMode="auto">
                    <a:xfrm>
                      <a:off x="0" y="0"/>
                      <a:ext cx="2774950" cy="8255"/>
                    </a:xfrm>
                    <a:prstGeom prst="rect">
                      <a:avLst/>
                    </a:prstGeom>
                    <a:noFill/>
                  </pic:spPr>
                </pic:pic>
              </a:graphicData>
            </a:graphic>
          </wp:anchor>
        </w:drawing>
      </w:r>
    </w:p>
    <w:p>
      <w:pPr>
        <w:ind w:left="6900"/>
        <w:spacing w:after="0"/>
        <w:rPr>
          <w:sz w:val="20"/>
          <w:szCs w:val="20"/>
          <w:color w:val="auto"/>
        </w:rPr>
      </w:pPr>
      <w:r>
        <w:rPr>
          <w:rFonts w:ascii="Times New Roman" w:cs="Times New Roman" w:eastAsia="Times New Roman" w:hAnsi="Times New Roman"/>
          <w:sz w:val="21"/>
          <w:szCs w:val="21"/>
          <w:color w:val="auto"/>
        </w:rPr>
        <w:t>Chryssa C. Halley</w:t>
      </w:r>
    </w:p>
    <w:p>
      <w:pPr>
        <w:ind w:left="6900"/>
        <w:spacing w:after="0" w:line="205" w:lineRule="auto"/>
        <w:rPr>
          <w:sz w:val="20"/>
          <w:szCs w:val="20"/>
          <w:color w:val="auto"/>
        </w:rPr>
      </w:pPr>
      <w:r>
        <w:rPr>
          <w:rFonts w:ascii="Times New Roman" w:cs="Times New Roman" w:eastAsia="Times New Roman" w:hAnsi="Times New Roman"/>
          <w:sz w:val="21"/>
          <w:szCs w:val="21"/>
          <w:color w:val="auto"/>
        </w:rPr>
        <w:t>Executive Vice President and Chief Financial</w:t>
      </w:r>
    </w:p>
    <w:p>
      <w:pPr>
        <w:ind w:left="6900"/>
        <w:spacing w:after="0"/>
        <w:rPr>
          <w:sz w:val="20"/>
          <w:szCs w:val="20"/>
          <w:color w:val="auto"/>
        </w:rPr>
      </w:pPr>
      <w:r>
        <w:rPr>
          <w:rFonts w:ascii="Times New Roman" w:cs="Times New Roman" w:eastAsia="Times New Roman" w:hAnsi="Times New Roman"/>
          <w:sz w:val="21"/>
          <w:szCs w:val="21"/>
          <w:color w:val="auto"/>
        </w:rPr>
        <w:t>Officer</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October 31, 2024</w:t>
      </w:r>
    </w:p>
    <w:p>
      <w:pPr>
        <w:spacing w:after="0" w:line="200" w:lineRule="exact"/>
        <w:rPr>
          <w:sz w:val="20"/>
          <w:szCs w:val="20"/>
          <w:color w:val="auto"/>
        </w:rPr>
      </w:pPr>
    </w:p>
    <w:p>
      <w:pPr>
        <w:spacing w:after="0" w:line="268"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1"/>
          <w:szCs w:val="21"/>
          <w:color w:val="auto"/>
        </w:rPr>
        <w:t>The foregoing certification is being furnished solely pursuant to 18 U.S.C. Section 1350 and is not being filed as part of the Report or as a separate disclosure document.</w:t>
      </w:r>
    </w:p>
    <w:sectPr>
      <w:pgSz w:w="11900" w:h="16838" w:orient="portrait"/>
      <w:cols w:equalWidth="0" w:num="1">
        <w:col w:w="11240"/>
      </w:cols>
      <w:pgMar w:left="320" w:top="8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661E3F1E"/>
    <w:multiLevelType w:val="hybridMultilevel"/>
    <w:lvl w:ilvl="0">
      <w:lvlJc w:val="left"/>
      <w:lvlText w:val="☑"/>
      <w:numFmt w:val="bullet"/>
      <w:start w:val="1"/>
    </w:lvl>
  </w:abstractNum>
  <w:abstractNum w:abstractNumId="1">
    <w:nsid w:val="5DC79EA8"/>
    <w:multiLevelType w:val="hybridMultilevel"/>
    <w:lvl w:ilvl="0">
      <w:lvlJc w:val="left"/>
      <w:lvlText w:val="☐"/>
      <w:numFmt w:val="bullet"/>
      <w:start w:val="1"/>
    </w:lvl>
  </w:abstractNum>
  <w:abstractNum w:abstractNumId="2">
    <w:nsid w:val="540A471C"/>
    <w:multiLevelType w:val="hybridMultilevel"/>
    <w:lvl w:ilvl="0">
      <w:lvlJc w:val="left"/>
      <w:lvlText w:val="•"/>
      <w:numFmt w:val="bullet"/>
      <w:start w:val="1"/>
    </w:lvl>
  </w:abstractNum>
  <w:abstractNum w:abstractNumId="3">
    <w:nsid w:val="7BD3EE7B"/>
    <w:multiLevelType w:val="hybridMultilevel"/>
    <w:lvl w:ilvl="0">
      <w:lvlJc w:val="left"/>
      <w:lvlText w:val="•"/>
      <w:numFmt w:val="bullet"/>
      <w:start w:val="1"/>
    </w:lvl>
  </w:abstractNum>
  <w:abstractNum w:abstractNumId="4">
    <w:nsid w:val="51D9C564"/>
    <w:multiLevelType w:val="hybridMultilevel"/>
    <w:lvl w:ilvl="0">
      <w:lvlJc w:val="left"/>
      <w:lvlText w:val="(%1)"/>
      <w:numFmt w:val="decimal"/>
      <w:start w:val="1"/>
    </w:lvl>
    <w:lvl w:ilvl="1">
      <w:lvlJc w:val="left"/>
      <w:lvlText w:val="(%2)"/>
      <w:numFmt w:val="lowerRoman"/>
      <w:start w:val="2"/>
    </w:lvl>
  </w:abstractNum>
  <w:abstractNum w:abstractNumId="5">
    <w:nsid w:val="613EFDC5"/>
    <w:multiLevelType w:val="hybridMultilevel"/>
    <w:lvl w:ilvl="0">
      <w:lvlJc w:val="left"/>
      <w:lvlText w:val="(%1)"/>
      <w:numFmt w:val="decimal"/>
      <w:start w:val="1"/>
    </w:lvl>
  </w:abstractNum>
  <w:abstractNum w:abstractNumId="6">
    <w:nsid w:val="BF72B14"/>
    <w:multiLevelType w:val="hybridMultilevel"/>
    <w:lvl w:ilvl="0">
      <w:lvlJc w:val="left"/>
      <w:lvlText w:val="(%1)"/>
      <w:numFmt w:val="decimal"/>
      <w:start w:val="1"/>
    </w:lvl>
  </w:abstractNum>
  <w:abstractNum w:abstractNumId="7">
    <w:nsid w:val="11447B73"/>
    <w:multiLevelType w:val="hybridMultilevel"/>
    <w:lvl w:ilvl="0">
      <w:lvlJc w:val="left"/>
      <w:lvlText w:val="(%1)"/>
      <w:numFmt w:val="decimal"/>
      <w:start w:val="1"/>
    </w:lvl>
  </w:abstractNum>
  <w:abstractNum w:abstractNumId="8">
    <w:nsid w:val="42963E5A"/>
    <w:multiLevelType w:val="hybridMultilevel"/>
    <w:lvl w:ilvl="0">
      <w:lvlJc w:val="left"/>
      <w:lvlText w:val="(%1)"/>
      <w:numFmt w:val="decimal"/>
      <w:start w:val="1"/>
    </w:lvl>
  </w:abstractNum>
  <w:abstractNum w:abstractNumId="9">
    <w:nsid w:val="A0382C5"/>
    <w:multiLevelType w:val="hybridMultilevel"/>
    <w:lvl w:ilvl="0">
      <w:lvlJc w:val="left"/>
      <w:lvlText w:val="(%1)"/>
      <w:numFmt w:val="decimal"/>
      <w:start w:val="1"/>
    </w:lvl>
  </w:abstractNum>
  <w:abstractNum w:abstractNumId="10">
    <w:nsid w:val="8F2B15E"/>
    <w:multiLevelType w:val="hybridMultilevel"/>
    <w:lvl w:ilvl="0">
      <w:lvlJc w:val="left"/>
      <w:lvlText w:val="(%1)"/>
      <w:numFmt w:val="decimal"/>
      <w:start w:val="1"/>
    </w:lvl>
  </w:abstractNum>
  <w:abstractNum w:abstractNumId="11">
    <w:nsid w:val="1A32234B"/>
    <w:multiLevelType w:val="hybridMultilevel"/>
    <w:lvl w:ilvl="0">
      <w:lvlJc w:val="left"/>
      <w:lvlText w:val="(%1)"/>
      <w:numFmt w:val="decimal"/>
      <w:start w:val="1"/>
    </w:lvl>
  </w:abstractNum>
  <w:abstractNum w:abstractNumId="12">
    <w:nsid w:val="3B0FD379"/>
    <w:multiLevelType w:val="hybridMultilevel"/>
    <w:lvl w:ilvl="0">
      <w:lvlJc w:val="left"/>
      <w:lvlText w:val="•"/>
      <w:numFmt w:val="bullet"/>
      <w:start w:val="1"/>
    </w:lvl>
  </w:abstractNum>
  <w:abstractNum w:abstractNumId="13">
    <w:nsid w:val="68EB2F63"/>
    <w:multiLevelType w:val="hybridMultilevel"/>
    <w:lvl w:ilvl="0">
      <w:lvlJc w:val="left"/>
      <w:lvlText w:val="•"/>
      <w:numFmt w:val="bullet"/>
      <w:start w:val="1"/>
    </w:lvl>
  </w:abstractNum>
  <w:abstractNum w:abstractNumId="14">
    <w:nsid w:val="4962813B"/>
    <w:multiLevelType w:val="hybridMultilevel"/>
    <w:lvl w:ilvl="0">
      <w:lvlJc w:val="left"/>
      <w:lvlText w:val="(%1)"/>
      <w:numFmt w:val="decimal"/>
      <w:start w:val="1"/>
    </w:lvl>
  </w:abstractNum>
  <w:abstractNum w:abstractNumId="15">
    <w:nsid w:val="60B6DF70"/>
    <w:multiLevelType w:val="hybridMultilevel"/>
    <w:lvl w:ilvl="0">
      <w:lvlJc w:val="left"/>
      <w:lvlText w:val="(%1)"/>
      <w:numFmt w:val="decimal"/>
      <w:start w:val="1"/>
    </w:lvl>
  </w:abstractNum>
  <w:abstractNum w:abstractNumId="16">
    <w:nsid w:val="6A5EE64"/>
    <w:multiLevelType w:val="hybridMultilevel"/>
    <w:lvl w:ilvl="0">
      <w:lvlJc w:val="left"/>
      <w:lvlText w:val="(%1)"/>
      <w:numFmt w:val="decimal"/>
      <w:start w:val="1"/>
    </w:lvl>
  </w:abstractNum>
  <w:abstractNum w:abstractNumId="17">
    <w:nsid w:val="14330624"/>
    <w:multiLevelType w:val="hybridMultilevel"/>
    <w:lvl w:ilvl="0">
      <w:lvlJc w:val="left"/>
      <w:lvlText w:val="•"/>
      <w:numFmt w:val="bullet"/>
      <w:start w:val="1"/>
    </w:lvl>
  </w:abstractNum>
  <w:abstractNum w:abstractNumId="18">
    <w:nsid w:val="7FFFCA11"/>
    <w:multiLevelType w:val="hybridMultilevel"/>
    <w:lvl w:ilvl="0">
      <w:lvlJc w:val="left"/>
      <w:lvlText w:val="(%1)"/>
      <w:numFmt w:val="decimal"/>
      <w:start w:val="1"/>
    </w:lvl>
  </w:abstractNum>
  <w:abstractNum w:abstractNumId="19">
    <w:nsid w:val="1A27709E"/>
    <w:multiLevelType w:val="hybridMultilevel"/>
    <w:lvl w:ilvl="0">
      <w:lvlJc w:val="left"/>
      <w:lvlText w:val="•"/>
      <w:numFmt w:val="bullet"/>
      <w:start w:val="1"/>
    </w:lvl>
  </w:abstractNum>
  <w:abstractNum w:abstractNumId="20">
    <w:nsid w:val="71EA1109"/>
    <w:multiLevelType w:val="hybridMultilevel"/>
    <w:lvl w:ilvl="0">
      <w:lvlJc w:val="left"/>
      <w:lvlText w:val="•"/>
      <w:numFmt w:val="bullet"/>
      <w:start w:val="1"/>
    </w:lvl>
  </w:abstractNum>
  <w:abstractNum w:abstractNumId="21">
    <w:nsid w:val="100F59DC"/>
    <w:multiLevelType w:val="hybridMultilevel"/>
    <w:lvl w:ilvl="0">
      <w:lvlJc w:val="left"/>
      <w:lvlText w:val="•"/>
      <w:numFmt w:val="bullet"/>
      <w:start w:val="1"/>
    </w:lvl>
  </w:abstractNum>
  <w:abstractNum w:abstractNumId="22">
    <w:nsid w:val="7FB7E0AA"/>
    <w:multiLevelType w:val="hybridMultilevel"/>
    <w:lvl w:ilvl="0">
      <w:lvlJc w:val="left"/>
      <w:lvlText w:val="•"/>
      <w:numFmt w:val="bullet"/>
      <w:start w:val="1"/>
    </w:lvl>
  </w:abstractNum>
  <w:abstractNum w:abstractNumId="23">
    <w:nsid w:val="6EB5BD4"/>
    <w:multiLevelType w:val="hybridMultilevel"/>
    <w:lvl w:ilvl="0">
      <w:lvlJc w:val="left"/>
      <w:lvlText w:val="(%1)"/>
      <w:numFmt w:val="decimal"/>
      <w:start w:val="1"/>
    </w:lvl>
  </w:abstractNum>
  <w:abstractNum w:abstractNumId="24">
    <w:nsid w:val="6F6DD9AC"/>
    <w:multiLevelType w:val="hybridMultilevel"/>
    <w:lvl w:ilvl="0">
      <w:lvlJc w:val="left"/>
      <w:lvlText w:val="•"/>
      <w:numFmt w:val="bullet"/>
      <w:start w:val="1"/>
    </w:lvl>
  </w:abstractNum>
  <w:abstractNum w:abstractNumId="25">
    <w:nsid w:val="94211F2"/>
    <w:multiLevelType w:val="hybridMultilevel"/>
    <w:lvl w:ilvl="0">
      <w:lvlJc w:val="left"/>
      <w:lvlText w:val="•"/>
      <w:numFmt w:val="bullet"/>
      <w:start w:val="1"/>
    </w:lvl>
  </w:abstractNum>
  <w:abstractNum w:abstractNumId="26">
    <w:nsid w:val="885E1B"/>
    <w:multiLevelType w:val="hybridMultilevel"/>
    <w:lvl w:ilvl="0">
      <w:lvlJc w:val="left"/>
      <w:lvlText w:val="(%1)"/>
      <w:numFmt w:val="decimal"/>
      <w:start w:val="1"/>
    </w:lvl>
  </w:abstractNum>
  <w:abstractNum w:abstractNumId="27">
    <w:nsid w:val="76272110"/>
    <w:multiLevelType w:val="hybridMultilevel"/>
    <w:lvl w:ilvl="0">
      <w:lvlJc w:val="left"/>
      <w:lvlText w:val="(%1)"/>
      <w:numFmt w:val="decimal"/>
      <w:start w:val="1"/>
    </w:lvl>
  </w:abstractNum>
  <w:abstractNum w:abstractNumId="28">
    <w:nsid w:val="4C04A8AF"/>
    <w:multiLevelType w:val="hybridMultilevel"/>
    <w:lvl w:ilvl="0">
      <w:lvlJc w:val="left"/>
      <w:lvlText w:val="(%1)"/>
      <w:numFmt w:val="decimal"/>
      <w:start w:val="1"/>
    </w:lvl>
  </w:abstractNum>
  <w:abstractNum w:abstractNumId="29">
    <w:nsid w:val="1716703B"/>
    <w:multiLevelType w:val="hybridMultilevel"/>
    <w:lvl w:ilvl="0">
      <w:lvlJc w:val="left"/>
      <w:lvlText w:val="*"/>
      <w:numFmt w:val="bullet"/>
      <w:start w:val="1"/>
    </w:lvl>
  </w:abstractNum>
  <w:abstractNum w:abstractNumId="30">
    <w:nsid w:val="14E17E33"/>
    <w:multiLevelType w:val="hybridMultilevel"/>
    <w:lvl w:ilvl="0">
      <w:lvlJc w:val="left"/>
      <w:lvlText w:val="(%1)"/>
      <w:numFmt w:val="decimal"/>
      <w:start w:val="1"/>
    </w:lvl>
  </w:abstractNum>
  <w:abstractNum w:abstractNumId="31">
    <w:nsid w:val="3222E7CD"/>
    <w:multiLevelType w:val="hybridMultilevel"/>
    <w:lvl w:ilvl="0">
      <w:lvlJc w:val="left"/>
      <w:lvlText w:val="(%1)"/>
      <w:numFmt w:val="decimal"/>
      <w:start w:val="1"/>
    </w:lvl>
  </w:abstractNum>
  <w:abstractNum w:abstractNumId="32">
    <w:nsid w:val="74DE0EE3"/>
    <w:multiLevelType w:val="hybridMultilevel"/>
    <w:lvl w:ilvl="0">
      <w:lvlJc w:val="left"/>
      <w:lvlText w:val="(%1)"/>
      <w:numFmt w:val="decimal"/>
      <w:start w:val="1"/>
    </w:lvl>
  </w:abstractNum>
  <w:abstractNum w:abstractNumId="33">
    <w:nsid w:val="68EBC550"/>
    <w:multiLevelType w:val="hybridMultilevel"/>
    <w:lvl w:ilvl="0">
      <w:lvlJc w:val="left"/>
      <w:lvlText w:val="(%1)"/>
      <w:numFmt w:val="decimal"/>
      <w:start w:val="1"/>
    </w:lvl>
  </w:abstractNum>
  <w:abstractNum w:abstractNumId="34">
    <w:nsid w:val="2DF6D648"/>
    <w:multiLevelType w:val="hybridMultilevel"/>
    <w:lvl w:ilvl="0">
      <w:lvlJc w:val="left"/>
      <w:lvlText w:val="(%1)"/>
      <w:numFmt w:val="decimal"/>
      <w:start w:val="1"/>
    </w:lvl>
  </w:abstractNum>
  <w:abstractNum w:abstractNumId="35">
    <w:nsid w:val="46B7D447"/>
    <w:multiLevelType w:val="hybridMultilevel"/>
    <w:lvl w:ilvl="0">
      <w:lvlJc w:val="left"/>
      <w:lvlText w:val="*"/>
      <w:numFmt w:val="bullet"/>
      <w:start w:val="1"/>
    </w:lvl>
  </w:abstractNum>
  <w:abstractNum w:abstractNumId="36">
    <w:nsid w:val="4A2AC315"/>
    <w:multiLevelType w:val="hybridMultilevel"/>
    <w:lvl w:ilvl="0">
      <w:lvlJc w:val="left"/>
      <w:lvlText w:val="(%1)"/>
      <w:numFmt w:val="decimal"/>
      <w:start w:val="1"/>
    </w:lvl>
  </w:abstractNum>
  <w:abstractNum w:abstractNumId="37">
    <w:nsid w:val="39EE015C"/>
    <w:multiLevelType w:val="hybridMultilevel"/>
    <w:lvl w:ilvl="0">
      <w:lvlJc w:val="left"/>
      <w:lvlText w:val="(%1)"/>
      <w:numFmt w:val="decimal"/>
      <w:start w:val="1"/>
    </w:lvl>
  </w:abstractNum>
  <w:abstractNum w:abstractNumId="38">
    <w:nsid w:val="57FC4FBB"/>
    <w:multiLevelType w:val="hybridMultilevel"/>
    <w:lvl w:ilvl="0">
      <w:lvlJc w:val="left"/>
      <w:lvlText w:val="(%1)"/>
      <w:numFmt w:val="decimal"/>
      <w:start w:val="1"/>
    </w:lvl>
  </w:abstractNum>
  <w:abstractNum w:abstractNumId="39">
    <w:nsid w:val="CC1016F"/>
    <w:multiLevelType w:val="hybridMultilevel"/>
    <w:lvl w:ilvl="0">
      <w:lvlJc w:val="left"/>
      <w:lvlText w:val="(%1)"/>
      <w:numFmt w:val="decimal"/>
      <w:start w:val="1"/>
    </w:lvl>
  </w:abstractNum>
  <w:abstractNum w:abstractNumId="40">
    <w:nsid w:val="43F18422"/>
    <w:multiLevelType w:val="hybridMultilevel"/>
    <w:lvl w:ilvl="0">
      <w:lvlJc w:val="left"/>
      <w:lvlText w:val="•"/>
      <w:numFmt w:val="bullet"/>
      <w:start w:val="1"/>
    </w:lvl>
  </w:abstractNum>
  <w:abstractNum w:abstractNumId="41">
    <w:nsid w:val="60EF0119"/>
    <w:multiLevelType w:val="hybridMultilevel"/>
    <w:lvl w:ilvl="0">
      <w:lvlJc w:val="left"/>
      <w:lvlText w:val="(%1)"/>
      <w:numFmt w:val="decimal"/>
      <w:start w:val="1"/>
    </w:lvl>
  </w:abstractNum>
  <w:abstractNum w:abstractNumId="42">
    <w:nsid w:val="26F324BA"/>
    <w:multiLevelType w:val="hybridMultilevel"/>
    <w:lvl w:ilvl="0">
      <w:lvlJc w:val="left"/>
      <w:lvlText w:val="(%1)"/>
      <w:numFmt w:val="decimal"/>
      <w:start w:val="1"/>
    </w:lvl>
  </w:abstractNum>
  <w:abstractNum w:abstractNumId="43">
    <w:nsid w:val="7F01579B"/>
    <w:multiLevelType w:val="hybridMultilevel"/>
    <w:lvl w:ilvl="0">
      <w:lvlJc w:val="left"/>
      <w:lvlText w:val="(%1)"/>
      <w:numFmt w:val="decimal"/>
      <w:start w:val="1"/>
    </w:lvl>
  </w:abstractNum>
  <w:abstractNum w:abstractNumId="44">
    <w:nsid w:val="49DA307D"/>
    <w:multiLevelType w:val="hybridMultilevel"/>
    <w:lvl w:ilvl="0">
      <w:lvlJc w:val="left"/>
      <w:lvlText w:val="*"/>
      <w:numFmt w:val="bullet"/>
      <w:start w:val="1"/>
    </w:lvl>
  </w:abstractNum>
  <w:abstractNum w:abstractNumId="45">
    <w:nsid w:val="7055A5F5"/>
    <w:multiLevelType w:val="hybridMultilevel"/>
    <w:lvl w:ilvl="0">
      <w:lvlJc w:val="left"/>
      <w:lvlText w:val="(%1)"/>
      <w:numFmt w:val="decimal"/>
      <w:start w:val="1"/>
    </w:lvl>
  </w:abstractNum>
  <w:abstractNum w:abstractNumId="46">
    <w:nsid w:val="5FB8370B"/>
    <w:multiLevelType w:val="hybridMultilevel"/>
    <w:lvl w:ilvl="0">
      <w:lvlJc w:val="left"/>
      <w:lvlText w:val="(%1)"/>
      <w:numFmt w:val="decimal"/>
      <w:start w:val="4"/>
    </w:lvl>
  </w:abstractNum>
  <w:abstractNum w:abstractNumId="47">
    <w:nsid w:val="50801EE1"/>
    <w:multiLevelType w:val="hybridMultilevel"/>
    <w:lvl w:ilvl="0">
      <w:lvlJc w:val="left"/>
      <w:lvlText w:val="(%1)"/>
      <w:numFmt w:val="decimal"/>
      <w:start w:val="1"/>
    </w:lvl>
  </w:abstractNum>
  <w:abstractNum w:abstractNumId="48">
    <w:nsid w:val="488AC1A"/>
    <w:multiLevelType w:val="hybridMultilevel"/>
    <w:lvl w:ilvl="0">
      <w:lvlJc w:val="left"/>
      <w:lvlText w:val="(%1)"/>
      <w:numFmt w:val="decimal"/>
      <w:start w:val="1"/>
    </w:lvl>
  </w:abstractNum>
  <w:abstractNum w:abstractNumId="49">
    <w:nsid w:val="5FB8011C"/>
    <w:multiLevelType w:val="hybridMultilevel"/>
    <w:lvl w:ilvl="0">
      <w:lvlJc w:val="left"/>
      <w:lvlText w:val="(%1)"/>
      <w:numFmt w:val="decimal"/>
      <w:start w:val="1"/>
    </w:lvl>
  </w:abstractNum>
  <w:abstractNum w:abstractNumId="50">
    <w:nsid w:val="6AA78F7F"/>
    <w:multiLevelType w:val="hybridMultilevel"/>
    <w:lvl w:ilvl="0">
      <w:lvlJc w:val="left"/>
      <w:lvlText w:val="(%1)"/>
      <w:numFmt w:val="decimal"/>
      <w:start w:val="1"/>
    </w:lvl>
  </w:abstractNum>
  <w:abstractNum w:abstractNumId="51">
    <w:nsid w:val="7672BD23"/>
    <w:multiLevelType w:val="hybridMultilevel"/>
    <w:lvl w:ilvl="0">
      <w:lvlJc w:val="left"/>
      <w:lvlText w:val="(%1)"/>
      <w:numFmt w:val="decimal"/>
      <w:start w:val="1"/>
    </w:lvl>
  </w:abstractNum>
  <w:abstractNum w:abstractNumId="52">
    <w:nsid w:val="6FC75AF8"/>
    <w:multiLevelType w:val="hybridMultilevel"/>
    <w:lvl w:ilvl="0">
      <w:lvlJc w:val="left"/>
      <w:lvlText w:val="(%1)"/>
      <w:numFmt w:val="decimal"/>
      <w:start w:val="1"/>
    </w:lvl>
  </w:abstractNum>
  <w:abstractNum w:abstractNumId="53">
    <w:nsid w:val="6A5F7029"/>
    <w:multiLevelType w:val="hybridMultilevel"/>
    <w:lvl w:ilvl="0">
      <w:lvlJc w:val="left"/>
      <w:lvlText w:val="(%1)"/>
      <w:numFmt w:val="decimal"/>
      <w:start w:val="1"/>
    </w:lvl>
  </w:abstractNum>
  <w:abstractNum w:abstractNumId="54">
    <w:nsid w:val="7D5E18F8"/>
    <w:multiLevelType w:val="hybridMultilevel"/>
    <w:lvl w:ilvl="0">
      <w:lvlJc w:val="left"/>
      <w:lvlText w:val="•"/>
      <w:numFmt w:val="bullet"/>
      <w:start w:val="1"/>
    </w:lvl>
  </w:abstractNum>
  <w:abstractNum w:abstractNumId="55">
    <w:nsid w:val="5F3534A4"/>
    <w:multiLevelType w:val="hybridMultilevel"/>
    <w:lvl w:ilvl="0">
      <w:lvlJc w:val="left"/>
      <w:lvlText w:val="(%1)"/>
      <w:numFmt w:val="decimal"/>
      <w:start w:val="1"/>
    </w:lvl>
  </w:abstractNum>
  <w:abstractNum w:abstractNumId="56">
    <w:nsid w:val="73A1821B"/>
    <w:multiLevelType w:val="hybridMultilevel"/>
    <w:lvl w:ilvl="0">
      <w:lvlJc w:val="left"/>
      <w:lvlText w:val="(%1)"/>
      <w:numFmt w:val="decimal"/>
      <w:start w:val="1"/>
    </w:lvl>
  </w:abstractNum>
  <w:abstractNum w:abstractNumId="57">
    <w:nsid w:val="7DE67713"/>
    <w:multiLevelType w:val="hybridMultilevel"/>
    <w:lvl w:ilvl="0">
      <w:lvlJc w:val="left"/>
      <w:lvlText w:val="(%1)"/>
      <w:numFmt w:val="decimal"/>
      <w:start w:val="1"/>
    </w:lvl>
  </w:abstractNum>
  <w:abstractNum w:abstractNumId="58">
    <w:nsid w:val="555C55B5"/>
    <w:multiLevelType w:val="hybridMultilevel"/>
    <w:lvl w:ilvl="0">
      <w:lvlJc w:val="left"/>
      <w:lvlText w:val="*"/>
      <w:numFmt w:val="bullet"/>
      <w:start w:val="1"/>
    </w:lvl>
  </w:abstractNum>
  <w:abstractNum w:abstractNumId="59">
    <w:nsid w:val="3FA62ACA"/>
    <w:multiLevelType w:val="hybridMultilevel"/>
    <w:lvl w:ilvl="0">
      <w:lvlJc w:val="left"/>
      <w:lvlText w:val="(%1)"/>
      <w:numFmt w:val="decimal"/>
      <w:start w:val="1"/>
    </w:lvl>
  </w:abstractNum>
  <w:abstractNum w:abstractNumId="60">
    <w:nsid w:val="14FCE74E"/>
    <w:multiLevelType w:val="hybridMultilevel"/>
    <w:lvl w:ilvl="0">
      <w:lvlJc w:val="left"/>
      <w:lvlText w:val="(%1)"/>
      <w:numFmt w:val="decimal"/>
      <w:start w:val="3"/>
    </w:lvl>
  </w:abstractNum>
  <w:abstractNum w:abstractNumId="61">
    <w:nsid w:val="6A3DD3E8"/>
    <w:multiLevelType w:val="hybridMultilevel"/>
    <w:lvl w:ilvl="0">
      <w:lvlJc w:val="left"/>
      <w:lvlText w:val="•"/>
      <w:numFmt w:val="bullet"/>
      <w:start w:val="1"/>
    </w:lvl>
  </w:abstractNum>
  <w:abstractNum w:abstractNumId="62">
    <w:nsid w:val="71C91298"/>
    <w:multiLevelType w:val="hybridMultilevel"/>
    <w:lvl w:ilvl="0">
      <w:lvlJc w:val="left"/>
      <w:lvlText w:val="•"/>
      <w:numFmt w:val="bullet"/>
      <w:start w:val="1"/>
    </w:lvl>
  </w:abstractNum>
  <w:abstractNum w:abstractNumId="63">
    <w:nsid w:val="9DAF632"/>
    <w:multiLevelType w:val="hybridMultilevel"/>
    <w:lvl w:ilvl="0">
      <w:lvlJc w:val="left"/>
      <w:lvlText w:val="•"/>
      <w:numFmt w:val="bullet"/>
      <w:start w:val="1"/>
    </w:lvl>
  </w:abstractNum>
  <w:abstractNum w:abstractNumId="64">
    <w:nsid w:val="53299938"/>
    <w:multiLevelType w:val="hybridMultilevel"/>
    <w:lvl w:ilvl="0">
      <w:lvlJc w:val="left"/>
      <w:lvlText w:val="•"/>
      <w:numFmt w:val="bullet"/>
      <w:start w:val="1"/>
    </w:lvl>
  </w:abstractNum>
  <w:abstractNum w:abstractNumId="65">
    <w:nsid w:val="1FBFE8E0"/>
    <w:multiLevelType w:val="hybridMultilevel"/>
    <w:lvl w:ilvl="0">
      <w:lvlJc w:val="left"/>
      <w:lvlText w:val="•"/>
      <w:numFmt w:val="bullet"/>
      <w:start w:val="1"/>
    </w:lvl>
  </w:abstractNum>
  <w:abstractNum w:abstractNumId="66">
    <w:nsid w:val="5092CA79"/>
    <w:multiLevelType w:val="hybridMultilevel"/>
    <w:lvl w:ilvl="0">
      <w:lvlJc w:val="left"/>
      <w:lvlText w:val="%1."/>
      <w:numFmt w:val="decimal"/>
      <w:start w:val="2"/>
    </w:lvl>
  </w:abstractNum>
  <w:abstractNum w:abstractNumId="67">
    <w:nsid w:val="1D545C4D"/>
    <w:multiLevelType w:val="hybridMultilevel"/>
    <w:lvl w:ilvl="0">
      <w:lvlJc w:val="left"/>
      <w:lvlText w:val="(%1)"/>
      <w:numFmt w:val="decimal"/>
      <w:start w:val="1"/>
    </w:lvl>
  </w:abstractNum>
  <w:abstractNum w:abstractNumId="68">
    <w:nsid w:val="59ADEA3D"/>
    <w:multiLevelType w:val="hybridMultilevel"/>
    <w:lvl w:ilvl="0">
      <w:lvlJc w:val="left"/>
      <w:lvlText w:val="(%1)"/>
      <w:numFmt w:val="decimal"/>
      <w:start w:val="1"/>
    </w:lvl>
  </w:abstractNum>
  <w:abstractNum w:abstractNumId="69">
    <w:nsid w:val="288F1A34"/>
    <w:multiLevelType w:val="hybridMultilevel"/>
    <w:lvl w:ilvl="0">
      <w:lvlJc w:val="left"/>
      <w:lvlText w:val="(%1)"/>
      <w:numFmt w:val="decimal"/>
      <w:start w:val="1"/>
    </w:lvl>
  </w:abstractNum>
  <w:abstractNum w:abstractNumId="70">
    <w:nsid w:val="2A155DBC"/>
    <w:multiLevelType w:val="hybridMultilevel"/>
    <w:lvl w:ilvl="0">
      <w:lvlJc w:val="left"/>
      <w:lvlText w:val="(%1)"/>
      <w:numFmt w:val="decimal"/>
      <w:start w:val="1"/>
    </w:lvl>
  </w:abstractNum>
  <w:abstractNum w:abstractNumId="71">
    <w:nsid w:val="1D9F6E5F"/>
    <w:multiLevelType w:val="hybridMultilevel"/>
    <w:lvl w:ilvl="0">
      <w:lvlJc w:val="left"/>
      <w:lvlText w:val="(%1)"/>
      <w:numFmt w:val="decimal"/>
      <w:start w:val="1"/>
    </w:lvl>
  </w:abstractNum>
  <w:abstractNum w:abstractNumId="72">
    <w:nsid w:val="97E1B4E"/>
    <w:multiLevelType w:val="hybridMultilevel"/>
    <w:lvl w:ilvl="0">
      <w:lvlJc w:val="left"/>
      <w:lvlText w:val="(%1)"/>
      <w:numFmt w:val="decimal"/>
      <w:start w:val="1"/>
    </w:lvl>
  </w:abstractNum>
  <w:abstractNum w:abstractNumId="73">
    <w:nsid w:val="51088277"/>
    <w:multiLevelType w:val="hybridMultilevel"/>
    <w:lvl w:ilvl="0">
      <w:lvlJc w:val="left"/>
      <w:lvlText w:val="*"/>
      <w:numFmt w:val="bullet"/>
      <w:start w:val="1"/>
    </w:lvl>
  </w:abstractNum>
  <w:abstractNum w:abstractNumId="74">
    <w:nsid w:val="1CA0C5FA"/>
    <w:multiLevelType w:val="hybridMultilevel"/>
    <w:lvl w:ilvl="0">
      <w:lvlJc w:val="left"/>
      <w:lvlText w:val="(%1)"/>
      <w:numFmt w:val="decimal"/>
      <w:start w:val="1"/>
    </w:lvl>
  </w:abstractNum>
  <w:abstractNum w:abstractNumId="75">
    <w:nsid w:val="53584BCB"/>
    <w:multiLevelType w:val="hybridMultilevel"/>
    <w:lvl w:ilvl="0">
      <w:lvlJc w:val="left"/>
      <w:lvlText w:val="(%1)"/>
      <w:numFmt w:val="decimal"/>
      <w:start w:val="3"/>
    </w:lvl>
  </w:abstractNum>
  <w:abstractNum w:abstractNumId="76">
    <w:nsid w:val="415E286C"/>
    <w:multiLevelType w:val="hybridMultilevel"/>
    <w:lvl w:ilvl="0">
      <w:lvlJc w:val="left"/>
      <w:lvlText w:val="(%1)"/>
      <w:numFmt w:val="decimal"/>
      <w:start w:val="1"/>
    </w:lvl>
  </w:abstractNum>
  <w:abstractNum w:abstractNumId="77">
    <w:nsid w:val="7C58FD05"/>
    <w:multiLevelType w:val="hybridMultilevel"/>
    <w:lvl w:ilvl="0">
      <w:lvlJc w:val="left"/>
      <w:lvlText w:val="(%1)"/>
      <w:numFmt w:val="decimal"/>
      <w:start w:val="1"/>
    </w:lvl>
  </w:abstractNum>
  <w:abstractNum w:abstractNumId="78">
    <w:nsid w:val="23D86AAC"/>
    <w:multiLevelType w:val="hybridMultilevel"/>
    <w:lvl w:ilvl="0">
      <w:lvlJc w:val="left"/>
      <w:lvlText w:val="(%1)"/>
      <w:numFmt w:val="decimal"/>
      <w:start w:val="1"/>
    </w:lvl>
  </w:abstractNum>
  <w:abstractNum w:abstractNumId="79">
    <w:nsid w:val="45E6D486"/>
    <w:multiLevelType w:val="hybridMultilevel"/>
    <w:lvl w:ilvl="0">
      <w:lvlJc w:val="left"/>
      <w:lvlText w:val="(%1)"/>
      <w:numFmt w:val="decimal"/>
      <w:start w:val="1"/>
    </w:lvl>
  </w:abstractNum>
  <w:abstractNum w:abstractNumId="80">
    <w:nsid w:val="5C10FE21"/>
    <w:multiLevelType w:val="hybridMultilevel"/>
    <w:lvl w:ilvl="0">
      <w:lvlJc w:val="left"/>
      <w:lvlText w:val="•"/>
      <w:numFmt w:val="bullet"/>
      <w:start w:val="1"/>
    </w:lvl>
  </w:abstractNum>
  <w:abstractNum w:abstractNumId="81">
    <w:nsid w:val="E7FFA2B"/>
    <w:multiLevelType w:val="hybridMultilevel"/>
    <w:lvl w:ilvl="0">
      <w:lvlJc w:val="left"/>
      <w:lvlText w:val="•"/>
      <w:numFmt w:val="bullet"/>
      <w:start w:val="1"/>
    </w:lvl>
  </w:abstractNum>
  <w:abstractNum w:abstractNumId="82">
    <w:nsid w:val="3C5991AA"/>
    <w:multiLevelType w:val="hybridMultilevel"/>
    <w:lvl w:ilvl="0">
      <w:lvlJc w:val="left"/>
      <w:lvlText w:val="•"/>
      <w:numFmt w:val="bullet"/>
      <w:start w:val="1"/>
    </w:lvl>
  </w:abstractNum>
  <w:abstractNum w:abstractNumId="83">
    <w:nsid w:val="4BD8591A"/>
    <w:multiLevelType w:val="hybridMultilevel"/>
    <w:lvl w:ilvl="0">
      <w:lvlJc w:val="left"/>
      <w:lvlText w:val="•"/>
      <w:numFmt w:val="bullet"/>
      <w:start w:val="1"/>
    </w:lvl>
  </w:abstractNum>
  <w:abstractNum w:abstractNumId="84">
    <w:nsid w:val="78DF6A55"/>
    <w:multiLevelType w:val="hybridMultilevel"/>
    <w:lvl w:ilvl="0">
      <w:lvlJc w:val="left"/>
      <w:lvlText w:val="(%1)"/>
      <w:numFmt w:val="decimal"/>
      <w:start w:val="1"/>
    </w:lvl>
  </w:abstractNum>
  <w:abstractNum w:abstractNumId="85">
    <w:nsid w:val="39B7AAA2"/>
    <w:multiLevelType w:val="hybridMultilevel"/>
    <w:lvl w:ilvl="0">
      <w:lvlJc w:val="left"/>
      <w:lvlText w:val="(%1)"/>
      <w:numFmt w:val="decimal"/>
      <w:start w:val="1"/>
    </w:lvl>
  </w:abstractNum>
  <w:abstractNum w:abstractNumId="86">
    <w:nsid w:val="2B0D8DBE"/>
    <w:multiLevelType w:val="hybridMultilevel"/>
    <w:lvl w:ilvl="0">
      <w:lvlJc w:val="left"/>
      <w:lvlText w:val="(%1)"/>
      <w:numFmt w:val="decimal"/>
      <w:start w:val="1"/>
    </w:lvl>
  </w:abstractNum>
  <w:abstractNum w:abstractNumId="87">
    <w:nsid w:val="6C80EC70"/>
    <w:multiLevelType w:val="hybridMultilevel"/>
    <w:lvl w:ilvl="0">
      <w:lvlJc w:val="left"/>
      <w:lvlText w:val="(%1)"/>
      <w:numFmt w:val="decimal"/>
      <w:start w:val="1"/>
    </w:lvl>
  </w:abstractNum>
  <w:abstractNum w:abstractNumId="88">
    <w:nsid w:val="379E21B5"/>
    <w:multiLevelType w:val="hybridMultilevel"/>
    <w:lvl w:ilvl="0">
      <w:lvlJc w:val="left"/>
      <w:lvlText w:val="(%1)"/>
      <w:numFmt w:val="decimal"/>
      <w:start w:val="1"/>
    </w:lvl>
  </w:abstractNum>
  <w:abstractNum w:abstractNumId="89">
    <w:nsid w:val="69E373"/>
    <w:multiLevelType w:val="hybridMultilevel"/>
    <w:lvl w:ilvl="0">
      <w:lvlJc w:val="left"/>
      <w:lvlText w:val="(%1)"/>
      <w:numFmt w:val="decimal"/>
      <w:start w:val="1"/>
    </w:lvl>
  </w:abstractNum>
  <w:abstractNum w:abstractNumId="90">
    <w:nsid w:val="2C27173B"/>
    <w:multiLevelType w:val="hybridMultilevel"/>
    <w:lvl w:ilvl="0">
      <w:lvlJc w:val="left"/>
      <w:lvlText w:val="(%1)"/>
      <w:numFmt w:val="decimal"/>
      <w:start w:val="3"/>
    </w:lvl>
  </w:abstractNum>
  <w:abstractNum w:abstractNumId="91">
    <w:nsid w:val="4C9B0904"/>
    <w:multiLevelType w:val="hybridMultilevel"/>
    <w:lvl w:ilvl="0">
      <w:lvlJc w:val="left"/>
      <w:lvlText w:val="*"/>
      <w:numFmt w:val="bullet"/>
      <w:start w:val="1"/>
    </w:lvl>
  </w:abstractNum>
  <w:abstractNum w:abstractNumId="92">
    <w:nsid w:val="6AA7B75C"/>
    <w:multiLevelType w:val="hybridMultilevel"/>
    <w:lvl w:ilvl="0">
      <w:lvlJc w:val="left"/>
      <w:lvlText w:val="(%1)"/>
      <w:numFmt w:val="decimal"/>
      <w:start w:val="1"/>
    </w:lvl>
  </w:abstractNum>
  <w:abstractNum w:abstractNumId="93">
    <w:nsid w:val="1DF029D3"/>
    <w:multiLevelType w:val="hybridMultilevel"/>
    <w:lvl w:ilvl="0">
      <w:lvlJc w:val="left"/>
      <w:lvlText w:val="(%1)"/>
      <w:numFmt w:val="decimal"/>
      <w:start w:val="1"/>
    </w:lvl>
  </w:abstractNum>
  <w:abstractNum w:abstractNumId="94">
    <w:nsid w:val="5675FF36"/>
    <w:multiLevelType w:val="hybridMultilevel"/>
    <w:lvl w:ilvl="0">
      <w:lvlJc w:val="left"/>
      <w:lvlText w:val="(%1)"/>
      <w:numFmt w:val="decimal"/>
      <w:start w:val="3"/>
    </w:lvl>
  </w:abstractNum>
  <w:abstractNum w:abstractNumId="95">
    <w:nsid w:val="3DD15094"/>
    <w:multiLevelType w:val="hybridMultilevel"/>
    <w:lvl w:ilvl="0">
      <w:lvlJc w:val="left"/>
      <w:lvlText w:val="*"/>
      <w:numFmt w:val="bullet"/>
      <w:start w:val="1"/>
    </w:lvl>
  </w:abstractNum>
  <w:abstractNum w:abstractNumId="96">
    <w:nsid w:val="3DB012B3"/>
    <w:multiLevelType w:val="hybridMultilevel"/>
    <w:lvl w:ilvl="0">
      <w:lvlJc w:val="left"/>
      <w:lvlText w:val="%1"/>
      <w:numFmt w:val="decimal"/>
      <w:start w:val="19"/>
    </w:lvl>
  </w:abstractNum>
  <w:abstractNum w:abstractNumId="97">
    <w:nsid w:val="2708C9AF"/>
    <w:multiLevelType w:val="hybridMultilevel"/>
    <w:lvl w:ilvl="0">
      <w:lvlJc w:val="left"/>
      <w:lvlText w:val="%1"/>
      <w:numFmt w:val="decimal"/>
      <w:start w:val="18"/>
    </w:lvl>
  </w:abstractNum>
  <w:abstractNum w:abstractNumId="98">
    <w:nsid w:val="5B25ACE2"/>
    <w:multiLevelType w:val="hybridMultilevel"/>
    <w:lvl w:ilvl="0">
      <w:lvlJc w:val="left"/>
      <w:lvlText w:val="%1"/>
      <w:numFmt w:val="decimal"/>
      <w:start w:val="17"/>
    </w:lvl>
  </w:abstractNum>
  <w:abstractNum w:abstractNumId="99">
    <w:nsid w:val="175DFCF0"/>
    <w:multiLevelType w:val="hybridMultilevel"/>
    <w:lvl w:ilvl="0">
      <w:lvlJc w:val="left"/>
      <w:lvlText w:val="%1"/>
      <w:numFmt w:val="decimal"/>
      <w:start w:val="17"/>
    </w:lvl>
  </w:abstractNum>
  <w:abstractNum w:abstractNumId="100">
    <w:nsid w:val="4F97E3E4"/>
    <w:multiLevelType w:val="hybridMultilevel"/>
    <w:lvl w:ilvl="0">
      <w:lvlJc w:val="left"/>
      <w:lvlText w:val="%1"/>
      <w:numFmt w:val="decimal"/>
      <w:start w:val="16"/>
    </w:lvl>
  </w:abstractNum>
  <w:abstractNum w:abstractNumId="101">
    <w:nsid w:val="53B0A9E"/>
    <w:multiLevelType w:val="hybridMultilevel"/>
    <w:lvl w:ilvl="0">
      <w:lvlJc w:val="left"/>
      <w:lvlText w:val="%1"/>
      <w:numFmt w:val="decimal"/>
      <w:start w:val="13"/>
    </w:lvl>
  </w:abstractNum>
  <w:abstractNum w:abstractNumId="102">
    <w:nsid w:val="34FD6B4F"/>
    <w:multiLevelType w:val="hybridMultilevel"/>
    <w:lvl w:ilvl="0">
      <w:lvlJc w:val="left"/>
      <w:lvlText w:val="%1"/>
      <w:numFmt w:val="decimal"/>
      <w:start w:val="19"/>
    </w:lvl>
  </w:abstractNum>
  <w:abstractNum w:abstractNumId="103">
    <w:nsid w:val="5915FF32"/>
    <w:multiLevelType w:val="hybridMultilevel"/>
    <w:lvl w:ilvl="0">
      <w:lvlJc w:val="left"/>
      <w:lvlText w:val="%1"/>
      <w:numFmt w:val="decimal"/>
      <w:start w:val="18"/>
    </w:lvl>
  </w:abstractNum>
  <w:abstractNum w:abstractNumId="104">
    <w:nsid w:val="56438D15"/>
    <w:multiLevelType w:val="hybridMultilevel"/>
    <w:lvl w:ilvl="0">
      <w:lvlJc w:val="left"/>
      <w:lvlText w:val="%1"/>
      <w:numFmt w:val="decimal"/>
      <w:start w:val="18"/>
    </w:lvl>
  </w:abstractNum>
  <w:abstractNum w:abstractNumId="105">
    <w:nsid w:val="519E3149"/>
    <w:multiLevelType w:val="hybridMultilevel"/>
    <w:lvl w:ilvl="0">
      <w:lvlJc w:val="left"/>
      <w:lvlText w:val="%1"/>
      <w:numFmt w:val="decimal"/>
      <w:start w:val="16"/>
    </w:lvl>
  </w:abstractNum>
  <w:abstractNum w:abstractNumId="106">
    <w:nsid w:val="2C6E4AFD"/>
    <w:multiLevelType w:val="hybridMultilevel"/>
    <w:lvl w:ilvl="0">
      <w:lvlJc w:val="left"/>
      <w:lvlText w:val="%1"/>
      <w:numFmt w:val="decimal"/>
      <w:start w:val="16"/>
    </w:lvl>
  </w:abstractNum>
  <w:abstractNum w:abstractNumId="107">
    <w:nsid w:val="17A1B582"/>
    <w:multiLevelType w:val="hybridMultilevel"/>
    <w:lvl w:ilvl="0">
      <w:lvlJc w:val="left"/>
      <w:lvlText w:val="%1"/>
      <w:numFmt w:val="decimal"/>
      <w:start w:val="13"/>
    </w:lvl>
  </w:abstractNum>
  <w:abstractNum w:abstractNumId="108">
    <w:nsid w:val="4DF72E4E"/>
    <w:multiLevelType w:val="hybridMultilevel"/>
    <w:lvl w:ilvl="0">
      <w:lvlJc w:val="left"/>
      <w:lvlText w:val="(%1)"/>
      <w:numFmt w:val="decimal"/>
      <w:start w:val="1"/>
    </w:lvl>
  </w:abstractNum>
  <w:abstractNum w:abstractNumId="109">
    <w:nsid w:val="5046B5A9"/>
    <w:multiLevelType w:val="hybridMultilevel"/>
    <w:lvl w:ilvl="0">
      <w:lvlJc w:val="left"/>
      <w:lvlText w:val="%1"/>
      <w:numFmt w:val="decimal"/>
      <w:start w:val="21"/>
    </w:lvl>
  </w:abstractNum>
  <w:abstractNum w:abstractNumId="110">
    <w:nsid w:val="5D888A08"/>
    <w:multiLevelType w:val="hybridMultilevel"/>
    <w:lvl w:ilvl="0">
      <w:lvlJc w:val="left"/>
      <w:lvlText w:val="%1"/>
      <w:numFmt w:val="decimal"/>
      <w:start w:val="29"/>
    </w:lvl>
  </w:abstractNum>
  <w:abstractNum w:abstractNumId="111">
    <w:nsid w:val="2A082C70"/>
    <w:multiLevelType w:val="hybridMultilevel"/>
    <w:lvl w:ilvl="0">
      <w:lvlJc w:val="left"/>
      <w:lvlText w:val="%1"/>
      <w:numFmt w:val="decimal"/>
      <w:start w:val="50"/>
    </w:lvl>
  </w:abstractNum>
  <w:abstractNum w:abstractNumId="112">
    <w:nsid w:val="5EC6AFD4"/>
    <w:multiLevelType w:val="hybridMultilevel"/>
    <w:lvl w:ilvl="0">
      <w:lvlJc w:val="left"/>
      <w:lvlText w:val="%1"/>
      <w:numFmt w:val="decimal"/>
      <w:start w:val="22"/>
    </w:lvl>
  </w:abstractNum>
  <w:abstractNum w:abstractNumId="113">
    <w:nsid w:val="19E21BB2"/>
    <w:multiLevelType w:val="hybridMultilevel"/>
    <w:lvl w:ilvl="0">
      <w:lvlJc w:val="left"/>
      <w:lvlText w:val="%1"/>
      <w:numFmt w:val="decimal"/>
      <w:start w:val="27"/>
    </w:lvl>
  </w:abstractNum>
  <w:abstractNum w:abstractNumId="114">
    <w:nsid w:val="75E0858A"/>
    <w:multiLevelType w:val="hybridMultilevel"/>
    <w:lvl w:ilvl="0">
      <w:lvlJc w:val="left"/>
      <w:lvlText w:val="%1"/>
      <w:numFmt w:val="decimal"/>
      <w:start w:val="49"/>
    </w:lvl>
  </w:abstractNum>
  <w:abstractNum w:abstractNumId="115">
    <w:nsid w:val="57A61A29"/>
    <w:multiLevelType w:val="hybridMultilevel"/>
    <w:lvl w:ilvl="0">
      <w:lvlJc w:val="left"/>
      <w:lvlText w:val="%1"/>
      <w:numFmt w:val="decimal"/>
      <w:start w:val="26"/>
    </w:lvl>
  </w:abstractNum>
  <w:abstractNum w:abstractNumId="116">
    <w:nsid w:val="5399C654"/>
    <w:multiLevelType w:val="hybridMultilevel"/>
    <w:lvl w:ilvl="0">
      <w:lvlJc w:val="left"/>
      <w:lvlText w:val="%1"/>
      <w:numFmt w:val="decimal"/>
      <w:start w:val="44"/>
    </w:lvl>
  </w:abstractNum>
  <w:abstractNum w:abstractNumId="117">
    <w:nsid w:val="20EE1348"/>
    <w:multiLevelType w:val="hybridMultilevel"/>
    <w:lvl w:ilvl="0">
      <w:lvlJc w:val="left"/>
      <w:lvlText w:val="%1"/>
      <w:numFmt w:val="decimal"/>
      <w:start w:val="70"/>
    </w:lvl>
  </w:abstractNum>
  <w:abstractNum w:abstractNumId="118">
    <w:nsid w:val="4427069A"/>
    <w:multiLevelType w:val="hybridMultilevel"/>
    <w:lvl w:ilvl="0">
      <w:lvlJc w:val="left"/>
      <w:lvlText w:val="%1"/>
      <w:numFmt w:val="decimal"/>
      <w:start w:val="27"/>
    </w:lvl>
  </w:abstractNum>
  <w:abstractNum w:abstractNumId="119">
    <w:nsid w:val="B37E80A"/>
    <w:multiLevelType w:val="hybridMultilevel"/>
    <w:lvl w:ilvl="0">
      <w:lvlJc w:val="left"/>
      <w:lvlText w:val="%1"/>
      <w:numFmt w:val="decimal"/>
      <w:start w:val="44"/>
    </w:lvl>
  </w:abstractNum>
  <w:abstractNum w:abstractNumId="120">
    <w:nsid w:val="2157F6BC"/>
    <w:multiLevelType w:val="hybridMultilevel"/>
    <w:lvl w:ilvl="0">
      <w:lvlJc w:val="left"/>
      <w:lvlText w:val="%1"/>
      <w:numFmt w:val="decimal"/>
      <w:start w:val="71"/>
    </w:lvl>
  </w:abstractNum>
  <w:abstractNum w:abstractNumId="121">
    <w:nsid w:val="704E1DD5"/>
    <w:multiLevelType w:val="hybridMultilevel"/>
    <w:lvl w:ilvl="0">
      <w:lvlJc w:val="left"/>
      <w:lvlText w:val="(%1)"/>
      <w:numFmt w:val="decimal"/>
      <w:start w:val="1"/>
    </w:lvl>
  </w:abstractNum>
  <w:abstractNum w:abstractNumId="122">
    <w:nsid w:val="57D2F10E"/>
    <w:multiLevelType w:val="hybridMultilevel"/>
    <w:lvl w:ilvl="0">
      <w:lvlJc w:val="left"/>
      <w:lvlText w:val="(%1)"/>
      <w:numFmt w:val="decimal"/>
      <w:start w:val="3"/>
    </w:lvl>
  </w:abstractNum>
  <w:abstractNum w:abstractNumId="123">
    <w:nsid w:val="BFFAE18"/>
    <w:multiLevelType w:val="hybridMultilevel"/>
    <w:lvl w:ilvl="0">
      <w:lvlJc w:val="left"/>
      <w:lvlText w:val="(%1)"/>
      <w:numFmt w:val="decimal"/>
      <w:start w:val="1"/>
    </w:lvl>
  </w:abstractNum>
  <w:abstractNum w:abstractNumId="124">
    <w:nsid w:val="E3E47A8"/>
    <w:multiLevelType w:val="hybridMultilevel"/>
    <w:lvl w:ilvl="0">
      <w:lvlJc w:val="left"/>
      <w:lvlText w:val="(%1)"/>
      <w:numFmt w:val="decimal"/>
      <w:start w:val="1"/>
    </w:lvl>
  </w:abstractNum>
  <w:abstractNum w:abstractNumId="125">
    <w:nsid w:val="2E48F044"/>
    <w:multiLevelType w:val="hybridMultilevel"/>
    <w:lvl w:ilvl="0">
      <w:lvlJc w:val="left"/>
      <w:lvlText w:val="$"/>
      <w:numFmt w:val="bullet"/>
      <w:start w:val="1"/>
    </w:lvl>
  </w:abstractNum>
  <w:abstractNum w:abstractNumId="126">
    <w:nsid w:val="49D0FEAC"/>
    <w:multiLevelType w:val="hybridMultilevel"/>
    <w:lvl w:ilvl="0">
      <w:lvlJc w:val="left"/>
      <w:lvlText w:val="1"/>
      <w:numFmt w:val="bullet"/>
      <w:start w:val="1"/>
    </w:lvl>
  </w:abstractNum>
  <w:abstractNum w:abstractNumId="127">
    <w:nsid w:val="4BEE5A5B"/>
    <w:multiLevelType w:val="hybridMultilevel"/>
    <w:lvl w:ilvl="0">
      <w:lvlJc w:val="left"/>
      <w:lvlText w:val="$"/>
      <w:numFmt w:val="bullet"/>
      <w:start w:val="1"/>
    </w:lvl>
  </w:abstractNum>
  <w:abstractNum w:abstractNumId="128">
    <w:nsid w:val="5551B9F3"/>
    <w:multiLevelType w:val="hybridMultilevel"/>
    <w:lvl w:ilvl="0">
      <w:lvlJc w:val="left"/>
      <w:lvlText w:val="$"/>
      <w:numFmt w:val="bullet"/>
      <w:start w:val="1"/>
    </w:lvl>
  </w:abstractNum>
  <w:abstractNum w:abstractNumId="129">
    <w:nsid w:val="24F6AB8E"/>
    <w:multiLevelType w:val="hybridMultilevel"/>
    <w:lvl w:ilvl="0">
      <w:lvlJc w:val="left"/>
      <w:lvlText w:val="$"/>
      <w:numFmt w:val="bullet"/>
      <w:start w:val="1"/>
    </w:lvl>
  </w:abstractNum>
  <w:abstractNum w:abstractNumId="130">
    <w:nsid w:val="634C574C"/>
    <w:multiLevelType w:val="hybridMultilevel"/>
    <w:lvl w:ilvl="0">
      <w:lvlJc w:val="left"/>
      <w:lvlText w:val="$"/>
      <w:numFmt w:val="bullet"/>
      <w:start w:val="1"/>
    </w:lvl>
  </w:abstractNum>
  <w:abstractNum w:abstractNumId="131">
    <w:nsid w:val="24E99DD7"/>
    <w:multiLevelType w:val="hybridMultilevel"/>
    <w:lvl w:ilvl="0">
      <w:lvlJc w:val="left"/>
      <w:lvlText w:val="9"/>
      <w:numFmt w:val="bullet"/>
      <w:start w:val="1"/>
    </w:lvl>
  </w:abstractNum>
  <w:abstractNum w:abstractNumId="132">
    <w:nsid w:val="2A31B62D"/>
    <w:multiLevelType w:val="hybridMultilevel"/>
    <w:lvl w:ilvl="0">
      <w:lvlJc w:val="left"/>
      <w:lvlText w:val="$"/>
      <w:numFmt w:val="bullet"/>
      <w:start w:val="1"/>
    </w:lvl>
  </w:abstractNum>
  <w:abstractNum w:abstractNumId="133">
    <w:nsid w:val="1849C29B"/>
    <w:multiLevelType w:val="hybridMultilevel"/>
    <w:lvl w:ilvl="0">
      <w:lvlJc w:val="left"/>
      <w:lvlText w:val="$"/>
      <w:numFmt w:val="bullet"/>
      <w:start w:val="1"/>
    </w:lvl>
  </w:abstractNum>
  <w:abstractNum w:abstractNumId="134">
    <w:nsid w:val="7DFF9D09"/>
    <w:multiLevelType w:val="hybridMultilevel"/>
    <w:lvl w:ilvl="0">
      <w:lvlJc w:val="left"/>
      <w:lvlText w:val="$"/>
      <w:numFmt w:val="bullet"/>
      <w:start w:val="1"/>
    </w:lvl>
  </w:abstractNum>
  <w:abstractNum w:abstractNumId="135">
    <w:nsid w:val="754342"/>
    <w:multiLevelType w:val="hybridMultilevel"/>
    <w:lvl w:ilvl="0">
      <w:lvlJc w:val="left"/>
      <w:lvlText w:val="(%1)"/>
      <w:numFmt w:val="decimal"/>
      <w:start w:val="1"/>
    </w:lvl>
  </w:abstractNum>
  <w:abstractNum w:abstractNumId="136">
    <w:nsid w:val="69E7F3E5"/>
    <w:multiLevelType w:val="hybridMultilevel"/>
    <w:lvl w:ilvl="0">
      <w:lvlJc w:val="left"/>
      <w:lvlText w:val="(%1)"/>
      <w:numFmt w:val="decimal"/>
      <w:start w:val="1"/>
    </w:lvl>
  </w:abstractNum>
  <w:abstractNum w:abstractNumId="137">
    <w:nsid w:val="2A6DE806"/>
    <w:multiLevelType w:val="hybridMultilevel"/>
    <w:lvl w:ilvl="0">
      <w:lvlJc w:val="left"/>
      <w:lvlText w:val="(%1)"/>
      <w:numFmt w:val="decimal"/>
      <w:start w:val="1"/>
    </w:lvl>
  </w:abstractNum>
  <w:abstractNum w:abstractNumId="138">
    <w:nsid w:val="1816F8C4"/>
    <w:multiLevelType w:val="hybridMultilevel"/>
    <w:lvl w:ilvl="0">
      <w:lvlJc w:val="left"/>
      <w:lvlText w:val="(%1)"/>
      <w:numFmt w:val="decimal"/>
      <w:start w:val="1"/>
    </w:lvl>
  </w:abstractNum>
  <w:abstractNum w:abstractNumId="139">
    <w:nsid w:val="37DF2233"/>
    <w:multiLevelType w:val="hybridMultilevel"/>
    <w:lvl w:ilvl="0">
      <w:lvlJc w:val="left"/>
      <w:lvlText w:val="•"/>
      <w:numFmt w:val="bullet"/>
      <w:start w:val="1"/>
    </w:lvl>
  </w:abstractNum>
  <w:abstractNum w:abstractNumId="140">
    <w:nsid w:val="7AB49DAF"/>
    <w:multiLevelType w:val="hybridMultilevel"/>
    <w:lvl w:ilvl="0">
      <w:lvlJc w:val="left"/>
      <w:lvlText w:val="•"/>
      <w:numFmt w:val="bullet"/>
      <w:start w:val="1"/>
    </w:lvl>
  </w:abstractNum>
  <w:abstractNum w:abstractNumId="141">
    <w:nsid w:val="759F82CD"/>
    <w:multiLevelType w:val="hybridMultilevel"/>
    <w:lvl w:ilvl="0">
      <w:lvlJc w:val="left"/>
      <w:lvlText w:val="*"/>
      <w:numFmt w:val="bullet"/>
      <w:start w:val="1"/>
    </w:lvl>
    <w:lvl w:ilvl="1">
      <w:lvlJc w:val="left"/>
      <w:lvlText w:val="%2"/>
      <w:numFmt w:val="decimal"/>
      <w:start w:val="104"/>
    </w:lvl>
  </w:abstractNum>
  <w:abstractNum w:abstractNumId="142">
    <w:nsid w:val="61E74EA3"/>
    <w:multiLevelType w:val="hybridMultilevel"/>
    <w:lvl w:ilvl="0">
      <w:lvlJc w:val="left"/>
      <w:lvlText w:val="%1."/>
      <w:numFmt w:val="decimal"/>
      <w:start w:val="1"/>
    </w:lvl>
    <w:lvl w:ilvl="1">
      <w:lvlJc w:val="left"/>
      <w:lvlText w:val="%2."/>
      <w:numFmt w:val="lowerLetter"/>
      <w:start w:val="1"/>
    </w:lvl>
  </w:abstractNum>
  <w:abstractNum w:abstractNumId="143">
    <w:nsid w:val="597B4D84"/>
    <w:multiLevelType w:val="hybridMultilevel"/>
    <w:lvl w:ilvl="0">
      <w:lvlJc w:val="left"/>
      <w:lvlText w:val="%1."/>
      <w:numFmt w:val="decimal"/>
      <w:start w:val="1"/>
    </w:lvl>
    <w:lvl w:ilvl="1">
      <w:lvlJc w:val="left"/>
      <w:lvlText w:val="%2."/>
      <w:numFmt w:val="lowerLetter"/>
      <w:start w:val="1"/>
    </w:lvl>
  </w:abstractNum>
  <w:abstractNum w:abstractNumId="144">
    <w:nsid w:val="F819E7F"/>
    <w:multiLevelType w:val="hybridMultilevel"/>
    <w:lvl w:ilvl="0">
      <w:lvlJc w:val="left"/>
      <w:lvlText w:val="%1."/>
      <w:numFmt w:val="decimal"/>
      <w:start w:val="1"/>
    </w:lvl>
  </w:abstractNum>
  <w:abstractNum w:abstractNumId="145">
    <w:nsid w:val="57C7D42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9" Type="http://schemas.openxmlformats.org/officeDocument/2006/relationships/image" Target="media/image580.png"/><Relationship Id="rId590" Type="http://schemas.openxmlformats.org/officeDocument/2006/relationships/image" Target="media/image581.png"/><Relationship Id="rId591" Type="http://schemas.openxmlformats.org/officeDocument/2006/relationships/image" Target="media/image582.png"/><Relationship Id="rId592" Type="http://schemas.openxmlformats.org/officeDocument/2006/relationships/image" Target="media/image583.png"/><Relationship Id="rId593" Type="http://schemas.openxmlformats.org/officeDocument/2006/relationships/image" Target="media/image584.png"/><Relationship Id="rId594" Type="http://schemas.openxmlformats.org/officeDocument/2006/relationships/image" Target="media/image585.png"/><Relationship Id="rId595" Type="http://schemas.openxmlformats.org/officeDocument/2006/relationships/image" Target="media/image586.png"/><Relationship Id="rId596" Type="http://schemas.openxmlformats.org/officeDocument/2006/relationships/image" Target="media/image587.png"/><Relationship Id="rId597" Type="http://schemas.openxmlformats.org/officeDocument/2006/relationships/image" Target="media/image588.png"/><Relationship Id="rId598" Type="http://schemas.openxmlformats.org/officeDocument/2006/relationships/image" Target="media/image589.jpeg"/><Relationship Id="rId599" Type="http://schemas.openxmlformats.org/officeDocument/2006/relationships/image" Target="media/image590.png"/><Relationship Id="rId600" Type="http://schemas.openxmlformats.org/officeDocument/2006/relationships/image" Target="media/image591.png"/><Relationship Id="rId601" Type="http://schemas.openxmlformats.org/officeDocument/2006/relationships/image" Target="media/image592.png"/><Relationship Id="rId602" Type="http://schemas.openxmlformats.org/officeDocument/2006/relationships/image" Target="media/image593.png"/><Relationship Id="rId587" Type="http://schemas.openxmlformats.org/officeDocument/2006/relationships/hyperlink" Target="https://www.sec.gov/Archives/edgar/data/310522/000031052219000385/fanniemaecharteractex31.htm" TargetMode="External"/><Relationship Id="rId588" Type="http://schemas.openxmlformats.org/officeDocument/2006/relationships/hyperlink" Target="https://www.sec.gov/Archives/edgar/data/310522/000031052219000116/fanniemae201810k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2024-10-31T06:40:03Z</dcterms:created>
  <dcterms:modified xsi:type="dcterms:W3CDTF">2024-10-31T06:40:03Z</dcterms:modified>
</cp:coreProperties>
</file>