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auto"/>
        <w:framePr w:w="500" w:h="98" w:wrap="auto" w:vAnchor="page" w:hAnchor="page" w:x="260" w:y="7134"/>
        <w:rPr>
          <w:rFonts w:ascii="Arial" w:cs="Arial" w:eastAsia="Arial" w:hAnsi="Arial"/>
          <w:sz w:val="10"/>
          <w:szCs w:val="10"/>
          <w:color w:val="auto"/>
        </w:rPr>
      </w:pPr>
      <w:r>
        <w:rPr>
          <w:rFonts w:ascii="Arial" w:cs="Arial" w:eastAsia="Arial" w:hAnsi="Arial"/>
          <w:sz w:val="10"/>
          <w:szCs w:val="10"/>
          <w:color w:val="auto"/>
        </w:rPr>
        <w:t>chapter).</w:t>
      </w: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0"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38"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310"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18"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October 29, 2025</w:t>
      </w:r>
    </w:p>
    <w:p>
      <w:pPr>
        <w:spacing w:after="0" w:line="267"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26"/>
          <w:szCs w:val="26"/>
          <w:b w:val="1"/>
          <w:bCs w:val="1"/>
          <w:color w:val="auto"/>
        </w:rPr>
        <w:t>Federal National Mortgage Association</w:t>
      </w:r>
    </w:p>
    <w:p>
      <w:pPr>
        <w:spacing w:after="0" w:line="28" w:lineRule="exact"/>
        <w:rPr>
          <w:rFonts w:ascii="Arial" w:cs="Arial" w:eastAsia="Arial" w:hAnsi="Arial"/>
          <w:sz w:val="10"/>
          <w:szCs w:val="10"/>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30" w:lineRule="exact"/>
        <w:rPr>
          <w:rFonts w:ascii="Arial" w:cs="Arial" w:eastAsia="Arial" w:hAnsi="Arial"/>
          <w:sz w:val="10"/>
          <w:szCs w:val="10"/>
          <w:color w:val="auto"/>
        </w:rPr>
      </w:pPr>
    </w:p>
    <w:p>
      <w:pPr>
        <w:jc w:val="center"/>
        <w:ind w:right="-79"/>
        <w:spacing w:after="0"/>
        <w:rPr>
          <w:sz w:val="20"/>
          <w:szCs w:val="20"/>
          <w:color w:val="auto"/>
        </w:rPr>
      </w:pPr>
      <w:r>
        <w:rPr>
          <w:rFonts w:ascii="Arial" w:cs="Arial" w:eastAsia="Arial" w:hAnsi="Arial"/>
          <w:sz w:val="26"/>
          <w:szCs w:val="26"/>
          <w:b w:val="1"/>
          <w:bCs w:val="1"/>
          <w:color w:val="auto"/>
        </w:rPr>
        <w:t>Fannie Mae</w:t>
      </w:r>
    </w:p>
    <w:p>
      <w:pPr>
        <w:spacing w:after="0" w:line="47" w:lineRule="exact"/>
        <w:rPr>
          <w:rFonts w:ascii="Arial" w:cs="Arial" w:eastAsia="Arial" w:hAnsi="Arial"/>
          <w:sz w:val="10"/>
          <w:szCs w:val="10"/>
          <w:color w:val="auto"/>
        </w:rPr>
      </w:pPr>
    </w:p>
    <w:tbl>
      <w:tblPr>
        <w:tblLayout w:type="fixed"/>
        <w:tblInd w:w="0" w:type="dxa"/>
        <w:tblCellMar>
          <w:top w:w="0" w:type="dxa"/>
          <w:left w:w="0" w:type="dxa"/>
          <w:bottom w:w="0" w:type="dxa"/>
          <w:right w:w="0" w:type="dxa"/>
        </w:tblCellMar>
      </w:tblPr>
      <w:tr>
        <w:trPr>
          <w:trHeight w:val="133"/>
        </w:trPr>
        <w:tc>
          <w:tcPr>
            <w:tcW w:w="3360" w:type="dxa"/>
            <w:vAlign w:val="bottom"/>
            <w:tcBorders>
              <w:top w:val="single" w:sz="8" w:color="auto"/>
            </w:tcBorders>
          </w:tcPr>
          <w:p>
            <w:pPr>
              <w:jc w:val="center"/>
              <w:ind w:left="270"/>
              <w:spacing w:after="0"/>
              <w:rPr>
                <w:sz w:val="20"/>
                <w:szCs w:val="20"/>
                <w:color w:val="auto"/>
              </w:rPr>
            </w:pPr>
            <w:r>
              <w:rPr>
                <w:rFonts w:ascii="Arial" w:cs="Arial" w:eastAsia="Arial" w:hAnsi="Arial"/>
                <w:sz w:val="11"/>
                <w:szCs w:val="11"/>
                <w:b w:val="1"/>
                <w:bCs w:val="1"/>
                <w:color w:val="auto"/>
                <w:w w:val="98"/>
              </w:rPr>
              <w:t>Federally chartered corporation</w:t>
            </w:r>
          </w:p>
        </w:tc>
        <w:tc>
          <w:tcPr>
            <w:tcW w:w="1600" w:type="dxa"/>
            <w:vAlign w:val="bottom"/>
            <w:tcBorders>
              <w:top w:val="single" w:sz="8" w:color="auto"/>
            </w:tcBorders>
          </w:tcPr>
          <w:p>
            <w:pPr>
              <w:jc w:val="center"/>
              <w:ind w:left="310"/>
              <w:spacing w:after="0"/>
              <w:rPr>
                <w:sz w:val="20"/>
                <w:szCs w:val="20"/>
                <w:color w:val="auto"/>
              </w:rPr>
            </w:pPr>
            <w:r>
              <w:rPr>
                <w:rFonts w:ascii="Arial" w:cs="Arial" w:eastAsia="Arial" w:hAnsi="Arial"/>
                <w:sz w:val="11"/>
                <w:szCs w:val="11"/>
                <w:b w:val="1"/>
                <w:bCs w:val="1"/>
                <w:color w:val="auto"/>
                <w:w w:val="98"/>
              </w:rPr>
              <w:t>0-50231</w:t>
            </w:r>
          </w:p>
        </w:tc>
        <w:tc>
          <w:tcPr>
            <w:tcW w:w="1340" w:type="dxa"/>
            <w:vAlign w:val="bottom"/>
            <w:tcBorders>
              <w:top w:val="single" w:sz="8" w:color="auto"/>
            </w:tcBorders>
          </w:tcPr>
          <w:p>
            <w:pPr>
              <w:jc w:val="center"/>
              <w:ind w:left="30"/>
              <w:spacing w:after="0"/>
              <w:rPr>
                <w:sz w:val="20"/>
                <w:szCs w:val="20"/>
                <w:color w:val="auto"/>
              </w:rPr>
            </w:pPr>
            <w:r>
              <w:rPr>
                <w:rFonts w:ascii="Arial" w:cs="Arial" w:eastAsia="Arial" w:hAnsi="Arial"/>
                <w:sz w:val="11"/>
                <w:szCs w:val="11"/>
                <w:b w:val="1"/>
                <w:bCs w:val="1"/>
                <w:color w:val="auto"/>
                <w:w w:val="98"/>
              </w:rPr>
              <w:t>52-0883107</w:t>
            </w:r>
          </w:p>
        </w:tc>
        <w:tc>
          <w:tcPr>
            <w:tcW w:w="1980" w:type="dxa"/>
            <w:vAlign w:val="bottom"/>
            <w:tcBorders>
              <w:top w:val="single" w:sz="8" w:color="auto"/>
            </w:tcBorders>
            <w:gridSpan w:val="2"/>
          </w:tcPr>
          <w:p>
            <w:pPr>
              <w:jc w:val="center"/>
              <w:ind w:left="668"/>
              <w:spacing w:after="0"/>
              <w:rPr>
                <w:sz w:val="20"/>
                <w:szCs w:val="20"/>
                <w:color w:val="auto"/>
              </w:rPr>
            </w:pPr>
            <w:r>
              <w:rPr>
                <w:rFonts w:ascii="Arial" w:cs="Arial" w:eastAsia="Arial" w:hAnsi="Arial"/>
                <w:sz w:val="11"/>
                <w:szCs w:val="11"/>
                <w:b w:val="1"/>
                <w:bCs w:val="1"/>
                <w:color w:val="auto"/>
                <w:w w:val="97"/>
              </w:rPr>
              <w:t>1100 15th Street, NW</w:t>
            </w:r>
          </w:p>
        </w:tc>
        <w:tc>
          <w:tcPr>
            <w:tcW w:w="6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09"/>
              <w:spacing w:after="0"/>
              <w:rPr>
                <w:sz w:val="20"/>
                <w:szCs w:val="20"/>
                <w:color w:val="auto"/>
              </w:rPr>
            </w:pPr>
            <w:r>
              <w:rPr>
                <w:rFonts w:ascii="Arial" w:cs="Arial" w:eastAsia="Arial" w:hAnsi="Arial"/>
                <w:sz w:val="11"/>
                <w:szCs w:val="11"/>
                <w:b w:val="1"/>
                <w:bCs w:val="1"/>
                <w:color w:val="auto"/>
              </w:rPr>
              <w:t>800</w:t>
            </w:r>
          </w:p>
        </w:tc>
        <w:tc>
          <w:tcPr>
            <w:tcW w:w="1760" w:type="dxa"/>
            <w:vAlign w:val="bottom"/>
            <w:tcBorders>
              <w:top w:val="single" w:sz="8" w:color="auto"/>
            </w:tcBorders>
          </w:tcPr>
          <w:p>
            <w:pPr>
              <w:jc w:val="right"/>
              <w:ind w:right="1086"/>
              <w:spacing w:after="0"/>
              <w:rPr>
                <w:sz w:val="20"/>
                <w:szCs w:val="20"/>
                <w:color w:val="auto"/>
              </w:rPr>
            </w:pPr>
            <w:r>
              <w:rPr>
                <w:rFonts w:ascii="Arial" w:cs="Arial" w:eastAsia="Arial" w:hAnsi="Arial"/>
                <w:sz w:val="11"/>
                <w:szCs w:val="11"/>
                <w:b w:val="1"/>
                <w:bCs w:val="1"/>
                <w:color w:val="auto"/>
              </w:rPr>
              <w:t>232-6643</w:t>
            </w:r>
          </w:p>
        </w:tc>
      </w:tr>
      <w:tr>
        <w:trPr>
          <w:trHeight w:val="148"/>
        </w:trPr>
        <w:tc>
          <w:tcPr>
            <w:tcW w:w="3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180" w:type="dxa"/>
            <w:vAlign w:val="bottom"/>
          </w:tcPr>
          <w:p>
            <w:pPr>
              <w:ind w:left="480"/>
              <w:spacing w:after="0"/>
              <w:rPr>
                <w:sz w:val="20"/>
                <w:szCs w:val="20"/>
                <w:color w:val="auto"/>
              </w:rPr>
            </w:pPr>
            <w:r>
              <w:rPr>
                <w:rFonts w:ascii="Arial" w:cs="Arial" w:eastAsia="Arial" w:hAnsi="Arial"/>
                <w:sz w:val="11"/>
                <w:szCs w:val="11"/>
                <w:b w:val="1"/>
                <w:bCs w:val="1"/>
                <w:color w:val="auto"/>
              </w:rPr>
              <w:t>Washington,</w:t>
            </w:r>
          </w:p>
        </w:tc>
        <w:tc>
          <w:tcPr>
            <w:tcW w:w="800" w:type="dxa"/>
            <w:vAlign w:val="bottom"/>
          </w:tcPr>
          <w:p>
            <w:pPr>
              <w:ind w:left="400"/>
              <w:spacing w:after="0"/>
              <w:rPr>
                <w:sz w:val="20"/>
                <w:szCs w:val="20"/>
                <w:color w:val="auto"/>
              </w:rPr>
            </w:pPr>
            <w:r>
              <w:rPr>
                <w:rFonts w:ascii="Arial" w:cs="Arial" w:eastAsia="Arial" w:hAnsi="Arial"/>
                <w:sz w:val="11"/>
                <w:szCs w:val="11"/>
                <w:b w:val="1"/>
                <w:bCs w:val="1"/>
                <w:color w:val="auto"/>
              </w:rPr>
              <w:t>DC</w:t>
            </w:r>
          </w:p>
        </w:tc>
        <w:tc>
          <w:tcPr>
            <w:tcW w:w="600" w:type="dxa"/>
            <w:vAlign w:val="bottom"/>
          </w:tcPr>
          <w:p>
            <w:pPr>
              <w:jc w:val="right"/>
              <w:ind w:right="166"/>
              <w:spacing w:after="0"/>
              <w:rPr>
                <w:sz w:val="20"/>
                <w:szCs w:val="20"/>
                <w:color w:val="auto"/>
              </w:rPr>
            </w:pPr>
            <w:r>
              <w:rPr>
                <w:rFonts w:ascii="Arial" w:cs="Arial" w:eastAsia="Arial" w:hAnsi="Arial"/>
                <w:sz w:val="11"/>
                <w:szCs w:val="11"/>
                <w:b w:val="1"/>
                <w:bCs w:val="1"/>
                <w:color w:val="auto"/>
              </w:rPr>
              <w:t>20005</w:t>
            </w:r>
          </w:p>
        </w:tc>
        <w:tc>
          <w:tcPr>
            <w:tcW w:w="64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99"/>
        </w:trPr>
        <w:tc>
          <w:tcPr>
            <w:tcW w:w="3360" w:type="dxa"/>
            <w:vAlign w:val="bottom"/>
          </w:tcPr>
          <w:p>
            <w:pPr>
              <w:jc w:val="center"/>
              <w:ind w:left="270"/>
              <w:spacing w:after="0" w:line="99" w:lineRule="exact"/>
              <w:rPr>
                <w:sz w:val="20"/>
                <w:szCs w:val="20"/>
                <w:color w:val="auto"/>
              </w:rPr>
            </w:pPr>
            <w:r>
              <w:rPr>
                <w:rFonts w:ascii="Arial" w:cs="Arial" w:eastAsia="Arial" w:hAnsi="Arial"/>
                <w:sz w:val="10"/>
                <w:szCs w:val="10"/>
                <w:i w:val="1"/>
                <w:iCs w:val="1"/>
                <w:color w:val="auto"/>
                <w:w w:val="94"/>
              </w:rPr>
              <w:t>(State or other jurisdiction</w:t>
            </w:r>
          </w:p>
        </w:tc>
        <w:tc>
          <w:tcPr>
            <w:tcW w:w="1600" w:type="dxa"/>
            <w:vAlign w:val="bottom"/>
          </w:tcPr>
          <w:p>
            <w:pPr>
              <w:jc w:val="center"/>
              <w:ind w:left="310"/>
              <w:spacing w:after="0" w:line="99" w:lineRule="exact"/>
              <w:rPr>
                <w:sz w:val="20"/>
                <w:szCs w:val="20"/>
                <w:color w:val="auto"/>
              </w:rPr>
            </w:pPr>
            <w:r>
              <w:rPr>
                <w:rFonts w:ascii="Arial" w:cs="Arial" w:eastAsia="Arial" w:hAnsi="Arial"/>
                <w:sz w:val="10"/>
                <w:szCs w:val="10"/>
                <w:i w:val="1"/>
                <w:iCs w:val="1"/>
                <w:color w:val="auto"/>
                <w:w w:val="95"/>
              </w:rPr>
              <w:t>(Commission</w:t>
            </w:r>
          </w:p>
        </w:tc>
        <w:tc>
          <w:tcPr>
            <w:tcW w:w="1340" w:type="dxa"/>
            <w:vAlign w:val="bottom"/>
          </w:tcPr>
          <w:p>
            <w:pPr>
              <w:jc w:val="center"/>
              <w:ind w:left="30"/>
              <w:spacing w:after="0" w:line="99" w:lineRule="exact"/>
              <w:rPr>
                <w:sz w:val="20"/>
                <w:szCs w:val="20"/>
                <w:color w:val="auto"/>
              </w:rPr>
            </w:pPr>
            <w:r>
              <w:rPr>
                <w:rFonts w:ascii="Arial" w:cs="Arial" w:eastAsia="Arial" w:hAnsi="Arial"/>
                <w:sz w:val="10"/>
                <w:szCs w:val="10"/>
                <w:i w:val="1"/>
                <w:iCs w:val="1"/>
                <w:color w:val="auto"/>
                <w:w w:val="95"/>
              </w:rPr>
              <w:t>(IRS Employer</w:t>
            </w:r>
          </w:p>
        </w:tc>
        <w:tc>
          <w:tcPr>
            <w:tcW w:w="2580" w:type="dxa"/>
            <w:vAlign w:val="bottom"/>
            <w:gridSpan w:val="3"/>
          </w:tcPr>
          <w:p>
            <w:pPr>
              <w:jc w:val="center"/>
              <w:ind w:left="88"/>
              <w:spacing w:after="0" w:line="99" w:lineRule="exact"/>
              <w:rPr>
                <w:sz w:val="20"/>
                <w:szCs w:val="20"/>
                <w:color w:val="auto"/>
              </w:rPr>
            </w:pPr>
            <w:r>
              <w:rPr>
                <w:rFonts w:ascii="Arial" w:cs="Arial" w:eastAsia="Arial" w:hAnsi="Arial"/>
                <w:sz w:val="10"/>
                <w:szCs w:val="10"/>
                <w:i w:val="1"/>
                <w:iCs w:val="1"/>
                <w:color w:val="auto"/>
                <w:w w:val="96"/>
              </w:rPr>
              <w:t>(Address of principal executive offices, including zip</w:t>
            </w:r>
          </w:p>
        </w:tc>
        <w:tc>
          <w:tcPr>
            <w:tcW w:w="2400" w:type="dxa"/>
            <w:vAlign w:val="bottom"/>
            <w:gridSpan w:val="2"/>
          </w:tcPr>
          <w:p>
            <w:pPr>
              <w:jc w:val="right"/>
              <w:spacing w:after="0" w:line="99" w:lineRule="exact"/>
              <w:rPr>
                <w:sz w:val="20"/>
                <w:szCs w:val="20"/>
                <w:color w:val="auto"/>
              </w:rPr>
            </w:pPr>
            <w:r>
              <w:rPr>
                <w:rFonts w:ascii="Arial" w:cs="Arial" w:eastAsia="Arial" w:hAnsi="Arial"/>
                <w:sz w:val="10"/>
                <w:szCs w:val="10"/>
                <w:i w:val="1"/>
                <w:iCs w:val="1"/>
                <w:color w:val="auto"/>
              </w:rPr>
              <w:t>(Registrant’s telephone number, including area code)</w:t>
            </w:r>
          </w:p>
        </w:tc>
      </w:tr>
      <w:tr>
        <w:trPr>
          <w:trHeight w:val="122"/>
        </w:trPr>
        <w:tc>
          <w:tcPr>
            <w:tcW w:w="3360" w:type="dxa"/>
            <w:vAlign w:val="bottom"/>
            <w:tcBorders>
              <w:bottom w:val="single" w:sz="8" w:color="auto"/>
            </w:tcBorders>
          </w:tcPr>
          <w:p>
            <w:pPr>
              <w:jc w:val="center"/>
              <w:ind w:left="270"/>
              <w:spacing w:after="0"/>
              <w:rPr>
                <w:sz w:val="20"/>
                <w:szCs w:val="20"/>
                <w:color w:val="auto"/>
              </w:rPr>
            </w:pPr>
            <w:r>
              <w:rPr>
                <w:rFonts w:ascii="Arial" w:cs="Arial" w:eastAsia="Arial" w:hAnsi="Arial"/>
                <w:sz w:val="10"/>
                <w:szCs w:val="10"/>
                <w:i w:val="1"/>
                <w:iCs w:val="1"/>
                <w:color w:val="auto"/>
                <w:w w:val="94"/>
              </w:rPr>
              <w:t>of incorporation)</w:t>
            </w:r>
          </w:p>
        </w:tc>
        <w:tc>
          <w:tcPr>
            <w:tcW w:w="1600" w:type="dxa"/>
            <w:vAlign w:val="bottom"/>
            <w:tcBorders>
              <w:bottom w:val="single" w:sz="8" w:color="auto"/>
            </w:tcBorders>
          </w:tcPr>
          <w:p>
            <w:pPr>
              <w:jc w:val="center"/>
              <w:ind w:left="330"/>
              <w:spacing w:after="0"/>
              <w:rPr>
                <w:sz w:val="20"/>
                <w:szCs w:val="20"/>
                <w:color w:val="auto"/>
              </w:rPr>
            </w:pPr>
            <w:r>
              <w:rPr>
                <w:rFonts w:ascii="Arial" w:cs="Arial" w:eastAsia="Arial" w:hAnsi="Arial"/>
                <w:sz w:val="10"/>
                <w:szCs w:val="10"/>
                <w:i w:val="1"/>
                <w:iCs w:val="1"/>
                <w:color w:val="auto"/>
                <w:w w:val="93"/>
              </w:rPr>
              <w:t>File Number)</w:t>
            </w:r>
          </w:p>
        </w:tc>
        <w:tc>
          <w:tcPr>
            <w:tcW w:w="1340" w:type="dxa"/>
            <w:vAlign w:val="bottom"/>
            <w:tcBorders>
              <w:bottom w:val="single" w:sz="8" w:color="auto"/>
            </w:tcBorders>
          </w:tcPr>
          <w:p>
            <w:pPr>
              <w:jc w:val="center"/>
              <w:ind w:left="30"/>
              <w:spacing w:after="0"/>
              <w:rPr>
                <w:sz w:val="20"/>
                <w:szCs w:val="20"/>
                <w:color w:val="auto"/>
              </w:rPr>
            </w:pPr>
            <w:r>
              <w:rPr>
                <w:rFonts w:ascii="Arial" w:cs="Arial" w:eastAsia="Arial" w:hAnsi="Arial"/>
                <w:sz w:val="10"/>
                <w:szCs w:val="10"/>
                <w:i w:val="1"/>
                <w:iCs w:val="1"/>
                <w:color w:val="auto"/>
                <w:w w:val="95"/>
              </w:rPr>
              <w:t>Identification No.)</w:t>
            </w:r>
          </w:p>
        </w:tc>
        <w:tc>
          <w:tcPr>
            <w:tcW w:w="1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89"/>
              <w:spacing w:after="0"/>
              <w:rPr>
                <w:sz w:val="20"/>
                <w:szCs w:val="20"/>
                <w:color w:val="auto"/>
              </w:rPr>
            </w:pPr>
            <w:r>
              <w:rPr>
                <w:rFonts w:ascii="Arial" w:cs="Arial" w:eastAsia="Arial" w:hAnsi="Arial"/>
                <w:sz w:val="10"/>
                <w:szCs w:val="10"/>
                <w:i w:val="1"/>
                <w:iCs w:val="1"/>
                <w:color w:val="auto"/>
                <w:w w:val="95"/>
              </w:rPr>
              <w:t>code)</w:t>
            </w:r>
          </w:p>
        </w:tc>
        <w:tc>
          <w:tcPr>
            <w:tcW w:w="6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r>
    </w:tbl>
    <w:p>
      <w:pPr>
        <w:spacing w:after="0" w:line="324"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 (</w:t>
      </w:r>
      <w:r>
        <w:rPr>
          <w:rFonts w:ascii="Arial" w:cs="Arial" w:eastAsia="Arial" w:hAnsi="Arial"/>
          <w:sz w:val="11"/>
          <w:szCs w:val="11"/>
          <w:u w:val="single" w:color="auto"/>
          <w:color w:val="auto"/>
        </w:rPr>
        <w:t>see</w:t>
      </w:r>
      <w:r>
        <w:rPr>
          <w:rFonts w:ascii="Arial" w:cs="Arial" w:eastAsia="Arial" w:hAnsi="Arial"/>
          <w:sz w:val="11"/>
          <w:szCs w:val="11"/>
          <w:color w:val="auto"/>
        </w:rPr>
        <w:t xml:space="preserve"> General Instruction A.2. below):</w:t>
      </w:r>
    </w:p>
    <w:p>
      <w:pPr>
        <w:spacing w:after="0" w:line="36" w:lineRule="exact"/>
        <w:rPr>
          <w:rFonts w:ascii="Arial" w:cs="Arial" w:eastAsia="Arial" w:hAnsi="Arial"/>
          <w:sz w:val="10"/>
          <w:szCs w:val="10"/>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89"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98"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98" w:lineRule="exact"/>
        <w:rPr>
          <w:rFonts w:ascii="MS PGothic" w:cs="MS PGothic" w:eastAsia="MS PGothic" w:hAnsi="MS PGothic"/>
          <w:sz w:val="11"/>
          <w:szCs w:val="11"/>
          <w:color w:val="auto"/>
        </w:rPr>
      </w:pPr>
    </w:p>
    <w:p>
      <w:pPr>
        <w:ind w:left="660" w:hanging="656"/>
        <w:spacing w:after="0"/>
        <w:tabs>
          <w:tab w:leader="none" w:pos="6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25"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5" w:lineRule="exact"/>
        <w:rPr>
          <w:rFonts w:ascii="Arial" w:cs="Arial" w:eastAsia="Arial" w:hAnsi="Arial"/>
          <w:sz w:val="10"/>
          <w:szCs w:val="10"/>
          <w:color w:val="auto"/>
        </w:rPr>
      </w:pPr>
    </w:p>
    <w:tbl>
      <w:tblPr>
        <w:tblLayout w:type="fixed"/>
        <w:tblInd w:w="10" w:type="dxa"/>
        <w:tblCellMar>
          <w:top w:w="0" w:type="dxa"/>
          <w:left w:w="0" w:type="dxa"/>
          <w:bottom w:w="0" w:type="dxa"/>
          <w:right w:w="0" w:type="dxa"/>
        </w:tblCellMar>
      </w:tblPr>
      <w:tr>
        <w:trPr>
          <w:trHeight w:val="162"/>
        </w:trPr>
        <w:tc>
          <w:tcPr>
            <w:tcW w:w="3240" w:type="dxa"/>
            <w:vAlign w:val="bottom"/>
            <w:tcBorders>
              <w:top w:val="single" w:sz="8" w:color="auto"/>
              <w:left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2"/>
                <w:szCs w:val="12"/>
                <w:b w:val="1"/>
                <w:bCs w:val="1"/>
                <w:color w:val="auto"/>
              </w:rPr>
              <w:t>Title of each class</w:t>
            </w:r>
          </w:p>
        </w:tc>
        <w:tc>
          <w:tcPr>
            <w:tcW w:w="21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2"/>
                <w:szCs w:val="12"/>
                <w:b w:val="1"/>
                <w:bCs w:val="1"/>
                <w:color w:val="auto"/>
              </w:rPr>
              <w:t>Trading Symbol(s)</w:t>
            </w:r>
          </w:p>
        </w:tc>
        <w:tc>
          <w:tcPr>
            <w:tcW w:w="5620" w:type="dxa"/>
            <w:vAlign w:val="bottom"/>
            <w:tcBorders>
              <w:top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2"/>
                <w:szCs w:val="12"/>
                <w:b w:val="1"/>
                <w:bCs w:val="1"/>
                <w:color w:val="auto"/>
              </w:rPr>
              <w:t>Name of each exchange on which registered</w:t>
            </w:r>
          </w:p>
        </w:tc>
      </w:tr>
      <w:tr>
        <w:trPr>
          <w:trHeight w:val="142"/>
        </w:trPr>
        <w:tc>
          <w:tcPr>
            <w:tcW w:w="3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None</w:t>
            </w:r>
          </w:p>
        </w:tc>
        <w:tc>
          <w:tcPr>
            <w:tcW w:w="21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w:t>
            </w:r>
          </w:p>
        </w:tc>
        <w:tc>
          <w:tcPr>
            <w:tcW w:w="5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w:t>
            </w:r>
          </w:p>
        </w:tc>
      </w:tr>
    </w:tbl>
    <w:p>
      <w:pPr>
        <w:spacing w:after="0" w:line="261" w:lineRule="exact"/>
        <w:rPr>
          <w:rFonts w:ascii="Arial" w:cs="Arial" w:eastAsia="Arial" w:hAnsi="Arial"/>
          <w:sz w:val="10"/>
          <w:szCs w:val="10"/>
          <w:color w:val="auto"/>
        </w:rPr>
      </w:pPr>
    </w:p>
    <w:p>
      <w:pPr>
        <w:spacing w:after="0"/>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w:t>
      </w:r>
    </w:p>
    <w:p>
      <w:pPr>
        <w:spacing w:after="0" w:line="15" w:lineRule="exact"/>
        <w:rPr>
          <w:rFonts w:ascii="Arial" w:cs="Arial" w:eastAsia="Arial" w:hAnsi="Arial"/>
          <w:sz w:val="10"/>
          <w:szCs w:val="10"/>
          <w:color w:val="auto"/>
        </w:rPr>
      </w:pPr>
    </w:p>
    <w:p>
      <w:pPr>
        <w:ind w:left="9660"/>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146" w:lineRule="exact"/>
        <w:rPr>
          <w:rFonts w:ascii="Arial" w:cs="Arial" w:eastAsia="Arial" w:hAnsi="Arial"/>
          <w:sz w:val="10"/>
          <w:szCs w:val="10"/>
          <w:color w:val="auto"/>
        </w:rPr>
      </w:pPr>
    </w:p>
    <w:p>
      <w:pPr>
        <w:ind w:right="40"/>
        <w:spacing w:after="0" w:line="14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column">
              <wp:posOffset>-17145</wp:posOffset>
            </wp:positionH>
            <wp:positionV relativeFrom="paragraph">
              <wp:posOffset>351155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41" w:right="319" w:bottom="1440" w:gutter="0" w:footer="0" w:header="0"/>
        </w:sectPr>
      </w:pPr>
    </w:p>
    <w:bookmarkStart w:id="1" w:name="page2"/>
    <w:bookmarkEnd w:id="1"/>
    <w:p>
      <w:pPr>
        <w:ind w:right="120"/>
        <w:spacing w:after="0" w:line="268" w:lineRule="auto"/>
        <w:rPr>
          <w:sz w:val="20"/>
          <w:szCs w:val="20"/>
          <w:color w:val="auto"/>
        </w:rPr>
      </w:pPr>
      <w:r>
        <w:rPr>
          <w:rFonts w:ascii="Arial" w:cs="Arial" w:eastAsia="Arial" w:hAnsi="Arial"/>
          <w:sz w:val="12"/>
          <w:szCs w:val="12"/>
          <w:color w:val="auto"/>
        </w:rPr>
        <w:t>The information in this report, including information contained in the exhibits submitted with this report, shall not be deemed “filed” for purposes of Section 18 of the Securities Exchange Act of 1934, or otherwise subject to the liabilities of Section 18, nor shall it be deemed incorporated by reference into any disclosure document relating to Fannie Mae (formally known as the Federal National Mortgage Association), except to the extent, if any, expressly incorporated by specific reference in that document.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On October 29, 2025, Fannie Mae filed its quarterly report on Form 10-Q for the quarter ended September 30, 2025 and is issuing a press release reporting its financial results for the periods covered by the</w:t>
      </w:r>
    </w:p>
    <w:p>
      <w:pPr>
        <w:spacing w:after="0" w:line="1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Form 10-Q, as well as an earnings presentation and a financial supplement. Copies of the press release, earnings presentation, and financial supplement are furnished as Exhibits 99.1, 99.2, and 99.3, respectively, to this report and are incorporated herein by reference. Copies may also be found on Fannie Mae’s website, www.fanniemae.com, in the “About Us” section under “Investor Relations/Quarterly and Annual Results.” Information appearing on the company’s website is not incorporated into this report.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u w:val="single" w:color="auto"/>
          <w:color w:val="auto"/>
        </w:rPr>
        <w:t>Exhibits</w:t>
      </w:r>
      <w:r>
        <w:rPr>
          <w:rFonts w:ascii="Arial" w:cs="Arial" w:eastAsia="Arial" w:hAnsi="Arial"/>
          <w:sz w:val="12"/>
          <w:szCs w:val="12"/>
          <w:color w:val="auto"/>
        </w:rPr>
        <w:t>. The following exhibits are being submitted with this report: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700" w:type="dxa"/>
            <w:vAlign w:val="bottom"/>
          </w:tcPr>
          <w:p>
            <w:pPr>
              <w:ind w:left="40"/>
              <w:spacing w:after="0"/>
              <w:rPr>
                <w:sz w:val="20"/>
                <w:szCs w:val="20"/>
                <w:color w:val="auto"/>
              </w:rPr>
            </w:pPr>
            <w:r>
              <w:rPr>
                <w:rFonts w:ascii="Arial" w:cs="Arial" w:eastAsia="Arial" w:hAnsi="Arial"/>
                <w:sz w:val="10"/>
                <w:szCs w:val="10"/>
                <w:b w:val="1"/>
                <w:bCs w:val="1"/>
                <w:color w:val="auto"/>
              </w:rPr>
              <w:t>Exhibit Number</w:t>
            </w:r>
          </w:p>
        </w:tc>
        <w:tc>
          <w:tcPr>
            <w:tcW w:w="9600" w:type="dxa"/>
            <w:vAlign w:val="bottom"/>
            <w:gridSpan w:val="4"/>
          </w:tcPr>
          <w:p>
            <w:pPr>
              <w:spacing w:after="0"/>
              <w:rPr>
                <w:sz w:val="20"/>
                <w:szCs w:val="20"/>
                <w:color w:val="auto"/>
              </w:rPr>
            </w:pPr>
            <w:r>
              <w:rPr>
                <w:rFonts w:ascii="Arial" w:cs="Arial" w:eastAsia="Arial" w:hAnsi="Arial"/>
                <w:sz w:val="10"/>
                <w:szCs w:val="10"/>
                <w:b w:val="1"/>
                <w:bCs w:val="1"/>
                <w:color w:val="auto"/>
              </w:rPr>
              <w:t>Description of Exhibit</w:t>
            </w:r>
          </w:p>
        </w:tc>
      </w:tr>
      <w:tr>
        <w:trPr>
          <w:trHeight w:val="130"/>
        </w:trPr>
        <w:tc>
          <w:tcPr>
            <w:tcW w:w="1700" w:type="dxa"/>
            <w:vAlign w:val="bottom"/>
          </w:tcPr>
          <w:p>
            <w:pPr>
              <w:ind w:left="40"/>
              <w:spacing w:after="0" w:line="130" w:lineRule="exact"/>
              <w:rPr>
                <w:sz w:val="20"/>
                <w:szCs w:val="20"/>
                <w:color w:val="auto"/>
              </w:rPr>
            </w:pPr>
            <w:r>
              <w:rPr>
                <w:rFonts w:ascii="Arial" w:cs="Arial" w:eastAsia="Arial" w:hAnsi="Arial"/>
                <w:sz w:val="12"/>
                <w:szCs w:val="12"/>
                <w:color w:val="auto"/>
              </w:rPr>
              <w:t>99.1</w:t>
            </w:r>
          </w:p>
        </w:tc>
        <w:tc>
          <w:tcPr>
            <w:tcW w:w="9600" w:type="dxa"/>
            <w:vAlign w:val="bottom"/>
            <w:gridSpan w:val="4"/>
          </w:tcPr>
          <w:p>
            <w:pPr>
              <w:spacing w:after="0" w:line="130" w:lineRule="exact"/>
              <w:rPr>
                <w:sz w:val="20"/>
                <w:szCs w:val="20"/>
                <w:color w:val="auto"/>
              </w:rPr>
            </w:pPr>
            <w:r>
              <w:rPr>
                <w:rFonts w:ascii="Arial" w:cs="Arial" w:eastAsia="Arial" w:hAnsi="Arial"/>
                <w:sz w:val="12"/>
                <w:szCs w:val="12"/>
                <w:color w:val="0000FF"/>
              </w:rPr>
              <w:t>Press release, dated October 29, 2025</w:t>
            </w:r>
          </w:p>
        </w:tc>
      </w:tr>
      <w:tr>
        <w:trPr>
          <w:trHeight w:val="20"/>
        </w:trPr>
        <w:tc>
          <w:tcPr>
            <w:tcW w:w="170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33"/>
        </w:trPr>
        <w:tc>
          <w:tcPr>
            <w:tcW w:w="1700" w:type="dxa"/>
            <w:vAlign w:val="bottom"/>
          </w:tcPr>
          <w:p>
            <w:pPr>
              <w:ind w:left="40"/>
              <w:spacing w:after="0" w:line="133" w:lineRule="exact"/>
              <w:rPr>
                <w:sz w:val="20"/>
                <w:szCs w:val="20"/>
                <w:color w:val="auto"/>
              </w:rPr>
            </w:pPr>
            <w:r>
              <w:rPr>
                <w:rFonts w:ascii="Arial" w:cs="Arial" w:eastAsia="Arial" w:hAnsi="Arial"/>
                <w:sz w:val="12"/>
                <w:szCs w:val="12"/>
                <w:color w:val="auto"/>
              </w:rPr>
              <w:t>99.2</w:t>
            </w:r>
          </w:p>
        </w:tc>
        <w:tc>
          <w:tcPr>
            <w:tcW w:w="9600" w:type="dxa"/>
            <w:vAlign w:val="bottom"/>
            <w:gridSpan w:val="4"/>
          </w:tcPr>
          <w:p>
            <w:pPr>
              <w:spacing w:after="0" w:line="133" w:lineRule="exact"/>
              <w:rPr>
                <w:sz w:val="20"/>
                <w:szCs w:val="20"/>
                <w:color w:val="auto"/>
              </w:rPr>
            </w:pPr>
            <w:r>
              <w:rPr>
                <w:rFonts w:ascii="Arial" w:cs="Arial" w:eastAsia="Arial" w:hAnsi="Arial"/>
                <w:sz w:val="12"/>
                <w:szCs w:val="12"/>
                <w:color w:val="0000FF"/>
              </w:rPr>
              <w:t>3Q 2025 Earnings Presentation, dated October 29, 2025</w:t>
            </w:r>
          </w:p>
        </w:tc>
      </w:tr>
      <w:tr>
        <w:trPr>
          <w:trHeight w:val="20"/>
        </w:trPr>
        <w:tc>
          <w:tcPr>
            <w:tcW w:w="1700" w:type="dxa"/>
            <w:vAlign w:val="bottom"/>
          </w:tcPr>
          <w:p>
            <w:pPr>
              <w:spacing w:after="0" w:line="20" w:lineRule="exact"/>
              <w:rPr>
                <w:sz w:val="1"/>
                <w:szCs w:val="1"/>
                <w:color w:val="auto"/>
              </w:rPr>
            </w:pPr>
          </w:p>
        </w:tc>
        <w:tc>
          <w:tcPr>
            <w:tcW w:w="30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r>
        <w:trPr>
          <w:trHeight w:val="133"/>
        </w:trPr>
        <w:tc>
          <w:tcPr>
            <w:tcW w:w="1700" w:type="dxa"/>
            <w:vAlign w:val="bottom"/>
          </w:tcPr>
          <w:p>
            <w:pPr>
              <w:ind w:left="40"/>
              <w:spacing w:after="0" w:line="133" w:lineRule="exact"/>
              <w:rPr>
                <w:sz w:val="20"/>
                <w:szCs w:val="20"/>
                <w:color w:val="auto"/>
              </w:rPr>
            </w:pPr>
            <w:r>
              <w:rPr>
                <w:rFonts w:ascii="Arial" w:cs="Arial" w:eastAsia="Arial" w:hAnsi="Arial"/>
                <w:sz w:val="12"/>
                <w:szCs w:val="12"/>
                <w:color w:val="auto"/>
              </w:rPr>
              <w:t>99.3</w:t>
            </w:r>
          </w:p>
        </w:tc>
        <w:tc>
          <w:tcPr>
            <w:tcW w:w="3540" w:type="dxa"/>
            <w:vAlign w:val="bottom"/>
            <w:tcBorders>
              <w:bottom w:val="single" w:sz="8" w:color="0000FF"/>
            </w:tcBorders>
            <w:gridSpan w:val="3"/>
          </w:tcPr>
          <w:p>
            <w:pPr>
              <w:spacing w:after="0" w:line="133" w:lineRule="exact"/>
              <w:rPr>
                <w:sz w:val="20"/>
                <w:szCs w:val="20"/>
                <w:color w:val="auto"/>
              </w:rPr>
            </w:pPr>
            <w:r>
              <w:rPr>
                <w:rFonts w:ascii="Arial" w:cs="Arial" w:eastAsia="Arial" w:hAnsi="Arial"/>
                <w:sz w:val="12"/>
                <w:szCs w:val="12"/>
                <w:color w:val="0000FF"/>
                <w:w w:val="99"/>
              </w:rPr>
              <w:t>Third Quarter 2025 Financial Supplement, dated October 29, 2025</w:t>
            </w:r>
          </w:p>
        </w:tc>
        <w:tc>
          <w:tcPr>
            <w:tcW w:w="6060" w:type="dxa"/>
            <w:vAlign w:val="bottom"/>
          </w:tcPr>
          <w:p>
            <w:pPr>
              <w:spacing w:after="0"/>
              <w:rPr>
                <w:sz w:val="11"/>
                <w:szCs w:val="11"/>
                <w:color w:val="auto"/>
              </w:rPr>
            </w:pPr>
          </w:p>
        </w:tc>
      </w:tr>
      <w:tr>
        <w:trPr>
          <w:trHeight w:val="162"/>
        </w:trPr>
        <w:tc>
          <w:tcPr>
            <w:tcW w:w="1700" w:type="dxa"/>
            <w:vAlign w:val="bottom"/>
          </w:tcPr>
          <w:p>
            <w:pPr>
              <w:ind w:left="40"/>
              <w:spacing w:after="0"/>
              <w:rPr>
                <w:sz w:val="20"/>
                <w:szCs w:val="20"/>
                <w:color w:val="auto"/>
              </w:rPr>
            </w:pPr>
            <w:r>
              <w:rPr>
                <w:rFonts w:ascii="Arial" w:cs="Arial" w:eastAsia="Arial" w:hAnsi="Arial"/>
                <w:sz w:val="12"/>
                <w:szCs w:val="12"/>
                <w:color w:val="auto"/>
              </w:rPr>
              <w:t>104</w:t>
            </w:r>
          </w:p>
        </w:tc>
        <w:tc>
          <w:tcPr>
            <w:tcW w:w="960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871"/>
        </w:trPr>
        <w:tc>
          <w:tcPr>
            <w:tcW w:w="17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2" w:name="page3"/>
    <w:bookmarkEnd w:id="2"/>
    <w:p>
      <w:pPr>
        <w:ind w:left="5260"/>
        <w:spacing w:after="0"/>
        <w:rPr>
          <w:sz w:val="20"/>
          <w:szCs w:val="20"/>
          <w:color w:val="auto"/>
        </w:rPr>
      </w:pPr>
      <w:r>
        <w:rPr>
          <w:rFonts w:ascii="Arial" w:cs="Arial" w:eastAsia="Arial" w:hAnsi="Arial"/>
          <w:sz w:val="12"/>
          <w:szCs w:val="12"/>
          <w:b w:val="1"/>
          <w:bCs w:val="1"/>
          <w:color w:val="auto"/>
        </w:rPr>
        <w:t>SIGNATURES</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FEDERAL NATIONAL MORTGAGE ASSOCIATION</w:t>
      </w:r>
    </w:p>
    <w:p>
      <w:pPr>
        <w:spacing w:after="0" w:line="330" w:lineRule="exact"/>
        <w:rPr>
          <w:sz w:val="20"/>
          <w:szCs w:val="20"/>
          <w:color w:val="auto"/>
        </w:rPr>
      </w:pPr>
    </w:p>
    <w:p>
      <w:pPr>
        <w:ind w:left="5760"/>
        <w:spacing w:after="0"/>
        <w:tabs>
          <w:tab w:leader="none" w:pos="6040" w:val="left"/>
        </w:tabs>
        <w:rPr>
          <w:sz w:val="20"/>
          <w:szCs w:val="20"/>
          <w:color w:val="auto"/>
        </w:rPr>
      </w:pPr>
      <w:r>
        <w:rPr>
          <w:rFonts w:ascii="Arial" w:cs="Arial" w:eastAsia="Arial" w:hAnsi="Arial"/>
          <w:sz w:val="12"/>
          <w:szCs w:val="12"/>
          <w:color w:val="auto"/>
        </w:rPr>
        <w:t>By:</w:t>
        <w:tab/>
        <w:t>/s/ Chryssa C. Halley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12065</wp:posOffset>
            </wp:positionV>
            <wp:extent cx="332041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spacing w:after="0" w:line="4"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Chryssa C. Halley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Executive Vice President and Chief Financial Officer</w:t>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color w:val="auto"/>
        </w:rPr>
        <w:t>Date: October 29, 2025</w:t>
      </w:r>
    </w:p>
    <w:p>
      <w:pPr>
        <w:sectPr>
          <w:pgSz w:w="11900" w:h="16838" w:orient="portrait"/>
          <w:cols w:equalWidth="0" w:num="1">
            <w:col w:w="10159"/>
          </w:cols>
          <w:pgMar w:left="300" w:top="64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Exhibit 99.1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05314D"/>
        </w:rPr>
        <w:t>Fannie Mae 3Q Net Income of $3.9 Billion is 31</w:t>
      </w:r>
      <w:r>
        <w:rPr>
          <w:rFonts w:ascii="Arial" w:cs="Arial" w:eastAsia="Arial" w:hAnsi="Arial"/>
          <w:sz w:val="26"/>
          <w:szCs w:val="26"/>
          <w:b w:val="1"/>
          <w:bCs w:val="1"/>
          <w:color w:val="05314D"/>
          <w:vertAlign w:val="superscript"/>
        </w:rPr>
        <w:t>st</w:t>
      </w:r>
      <w:r>
        <w:rPr>
          <w:rFonts w:ascii="Arial" w:cs="Arial" w:eastAsia="Arial" w:hAnsi="Arial"/>
          <w:sz w:val="20"/>
          <w:szCs w:val="20"/>
          <w:b w:val="1"/>
          <w:bCs w:val="1"/>
          <w:color w:val="05314D"/>
        </w:rPr>
        <w:t xml:space="preserve"> Consecutive Quarterly Profit</w:t>
      </w:r>
    </w:p>
    <w:p>
      <w:pPr>
        <w:spacing w:after="0" w:line="29"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3"/>
          <w:szCs w:val="13"/>
          <w:color w:val="auto"/>
        </w:rPr>
      </w:pPr>
      <w:r>
        <w:rPr>
          <w:rFonts w:ascii="Arial" w:cs="Arial" w:eastAsia="Arial" w:hAnsi="Arial"/>
          <w:sz w:val="13"/>
          <w:szCs w:val="13"/>
          <w:i w:val="1"/>
          <w:iCs w:val="1"/>
          <w:color w:val="auto"/>
        </w:rPr>
        <w:t>Net revenues</w:t>
      </w:r>
      <w:r>
        <w:rPr>
          <w:rFonts w:ascii="Arial" w:cs="Arial" w:eastAsia="Arial" w:hAnsi="Arial"/>
          <w:sz w:val="7"/>
          <w:szCs w:val="7"/>
          <w:i w:val="1"/>
          <w:iCs w:val="1"/>
          <w:color w:val="auto"/>
        </w:rPr>
        <w:t>(1)</w:t>
      </w:r>
      <w:r>
        <w:rPr>
          <w:rFonts w:ascii="Arial" w:cs="Arial" w:eastAsia="Arial" w:hAnsi="Arial"/>
          <w:sz w:val="13"/>
          <w:szCs w:val="13"/>
          <w:i w:val="1"/>
          <w:iCs w:val="1"/>
          <w:color w:val="auto"/>
        </w:rPr>
        <w:t xml:space="preserve"> remained stable at $7.3 billion, with guaranty fee income up slightly on quarterly basis</w:t>
      </w:r>
    </w:p>
    <w:p>
      <w:pPr>
        <w:spacing w:after="0" w:line="36" w:lineRule="exact"/>
        <w:rPr>
          <w:rFonts w:ascii="Arial" w:cs="Arial" w:eastAsia="Arial" w:hAnsi="Arial"/>
          <w:sz w:val="13"/>
          <w:szCs w:val="13"/>
          <w:color w:val="auto"/>
        </w:rPr>
      </w:pPr>
    </w:p>
    <w:p>
      <w:pPr>
        <w:ind w:left="420" w:hanging="212"/>
        <w:spacing w:after="0"/>
        <w:tabs>
          <w:tab w:leader="none" w:pos="42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Illustrative return on average required CET1</w:t>
      </w:r>
      <w:r>
        <w:rPr>
          <w:rFonts w:ascii="Arial" w:cs="Arial" w:eastAsia="Arial" w:hAnsi="Arial"/>
          <w:sz w:val="7"/>
          <w:szCs w:val="7"/>
          <w:i w:val="1"/>
          <w:iCs w:val="1"/>
          <w:color w:val="auto"/>
        </w:rPr>
        <w:t>(2)</w:t>
      </w:r>
      <w:r>
        <w:rPr>
          <w:rFonts w:ascii="Arial" w:cs="Arial" w:eastAsia="Arial" w:hAnsi="Arial"/>
          <w:sz w:val="13"/>
          <w:szCs w:val="13"/>
          <w:i w:val="1"/>
          <w:iCs w:val="1"/>
          <w:color w:val="auto"/>
        </w:rPr>
        <w:t xml:space="preserve"> capital of 10.3%, compared with 9.9% for second quarter</w:t>
      </w:r>
    </w:p>
    <w:p>
      <w:pPr>
        <w:spacing w:after="0" w:line="48" w:lineRule="exact"/>
        <w:rPr>
          <w:rFonts w:ascii="Arial" w:cs="Arial" w:eastAsia="Arial" w:hAnsi="Arial"/>
          <w:sz w:val="13"/>
          <w:szCs w:val="13"/>
          <w:i w:val="1"/>
          <w:iCs w:val="1"/>
          <w:color w:val="auto"/>
        </w:rPr>
      </w:pPr>
    </w:p>
    <w:p>
      <w:pPr>
        <w:ind w:left="420" w:hanging="212"/>
        <w:spacing w:after="0"/>
        <w:tabs>
          <w:tab w:leader="none" w:pos="420" w:val="left"/>
        </w:tabs>
        <w:numPr>
          <w:ilvl w:val="0"/>
          <w:numId w:val="2"/>
        </w:numPr>
        <w:rPr>
          <w:rFonts w:ascii="Arial" w:cs="Arial" w:eastAsia="Arial" w:hAnsi="Arial"/>
          <w:sz w:val="13"/>
          <w:szCs w:val="13"/>
          <w:i w:val="1"/>
          <w:iCs w:val="1"/>
          <w:color w:val="auto"/>
        </w:rPr>
      </w:pPr>
      <w:r>
        <w:rPr>
          <w:rFonts w:ascii="Arial" w:cs="Arial" w:eastAsia="Arial" w:hAnsi="Arial"/>
          <w:sz w:val="13"/>
          <w:szCs w:val="13"/>
          <w:i w:val="1"/>
          <w:iCs w:val="1"/>
          <w:color w:val="auto"/>
        </w:rPr>
        <w:t>Net worth grew to $105.5 billion; $92.0 billion added since the start of 2020</w:t>
      </w:r>
    </w:p>
    <w:p>
      <w:pPr>
        <w:spacing w:after="0" w:line="239" w:lineRule="exact"/>
        <w:rPr>
          <w:sz w:val="20"/>
          <w:szCs w:val="20"/>
          <w:color w:val="auto"/>
        </w:rPr>
      </w:pPr>
    </w:p>
    <w:p>
      <w:pPr>
        <w:ind w:right="40"/>
        <w:spacing w:after="0" w:line="260" w:lineRule="auto"/>
        <w:rPr>
          <w:sz w:val="20"/>
          <w:szCs w:val="20"/>
          <w:color w:val="auto"/>
        </w:rPr>
      </w:pPr>
      <w:r>
        <w:rPr>
          <w:rFonts w:ascii="Arial" w:cs="Arial" w:eastAsia="Arial" w:hAnsi="Arial"/>
          <w:sz w:val="12"/>
          <w:szCs w:val="12"/>
          <w:b w:val="1"/>
          <w:bCs w:val="1"/>
          <w:color w:val="auto"/>
        </w:rPr>
        <w:t xml:space="preserve">WASHINGTON, DC – October 29, 2025 – </w:t>
      </w:r>
      <w:r>
        <w:rPr>
          <w:rFonts w:ascii="Arial" w:cs="Arial" w:eastAsia="Arial" w:hAnsi="Arial"/>
          <w:sz w:val="12"/>
          <w:szCs w:val="12"/>
          <w:color w:val="auto"/>
        </w:rPr>
        <w:t>Fannie Mae (FNMA/OTCQB) earned $3.9 billion for the third quarter of 2025, compared with $3.3 billion for the second quarter of 2025. Net revenues remained stable;</w:t>
      </w:r>
      <w:r>
        <w:rPr>
          <w:rFonts w:ascii="Arial" w:cs="Arial" w:eastAsia="Arial" w:hAnsi="Arial"/>
          <w:sz w:val="12"/>
          <w:szCs w:val="12"/>
          <w:b w:val="1"/>
          <w:bCs w:val="1"/>
          <w:color w:val="auto"/>
        </w:rPr>
        <w:t xml:space="preserve"> </w:t>
      </w:r>
      <w:r>
        <w:rPr>
          <w:rFonts w:ascii="Arial" w:cs="Arial" w:eastAsia="Arial" w:hAnsi="Arial"/>
          <w:sz w:val="12"/>
          <w:szCs w:val="12"/>
          <w:color w:val="auto"/>
        </w:rPr>
        <w:t>the increase in net income from the previous quarter was driven primarily by reductions in the provision for credit losses and non-interest expense, partially offset by lower fair value gains. The Company's net worth increased to $105.5 billion as of September 30, 2025.</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William J. Pulte, Director, U.S. Federal Housing, and Chairman, Fannie Mae Board of Directors</w:t>
      </w:r>
    </w:p>
    <w:p>
      <w:pPr>
        <w:spacing w:after="0" w:line="9" w:lineRule="exact"/>
        <w:rPr>
          <w:sz w:val="20"/>
          <w:szCs w:val="20"/>
          <w:color w:val="auto"/>
        </w:rPr>
      </w:pPr>
    </w:p>
    <w:p>
      <w:pPr>
        <w:ind w:right="260"/>
        <w:spacing w:after="0" w:line="250" w:lineRule="auto"/>
        <w:rPr>
          <w:sz w:val="20"/>
          <w:szCs w:val="20"/>
          <w:color w:val="auto"/>
        </w:rPr>
      </w:pPr>
      <w:r>
        <w:rPr>
          <w:rFonts w:ascii="Arial" w:cs="Arial" w:eastAsia="Arial" w:hAnsi="Arial"/>
          <w:sz w:val="12"/>
          <w:szCs w:val="12"/>
          <w:color w:val="auto"/>
        </w:rPr>
        <w:t>“Fannie Mae is operating with greater business focus than ever. Trimming $173 million in administrative expenses since the first quarter of 2025, we have grown our net worth to over $105 billion. Fannie Mae’s strong leadership team continues to perform at a high level, with earnings up $542 million from the second quarter to $3.9 billion this quarter while reliably meeting the housing needs of borrowers and renters across the United States.”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Chryssa C. Halley, Chief Financial Officer, Fannie Mae</w:t>
      </w:r>
      <w:r>
        <w:rPr>
          <w:rFonts w:ascii="Arial" w:cs="Arial" w:eastAsia="Arial" w:hAnsi="Arial"/>
          <w:sz w:val="12"/>
          <w:szCs w:val="12"/>
          <w:color w:val="085280"/>
        </w:rPr>
        <w:t>:</w:t>
      </w:r>
    </w:p>
    <w:p>
      <w:pPr>
        <w:spacing w:after="0" w:line="18" w:lineRule="exact"/>
        <w:rPr>
          <w:sz w:val="20"/>
          <w:szCs w:val="20"/>
          <w:color w:val="auto"/>
        </w:rPr>
      </w:pPr>
    </w:p>
    <w:p>
      <w:pPr>
        <w:ind w:right="460"/>
        <w:spacing w:after="0" w:line="249" w:lineRule="auto"/>
        <w:rPr>
          <w:sz w:val="20"/>
          <w:szCs w:val="20"/>
          <w:color w:val="auto"/>
        </w:rPr>
      </w:pPr>
      <w:r>
        <w:rPr>
          <w:rFonts w:ascii="Arial" w:cs="Arial" w:eastAsia="Arial" w:hAnsi="Arial"/>
          <w:sz w:val="12"/>
          <w:szCs w:val="12"/>
          <w:color w:val="auto"/>
        </w:rPr>
        <w:t>“We delivered $3.9 billion in net income for the third quarter and $10.8 billion year to date, underscoring the strength and resilience of our earnings. Net revenues remained steady at $7.3 billion this quarter, reflecting the consistency of our guaranty fee-driven business model. Our performance underscores our commitment to the long-term financial health of Fannie Mae.”</w:t>
      </w:r>
    </w:p>
    <w:p>
      <w:pPr>
        <w:spacing w:after="0" w:line="134" w:lineRule="exact"/>
        <w:rPr>
          <w:sz w:val="20"/>
          <w:szCs w:val="20"/>
          <w:color w:val="auto"/>
        </w:rPr>
      </w:pPr>
    </w:p>
    <w:p>
      <w:pPr>
        <w:ind w:right="820"/>
        <w:spacing w:after="0" w:line="286" w:lineRule="auto"/>
        <w:rPr>
          <w:sz w:val="20"/>
          <w:szCs w:val="20"/>
          <w:color w:val="auto"/>
        </w:rPr>
      </w:pPr>
      <w:r>
        <w:rPr>
          <w:rFonts w:ascii="Arial" w:cs="Arial" w:eastAsia="Arial" w:hAnsi="Arial"/>
          <w:sz w:val="12"/>
          <w:szCs w:val="12"/>
          <w:color w:val="auto"/>
        </w:rPr>
        <w:t>More information, including access to the webcast featuring our earnings presentation, our 3Q 2025 Form 10-Q, and other disclosures, can be found on our Quarterly and Annual Results webpage at fanniemae.com/financialresults.</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Third Quarter 2025 Key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66610" cy="142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6610" cy="142875"/>
                    </a:xfrm>
                    <a:prstGeom prst="rect">
                      <a:avLst/>
                    </a:prstGeom>
                    <a:noFill/>
                  </pic:spPr>
                </pic:pic>
              </a:graphicData>
            </a:graphic>
          </wp:anchor>
        </w:drawing>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314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$3.9 billion</w:t>
            </w:r>
          </w:p>
        </w:tc>
        <w:tc>
          <w:tcPr>
            <w:tcW w:w="340" w:type="dxa"/>
            <w:vAlign w:val="bottom"/>
          </w:tcPr>
          <w:p>
            <w:pPr>
              <w:spacing w:after="0"/>
              <w:rPr>
                <w:sz w:val="21"/>
                <w:szCs w:val="21"/>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$105.5 billion</w:t>
            </w:r>
          </w:p>
        </w:tc>
        <w:tc>
          <w:tcPr>
            <w:tcW w:w="340" w:type="dxa"/>
            <w:vAlign w:val="bottom"/>
          </w:tcPr>
          <w:p>
            <w:pPr>
              <w:spacing w:after="0"/>
              <w:rPr>
                <w:sz w:val="21"/>
                <w:szCs w:val="21"/>
                <w:color w:val="auto"/>
              </w:rPr>
            </w:pPr>
          </w:p>
        </w:tc>
        <w:tc>
          <w:tcPr>
            <w:tcW w:w="3400" w:type="dxa"/>
            <w:vAlign w:val="bottom"/>
            <w:shd w:val="clear" w:color="auto" w:fill="F8F8F7"/>
          </w:tcPr>
          <w:p>
            <w:pPr>
              <w:jc w:val="center"/>
              <w:spacing w:after="0"/>
              <w:rPr>
                <w:sz w:val="20"/>
                <w:szCs w:val="20"/>
                <w:color w:val="auto"/>
              </w:rPr>
            </w:pPr>
            <w:r>
              <w:rPr>
                <w:rFonts w:ascii="Arial" w:cs="Arial" w:eastAsia="Arial" w:hAnsi="Arial"/>
                <w:sz w:val="22"/>
                <w:szCs w:val="22"/>
                <w:b w:val="1"/>
                <w:bCs w:val="1"/>
                <w:color w:val="085280"/>
                <w:w w:val="98"/>
              </w:rPr>
              <w:t>$7.3 billion</w:t>
            </w:r>
          </w:p>
        </w:tc>
        <w:tc>
          <w:tcPr>
            <w:tcW w:w="0" w:type="dxa"/>
            <w:vAlign w:val="bottom"/>
          </w:tcPr>
          <w:p>
            <w:pPr>
              <w:spacing w:after="0"/>
              <w:rPr>
                <w:sz w:val="1"/>
                <w:szCs w:val="1"/>
                <w:color w:val="auto"/>
              </w:rPr>
            </w:pPr>
          </w:p>
        </w:tc>
      </w:tr>
      <w:tr>
        <w:trPr>
          <w:trHeight w:val="177"/>
        </w:trPr>
        <w:tc>
          <w:tcPr>
            <w:tcW w:w="314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Net Income</w:t>
            </w:r>
          </w:p>
        </w:tc>
        <w:tc>
          <w:tcPr>
            <w:tcW w:w="340" w:type="dxa"/>
            <w:vAlign w:val="bottom"/>
          </w:tcPr>
          <w:p>
            <w:pPr>
              <w:spacing w:after="0"/>
              <w:rPr>
                <w:sz w:val="15"/>
                <w:szCs w:val="15"/>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Net Worth</w:t>
            </w:r>
          </w:p>
        </w:tc>
        <w:tc>
          <w:tcPr>
            <w:tcW w:w="340" w:type="dxa"/>
            <w:vAlign w:val="bottom"/>
          </w:tcPr>
          <w:p>
            <w:pPr>
              <w:spacing w:after="0"/>
              <w:rPr>
                <w:sz w:val="15"/>
                <w:szCs w:val="15"/>
                <w:color w:val="auto"/>
              </w:rPr>
            </w:pPr>
          </w:p>
        </w:tc>
        <w:tc>
          <w:tcPr>
            <w:tcW w:w="3400" w:type="dxa"/>
            <w:vAlign w:val="bottom"/>
            <w:shd w:val="clear" w:color="auto" w:fill="F8F8F7"/>
          </w:tcPr>
          <w:p>
            <w:pPr>
              <w:jc w:val="center"/>
              <w:spacing w:after="0" w:line="176" w:lineRule="exact"/>
              <w:rPr>
                <w:sz w:val="20"/>
                <w:szCs w:val="20"/>
                <w:color w:val="auto"/>
              </w:rPr>
            </w:pPr>
            <w:r>
              <w:rPr>
                <w:rFonts w:ascii="Arial" w:cs="Arial" w:eastAsia="Arial" w:hAnsi="Arial"/>
                <w:sz w:val="13"/>
                <w:szCs w:val="13"/>
                <w:b w:val="1"/>
                <w:bCs w:val="1"/>
                <w:color w:val="auto"/>
                <w:w w:val="98"/>
              </w:rPr>
              <w:t>Net Revenues</w:t>
            </w:r>
            <w:r>
              <w:rPr>
                <w:rFonts w:ascii="Arial" w:cs="Arial" w:eastAsia="Arial" w:hAnsi="Arial"/>
                <w:sz w:val="17"/>
                <w:szCs w:val="17"/>
                <w:b w:val="1"/>
                <w:bCs w:val="1"/>
                <w:color w:val="auto"/>
                <w:w w:val="98"/>
                <w:vertAlign w:val="superscript"/>
              </w:rPr>
              <w:t>(1)</w:t>
            </w:r>
          </w:p>
        </w:tc>
        <w:tc>
          <w:tcPr>
            <w:tcW w:w="0" w:type="dxa"/>
            <w:vAlign w:val="bottom"/>
          </w:tcPr>
          <w:p>
            <w:pPr>
              <w:spacing w:after="0"/>
              <w:rPr>
                <w:sz w:val="1"/>
                <w:szCs w:val="1"/>
                <w:color w:val="auto"/>
              </w:rPr>
            </w:pPr>
          </w:p>
        </w:tc>
      </w:tr>
      <w:tr>
        <w:trPr>
          <w:trHeight w:val="144"/>
        </w:trPr>
        <w:tc>
          <w:tcPr>
            <w:tcW w:w="314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7"/>
              </w:rPr>
              <w:t>($3.3 billion in 2Q 2025)</w:t>
            </w:r>
          </w:p>
        </w:tc>
        <w:tc>
          <w:tcPr>
            <w:tcW w:w="340" w:type="dxa"/>
            <w:vAlign w:val="bottom"/>
          </w:tcPr>
          <w:p>
            <w:pPr>
              <w:spacing w:after="0"/>
              <w:rPr>
                <w:sz w:val="12"/>
                <w:szCs w:val="12"/>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9"/>
              </w:rPr>
              <w:t>($101.6 billion in 2Q 2025)</w:t>
            </w:r>
          </w:p>
        </w:tc>
        <w:tc>
          <w:tcPr>
            <w:tcW w:w="340" w:type="dxa"/>
            <w:vAlign w:val="bottom"/>
          </w:tcPr>
          <w:p>
            <w:pPr>
              <w:spacing w:after="0"/>
              <w:rPr>
                <w:sz w:val="12"/>
                <w:szCs w:val="12"/>
                <w:color w:val="auto"/>
              </w:rPr>
            </w:pPr>
          </w:p>
        </w:tc>
        <w:tc>
          <w:tcPr>
            <w:tcW w:w="340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7"/>
              </w:rPr>
              <w:t>($7.2 billion in 2Q 2025)</w:t>
            </w:r>
          </w:p>
        </w:tc>
        <w:tc>
          <w:tcPr>
            <w:tcW w:w="0" w:type="dxa"/>
            <w:vAlign w:val="bottom"/>
          </w:tcPr>
          <w:p>
            <w:pPr>
              <w:spacing w:after="0"/>
              <w:rPr>
                <w:sz w:val="1"/>
                <w:szCs w:val="1"/>
                <w:color w:val="auto"/>
              </w:rPr>
            </w:pPr>
          </w:p>
        </w:tc>
      </w:tr>
      <w:tr>
        <w:trPr>
          <w:trHeight w:val="99"/>
        </w:trPr>
        <w:tc>
          <w:tcPr>
            <w:tcW w:w="314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34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3140" w:type="dxa"/>
            <w:vAlign w:val="bottom"/>
            <w:shd w:val="clear" w:color="auto" w:fill="F8F8F7"/>
          </w:tcPr>
          <w:p>
            <w:pPr>
              <w:jc w:val="center"/>
              <w:spacing w:after="0" w:line="246" w:lineRule="exact"/>
              <w:rPr>
                <w:sz w:val="20"/>
                <w:szCs w:val="20"/>
                <w:color w:val="auto"/>
              </w:rPr>
            </w:pPr>
            <w:r>
              <w:rPr>
                <w:rFonts w:ascii="Arial" w:cs="Arial" w:eastAsia="Arial" w:hAnsi="Arial"/>
                <w:sz w:val="22"/>
                <w:szCs w:val="22"/>
                <w:b w:val="1"/>
                <w:bCs w:val="1"/>
                <w:color w:val="085280"/>
                <w:w w:val="98"/>
              </w:rPr>
              <w:t>$4.1 trillion</w:t>
            </w:r>
          </w:p>
        </w:tc>
        <w:tc>
          <w:tcPr>
            <w:tcW w:w="340" w:type="dxa"/>
            <w:vAlign w:val="bottom"/>
            <w:vMerge w:val="continue"/>
          </w:tcPr>
          <w:p>
            <w:pPr>
              <w:spacing w:after="0"/>
              <w:rPr>
                <w:sz w:val="21"/>
                <w:szCs w:val="21"/>
                <w:color w:val="auto"/>
              </w:rPr>
            </w:pPr>
          </w:p>
        </w:tc>
        <w:tc>
          <w:tcPr>
            <w:tcW w:w="3360" w:type="dxa"/>
            <w:vAlign w:val="bottom"/>
            <w:shd w:val="clear" w:color="auto" w:fill="F8F8F7"/>
          </w:tcPr>
          <w:p>
            <w:pPr>
              <w:jc w:val="center"/>
              <w:spacing w:after="0" w:line="246" w:lineRule="exact"/>
              <w:rPr>
                <w:sz w:val="20"/>
                <w:szCs w:val="20"/>
                <w:color w:val="auto"/>
              </w:rPr>
            </w:pPr>
            <w:r>
              <w:rPr>
                <w:rFonts w:ascii="Arial" w:cs="Arial" w:eastAsia="Arial" w:hAnsi="Arial"/>
                <w:sz w:val="22"/>
                <w:szCs w:val="22"/>
                <w:b w:val="1"/>
                <w:bCs w:val="1"/>
                <w:color w:val="085280"/>
                <w:w w:val="96"/>
              </w:rPr>
              <w:t>29.3%</w:t>
            </w:r>
          </w:p>
        </w:tc>
        <w:tc>
          <w:tcPr>
            <w:tcW w:w="340" w:type="dxa"/>
            <w:vAlign w:val="bottom"/>
            <w:vMerge w:val="continue"/>
          </w:tcPr>
          <w:p>
            <w:pPr>
              <w:spacing w:after="0"/>
              <w:rPr>
                <w:sz w:val="21"/>
                <w:szCs w:val="21"/>
                <w:color w:val="auto"/>
              </w:rPr>
            </w:pPr>
          </w:p>
        </w:tc>
        <w:tc>
          <w:tcPr>
            <w:tcW w:w="3400" w:type="dxa"/>
            <w:vAlign w:val="bottom"/>
            <w:shd w:val="clear" w:color="auto" w:fill="F8F8F7"/>
          </w:tcPr>
          <w:p>
            <w:pPr>
              <w:jc w:val="center"/>
              <w:spacing w:after="0" w:line="246" w:lineRule="exact"/>
              <w:rPr>
                <w:sz w:val="20"/>
                <w:szCs w:val="20"/>
                <w:color w:val="auto"/>
              </w:rPr>
            </w:pPr>
            <w:r>
              <w:rPr>
                <w:rFonts w:ascii="Arial" w:cs="Arial" w:eastAsia="Arial" w:hAnsi="Arial"/>
                <w:sz w:val="22"/>
                <w:szCs w:val="22"/>
                <w:b w:val="1"/>
                <w:bCs w:val="1"/>
                <w:color w:val="085280"/>
                <w:w w:val="99"/>
              </w:rPr>
              <w:t>10.3%</w:t>
            </w:r>
          </w:p>
        </w:tc>
        <w:tc>
          <w:tcPr>
            <w:tcW w:w="0" w:type="dxa"/>
            <w:vAlign w:val="bottom"/>
          </w:tcPr>
          <w:p>
            <w:pPr>
              <w:spacing w:after="0"/>
              <w:rPr>
                <w:sz w:val="1"/>
                <w:szCs w:val="1"/>
                <w:color w:val="auto"/>
              </w:rPr>
            </w:pPr>
          </w:p>
        </w:tc>
      </w:tr>
      <w:tr>
        <w:trPr>
          <w:trHeight w:val="177"/>
        </w:trPr>
        <w:tc>
          <w:tcPr>
            <w:tcW w:w="3140" w:type="dxa"/>
            <w:vAlign w:val="bottom"/>
            <w:shd w:val="clear" w:color="auto" w:fill="F8F8F7"/>
          </w:tcPr>
          <w:p>
            <w:pPr>
              <w:jc w:val="center"/>
              <w:spacing w:after="0"/>
              <w:rPr>
                <w:sz w:val="20"/>
                <w:szCs w:val="20"/>
                <w:color w:val="auto"/>
              </w:rPr>
            </w:pPr>
            <w:r>
              <w:rPr>
                <w:rFonts w:ascii="Arial" w:cs="Arial" w:eastAsia="Arial" w:hAnsi="Arial"/>
                <w:sz w:val="13"/>
                <w:szCs w:val="13"/>
                <w:b w:val="1"/>
                <w:bCs w:val="1"/>
                <w:color w:val="auto"/>
              </w:rPr>
              <w:t>Guaranty Book of Business</w:t>
            </w:r>
          </w:p>
        </w:tc>
        <w:tc>
          <w:tcPr>
            <w:tcW w:w="340" w:type="dxa"/>
            <w:vAlign w:val="bottom"/>
          </w:tcPr>
          <w:p>
            <w:pPr>
              <w:spacing w:after="0"/>
              <w:rPr>
                <w:sz w:val="15"/>
                <w:szCs w:val="15"/>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2"/>
                <w:szCs w:val="12"/>
                <w:b w:val="1"/>
                <w:bCs w:val="1"/>
                <w:color w:val="auto"/>
                <w:w w:val="97"/>
              </w:rPr>
              <w:t>Efficiency Ratio</w:t>
            </w:r>
            <w:r>
              <w:rPr>
                <w:rFonts w:ascii="Arial" w:cs="Arial" w:eastAsia="Arial" w:hAnsi="Arial"/>
                <w:sz w:val="15"/>
                <w:szCs w:val="15"/>
                <w:b w:val="1"/>
                <w:bCs w:val="1"/>
                <w:color w:val="auto"/>
                <w:w w:val="97"/>
                <w:vertAlign w:val="superscript"/>
              </w:rPr>
              <w:t>(3)</w:t>
            </w:r>
          </w:p>
        </w:tc>
        <w:tc>
          <w:tcPr>
            <w:tcW w:w="340" w:type="dxa"/>
            <w:vAlign w:val="bottom"/>
          </w:tcPr>
          <w:p>
            <w:pPr>
              <w:spacing w:after="0"/>
              <w:rPr>
                <w:sz w:val="15"/>
                <w:szCs w:val="15"/>
                <w:color w:val="auto"/>
              </w:rPr>
            </w:pPr>
          </w:p>
        </w:tc>
        <w:tc>
          <w:tcPr>
            <w:tcW w:w="3400" w:type="dxa"/>
            <w:vAlign w:val="bottom"/>
            <w:shd w:val="clear" w:color="auto" w:fill="F8F8F7"/>
          </w:tcPr>
          <w:p>
            <w:pPr>
              <w:jc w:val="center"/>
              <w:spacing w:after="0" w:line="176" w:lineRule="exact"/>
              <w:rPr>
                <w:sz w:val="20"/>
                <w:szCs w:val="20"/>
                <w:color w:val="auto"/>
              </w:rPr>
            </w:pPr>
            <w:r>
              <w:rPr>
                <w:rFonts w:ascii="Arial" w:cs="Arial" w:eastAsia="Arial" w:hAnsi="Arial"/>
                <w:sz w:val="13"/>
                <w:szCs w:val="13"/>
                <w:b w:val="1"/>
                <w:bCs w:val="1"/>
                <w:color w:val="auto"/>
                <w:w w:val="99"/>
              </w:rPr>
              <w:t>Illust. Return on Avg. Req. CET1</w:t>
            </w:r>
            <w:r>
              <w:rPr>
                <w:rFonts w:ascii="Arial" w:cs="Arial" w:eastAsia="Arial" w:hAnsi="Arial"/>
                <w:sz w:val="17"/>
                <w:szCs w:val="17"/>
                <w:b w:val="1"/>
                <w:bCs w:val="1"/>
                <w:color w:val="auto"/>
                <w:w w:val="99"/>
                <w:vertAlign w:val="superscript"/>
              </w:rPr>
              <w:t>(2)</w:t>
            </w:r>
          </w:p>
        </w:tc>
        <w:tc>
          <w:tcPr>
            <w:tcW w:w="0" w:type="dxa"/>
            <w:vAlign w:val="bottom"/>
          </w:tcPr>
          <w:p>
            <w:pPr>
              <w:spacing w:after="0"/>
              <w:rPr>
                <w:sz w:val="1"/>
                <w:szCs w:val="1"/>
                <w:color w:val="auto"/>
              </w:rPr>
            </w:pPr>
          </w:p>
        </w:tc>
      </w:tr>
      <w:tr>
        <w:trPr>
          <w:trHeight w:val="142"/>
        </w:trPr>
        <w:tc>
          <w:tcPr>
            <w:tcW w:w="3140" w:type="dxa"/>
            <w:vAlign w:val="bottom"/>
            <w:vMerge w:val="restart"/>
            <w:shd w:val="clear" w:color="auto" w:fill="F8F8F7"/>
          </w:tcPr>
          <w:p>
            <w:pPr>
              <w:jc w:val="center"/>
              <w:spacing w:after="0"/>
              <w:rPr>
                <w:sz w:val="20"/>
                <w:szCs w:val="20"/>
                <w:color w:val="auto"/>
              </w:rPr>
            </w:pPr>
            <w:r>
              <w:rPr>
                <w:rFonts w:ascii="Arial" w:cs="Arial" w:eastAsia="Arial" w:hAnsi="Arial"/>
                <w:sz w:val="11"/>
                <w:szCs w:val="11"/>
                <w:i w:val="1"/>
                <w:iCs w:val="1"/>
                <w:color w:val="auto"/>
                <w:w w:val="98"/>
              </w:rPr>
              <w:t>($4.1 trillion in 2Q 2025)</w:t>
            </w:r>
          </w:p>
        </w:tc>
        <w:tc>
          <w:tcPr>
            <w:tcW w:w="340" w:type="dxa"/>
            <w:vAlign w:val="bottom"/>
          </w:tcPr>
          <w:p>
            <w:pPr>
              <w:spacing w:after="0"/>
              <w:rPr>
                <w:sz w:val="12"/>
                <w:szCs w:val="12"/>
                <w:color w:val="auto"/>
              </w:rPr>
            </w:pPr>
          </w:p>
        </w:tc>
        <w:tc>
          <w:tcPr>
            <w:tcW w:w="3360" w:type="dxa"/>
            <w:vAlign w:val="bottom"/>
            <w:shd w:val="clear" w:color="auto" w:fill="F8F8F7"/>
          </w:tcPr>
          <w:p>
            <w:pPr>
              <w:jc w:val="center"/>
              <w:spacing w:after="0"/>
              <w:rPr>
                <w:sz w:val="20"/>
                <w:szCs w:val="20"/>
                <w:color w:val="auto"/>
              </w:rPr>
            </w:pPr>
            <w:r>
              <w:rPr>
                <w:rFonts w:ascii="Arial" w:cs="Arial" w:eastAsia="Arial" w:hAnsi="Arial"/>
                <w:sz w:val="11"/>
                <w:szCs w:val="11"/>
                <w:i w:val="1"/>
                <w:iCs w:val="1"/>
                <w:color w:val="auto"/>
                <w:w w:val="96"/>
              </w:rPr>
              <w:t>(31.5% in 2Q 2025)</w:t>
            </w:r>
          </w:p>
        </w:tc>
        <w:tc>
          <w:tcPr>
            <w:tcW w:w="340" w:type="dxa"/>
            <w:vAlign w:val="bottom"/>
          </w:tcPr>
          <w:p>
            <w:pPr>
              <w:spacing w:after="0"/>
              <w:rPr>
                <w:sz w:val="12"/>
                <w:szCs w:val="12"/>
                <w:color w:val="auto"/>
              </w:rPr>
            </w:pPr>
          </w:p>
        </w:tc>
        <w:tc>
          <w:tcPr>
            <w:tcW w:w="3400" w:type="dxa"/>
            <w:vAlign w:val="bottom"/>
            <w:vMerge w:val="restart"/>
            <w:shd w:val="clear" w:color="auto" w:fill="F8F8F7"/>
          </w:tcPr>
          <w:p>
            <w:pPr>
              <w:jc w:val="center"/>
              <w:spacing w:after="0"/>
              <w:rPr>
                <w:sz w:val="20"/>
                <w:szCs w:val="20"/>
                <w:color w:val="auto"/>
              </w:rPr>
            </w:pPr>
            <w:r>
              <w:rPr>
                <w:rFonts w:ascii="Arial" w:cs="Arial" w:eastAsia="Arial" w:hAnsi="Arial"/>
                <w:sz w:val="11"/>
                <w:szCs w:val="11"/>
                <w:i w:val="1"/>
                <w:iCs w:val="1"/>
                <w:color w:val="auto"/>
                <w:w w:val="98"/>
              </w:rPr>
              <w:t>(9.9% in 2Q 2025)</w:t>
            </w:r>
          </w:p>
        </w:tc>
        <w:tc>
          <w:tcPr>
            <w:tcW w:w="0" w:type="dxa"/>
            <w:vAlign w:val="bottom"/>
          </w:tcPr>
          <w:p>
            <w:pPr>
              <w:spacing w:after="0"/>
              <w:rPr>
                <w:sz w:val="1"/>
                <w:szCs w:val="1"/>
                <w:color w:val="auto"/>
              </w:rPr>
            </w:pPr>
          </w:p>
        </w:tc>
      </w:tr>
      <w:tr>
        <w:trPr>
          <w:trHeight w:val="72"/>
        </w:trPr>
        <w:tc>
          <w:tcPr>
            <w:tcW w:w="3140" w:type="dxa"/>
            <w:vAlign w:val="bottom"/>
            <w:vMerge w:val="continue"/>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36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400" w:type="dxa"/>
            <w:vAlign w:val="bottom"/>
            <w:vMerge w:val="continue"/>
            <w:shd w:val="clear" w:color="auto" w:fill="F8F8F7"/>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314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360" w:type="dxa"/>
            <w:vAlign w:val="bottom"/>
            <w:shd w:val="clear" w:color="auto" w:fill="F8F8F7"/>
          </w:tcPr>
          <w:p>
            <w:pPr>
              <w:spacing w:after="0"/>
              <w:rPr>
                <w:sz w:val="6"/>
                <w:szCs w:val="6"/>
                <w:color w:val="auto"/>
              </w:rPr>
            </w:pPr>
          </w:p>
        </w:tc>
        <w:tc>
          <w:tcPr>
            <w:tcW w:w="340" w:type="dxa"/>
            <w:vAlign w:val="bottom"/>
          </w:tcPr>
          <w:p>
            <w:pPr>
              <w:spacing w:after="0"/>
              <w:rPr>
                <w:sz w:val="6"/>
                <w:szCs w:val="6"/>
                <w:color w:val="auto"/>
              </w:rPr>
            </w:pPr>
          </w:p>
        </w:tc>
        <w:tc>
          <w:tcPr>
            <w:tcW w:w="3400" w:type="dxa"/>
            <w:vAlign w:val="bottom"/>
            <w:shd w:val="clear" w:color="auto" w:fill="F8F8F7"/>
          </w:tcPr>
          <w:p>
            <w:pPr>
              <w:spacing w:after="0"/>
              <w:rPr>
                <w:sz w:val="6"/>
                <w:szCs w:val="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Business Impact and Quarterly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7166610" cy="142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6610" cy="14287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p>
      <w:pPr>
        <w:spacing w:after="0" w:line="139" w:lineRule="exact"/>
        <w:rPr>
          <w:sz w:val="20"/>
          <w:szCs w:val="20"/>
          <w:color w:val="auto"/>
        </w:rPr>
      </w:pPr>
    </w:p>
    <w:p>
      <w:pPr>
        <w:jc w:val="center"/>
        <w:ind w:left="100"/>
        <w:spacing w:after="0"/>
        <w:rPr>
          <w:sz w:val="20"/>
          <w:szCs w:val="20"/>
          <w:color w:val="auto"/>
        </w:rPr>
      </w:pPr>
      <w:r>
        <w:rPr>
          <w:rFonts w:ascii="Arial" w:cs="Arial" w:eastAsia="Arial" w:hAnsi="Arial"/>
          <w:sz w:val="13"/>
          <w:szCs w:val="13"/>
          <w:b w:val="1"/>
          <w:bCs w:val="1"/>
          <w:u w:val="single" w:color="auto"/>
          <w:color w:val="00497F"/>
        </w:rPr>
        <w:t>Mortgage Acquisitions</w:t>
      </w:r>
    </w:p>
    <w:p>
      <w:pPr>
        <w:spacing w:after="0" w:line="30" w:lineRule="exact"/>
        <w:rPr>
          <w:sz w:val="20"/>
          <w:szCs w:val="20"/>
          <w:color w:val="auto"/>
        </w:rPr>
      </w:pPr>
    </w:p>
    <w:p>
      <w:pPr>
        <w:jc w:val="center"/>
        <w:ind w:left="100"/>
        <w:spacing w:after="0"/>
        <w:rPr>
          <w:sz w:val="20"/>
          <w:szCs w:val="20"/>
          <w:color w:val="auto"/>
        </w:rPr>
      </w:pPr>
      <w:r>
        <w:rPr>
          <w:rFonts w:ascii="Arial" w:cs="Arial" w:eastAsia="Arial" w:hAnsi="Arial"/>
          <w:sz w:val="12"/>
          <w:szCs w:val="12"/>
          <w:b w:val="1"/>
          <w:bCs w:val="1"/>
          <w:i w:val="1"/>
          <w:iCs w:val="1"/>
          <w:color w:val="00497F"/>
        </w:rPr>
        <w:t>Enabled the financing of ~401,000 home purchases,</w:t>
      </w:r>
    </w:p>
    <w:p>
      <w:pPr>
        <w:spacing w:after="0" w:line="2" w:lineRule="exact"/>
        <w:rPr>
          <w:sz w:val="20"/>
          <w:szCs w:val="20"/>
          <w:color w:val="auto"/>
        </w:rPr>
      </w:pPr>
    </w:p>
    <w:p>
      <w:pPr>
        <w:jc w:val="center"/>
        <w:ind w:left="100"/>
        <w:spacing w:after="0"/>
        <w:rPr>
          <w:sz w:val="20"/>
          <w:szCs w:val="20"/>
          <w:color w:val="auto"/>
        </w:rPr>
      </w:pPr>
      <w:r>
        <w:rPr>
          <w:rFonts w:ascii="Arial" w:cs="Arial" w:eastAsia="Arial" w:hAnsi="Arial"/>
          <w:sz w:val="12"/>
          <w:szCs w:val="12"/>
          <w:b w:val="1"/>
          <w:bCs w:val="1"/>
          <w:i w:val="1"/>
          <w:iCs w:val="1"/>
          <w:color w:val="00497F"/>
        </w:rPr>
        <w:t>refinances, and rental units in 3Q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2303145" cy="1423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3145" cy="1423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$109 billion in liquidity </w:t>
      </w:r>
      <w:r>
        <w:rPr>
          <w:rFonts w:ascii="Arial" w:cs="Arial" w:eastAsia="Arial" w:hAnsi="Arial"/>
          <w:sz w:val="12"/>
          <w:szCs w:val="12"/>
          <w:color w:val="auto"/>
        </w:rPr>
        <w:t>provided to mortgage market.</w:t>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First-time homebuyers </w:t>
      </w:r>
      <w:r>
        <w:rPr>
          <w:rFonts w:ascii="Arial" w:cs="Arial" w:eastAsia="Arial" w:hAnsi="Arial"/>
          <w:sz w:val="11"/>
          <w:szCs w:val="11"/>
          <w:color w:val="auto"/>
        </w:rPr>
        <w:t>accounted for approximately half of our single-family purchase mortgages.</w:t>
      </w:r>
    </w:p>
    <w:p>
      <w:pPr>
        <w:spacing w:after="0" w:line="63" w:lineRule="exact"/>
        <w:rPr>
          <w:sz w:val="20"/>
          <w:szCs w:val="20"/>
          <w:color w:val="auto"/>
        </w:rPr>
      </w:pPr>
    </w:p>
    <w:p>
      <w:pPr>
        <w:ind w:right="580"/>
        <w:spacing w:after="0" w:line="239" w:lineRule="auto"/>
        <w:rPr>
          <w:sz w:val="20"/>
          <w:szCs w:val="20"/>
          <w:color w:val="auto"/>
        </w:rPr>
      </w:pPr>
      <w:r>
        <w:rPr>
          <w:rFonts w:ascii="Arial" w:cs="Arial" w:eastAsia="Arial" w:hAnsi="Arial"/>
          <w:sz w:val="12"/>
          <w:szCs w:val="12"/>
          <w:b w:val="1"/>
          <w:bCs w:val="1"/>
          <w:color w:val="auto"/>
        </w:rPr>
        <w:t xml:space="preserve">Renters earning less than 100% of area median income </w:t>
      </w:r>
      <w:r>
        <w:rPr>
          <w:rFonts w:ascii="Arial" w:cs="Arial" w:eastAsia="Arial" w:hAnsi="Arial"/>
          <w:sz w:val="12"/>
          <w:szCs w:val="12"/>
          <w:color w:val="auto"/>
        </w:rPr>
        <w:t>made up more than 80% of the</w:t>
      </w:r>
      <w:r>
        <w:rPr>
          <w:rFonts w:ascii="Arial" w:cs="Arial" w:eastAsia="Arial" w:hAnsi="Arial"/>
          <w:sz w:val="12"/>
          <w:szCs w:val="12"/>
          <w:b w:val="1"/>
          <w:bCs w:val="1"/>
          <w:color w:val="auto"/>
        </w:rPr>
        <w:t xml:space="preserve"> </w:t>
      </w:r>
      <w:r>
        <w:rPr>
          <w:rFonts w:ascii="Arial" w:cs="Arial" w:eastAsia="Arial" w:hAnsi="Arial"/>
          <w:sz w:val="12"/>
          <w:szCs w:val="12"/>
          <w:color w:val="auto"/>
        </w:rPr>
        <w:t>multifamily units we financed.</w:t>
      </w:r>
    </w:p>
    <w:p>
      <w:pPr>
        <w:spacing w:after="0" w:line="40" w:lineRule="exact"/>
        <w:rPr>
          <w:sz w:val="20"/>
          <w:szCs w:val="20"/>
          <w:color w:val="auto"/>
        </w:rPr>
      </w:pPr>
    </w:p>
    <w:p>
      <w:pPr>
        <w:ind w:right="500"/>
        <w:spacing w:after="0" w:line="282" w:lineRule="auto"/>
        <w:rPr>
          <w:sz w:val="20"/>
          <w:szCs w:val="20"/>
          <w:color w:val="auto"/>
        </w:rPr>
      </w:pPr>
      <w:r>
        <w:rPr>
          <w:rFonts w:ascii="Arial" w:cs="Arial" w:eastAsia="Arial" w:hAnsi="Arial"/>
          <w:sz w:val="11"/>
          <w:szCs w:val="11"/>
          <w:b w:val="1"/>
          <w:bCs w:val="1"/>
          <w:color w:val="auto"/>
        </w:rPr>
        <w:t xml:space="preserve">Low-income housing tax credit investments </w:t>
      </w:r>
      <w:r>
        <w:rPr>
          <w:rFonts w:ascii="Arial" w:cs="Arial" w:eastAsia="Arial" w:hAnsi="Arial"/>
          <w:sz w:val="11"/>
          <w:szCs w:val="11"/>
          <w:color w:val="auto"/>
        </w:rPr>
        <w:t>expected to rise after annual investment limit</w:t>
      </w:r>
      <w:r>
        <w:rPr>
          <w:rFonts w:ascii="Arial" w:cs="Arial" w:eastAsia="Arial" w:hAnsi="Arial"/>
          <w:sz w:val="11"/>
          <w:szCs w:val="11"/>
          <w:b w:val="1"/>
          <w:bCs w:val="1"/>
          <w:color w:val="auto"/>
        </w:rPr>
        <w:t xml:space="preserve"> </w:t>
      </w:r>
      <w:r>
        <w:rPr>
          <w:rFonts w:ascii="Arial" w:cs="Arial" w:eastAsia="Arial" w:hAnsi="Arial"/>
          <w:sz w:val="11"/>
          <w:szCs w:val="11"/>
          <w:color w:val="auto"/>
        </w:rPr>
        <w:t>increased to $2 billion, enabling greater affordable housing supply in underserved areas.</w:t>
      </w:r>
    </w:p>
    <w:p>
      <w:pPr>
        <w:spacing w:after="0" w:line="18" w:lineRule="exact"/>
        <w:rPr>
          <w:sz w:val="20"/>
          <w:szCs w:val="20"/>
          <w:color w:val="auto"/>
        </w:rPr>
      </w:pPr>
    </w:p>
    <w:p>
      <w:pPr>
        <w:ind w:right="220"/>
        <w:spacing w:after="0" w:line="239" w:lineRule="auto"/>
        <w:rPr>
          <w:sz w:val="20"/>
          <w:szCs w:val="20"/>
          <w:color w:val="auto"/>
        </w:rPr>
      </w:pPr>
      <w:r>
        <w:rPr>
          <w:rFonts w:ascii="Arial" w:cs="Arial" w:eastAsia="Arial" w:hAnsi="Arial"/>
          <w:sz w:val="12"/>
          <w:szCs w:val="12"/>
          <w:b w:val="1"/>
          <w:bCs w:val="1"/>
          <w:color w:val="auto"/>
        </w:rPr>
        <w:t xml:space="preserve">2025 Dodd-Frank Act Stress Test </w:t>
      </w:r>
      <w:r>
        <w:rPr>
          <w:rFonts w:ascii="Arial" w:cs="Arial" w:eastAsia="Arial" w:hAnsi="Arial"/>
          <w:sz w:val="12"/>
          <w:szCs w:val="12"/>
          <w:color w:val="auto"/>
        </w:rPr>
        <w:t>showed our ability to support the housing market during times</w:t>
      </w:r>
      <w:r>
        <w:rPr>
          <w:rFonts w:ascii="Arial" w:cs="Arial" w:eastAsia="Arial" w:hAnsi="Arial"/>
          <w:sz w:val="12"/>
          <w:szCs w:val="12"/>
          <w:b w:val="1"/>
          <w:bCs w:val="1"/>
          <w:color w:val="auto"/>
        </w:rPr>
        <w:t xml:space="preserve"> </w:t>
      </w:r>
      <w:r>
        <w:rPr>
          <w:rFonts w:ascii="Arial" w:cs="Arial" w:eastAsia="Arial" w:hAnsi="Arial"/>
          <w:sz w:val="12"/>
          <w:szCs w:val="12"/>
          <w:color w:val="auto"/>
        </w:rPr>
        <w:t>of stress.</w:t>
      </w:r>
    </w:p>
    <w:p>
      <w:pPr>
        <w:spacing w:after="0" w:line="200" w:lineRule="exact"/>
        <w:rPr>
          <w:sz w:val="20"/>
          <w:szCs w:val="20"/>
          <w:color w:val="auto"/>
        </w:rPr>
      </w:pPr>
    </w:p>
    <w:p>
      <w:pPr>
        <w:sectPr>
          <w:pgSz w:w="11900" w:h="16838" w:orient="portrait"/>
          <w:cols w:equalWidth="0" w:num="2">
            <w:col w:w="5180" w:space="720"/>
            <w:col w:w="5400"/>
          </w:cols>
          <w:pgMar w:left="300" w:top="653"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700"/>
        <w:spacing w:after="0"/>
        <w:rPr>
          <w:sz w:val="20"/>
          <w:szCs w:val="20"/>
          <w:color w:val="auto"/>
        </w:rPr>
      </w:pPr>
      <w:r>
        <w:rPr>
          <w:rFonts w:ascii="Arial" w:cs="Arial" w:eastAsia="Arial" w:hAnsi="Arial"/>
          <w:sz w:val="10"/>
          <w:szCs w:val="10"/>
          <w:i w:val="1"/>
          <w:iCs w:val="1"/>
          <w:color w:val="auto"/>
        </w:rPr>
        <w:t>Endnotes are presented on page 5</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tcBorders>
              <w:top w:val="single" w:sz="8" w:color="05314D"/>
            </w:tcBorders>
          </w:tcPr>
          <w:p>
            <w:pPr>
              <w:spacing w:after="0"/>
              <w:rPr>
                <w:sz w:val="20"/>
                <w:szCs w:val="20"/>
                <w:color w:val="auto"/>
              </w:rPr>
            </w:pPr>
            <w:r>
              <w:rPr>
                <w:rFonts w:ascii="Arial" w:cs="Arial" w:eastAsia="Arial" w:hAnsi="Arial"/>
                <w:sz w:val="11"/>
                <w:szCs w:val="11"/>
                <w:color w:val="auto"/>
              </w:rPr>
              <w:t>Third Quarter 2025</w:t>
            </w:r>
          </w:p>
        </w:tc>
        <w:tc>
          <w:tcPr>
            <w:tcW w:w="522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1</w:t>
            </w:r>
          </w:p>
        </w:tc>
      </w:tr>
    </w:tbl>
    <w:p>
      <w:pPr>
        <w:sectPr>
          <w:pgSz w:w="11900" w:h="16838" w:orient="portrait"/>
          <w:cols w:equalWidth="0" w:num="1">
            <w:col w:w="11300"/>
          </w:cols>
          <w:pgMar w:left="300" w:top="653" w:right="299" w:bottom="1440" w:gutter="0" w:footer="0" w:header="0"/>
          <w:type w:val="continuous"/>
        </w:sectPr>
      </w:pPr>
    </w:p>
    <w:bookmarkStart w:id="4" w:name="page5"/>
    <w:bookmarkEnd w:id="4"/>
    <w:p>
      <w:pPr>
        <w:jc w:val="center"/>
        <w:ind w:right="20"/>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Summary of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78040" cy="130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30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FFFFFF"/>
        </w:rPr>
        <w:t>Key Highlights — Third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9" w:lineRule="exact"/>
        <w:rPr>
          <w:sz w:val="20"/>
          <w:szCs w:val="20"/>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Net revenues </w:t>
      </w:r>
      <w:r>
        <w:rPr>
          <w:rFonts w:ascii="Arial" w:cs="Arial" w:eastAsia="Arial" w:hAnsi="Arial"/>
          <w:sz w:val="11"/>
          <w:szCs w:val="11"/>
          <w:color w:val="auto"/>
        </w:rPr>
        <w:t>of $7.3 billion, primarily driven by guaranty fees on the company’s $4.1 trillion guaranty book of business.</w:t>
      </w:r>
    </w:p>
    <w:p>
      <w:pPr>
        <w:spacing w:after="0" w:line="71" w:lineRule="exact"/>
        <w:rPr>
          <w:rFonts w:ascii="Arial" w:cs="Arial" w:eastAsia="Arial" w:hAnsi="Arial"/>
          <w:sz w:val="11"/>
          <w:szCs w:val="11"/>
          <w:color w:val="auto"/>
        </w:rPr>
      </w:pPr>
    </w:p>
    <w:p>
      <w:pPr>
        <w:ind w:left="260" w:hanging="58"/>
        <w:spacing w:after="0"/>
        <w:tabs>
          <w:tab w:leader="none" w:pos="260" w:val="left"/>
        </w:tabs>
        <w:numPr>
          <w:ilvl w:val="1"/>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Single-family net revenues </w:t>
      </w:r>
      <w:r>
        <w:rPr>
          <w:rFonts w:ascii="Arial" w:cs="Arial" w:eastAsia="Arial" w:hAnsi="Arial"/>
          <w:sz w:val="11"/>
          <w:szCs w:val="11"/>
          <w:color w:val="auto"/>
        </w:rPr>
        <w:t>of $6.1 billion from a $3.6 trillion conventional guaranty book with an average charged guaranty fee of 48.5 basis points.</w:t>
      </w:r>
    </w:p>
    <w:p>
      <w:pPr>
        <w:spacing w:after="0" w:line="62" w:lineRule="exact"/>
        <w:rPr>
          <w:rFonts w:ascii="Arial" w:cs="Arial" w:eastAsia="Arial" w:hAnsi="Arial"/>
          <w:sz w:val="11"/>
          <w:szCs w:val="11"/>
          <w:color w:val="auto"/>
        </w:rPr>
      </w:pPr>
    </w:p>
    <w:p>
      <w:pPr>
        <w:ind w:left="260" w:hanging="58"/>
        <w:spacing w:after="0"/>
        <w:tabs>
          <w:tab w:leader="none" w:pos="260" w:val="left"/>
        </w:tabs>
        <w:numPr>
          <w:ilvl w:val="1"/>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Multifamily net revenues </w:t>
      </w:r>
      <w:r>
        <w:rPr>
          <w:rFonts w:ascii="Arial" w:cs="Arial" w:eastAsia="Arial" w:hAnsi="Arial"/>
          <w:sz w:val="11"/>
          <w:szCs w:val="11"/>
          <w:color w:val="auto"/>
        </w:rPr>
        <w:t>of $1.2 billion from a $521.3 billion guaranty book with an average charged guaranty fee of 72.4 basis points.</w:t>
      </w:r>
    </w:p>
    <w:p>
      <w:pPr>
        <w:spacing w:after="0" w:line="62"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Provision for credit losses </w:t>
      </w:r>
      <w:r>
        <w:rPr>
          <w:rFonts w:ascii="Arial" w:cs="Arial" w:eastAsia="Arial" w:hAnsi="Arial"/>
          <w:sz w:val="11"/>
          <w:szCs w:val="11"/>
          <w:color w:val="auto"/>
        </w:rPr>
        <w:t>of $338 million, largely attributable to single-family provision reflecting the loans we acquired during the period.</w:t>
      </w:r>
    </w:p>
    <w:p>
      <w:pPr>
        <w:spacing w:after="0" w:line="62"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Non-interest expense </w:t>
      </w:r>
      <w:r>
        <w:rPr>
          <w:rFonts w:ascii="Arial" w:cs="Arial" w:eastAsia="Arial" w:hAnsi="Arial"/>
          <w:sz w:val="11"/>
          <w:szCs w:val="11"/>
          <w:color w:val="auto"/>
        </w:rPr>
        <w:t>of $2.1 billion, and</w:t>
      </w:r>
      <w:r>
        <w:rPr>
          <w:rFonts w:ascii="Arial" w:cs="Arial" w:eastAsia="Arial" w:hAnsi="Arial"/>
          <w:sz w:val="11"/>
          <w:szCs w:val="11"/>
          <w:b w:val="1"/>
          <w:bCs w:val="1"/>
          <w:color w:val="auto"/>
        </w:rPr>
        <w:t xml:space="preserve"> overall efficiency ratio </w:t>
      </w:r>
      <w:r>
        <w:rPr>
          <w:rFonts w:ascii="Arial" w:cs="Arial" w:eastAsia="Arial" w:hAnsi="Arial"/>
          <w:sz w:val="11"/>
          <w:szCs w:val="11"/>
          <w:color w:val="auto"/>
        </w:rPr>
        <w:t>of 29.3%, both improved compared with 2Q 2025.</w:t>
      </w:r>
    </w:p>
    <w:p>
      <w:pPr>
        <w:spacing w:after="0" w:line="53"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Net income </w:t>
      </w:r>
      <w:r>
        <w:rPr>
          <w:rFonts w:ascii="Arial" w:cs="Arial" w:eastAsia="Arial" w:hAnsi="Arial"/>
          <w:sz w:val="11"/>
          <w:szCs w:val="11"/>
          <w:color w:val="auto"/>
        </w:rPr>
        <w:t>of $3.9 billion, compared with $3.3 billion in 2Q 2025;</w:t>
      </w:r>
      <w:r>
        <w:rPr>
          <w:rFonts w:ascii="Arial" w:cs="Arial" w:eastAsia="Arial" w:hAnsi="Arial"/>
          <w:sz w:val="11"/>
          <w:szCs w:val="11"/>
          <w:b w:val="1"/>
          <w:bCs w:val="1"/>
          <w:color w:val="auto"/>
        </w:rPr>
        <w:t xml:space="preserve"> net worth </w:t>
      </w:r>
      <w:r>
        <w:rPr>
          <w:rFonts w:ascii="Arial" w:cs="Arial" w:eastAsia="Arial" w:hAnsi="Arial"/>
          <w:sz w:val="11"/>
          <w:szCs w:val="11"/>
          <w:color w:val="auto"/>
        </w:rPr>
        <w:t>increased to $105.5 billion.</w:t>
      </w:r>
    </w:p>
    <w:p>
      <w:pPr>
        <w:spacing w:after="0" w:line="53" w:lineRule="exact"/>
        <w:rPr>
          <w:rFonts w:ascii="Arial" w:cs="Arial" w:eastAsia="Arial" w:hAnsi="Arial"/>
          <w:sz w:val="11"/>
          <w:szCs w:val="11"/>
          <w:color w:val="auto"/>
        </w:rPr>
      </w:pPr>
    </w:p>
    <w:p>
      <w:pPr>
        <w:ind w:left="200" w:hanging="128"/>
        <w:spacing w:after="0"/>
        <w:tabs>
          <w:tab w:leader="none" w:pos="200" w:val="left"/>
        </w:tabs>
        <w:numPr>
          <w:ilvl w:val="0"/>
          <w:numId w:val="3"/>
        </w:numPr>
        <w:rPr>
          <w:rFonts w:ascii="Arial" w:cs="Arial" w:eastAsia="Arial" w:hAnsi="Arial"/>
          <w:sz w:val="11"/>
          <w:szCs w:val="11"/>
          <w:color w:val="auto"/>
        </w:rPr>
      </w:pPr>
      <w:r>
        <w:rPr>
          <w:rFonts w:ascii="Arial" w:cs="Arial" w:eastAsia="Arial" w:hAnsi="Arial"/>
          <w:sz w:val="11"/>
          <w:szCs w:val="11"/>
          <w:b w:val="1"/>
          <w:bCs w:val="1"/>
          <w:color w:val="auto"/>
        </w:rPr>
        <w:t xml:space="preserve">Credit enhancements </w:t>
      </w:r>
      <w:r>
        <w:rPr>
          <w:rFonts w:ascii="Arial" w:cs="Arial" w:eastAsia="Arial" w:hAnsi="Arial"/>
          <w:sz w:val="11"/>
          <w:szCs w:val="11"/>
          <w:color w:val="auto"/>
        </w:rPr>
        <w:t>covered 47% of single-family guaranty book of business;</w:t>
      </w:r>
      <w:r>
        <w:rPr>
          <w:rFonts w:ascii="Arial" w:cs="Arial" w:eastAsia="Arial" w:hAnsi="Arial"/>
          <w:sz w:val="11"/>
          <w:szCs w:val="11"/>
          <w:b w:val="1"/>
          <w:bCs w:val="1"/>
          <w:color w:val="auto"/>
        </w:rPr>
        <w:t xml:space="preserve"> lender loss-sharing agreements </w:t>
      </w:r>
      <w:r>
        <w:rPr>
          <w:rFonts w:ascii="Arial" w:cs="Arial" w:eastAsia="Arial" w:hAnsi="Arial"/>
          <w:sz w:val="11"/>
          <w:szCs w:val="11"/>
          <w:color w:val="auto"/>
        </w:rPr>
        <w:t>covered 99% of multifamily guaranty book of business (both as of September 30, 2025).</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Summary of 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1085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80" w:type="dxa"/>
            <w:vAlign w:val="bottom"/>
            <w:tcBorders>
              <w:top w:val="single" w:sz="8" w:color="1C6FA3"/>
              <w:bottom w:val="single" w:sz="8" w:color="5587A6"/>
            </w:tcBorders>
          </w:tcPr>
          <w:p>
            <w:pPr>
              <w:spacing w:after="0"/>
              <w:rPr>
                <w:sz w:val="20"/>
                <w:szCs w:val="20"/>
                <w:color w:val="auto"/>
              </w:rPr>
            </w:pPr>
            <w:r>
              <w:rPr>
                <w:rFonts w:ascii="Arial" w:cs="Arial" w:eastAsia="Arial" w:hAnsi="Arial"/>
                <w:sz w:val="11"/>
                <w:szCs w:val="11"/>
                <w:b w:val="1"/>
                <w:bCs w:val="1"/>
                <w:color w:val="auto"/>
              </w:rPr>
              <w:t>(Dollars in millions)</w:t>
            </w:r>
          </w:p>
        </w:tc>
        <w:tc>
          <w:tcPr>
            <w:tcW w:w="80" w:type="dxa"/>
            <w:vAlign w:val="bottom"/>
            <w:tcBorders>
              <w:top w:val="single" w:sz="8" w:color="1C6FA3"/>
            </w:tcBorders>
          </w:tcPr>
          <w:p>
            <w:pPr>
              <w:spacing w:after="0"/>
              <w:rPr>
                <w:sz w:val="13"/>
                <w:szCs w:val="13"/>
                <w:color w:val="auto"/>
              </w:rPr>
            </w:pPr>
          </w:p>
        </w:tc>
        <w:tc>
          <w:tcPr>
            <w:tcW w:w="180" w:type="dxa"/>
            <w:vAlign w:val="bottom"/>
            <w:tcBorders>
              <w:top w:val="single" w:sz="8" w:color="1C6FA3"/>
              <w:bottom w:val="single" w:sz="8" w:color="5587A6"/>
            </w:tcBorders>
          </w:tcPr>
          <w:p>
            <w:pPr>
              <w:spacing w:after="0"/>
              <w:rPr>
                <w:sz w:val="13"/>
                <w:szCs w:val="13"/>
                <w:color w:val="auto"/>
              </w:rPr>
            </w:pPr>
          </w:p>
        </w:tc>
        <w:tc>
          <w:tcPr>
            <w:tcW w:w="660" w:type="dxa"/>
            <w:vAlign w:val="bottom"/>
            <w:tcBorders>
              <w:top w:val="single" w:sz="8" w:color="1C6FA3"/>
              <w:bottom w:val="single" w:sz="8" w:color="5587A6"/>
            </w:tcBorders>
          </w:tcPr>
          <w:p>
            <w:pPr>
              <w:jc w:val="right"/>
              <w:ind w:right="246"/>
              <w:spacing w:after="0"/>
              <w:rPr>
                <w:sz w:val="20"/>
                <w:szCs w:val="20"/>
                <w:color w:val="auto"/>
              </w:rPr>
            </w:pPr>
            <w:r>
              <w:rPr>
                <w:rFonts w:ascii="Arial" w:cs="Arial" w:eastAsia="Arial" w:hAnsi="Arial"/>
                <w:sz w:val="11"/>
                <w:szCs w:val="11"/>
                <w:b w:val="1"/>
                <w:bCs w:val="1"/>
                <w:color w:val="auto"/>
              </w:rPr>
              <w:t>3Q25</w:t>
            </w:r>
          </w:p>
        </w:tc>
        <w:tc>
          <w:tcPr>
            <w:tcW w:w="60" w:type="dxa"/>
            <w:vAlign w:val="bottom"/>
            <w:tcBorders>
              <w:top w:val="single" w:sz="8" w:color="1C6FA3"/>
            </w:tcBorders>
          </w:tcPr>
          <w:p>
            <w:pPr>
              <w:spacing w:after="0"/>
              <w:rPr>
                <w:sz w:val="13"/>
                <w:szCs w:val="13"/>
                <w:color w:val="auto"/>
              </w:rPr>
            </w:pPr>
          </w:p>
        </w:tc>
        <w:tc>
          <w:tcPr>
            <w:tcW w:w="180" w:type="dxa"/>
            <w:vAlign w:val="bottom"/>
            <w:tcBorders>
              <w:top w:val="single" w:sz="8" w:color="1C6FA3"/>
              <w:bottom w:val="single" w:sz="8" w:color="5587A6"/>
            </w:tcBorders>
          </w:tcPr>
          <w:p>
            <w:pPr>
              <w:spacing w:after="0"/>
              <w:rPr>
                <w:sz w:val="13"/>
                <w:szCs w:val="13"/>
                <w:color w:val="auto"/>
              </w:rPr>
            </w:pPr>
          </w:p>
        </w:tc>
        <w:tc>
          <w:tcPr>
            <w:tcW w:w="66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2Q25</w:t>
            </w:r>
          </w:p>
        </w:tc>
        <w:tc>
          <w:tcPr>
            <w:tcW w:w="80" w:type="dxa"/>
            <w:vAlign w:val="bottom"/>
            <w:tcBorders>
              <w:top w:val="single" w:sz="8" w:color="1C6FA3"/>
            </w:tcBorders>
          </w:tcPr>
          <w:p>
            <w:pPr>
              <w:spacing w:after="0"/>
              <w:rPr>
                <w:sz w:val="13"/>
                <w:szCs w:val="13"/>
                <w:color w:val="auto"/>
              </w:rPr>
            </w:pPr>
          </w:p>
        </w:tc>
        <w:tc>
          <w:tcPr>
            <w:tcW w:w="12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12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3"/>
                <w:szCs w:val="13"/>
                <w:color w:val="auto"/>
              </w:rPr>
            </w:pPr>
          </w:p>
        </w:tc>
        <w:tc>
          <w:tcPr>
            <w:tcW w:w="800" w:type="dxa"/>
            <w:vAlign w:val="bottom"/>
            <w:tcBorders>
              <w:top w:val="single" w:sz="8" w:color="1C6FA3"/>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 Change</w:t>
            </w:r>
          </w:p>
        </w:tc>
        <w:tc>
          <w:tcPr>
            <w:tcW w:w="180" w:type="dxa"/>
            <w:vAlign w:val="bottom"/>
            <w:tcBorders>
              <w:top w:val="single" w:sz="8" w:color="1C6FA3"/>
              <w:bottom w:val="single" w:sz="8" w:color="5587A6"/>
            </w:tcBorders>
          </w:tcPr>
          <w:p>
            <w:pPr>
              <w:spacing w:after="0"/>
              <w:rPr>
                <w:sz w:val="13"/>
                <w:szCs w:val="13"/>
                <w:color w:val="auto"/>
              </w:rPr>
            </w:pPr>
          </w:p>
        </w:tc>
        <w:tc>
          <w:tcPr>
            <w:tcW w:w="60" w:type="dxa"/>
            <w:vAlign w:val="bottom"/>
            <w:tcBorders>
              <w:top w:val="single" w:sz="8" w:color="1C6FA3"/>
            </w:tcBorders>
          </w:tcPr>
          <w:p>
            <w:pPr>
              <w:spacing w:after="0"/>
              <w:rPr>
                <w:sz w:val="13"/>
                <w:szCs w:val="13"/>
                <w:color w:val="auto"/>
              </w:rPr>
            </w:pPr>
          </w:p>
        </w:tc>
        <w:tc>
          <w:tcPr>
            <w:tcW w:w="180" w:type="dxa"/>
            <w:vAlign w:val="bottom"/>
            <w:tcBorders>
              <w:top w:val="single" w:sz="8" w:color="1C6FA3"/>
              <w:bottom w:val="single" w:sz="8" w:color="5587A6"/>
            </w:tcBorders>
          </w:tcPr>
          <w:p>
            <w:pPr>
              <w:spacing w:after="0"/>
              <w:rPr>
                <w:sz w:val="13"/>
                <w:szCs w:val="13"/>
                <w:color w:val="auto"/>
              </w:rPr>
            </w:pPr>
          </w:p>
        </w:tc>
        <w:tc>
          <w:tcPr>
            <w:tcW w:w="66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3Q24</w:t>
            </w:r>
          </w:p>
        </w:tc>
        <w:tc>
          <w:tcPr>
            <w:tcW w:w="160" w:type="dxa"/>
            <w:vAlign w:val="bottom"/>
            <w:tcBorders>
              <w:top w:val="single" w:sz="8" w:color="1C6FA3"/>
            </w:tcBorders>
          </w:tcPr>
          <w:p>
            <w:pPr>
              <w:spacing w:after="0"/>
              <w:rPr>
                <w:sz w:val="13"/>
                <w:szCs w:val="13"/>
                <w:color w:val="auto"/>
              </w:rPr>
            </w:pPr>
          </w:p>
        </w:tc>
        <w:tc>
          <w:tcPr>
            <w:tcW w:w="12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60" w:type="dxa"/>
            <w:vAlign w:val="bottom"/>
            <w:tcBorders>
              <w:top w:val="single" w:sz="8" w:color="1C6FA3"/>
            </w:tcBorders>
          </w:tcPr>
          <w:p>
            <w:pPr>
              <w:spacing w:after="0"/>
              <w:rPr>
                <w:sz w:val="13"/>
                <w:szCs w:val="13"/>
                <w:color w:val="auto"/>
              </w:rPr>
            </w:pPr>
          </w:p>
        </w:tc>
        <w:tc>
          <w:tcPr>
            <w:tcW w:w="800" w:type="dxa"/>
            <w:vAlign w:val="bottom"/>
            <w:tcBorders>
              <w:top w:val="single" w:sz="8" w:color="1C6FA3"/>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 Change</w:t>
            </w:r>
          </w:p>
        </w:tc>
        <w:tc>
          <w:tcPr>
            <w:tcW w:w="40" w:type="dxa"/>
            <w:vAlign w:val="bottom"/>
            <w:tcBorders>
              <w:top w:val="single" w:sz="8" w:color="1C6FA3"/>
              <w:bottom w:val="single" w:sz="8" w:color="5587A6"/>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660" w:type="dxa"/>
            <w:vAlign w:val="bottom"/>
            <w:gridSpan w:val="2"/>
          </w:tcPr>
          <w:p>
            <w:pPr>
              <w:spacing w:after="0"/>
              <w:rPr>
                <w:sz w:val="20"/>
                <w:szCs w:val="20"/>
                <w:color w:val="auto"/>
              </w:rPr>
            </w:pPr>
            <w:r>
              <w:rPr>
                <w:rFonts w:ascii="Arial" w:cs="Arial" w:eastAsia="Arial" w:hAnsi="Arial"/>
                <w:sz w:val="11"/>
                <w:szCs w:val="11"/>
                <w:color w:val="auto"/>
              </w:rPr>
              <w:t>Net interest income</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7,184</w:t>
            </w:r>
          </w:p>
        </w:tc>
        <w:tc>
          <w:tcPr>
            <w:tcW w:w="6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7,155</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1"/>
                <w:szCs w:val="1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 %*</w:t>
            </w: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7,275</w:t>
            </w:r>
          </w:p>
        </w:tc>
        <w:tc>
          <w:tcPr>
            <w:tcW w:w="16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(91)</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Fee and other income</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123</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86</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66</w:t>
            </w:r>
          </w:p>
        </w:tc>
        <w:tc>
          <w:tcPr>
            <w:tcW w:w="16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57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86</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4660" w:type="dxa"/>
            <w:vAlign w:val="bottom"/>
            <w:gridSpan w:val="2"/>
          </w:tcPr>
          <w:p>
            <w:pPr>
              <w:spacing w:after="0"/>
              <w:rPr>
                <w:sz w:val="20"/>
                <w:szCs w:val="20"/>
                <w:color w:val="auto"/>
              </w:rPr>
            </w:pPr>
            <w:r>
              <w:rPr>
                <w:rFonts w:ascii="Arial" w:cs="Arial" w:eastAsia="Arial" w:hAnsi="Arial"/>
                <w:sz w:val="11"/>
                <w:szCs w:val="11"/>
                <w:b w:val="1"/>
                <w:bCs w:val="1"/>
                <w:color w:val="auto"/>
              </w:rPr>
              <w:t>Net revenues</w:t>
            </w:r>
          </w:p>
        </w:tc>
        <w:tc>
          <w:tcPr>
            <w:tcW w:w="1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7,307</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7,241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7,341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(34)</w:t>
            </w:r>
          </w:p>
        </w:tc>
        <w:tc>
          <w:tcPr>
            <w:tcW w:w="6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4"/>
        </w:trPr>
        <w:tc>
          <w:tcPr>
            <w:tcW w:w="4660" w:type="dxa"/>
            <w:vAlign w:val="bottom"/>
            <w:gridSpan w:val="2"/>
          </w:tcPr>
          <w:p>
            <w:pPr>
              <w:spacing w:after="0"/>
              <w:rPr>
                <w:sz w:val="20"/>
                <w:szCs w:val="20"/>
                <w:color w:val="auto"/>
              </w:rPr>
            </w:pPr>
            <w:r>
              <w:rPr>
                <w:rFonts w:ascii="Arial" w:cs="Arial" w:eastAsia="Arial" w:hAnsi="Arial"/>
                <w:sz w:val="11"/>
                <w:szCs w:val="11"/>
                <w:color w:val="auto"/>
              </w:rPr>
              <w:t>(Provision) benefit for credit losses</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(338)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64</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27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(365)</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w w:val="81"/>
              </w:rPr>
              <w:t>NM</w:t>
            </w:r>
          </w:p>
        </w:tc>
        <w:tc>
          <w:tcPr>
            <w:tcW w:w="0" w:type="dxa"/>
            <w:vAlign w:val="bottom"/>
          </w:tcPr>
          <w:p>
            <w:pPr>
              <w:spacing w:after="0"/>
              <w:rPr>
                <w:sz w:val="1"/>
                <w:szCs w:val="1"/>
                <w:color w:val="auto"/>
              </w:rPr>
            </w:pPr>
          </w:p>
        </w:tc>
      </w:tr>
      <w:tr>
        <w:trPr>
          <w:trHeight w:val="144"/>
        </w:trPr>
        <w:tc>
          <w:tcPr>
            <w:tcW w:w="4660" w:type="dxa"/>
            <w:vAlign w:val="bottom"/>
            <w:gridSpan w:val="2"/>
          </w:tcPr>
          <w:p>
            <w:pPr>
              <w:spacing w:after="0"/>
              <w:rPr>
                <w:sz w:val="20"/>
                <w:szCs w:val="20"/>
                <w:color w:val="auto"/>
              </w:rPr>
            </w:pPr>
            <w:r>
              <w:rPr>
                <w:rFonts w:ascii="Arial" w:cs="Arial" w:eastAsia="Arial" w:hAnsi="Arial"/>
                <w:sz w:val="11"/>
                <w:szCs w:val="11"/>
                <w:color w:val="auto"/>
              </w:rPr>
              <w:t>Fair value gains (losses), net</w:t>
            </w:r>
          </w:p>
        </w:tc>
        <w:tc>
          <w:tcPr>
            <w:tcW w:w="1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13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(198)</w:t>
            </w:r>
          </w:p>
        </w:tc>
        <w:tc>
          <w:tcPr>
            <w:tcW w:w="1060" w:type="dxa"/>
            <w:vAlign w:val="bottom"/>
            <w:gridSpan w:val="3"/>
          </w:tcPr>
          <w:p>
            <w:pPr>
              <w:jc w:val="right"/>
              <w:spacing w:after="0"/>
              <w:rPr>
                <w:sz w:val="20"/>
                <w:szCs w:val="20"/>
                <w:color w:val="auto"/>
              </w:rPr>
            </w:pPr>
            <w:r>
              <w:rPr>
                <w:rFonts w:ascii="Arial" w:cs="Arial" w:eastAsia="Arial" w:hAnsi="Arial"/>
                <w:sz w:val="11"/>
                <w:szCs w:val="11"/>
                <w:color w:val="auto"/>
              </w:rPr>
              <w:t>(94) %</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52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(39)</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(75)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660" w:type="dxa"/>
            <w:vAlign w:val="bottom"/>
            <w:gridSpan w:val="2"/>
          </w:tcPr>
          <w:p>
            <w:pPr>
              <w:spacing w:after="0"/>
              <w:rPr>
                <w:sz w:val="20"/>
                <w:szCs w:val="20"/>
                <w:color w:val="auto"/>
              </w:rPr>
            </w:pPr>
            <w:r>
              <w:rPr>
                <w:rFonts w:ascii="Arial" w:cs="Arial" w:eastAsia="Arial" w:hAnsi="Arial"/>
                <w:sz w:val="11"/>
                <w:szCs w:val="11"/>
                <w:color w:val="auto"/>
              </w:rPr>
              <w:t>Investment gains (losses), net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88</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w w:val="81"/>
              </w:rPr>
              <w:t>NM</w:t>
            </w:r>
          </w:p>
        </w:tc>
        <w:tc>
          <w:tcPr>
            <w:tcW w:w="0" w:type="dxa"/>
            <w:vAlign w:val="bottom"/>
          </w:tcPr>
          <w:p>
            <w:pPr>
              <w:spacing w:after="0"/>
              <w:rPr>
                <w:sz w:val="1"/>
                <w:szCs w:val="1"/>
                <w:color w:val="auto"/>
              </w:rPr>
            </w:pPr>
          </w:p>
        </w:tc>
      </w:tr>
      <w:tr>
        <w:trPr>
          <w:trHeight w:val="142"/>
        </w:trPr>
        <w:tc>
          <w:tcPr>
            <w:tcW w:w="4660" w:type="dxa"/>
            <w:vAlign w:val="bottom"/>
            <w:gridSpan w:val="2"/>
          </w:tcPr>
          <w:p>
            <w:pPr>
              <w:spacing w:after="0"/>
              <w:rPr>
                <w:sz w:val="20"/>
                <w:szCs w:val="20"/>
                <w:color w:val="auto"/>
              </w:rPr>
            </w:pPr>
            <w:r>
              <w:rPr>
                <w:rFonts w:ascii="Arial" w:cs="Arial" w:eastAsia="Arial" w:hAnsi="Arial"/>
                <w:sz w:val="11"/>
                <w:szCs w:val="11"/>
                <w:color w:val="auto"/>
              </w:rPr>
              <w:t>Non-interest expense: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660" w:type="dxa"/>
            <w:vAlign w:val="bottom"/>
            <w:gridSpan w:val="2"/>
          </w:tcPr>
          <w:p>
            <w:pPr>
              <w:ind w:left="80"/>
              <w:spacing w:after="0" w:line="147" w:lineRule="exact"/>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(4)</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(819)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(884)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65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66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(5)</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(943)</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(939)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1"/>
                <w:szCs w:val="11"/>
                <w:color w:val="auto"/>
              </w:rPr>
              <w:t>— %*</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66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(6)</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(409)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w:t>
            </w:r>
          </w:p>
        </w:tc>
        <w:tc>
          <w:tcPr>
            <w:tcW w:w="1060" w:type="dxa"/>
            <w:vAlign w:val="bottom"/>
            <w:gridSpan w:val="3"/>
          </w:tcPr>
          <w:p>
            <w:pPr>
              <w:jc w:val="right"/>
              <w:spacing w:after="0"/>
              <w:rPr>
                <w:sz w:val="20"/>
                <w:szCs w:val="20"/>
                <w:color w:val="auto"/>
              </w:rPr>
            </w:pPr>
            <w:r>
              <w:rPr>
                <w:rFonts w:ascii="Arial" w:cs="Arial" w:eastAsia="Arial" w:hAnsi="Arial"/>
                <w:sz w:val="11"/>
                <w:szCs w:val="11"/>
                <w:color w:val="auto"/>
              </w:rPr>
              <w:t>(2) %</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(411)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980" w:type="dxa"/>
            <w:vAlign w:val="bottom"/>
            <w:gridSpan w:val="3"/>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5587A6"/>
            </w:tcBorders>
          </w:tcPr>
          <w:p>
            <w:pPr>
              <w:ind w:left="80"/>
              <w:spacing w:after="0" w:line="144"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(7)</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25</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183</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1"/>
                <w:szCs w:val="11"/>
                <w:color w:val="auto"/>
              </w:rPr>
              <w:t>NM</w:t>
            </w: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(136)</w:t>
            </w:r>
          </w:p>
        </w:tc>
        <w:tc>
          <w:tcPr>
            <w:tcW w:w="16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161</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gridSpan w:val="2"/>
          </w:tcPr>
          <w:p>
            <w:pPr>
              <w:jc w:val="right"/>
              <w:spacing w:after="0"/>
              <w:rPr>
                <w:sz w:val="20"/>
                <w:szCs w:val="20"/>
                <w:color w:val="auto"/>
              </w:rPr>
            </w:pPr>
            <w:r>
              <w:rPr>
                <w:rFonts w:ascii="Arial" w:cs="Arial" w:eastAsia="Arial" w:hAnsi="Arial"/>
                <w:sz w:val="11"/>
                <w:szCs w:val="11"/>
                <w:color w:val="auto"/>
                <w:w w:val="81"/>
              </w:rPr>
              <w:t>NM</w:t>
            </w:r>
          </w:p>
        </w:tc>
        <w:tc>
          <w:tcPr>
            <w:tcW w:w="0" w:type="dxa"/>
            <w:vAlign w:val="bottom"/>
          </w:tcPr>
          <w:p>
            <w:pPr>
              <w:spacing w:after="0"/>
              <w:rPr>
                <w:sz w:val="1"/>
                <w:szCs w:val="1"/>
                <w:color w:val="auto"/>
              </w:rPr>
            </w:pPr>
          </w:p>
        </w:tc>
      </w:tr>
      <w:tr>
        <w:trPr>
          <w:trHeight w:val="133"/>
        </w:trPr>
        <w:tc>
          <w:tcPr>
            <w:tcW w:w="458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Total non-interest expense</w:t>
            </w: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(2,146)</w:t>
            </w:r>
          </w:p>
        </w:tc>
        <w:tc>
          <w:tcPr>
            <w:tcW w:w="6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(2,344)</w:t>
            </w:r>
          </w:p>
        </w:tc>
        <w:tc>
          <w:tcPr>
            <w:tcW w:w="80" w:type="dxa"/>
            <w:vAlign w:val="bottom"/>
          </w:tcPr>
          <w:p>
            <w:pPr>
              <w:spacing w:after="0"/>
              <w:rPr>
                <w:sz w:val="11"/>
                <w:szCs w:val="11"/>
                <w:color w:val="auto"/>
              </w:rPr>
            </w:pPr>
          </w:p>
        </w:tc>
        <w:tc>
          <w:tcPr>
            <w:tcW w:w="12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198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(2,379)</w:t>
            </w:r>
          </w:p>
        </w:tc>
        <w:tc>
          <w:tcPr>
            <w:tcW w:w="160" w:type="dxa"/>
            <w:vAlign w:val="bottom"/>
          </w:tcPr>
          <w:p>
            <w:pPr>
              <w:spacing w:after="0"/>
              <w:rPr>
                <w:sz w:val="11"/>
                <w:szCs w:val="11"/>
                <w:color w:val="auto"/>
              </w:rPr>
            </w:pPr>
          </w:p>
        </w:tc>
        <w:tc>
          <w:tcPr>
            <w:tcW w:w="12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233</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4660" w:type="dxa"/>
            <w:vAlign w:val="bottom"/>
            <w:gridSpan w:val="2"/>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80" w:type="dxa"/>
            <w:vAlign w:val="bottom"/>
          </w:tcPr>
          <w:p>
            <w:pPr>
              <w:spacing w:after="0"/>
              <w:rPr>
                <w:sz w:val="11"/>
                <w:szCs w:val="11"/>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4,835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4,154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681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5,053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(218)</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(4)</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Provision for federal income taxes</w:t>
            </w:r>
          </w:p>
        </w:tc>
        <w:tc>
          <w:tcPr>
            <w:tcW w:w="8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(976)</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(837)</w:t>
            </w:r>
          </w:p>
        </w:tc>
        <w:tc>
          <w:tcPr>
            <w:tcW w:w="8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(139)</w:t>
            </w:r>
          </w:p>
        </w:tc>
        <w:tc>
          <w:tcPr>
            <w:tcW w:w="1060" w:type="dxa"/>
            <w:vAlign w:val="bottom"/>
            <w:gridSpan w:val="3"/>
          </w:tcPr>
          <w:p>
            <w:pPr>
              <w:jc w:val="right"/>
              <w:spacing w:after="0"/>
              <w:rPr>
                <w:sz w:val="20"/>
                <w:szCs w:val="20"/>
                <w:color w:val="auto"/>
              </w:rPr>
            </w:pPr>
            <w:r>
              <w:rPr>
                <w:rFonts w:ascii="Arial" w:cs="Arial" w:eastAsia="Arial" w:hAnsi="Arial"/>
                <w:sz w:val="11"/>
                <w:szCs w:val="11"/>
                <w:color w:val="auto"/>
              </w:rPr>
              <w:t>(17) %</w:t>
            </w:r>
          </w:p>
        </w:tc>
        <w:tc>
          <w:tcPr>
            <w:tcW w:w="60" w:type="dxa"/>
            <w:vAlign w:val="bottom"/>
          </w:tcPr>
          <w:p>
            <w:pPr>
              <w:spacing w:after="0"/>
              <w:rPr>
                <w:sz w:val="12"/>
                <w:szCs w:val="12"/>
                <w:color w:val="auto"/>
              </w:rPr>
            </w:pPr>
          </w:p>
        </w:tc>
        <w:tc>
          <w:tcPr>
            <w:tcW w:w="180" w:type="dxa"/>
            <w:vAlign w:val="bottom"/>
            <w:tcBorders>
              <w:bottom w:val="single" w:sz="8" w:color="5587A6"/>
            </w:tcBorders>
          </w:tcPr>
          <w:p>
            <w:pPr>
              <w:spacing w:after="0"/>
              <w:rPr>
                <w:sz w:val="12"/>
                <w:szCs w:val="12"/>
                <w:color w:val="auto"/>
              </w:rPr>
            </w:pPr>
          </w:p>
        </w:tc>
        <w:tc>
          <w:tcPr>
            <w:tcW w:w="66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(1,009)</w:t>
            </w:r>
          </w:p>
        </w:tc>
        <w:tc>
          <w:tcPr>
            <w:tcW w:w="160" w:type="dxa"/>
            <w:vAlign w:val="bottom"/>
          </w:tcPr>
          <w:p>
            <w:pPr>
              <w:spacing w:after="0"/>
              <w:rPr>
                <w:sz w:val="12"/>
                <w:szCs w:val="12"/>
                <w:color w:val="auto"/>
              </w:rPr>
            </w:pPr>
          </w:p>
        </w:tc>
        <w:tc>
          <w:tcPr>
            <w:tcW w:w="12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33</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4660" w:type="dxa"/>
            <w:vAlign w:val="bottom"/>
            <w:gridSpan w:val="2"/>
          </w:tcPr>
          <w:p>
            <w:pPr>
              <w:spacing w:after="0"/>
              <w:rPr>
                <w:sz w:val="20"/>
                <w:szCs w:val="20"/>
                <w:color w:val="auto"/>
              </w:rPr>
            </w:pPr>
            <w:r>
              <w:rPr>
                <w:rFonts w:ascii="Arial" w:cs="Arial" w:eastAsia="Arial" w:hAnsi="Arial"/>
                <w:sz w:val="11"/>
                <w:szCs w:val="11"/>
                <w:b w:val="1"/>
                <w:bCs w:val="1"/>
                <w:color w:val="auto"/>
              </w:rPr>
              <w:t>Net income</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3,859</w:t>
            </w:r>
          </w:p>
        </w:tc>
        <w:tc>
          <w:tcPr>
            <w:tcW w:w="6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3,317</w:t>
            </w:r>
          </w:p>
        </w:tc>
        <w:tc>
          <w:tcPr>
            <w:tcW w:w="8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542</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16</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4,044</w:t>
            </w:r>
          </w:p>
        </w:tc>
        <w:tc>
          <w:tcPr>
            <w:tcW w:w="16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(185)</w:t>
            </w:r>
          </w:p>
        </w:tc>
        <w:tc>
          <w:tcPr>
            <w:tcW w:w="900" w:type="dxa"/>
            <w:vAlign w:val="bottom"/>
            <w:gridSpan w:val="3"/>
          </w:tcPr>
          <w:p>
            <w:pPr>
              <w:jc w:val="right"/>
              <w:spacing w:after="0"/>
              <w:rPr>
                <w:sz w:val="20"/>
                <w:szCs w:val="20"/>
                <w:color w:val="auto"/>
              </w:rPr>
            </w:pPr>
            <w:r>
              <w:rPr>
                <w:rFonts w:ascii="Arial" w:cs="Arial" w:eastAsia="Arial" w:hAnsi="Arial"/>
                <w:sz w:val="11"/>
                <w:szCs w:val="11"/>
                <w:color w:val="auto"/>
              </w:rPr>
              <w:t>(5)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1"/>
                <w:szCs w:val="11"/>
                <w:color w:val="auto"/>
              </w:rPr>
              <w:t>16</w:t>
            </w: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60" w:type="dxa"/>
            <w:vAlign w:val="bottom"/>
            <w:tcBorders>
              <w:top w:val="single" w:sz="8" w:color="5587A6"/>
              <w:bottom w:val="single" w:sz="8" w:color="5587A6"/>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900" w:type="dxa"/>
            <w:vAlign w:val="bottom"/>
            <w:gridSpan w:val="3"/>
            <w:vMerge w:val="restart"/>
          </w:tcPr>
          <w:p>
            <w:pPr>
              <w:jc w:val="right"/>
              <w:spacing w:after="0"/>
              <w:rPr>
                <w:sz w:val="20"/>
                <w:szCs w:val="20"/>
                <w:color w:val="auto"/>
              </w:rPr>
            </w:pPr>
            <w:r>
              <w:rPr>
                <w:rFonts w:ascii="Arial" w:cs="Arial" w:eastAsia="Arial" w:hAnsi="Arial"/>
                <w:sz w:val="11"/>
                <w:szCs w:val="11"/>
                <w:color w:val="auto"/>
              </w:rPr>
              <w:t>(5)</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line="20" w:lineRule="exact"/>
              <w:rPr>
                <w:sz w:val="1"/>
                <w:szCs w:val="1"/>
                <w:color w:val="auto"/>
              </w:rPr>
            </w:pPr>
          </w:p>
        </w:tc>
      </w:tr>
      <w:tr>
        <w:trPr>
          <w:trHeight w:val="120"/>
        </w:trPr>
        <w:tc>
          <w:tcPr>
            <w:tcW w:w="466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Total comprehensive income</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ind w:right="6"/>
              <w:spacing w:after="0" w:line="121" w:lineRule="exact"/>
              <w:rPr>
                <w:sz w:val="20"/>
                <w:szCs w:val="20"/>
                <w:color w:val="auto"/>
              </w:rPr>
            </w:pPr>
            <w:r>
              <w:rPr>
                <w:rFonts w:ascii="Arial" w:cs="Arial" w:eastAsia="Arial" w:hAnsi="Arial"/>
                <w:sz w:val="11"/>
                <w:szCs w:val="11"/>
                <w:b w:val="1"/>
                <w:bCs w:val="1"/>
                <w:color w:val="auto"/>
              </w:rPr>
              <w:t>3,849</w:t>
            </w:r>
          </w:p>
        </w:tc>
        <w:tc>
          <w:tcPr>
            <w:tcW w:w="60" w:type="dxa"/>
            <w:vAlign w:val="bottom"/>
          </w:tcPr>
          <w:p>
            <w:pPr>
              <w:spacing w:after="0"/>
              <w:rPr>
                <w:sz w:val="10"/>
                <w:szCs w:val="10"/>
                <w:color w:val="auto"/>
              </w:rPr>
            </w:pPr>
          </w:p>
        </w:tc>
        <w:tc>
          <w:tcPr>
            <w:tcW w:w="180" w:type="dxa"/>
            <w:vAlign w:val="bottom"/>
          </w:tcPr>
          <w:p>
            <w:pPr>
              <w:jc w:val="right"/>
              <w:ind w:right="46"/>
              <w:spacing w:after="0" w:line="121" w:lineRule="exact"/>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line="121" w:lineRule="exact"/>
              <w:rPr>
                <w:sz w:val="20"/>
                <w:szCs w:val="20"/>
                <w:color w:val="auto"/>
              </w:rPr>
            </w:pPr>
            <w:r>
              <w:rPr>
                <w:rFonts w:ascii="Arial" w:cs="Arial" w:eastAsia="Arial" w:hAnsi="Arial"/>
                <w:sz w:val="11"/>
                <w:szCs w:val="11"/>
                <w:color w:val="auto"/>
              </w:rPr>
              <w:t>3,324</w:t>
            </w:r>
          </w:p>
        </w:tc>
        <w:tc>
          <w:tcPr>
            <w:tcW w:w="8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21" w:lineRule="exact"/>
              <w:rPr>
                <w:sz w:val="20"/>
                <w:szCs w:val="20"/>
                <w:color w:val="auto"/>
              </w:rPr>
            </w:pPr>
            <w:r>
              <w:rPr>
                <w:rFonts w:ascii="Arial" w:cs="Arial" w:eastAsia="Arial" w:hAnsi="Arial"/>
                <w:sz w:val="11"/>
                <w:szCs w:val="11"/>
                <w:color w:val="auto"/>
              </w:rPr>
              <w:t>525</w:t>
            </w:r>
          </w:p>
        </w:tc>
        <w:tc>
          <w:tcPr>
            <w:tcW w:w="88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jc w:val="right"/>
              <w:ind w:right="46"/>
              <w:spacing w:after="0" w:line="121" w:lineRule="exact"/>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line="121" w:lineRule="exact"/>
              <w:rPr>
                <w:sz w:val="20"/>
                <w:szCs w:val="20"/>
                <w:color w:val="auto"/>
              </w:rPr>
            </w:pPr>
            <w:r>
              <w:rPr>
                <w:rFonts w:ascii="Arial" w:cs="Arial" w:eastAsia="Arial" w:hAnsi="Arial"/>
                <w:sz w:val="11"/>
                <w:szCs w:val="11"/>
                <w:b w:val="1"/>
                <w:bCs w:val="1"/>
                <w:color w:val="auto"/>
              </w:rPr>
              <w:t>4,047</w:t>
            </w:r>
          </w:p>
        </w:tc>
        <w:tc>
          <w:tcPr>
            <w:tcW w:w="16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21" w:lineRule="exact"/>
              <w:rPr>
                <w:sz w:val="20"/>
                <w:szCs w:val="20"/>
                <w:color w:val="auto"/>
              </w:rPr>
            </w:pPr>
            <w:r>
              <w:rPr>
                <w:rFonts w:ascii="Arial" w:cs="Arial" w:eastAsia="Arial" w:hAnsi="Arial"/>
                <w:sz w:val="11"/>
                <w:szCs w:val="11"/>
                <w:color w:val="auto"/>
              </w:rPr>
              <w:t>(198)</w:t>
            </w:r>
          </w:p>
        </w:tc>
        <w:tc>
          <w:tcPr>
            <w:tcW w:w="900" w:type="dxa"/>
            <w:vAlign w:val="bottom"/>
            <w:gridSpan w:val="3"/>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60" w:type="dxa"/>
            <w:vAlign w:val="bottom"/>
            <w:gridSpan w:val="2"/>
          </w:tcPr>
          <w:p>
            <w:pPr>
              <w:spacing w:after="0"/>
              <w:rPr>
                <w:sz w:val="20"/>
                <w:szCs w:val="20"/>
                <w:color w:val="auto"/>
              </w:rPr>
            </w:pPr>
            <w:r>
              <w:rPr>
                <w:rFonts w:ascii="Arial" w:cs="Arial" w:eastAsia="Arial" w:hAnsi="Arial"/>
                <w:sz w:val="11"/>
                <w:szCs w:val="11"/>
                <w:b w:val="1"/>
                <w:bCs w:val="1"/>
                <w:color w:val="auto"/>
              </w:rPr>
              <w:t>Net worth</w:t>
            </w:r>
          </w:p>
        </w:tc>
        <w:tc>
          <w:tcPr>
            <w:tcW w:w="180" w:type="dxa"/>
            <w:vAlign w:val="bottom"/>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105,485</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101,636</w:t>
            </w:r>
          </w:p>
        </w:tc>
        <w:tc>
          <w:tcPr>
            <w:tcW w:w="8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3,849</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90,530</w:t>
            </w:r>
          </w:p>
        </w:tc>
        <w:tc>
          <w:tcPr>
            <w:tcW w:w="16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14,955</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17</w:t>
            </w: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33" w:lineRule="exact"/>
        <w:rPr>
          <w:sz w:val="20"/>
          <w:szCs w:val="20"/>
          <w:color w:val="auto"/>
        </w:rPr>
      </w:pPr>
    </w:p>
    <w:p>
      <w:pPr>
        <w:spacing w:after="0"/>
        <w:rPr>
          <w:sz w:val="20"/>
          <w:szCs w:val="20"/>
          <w:color w:val="auto"/>
        </w:rPr>
      </w:pPr>
      <w:r>
        <w:rPr>
          <w:rFonts w:ascii="Arial" w:cs="Arial" w:eastAsia="Arial" w:hAnsi="Arial"/>
          <w:sz w:val="7"/>
          <w:szCs w:val="7"/>
          <w:color w:val="auto"/>
        </w:rPr>
        <w:t>NM - Not meaningful</w:t>
      </w:r>
    </w:p>
    <w:p>
      <w:pPr>
        <w:spacing w:after="0" w:line="28" w:lineRule="exact"/>
        <w:rPr>
          <w:sz w:val="20"/>
          <w:szCs w:val="20"/>
          <w:color w:val="auto"/>
        </w:rPr>
      </w:pPr>
    </w:p>
    <w:p>
      <w:pPr>
        <w:spacing w:after="0"/>
        <w:rPr>
          <w:sz w:val="20"/>
          <w:szCs w:val="20"/>
          <w:color w:val="auto"/>
        </w:rPr>
      </w:pPr>
      <w:r>
        <w:rPr>
          <w:rFonts w:ascii="Arial" w:cs="Arial" w:eastAsia="Arial" w:hAnsi="Arial"/>
          <w:sz w:val="7"/>
          <w:szCs w:val="7"/>
          <w:color w:val="auto"/>
        </w:rPr>
        <w:t>* Represents less than 0.5%</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080" w:type="dxa"/>
            <w:vAlign w:val="bottom"/>
            <w:tcBorders>
              <w:top w:val="single" w:sz="8" w:color="05314D"/>
            </w:tcBorders>
          </w:tcPr>
          <w:p>
            <w:pPr>
              <w:spacing w:after="0"/>
              <w:rPr>
                <w:sz w:val="20"/>
                <w:szCs w:val="20"/>
                <w:color w:val="auto"/>
              </w:rPr>
            </w:pPr>
            <w:r>
              <w:rPr>
                <w:rFonts w:ascii="Arial" w:cs="Arial" w:eastAsia="Arial" w:hAnsi="Arial"/>
                <w:sz w:val="11"/>
                <w:szCs w:val="11"/>
                <w:color w:val="auto"/>
              </w:rPr>
              <w:t>Third Quarter 2025</w:t>
            </w:r>
          </w:p>
        </w:tc>
        <w:tc>
          <w:tcPr>
            <w:tcW w:w="522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2</w:t>
            </w:r>
          </w:p>
        </w:tc>
      </w:tr>
    </w:tbl>
    <w:p>
      <w:pPr>
        <w:sectPr>
          <w:pgSz w:w="11900" w:h="16838" w:orient="portrait"/>
          <w:cols w:equalWidth="0" w:num="1">
            <w:col w:w="11300"/>
          </w:cols>
          <w:pgMar w:left="300" w:top="880" w:right="29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Single-Family Business</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Jake Williamson, Acting Head of Single-Family, Fannie Mae</w:t>
      </w:r>
      <w:r>
        <w:rPr>
          <w:rFonts w:ascii="Arial" w:cs="Arial" w:eastAsia="Arial" w:hAnsi="Arial"/>
          <w:sz w:val="12"/>
          <w:szCs w:val="12"/>
          <w:color w:val="085280"/>
        </w:rPr>
        <w:t>:</w:t>
      </w:r>
    </w:p>
    <w:p>
      <w:pPr>
        <w:ind w:right="300"/>
        <w:spacing w:after="0" w:line="277" w:lineRule="auto"/>
        <w:rPr>
          <w:sz w:val="20"/>
          <w:szCs w:val="20"/>
          <w:color w:val="auto"/>
        </w:rPr>
      </w:pPr>
      <w:r>
        <w:rPr>
          <w:rFonts w:ascii="Arial" w:cs="Arial" w:eastAsia="Arial" w:hAnsi="Arial"/>
          <w:sz w:val="12"/>
          <w:szCs w:val="12"/>
          <w:color w:val="auto"/>
        </w:rPr>
        <w:t>“Our acquisition volumes in the quarter reflect our continued commitment to providing consistent and reliable liquidity to the mortgage market. The entire Single-Family team at Fannie Mae remains focused on unlocking value for our lender partners by making the mortgage process seamless and more efficient, enabled by our industry-leading Desktop Underwriter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52705</wp:posOffset>
            </wp:positionV>
            <wp:extent cx="7178040" cy="130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30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Single-Family Highlights — Third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0" w:lineRule="exact"/>
        <w:rPr>
          <w:sz w:val="20"/>
          <w:szCs w:val="20"/>
          <w:color w:val="auto"/>
        </w:rPr>
      </w:pPr>
    </w:p>
    <w:p>
      <w:pPr>
        <w:ind w:left="160" w:hanging="104"/>
        <w:spacing w:after="0"/>
        <w:tabs>
          <w:tab w:leader="none" w:pos="160" w:val="left"/>
        </w:tabs>
        <w:numPr>
          <w:ilvl w:val="0"/>
          <w:numId w:val="4"/>
        </w:numPr>
        <w:rPr>
          <w:rFonts w:ascii="Arial" w:cs="Arial" w:eastAsia="Arial" w:hAnsi="Arial"/>
          <w:sz w:val="9"/>
          <w:szCs w:val="9"/>
          <w:color w:val="auto"/>
        </w:rPr>
      </w:pPr>
      <w:r>
        <w:rPr>
          <w:rFonts w:ascii="Arial" w:cs="Arial" w:eastAsia="Arial" w:hAnsi="Arial"/>
          <w:sz w:val="10"/>
          <w:szCs w:val="10"/>
          <w:b w:val="1"/>
          <w:bCs w:val="1"/>
          <w:color w:val="auto"/>
        </w:rPr>
        <w:t xml:space="preserve">Single-family conventional acquisition volume rose </w:t>
      </w:r>
      <w:r>
        <w:rPr>
          <w:rFonts w:ascii="Arial" w:cs="Arial" w:eastAsia="Arial" w:hAnsi="Arial"/>
          <w:sz w:val="10"/>
          <w:szCs w:val="10"/>
          <w:color w:val="auto"/>
        </w:rPr>
        <w:t>to $90.4 billion in 3Q 2025, compared with $84.1 billion in 2Q 2025. Purchase acquisition volume increased to $72.0 billion in 3Q 2025, compared with $64.3 billion in 2Q 2025.</w:t>
      </w:r>
    </w:p>
    <w:p>
      <w:pPr>
        <w:spacing w:after="0" w:line="74" w:lineRule="exact"/>
        <w:rPr>
          <w:rFonts w:ascii="Arial" w:cs="Arial" w:eastAsia="Arial" w:hAnsi="Arial"/>
          <w:sz w:val="9"/>
          <w:szCs w:val="9"/>
          <w:color w:val="auto"/>
        </w:rPr>
      </w:pPr>
    </w:p>
    <w:p>
      <w:pPr>
        <w:ind w:left="160" w:hanging="104"/>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Average single-family conventional guaranty book decreased </w:t>
      </w:r>
      <w:r>
        <w:rPr>
          <w:rFonts w:ascii="Arial" w:cs="Arial" w:eastAsia="Arial" w:hAnsi="Arial"/>
          <w:sz w:val="11"/>
          <w:szCs w:val="11"/>
          <w:color w:val="auto"/>
        </w:rPr>
        <w:t>to $3.59 trillion as of September 30, 2025, from $3.60 trillion as of June 30, 2025.</w:t>
      </w:r>
    </w:p>
    <w:p>
      <w:pPr>
        <w:spacing w:after="0" w:line="62" w:lineRule="exact"/>
        <w:rPr>
          <w:rFonts w:ascii="Arial" w:cs="Arial" w:eastAsia="Arial" w:hAnsi="Arial"/>
          <w:sz w:val="10"/>
          <w:szCs w:val="10"/>
          <w:color w:val="auto"/>
        </w:rPr>
      </w:pPr>
    </w:p>
    <w:p>
      <w:pPr>
        <w:ind w:left="160" w:right="160" w:hanging="104"/>
        <w:spacing w:after="0" w:line="250"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The average charged guaranty fee, net of TCCA fees, on the single-family conventional guaranty book increased </w:t>
      </w:r>
      <w:r>
        <w:rPr>
          <w:rFonts w:ascii="Arial" w:cs="Arial" w:eastAsia="Arial" w:hAnsi="Arial"/>
          <w:sz w:val="11"/>
          <w:szCs w:val="11"/>
          <w:color w:val="auto"/>
        </w:rPr>
        <w:t>to 48.5 basis points in 3Q 2025, compared with 48.3 basis points in 2Q 2025. The average charged guaranty</w:t>
      </w:r>
      <w:r>
        <w:rPr>
          <w:rFonts w:ascii="Arial" w:cs="Arial" w:eastAsia="Arial" w:hAnsi="Arial"/>
          <w:sz w:val="11"/>
          <w:szCs w:val="11"/>
          <w:b w:val="1"/>
          <w:bCs w:val="1"/>
          <w:color w:val="auto"/>
        </w:rPr>
        <w:t xml:space="preserve"> </w:t>
      </w:r>
      <w:r>
        <w:rPr>
          <w:rFonts w:ascii="Arial" w:cs="Arial" w:eastAsia="Arial" w:hAnsi="Arial"/>
          <w:sz w:val="11"/>
          <w:szCs w:val="11"/>
          <w:color w:val="auto"/>
        </w:rPr>
        <w:t>fee on newly acquired conventional loans, net of TCCA fees, decreased to 56.3 basis points in 3Q 2025, compared with 57.3 basis points in 2Q 2025.</w:t>
      </w:r>
    </w:p>
    <w:p>
      <w:pPr>
        <w:spacing w:after="0" w:line="51" w:lineRule="exact"/>
        <w:rPr>
          <w:rFonts w:ascii="Arial" w:cs="Arial" w:eastAsia="Arial" w:hAnsi="Arial"/>
          <w:sz w:val="10"/>
          <w:szCs w:val="10"/>
          <w:color w:val="auto"/>
        </w:rPr>
      </w:pPr>
    </w:p>
    <w:p>
      <w:pPr>
        <w:ind w:left="160" w:right="80" w:hanging="104"/>
        <w:spacing w:after="0" w:line="250"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Credit characteristics on the single-family conventional guaranty book remained strong</w:t>
      </w:r>
      <w:r>
        <w:rPr>
          <w:rFonts w:ascii="Arial" w:cs="Arial" w:eastAsia="Arial" w:hAnsi="Arial"/>
          <w:sz w:val="11"/>
          <w:szCs w:val="11"/>
          <w:color w:val="auto"/>
        </w:rPr>
        <w:t>, with a weighted-average mark-to-market loan-to-value ratio of 50% and a weighted-average FICO credit score at origination of 753 as of</w:t>
      </w:r>
      <w:r>
        <w:rPr>
          <w:rFonts w:ascii="Arial" w:cs="Arial" w:eastAsia="Arial" w:hAnsi="Arial"/>
          <w:sz w:val="11"/>
          <w:szCs w:val="11"/>
          <w:b w:val="1"/>
          <w:bCs w:val="1"/>
          <w:color w:val="auto"/>
        </w:rPr>
        <w:t xml:space="preserve"> </w:t>
      </w:r>
      <w:r>
        <w:rPr>
          <w:rFonts w:ascii="Arial" w:cs="Arial" w:eastAsia="Arial" w:hAnsi="Arial"/>
          <w:sz w:val="11"/>
          <w:szCs w:val="11"/>
          <w:color w:val="auto"/>
        </w:rPr>
        <w:t>September 30, 2025, unchanged from June 30, 2025.</w:t>
      </w:r>
    </w:p>
    <w:p>
      <w:pPr>
        <w:spacing w:after="0" w:line="51" w:lineRule="exact"/>
        <w:rPr>
          <w:rFonts w:ascii="Arial" w:cs="Arial" w:eastAsia="Arial" w:hAnsi="Arial"/>
          <w:sz w:val="10"/>
          <w:szCs w:val="10"/>
          <w:color w:val="auto"/>
        </w:rPr>
      </w:pPr>
    </w:p>
    <w:p>
      <w:pPr>
        <w:ind w:left="160" w:hanging="104"/>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Single-family serious delinquency rate increased </w:t>
      </w:r>
      <w:r>
        <w:rPr>
          <w:rFonts w:ascii="Arial" w:cs="Arial" w:eastAsia="Arial" w:hAnsi="Arial"/>
          <w:sz w:val="11"/>
          <w:szCs w:val="11"/>
          <w:color w:val="auto"/>
        </w:rPr>
        <w:t>to 0.54% as of September 30, 2025, from 0.53% as of June 30, 2025.</w:t>
      </w:r>
      <w:r>
        <w:rPr>
          <w:rFonts w:ascii="Arial" w:cs="Arial" w:eastAsia="Arial" w:hAnsi="Arial"/>
          <w:sz w:val="14"/>
          <w:szCs w:val="14"/>
          <w:color w:val="auto"/>
          <w:vertAlign w:val="superscript"/>
        </w:rPr>
        <w:t>(8)</w:t>
      </w:r>
    </w:p>
    <w:p>
      <w:pPr>
        <w:spacing w:after="0" w:line="28" w:lineRule="exact"/>
        <w:rPr>
          <w:rFonts w:ascii="Arial" w:cs="Arial" w:eastAsia="Arial" w:hAnsi="Arial"/>
          <w:sz w:val="10"/>
          <w:szCs w:val="10"/>
          <w:color w:val="auto"/>
        </w:rPr>
      </w:pPr>
    </w:p>
    <w:p>
      <w:pPr>
        <w:ind w:left="160" w:right="200" w:hanging="104"/>
        <w:spacing w:after="0" w:line="250"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1"/>
          <w:szCs w:val="11"/>
          <w:b w:val="1"/>
          <w:bCs w:val="1"/>
          <w:color w:val="auto"/>
        </w:rPr>
        <w:t xml:space="preserve">Provision for single-family credit losses </w:t>
      </w:r>
      <w:r>
        <w:rPr>
          <w:rFonts w:ascii="Arial" w:cs="Arial" w:eastAsia="Arial" w:hAnsi="Arial"/>
          <w:sz w:val="11"/>
          <w:szCs w:val="11"/>
          <w:color w:val="auto"/>
        </w:rPr>
        <w:t>of $269 million was recorded for 3Q 2025, reflecting the loans we acquired during the period, which primarily consisted of purchase loans. This compares with a single-family provision for</w:t>
      </w:r>
      <w:r>
        <w:rPr>
          <w:rFonts w:ascii="Arial" w:cs="Arial" w:eastAsia="Arial" w:hAnsi="Arial"/>
          <w:sz w:val="11"/>
          <w:szCs w:val="11"/>
          <w:b w:val="1"/>
          <w:bCs w:val="1"/>
          <w:color w:val="auto"/>
        </w:rPr>
        <w:t xml:space="preserve"> </w:t>
      </w:r>
      <w:r>
        <w:rPr>
          <w:rFonts w:ascii="Arial" w:cs="Arial" w:eastAsia="Arial" w:hAnsi="Arial"/>
          <w:sz w:val="11"/>
          <w:szCs w:val="11"/>
          <w:color w:val="auto"/>
        </w:rPr>
        <w:t>credit losses of $737 million for 2Q 2025.</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Single-Family Business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108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40" w:type="dxa"/>
            <w:vAlign w:val="bottom"/>
            <w:tcBorders>
              <w:top w:val="single" w:sz="8" w:color="1C6FA3"/>
              <w:bottom w:val="single" w:sz="8" w:color="5587A6"/>
            </w:tcBorders>
          </w:tcPr>
          <w:p>
            <w:pPr>
              <w:spacing w:after="0"/>
              <w:rPr>
                <w:sz w:val="20"/>
                <w:szCs w:val="20"/>
                <w:color w:val="auto"/>
              </w:rPr>
            </w:pPr>
            <w:r>
              <w:rPr>
                <w:rFonts w:ascii="Arial" w:cs="Arial" w:eastAsia="Arial" w:hAnsi="Arial"/>
                <w:sz w:val="11"/>
                <w:szCs w:val="11"/>
                <w:b w:val="1"/>
                <w:bCs w:val="1"/>
                <w:color w:val="auto"/>
              </w:rPr>
              <w:t>(Dollars in millions)</w:t>
            </w:r>
          </w:p>
        </w:tc>
        <w:tc>
          <w:tcPr>
            <w:tcW w:w="60" w:type="dxa"/>
            <w:vAlign w:val="bottom"/>
            <w:tcBorders>
              <w:top w:val="single" w:sz="8" w:color="1C6FA3"/>
            </w:tcBorders>
          </w:tcPr>
          <w:p>
            <w:pPr>
              <w:spacing w:after="0"/>
              <w:rPr>
                <w:sz w:val="13"/>
                <w:szCs w:val="13"/>
                <w:color w:val="auto"/>
              </w:rPr>
            </w:pPr>
          </w:p>
        </w:tc>
        <w:tc>
          <w:tcPr>
            <w:tcW w:w="16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center"/>
              <w:ind w:right="106"/>
              <w:spacing w:after="0"/>
              <w:rPr>
                <w:sz w:val="20"/>
                <w:szCs w:val="20"/>
                <w:color w:val="auto"/>
              </w:rPr>
            </w:pPr>
            <w:r>
              <w:rPr>
                <w:rFonts w:ascii="Arial" w:cs="Arial" w:eastAsia="Arial" w:hAnsi="Arial"/>
                <w:sz w:val="11"/>
                <w:szCs w:val="11"/>
                <w:b w:val="1"/>
                <w:bCs w:val="1"/>
                <w:color w:val="auto"/>
                <w:w w:val="96"/>
              </w:rPr>
              <w:t>3Q25</w:t>
            </w:r>
          </w:p>
        </w:tc>
        <w:tc>
          <w:tcPr>
            <w:tcW w:w="60" w:type="dxa"/>
            <w:vAlign w:val="bottom"/>
            <w:tcBorders>
              <w:top w:val="single" w:sz="8" w:color="1C6FA3"/>
            </w:tcBorders>
          </w:tcPr>
          <w:p>
            <w:pPr>
              <w:spacing w:after="0"/>
              <w:rPr>
                <w:sz w:val="13"/>
                <w:szCs w:val="13"/>
                <w:color w:val="auto"/>
              </w:rPr>
            </w:pPr>
          </w:p>
        </w:tc>
        <w:tc>
          <w:tcPr>
            <w:tcW w:w="16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center"/>
              <w:ind w:right="106"/>
              <w:spacing w:after="0"/>
              <w:rPr>
                <w:sz w:val="20"/>
                <w:szCs w:val="20"/>
                <w:color w:val="auto"/>
              </w:rPr>
            </w:pPr>
            <w:r>
              <w:rPr>
                <w:rFonts w:ascii="Arial" w:cs="Arial" w:eastAsia="Arial" w:hAnsi="Arial"/>
                <w:sz w:val="11"/>
                <w:szCs w:val="11"/>
                <w:b w:val="1"/>
                <w:bCs w:val="1"/>
                <w:color w:val="auto"/>
                <w:w w:val="96"/>
              </w:rPr>
              <w:t>2Q25</w:t>
            </w:r>
          </w:p>
        </w:tc>
        <w:tc>
          <w:tcPr>
            <w:tcW w:w="6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center"/>
              <w:ind w:right="66"/>
              <w:spacing w:after="0"/>
              <w:rPr>
                <w:sz w:val="20"/>
                <w:szCs w:val="20"/>
                <w:color w:val="auto"/>
              </w:rPr>
            </w:pPr>
            <w:r>
              <w:rPr>
                <w:rFonts w:ascii="Arial" w:cs="Arial" w:eastAsia="Arial" w:hAnsi="Arial"/>
                <w:sz w:val="11"/>
                <w:szCs w:val="11"/>
                <w:b w:val="1"/>
                <w:bCs w:val="1"/>
                <w:color w:val="auto"/>
                <w:w w:val="95"/>
              </w:rPr>
              <w:t>Variance</w:t>
            </w:r>
          </w:p>
        </w:tc>
        <w:tc>
          <w:tcPr>
            <w:tcW w:w="80" w:type="dxa"/>
            <w:vAlign w:val="bottom"/>
            <w:tcBorders>
              <w:top w:val="single" w:sz="8" w:color="1C6FA3"/>
            </w:tcBorders>
          </w:tcPr>
          <w:p>
            <w:pPr>
              <w:spacing w:after="0"/>
              <w:rPr>
                <w:sz w:val="13"/>
                <w:szCs w:val="13"/>
                <w:color w:val="auto"/>
              </w:rPr>
            </w:pPr>
          </w:p>
        </w:tc>
        <w:tc>
          <w:tcPr>
            <w:tcW w:w="800" w:type="dxa"/>
            <w:vAlign w:val="bottom"/>
            <w:tcBorders>
              <w:top w:val="single" w:sz="8" w:color="1C6FA3"/>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 Change</w:t>
            </w:r>
          </w:p>
        </w:tc>
        <w:tc>
          <w:tcPr>
            <w:tcW w:w="60" w:type="dxa"/>
            <w:vAlign w:val="bottom"/>
            <w:tcBorders>
              <w:top w:val="single" w:sz="8" w:color="1C6FA3"/>
              <w:bottom w:val="single" w:sz="8" w:color="5587A6"/>
            </w:tcBorders>
          </w:tcPr>
          <w:p>
            <w:pPr>
              <w:spacing w:after="0"/>
              <w:rPr>
                <w:sz w:val="13"/>
                <w:szCs w:val="13"/>
                <w:color w:val="auto"/>
              </w:rPr>
            </w:pPr>
          </w:p>
        </w:tc>
        <w:tc>
          <w:tcPr>
            <w:tcW w:w="120" w:type="dxa"/>
            <w:vAlign w:val="bottom"/>
            <w:tcBorders>
              <w:top w:val="single" w:sz="8" w:color="1C6FA3"/>
              <w:bottom w:val="single" w:sz="8" w:color="5587A6"/>
            </w:tcBorders>
          </w:tcPr>
          <w:p>
            <w:pPr>
              <w:spacing w:after="0"/>
              <w:rPr>
                <w:sz w:val="13"/>
                <w:szCs w:val="13"/>
                <w:color w:val="auto"/>
              </w:rPr>
            </w:pP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center"/>
              <w:ind w:right="106"/>
              <w:spacing w:after="0"/>
              <w:rPr>
                <w:sz w:val="20"/>
                <w:szCs w:val="20"/>
                <w:color w:val="auto"/>
              </w:rPr>
            </w:pPr>
            <w:r>
              <w:rPr>
                <w:rFonts w:ascii="Arial" w:cs="Arial" w:eastAsia="Arial" w:hAnsi="Arial"/>
                <w:sz w:val="11"/>
                <w:szCs w:val="11"/>
                <w:b w:val="1"/>
                <w:bCs w:val="1"/>
                <w:color w:val="auto"/>
                <w:w w:val="96"/>
              </w:rPr>
              <w:t>3Q24</w:t>
            </w:r>
          </w:p>
        </w:tc>
        <w:tc>
          <w:tcPr>
            <w:tcW w:w="14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3"/>
                <w:szCs w:val="13"/>
                <w:color w:val="auto"/>
              </w:rPr>
            </w:pPr>
          </w:p>
        </w:tc>
        <w:tc>
          <w:tcPr>
            <w:tcW w:w="940" w:type="dxa"/>
            <w:vAlign w:val="bottom"/>
            <w:tcBorders>
              <w:top w:val="single" w:sz="8" w:color="1C6FA3"/>
              <w:bottom w:val="single" w:sz="8" w:color="5587A6"/>
            </w:tcBorders>
          </w:tcPr>
          <w:p>
            <w:pPr>
              <w:jc w:val="right"/>
              <w:ind w:right="166"/>
              <w:spacing w:after="0"/>
              <w:rPr>
                <w:sz w:val="20"/>
                <w:szCs w:val="20"/>
                <w:color w:val="auto"/>
              </w:rPr>
            </w:pPr>
            <w:r>
              <w:rPr>
                <w:rFonts w:ascii="Arial" w:cs="Arial" w:eastAsia="Arial" w:hAnsi="Arial"/>
                <w:sz w:val="11"/>
                <w:szCs w:val="11"/>
                <w:b w:val="1"/>
                <w:bCs w:val="1"/>
                <w:color w:val="auto"/>
              </w:rPr>
              <w:t>% Change</w:t>
            </w:r>
          </w:p>
        </w:tc>
      </w:tr>
      <w:tr>
        <w:trPr>
          <w:trHeight w:val="133"/>
        </w:trPr>
        <w:tc>
          <w:tcPr>
            <w:tcW w:w="4600" w:type="dxa"/>
            <w:vAlign w:val="bottom"/>
            <w:gridSpan w:val="2"/>
          </w:tcPr>
          <w:p>
            <w:pPr>
              <w:spacing w:after="0"/>
              <w:rPr>
                <w:sz w:val="20"/>
                <w:szCs w:val="20"/>
                <w:color w:val="auto"/>
              </w:rPr>
            </w:pPr>
            <w:r>
              <w:rPr>
                <w:rFonts w:ascii="Arial" w:cs="Arial" w:eastAsia="Arial" w:hAnsi="Arial"/>
                <w:sz w:val="11"/>
                <w:szCs w:val="11"/>
                <w:color w:val="auto"/>
              </w:rPr>
              <w:t>Net interest income</w:t>
            </w: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5,992</w:t>
            </w:r>
          </w:p>
        </w:tc>
        <w:tc>
          <w:tcPr>
            <w:tcW w:w="6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5,992</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1"/>
                <w:szCs w:val="11"/>
                <w:color w:val="auto"/>
              </w:rPr>
              <w:t>— %*</w:t>
            </w: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6,131</w:t>
            </w:r>
          </w:p>
        </w:tc>
        <w:tc>
          <w:tcPr>
            <w:tcW w:w="1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(139)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w:t>
            </w:r>
          </w:p>
        </w:tc>
      </w:tr>
      <w:tr>
        <w:trPr>
          <w:trHeight w:val="144"/>
        </w:trPr>
        <w:tc>
          <w:tcPr>
            <w:tcW w:w="454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Fee and other income</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104</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69</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35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51</w:t>
            </w:r>
          </w:p>
        </w:tc>
        <w:tc>
          <w:tcPr>
            <w:tcW w:w="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48</w:t>
            </w:r>
          </w:p>
        </w:tc>
        <w:tc>
          <w:tcPr>
            <w:tcW w:w="14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117 %</w:t>
            </w:r>
          </w:p>
        </w:tc>
      </w:tr>
      <w:tr>
        <w:trPr>
          <w:trHeight w:val="133"/>
        </w:trPr>
        <w:tc>
          <w:tcPr>
            <w:tcW w:w="4600" w:type="dxa"/>
            <w:vAlign w:val="bottom"/>
            <w:gridSpan w:val="2"/>
          </w:tcPr>
          <w:p>
            <w:pPr>
              <w:spacing w:after="0"/>
              <w:rPr>
                <w:sz w:val="20"/>
                <w:szCs w:val="20"/>
                <w:color w:val="auto"/>
              </w:rPr>
            </w:pPr>
            <w:r>
              <w:rPr>
                <w:rFonts w:ascii="Arial" w:cs="Arial" w:eastAsia="Arial" w:hAnsi="Arial"/>
                <w:sz w:val="11"/>
                <w:szCs w:val="11"/>
                <w:b w:val="1"/>
                <w:bCs w:val="1"/>
                <w:color w:val="auto"/>
              </w:rPr>
              <w:t>Net revenues</w:t>
            </w:r>
          </w:p>
        </w:tc>
        <w:tc>
          <w:tcPr>
            <w:tcW w:w="16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6,096</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6,061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6,179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w:t>
            </w:r>
          </w:p>
        </w:tc>
      </w:tr>
      <w:tr>
        <w:trPr>
          <w:trHeight w:val="144"/>
        </w:trPr>
        <w:tc>
          <w:tcPr>
            <w:tcW w:w="4600" w:type="dxa"/>
            <w:vAlign w:val="bottom"/>
            <w:gridSpan w:val="2"/>
          </w:tcPr>
          <w:p>
            <w:pPr>
              <w:spacing w:after="0"/>
              <w:rPr>
                <w:sz w:val="20"/>
                <w:szCs w:val="20"/>
                <w:color w:val="auto"/>
              </w:rPr>
            </w:pPr>
            <w:r>
              <w:rPr>
                <w:rFonts w:ascii="Arial" w:cs="Arial" w:eastAsia="Arial" w:hAnsi="Arial"/>
                <w:sz w:val="11"/>
                <w:szCs w:val="11"/>
                <w:color w:val="auto"/>
              </w:rPr>
              <w:t>(Provision) benefit for credit losses</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(269)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(737)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468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64</w:t>
            </w:r>
          </w:p>
        </w:tc>
        <w:tc>
          <w:tcPr>
            <w:tcW w:w="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451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(720)</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4"/>
        </w:trPr>
        <w:tc>
          <w:tcPr>
            <w:tcW w:w="4600" w:type="dxa"/>
            <w:vAlign w:val="bottom"/>
            <w:gridSpan w:val="2"/>
          </w:tcPr>
          <w:p>
            <w:pPr>
              <w:spacing w:after="0"/>
              <w:rPr>
                <w:sz w:val="20"/>
                <w:szCs w:val="20"/>
                <w:color w:val="auto"/>
              </w:rPr>
            </w:pPr>
            <w:r>
              <w:rPr>
                <w:rFonts w:ascii="Arial" w:cs="Arial" w:eastAsia="Arial" w:hAnsi="Arial"/>
                <w:sz w:val="11"/>
                <w:szCs w:val="11"/>
                <w:color w:val="auto"/>
              </w:rPr>
              <w:t>Fair value gains (losses), net</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(22)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197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(219)</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gridSpan w:val="3"/>
          </w:tcPr>
          <w:p>
            <w:pPr>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4"/>
        </w:trPr>
        <w:tc>
          <w:tcPr>
            <w:tcW w:w="4600" w:type="dxa"/>
            <w:vAlign w:val="bottom"/>
            <w:gridSpan w:val="2"/>
          </w:tcPr>
          <w:p>
            <w:pPr>
              <w:spacing w:after="0"/>
              <w:rPr>
                <w:sz w:val="20"/>
                <w:szCs w:val="20"/>
                <w:color w:val="auto"/>
              </w:rPr>
            </w:pPr>
            <w:r>
              <w:rPr>
                <w:rFonts w:ascii="Arial" w:cs="Arial" w:eastAsia="Arial" w:hAnsi="Arial"/>
                <w:sz w:val="11"/>
                <w:szCs w:val="11"/>
                <w:color w:val="auto"/>
              </w:rPr>
              <w:t>Investment gains (losses), net</w:t>
            </w:r>
          </w:p>
        </w:tc>
        <w:tc>
          <w:tcPr>
            <w:tcW w:w="16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gridSpan w:val="3"/>
          </w:tcPr>
          <w:p>
            <w:pPr>
              <w:spacing w:after="0"/>
              <w:rPr>
                <w:sz w:val="20"/>
                <w:szCs w:val="20"/>
                <w:color w:val="auto"/>
              </w:rPr>
            </w:pPr>
            <w:r>
              <w:rPr>
                <w:rFonts w:ascii="Arial" w:cs="Arial" w:eastAsia="Arial" w:hAnsi="Arial"/>
                <w:sz w:val="11"/>
                <w:szCs w:val="11"/>
                <w:color w:val="auto"/>
              </w:rPr>
              <w:t>NM</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(44)%</w:t>
            </w:r>
          </w:p>
        </w:tc>
      </w:tr>
      <w:tr>
        <w:trPr>
          <w:trHeight w:val="137"/>
        </w:trPr>
        <w:tc>
          <w:tcPr>
            <w:tcW w:w="4600" w:type="dxa"/>
            <w:vAlign w:val="bottom"/>
            <w:gridSpan w:val="2"/>
          </w:tcPr>
          <w:p>
            <w:pPr>
              <w:spacing w:after="0"/>
              <w:rPr>
                <w:sz w:val="20"/>
                <w:szCs w:val="20"/>
                <w:color w:val="auto"/>
              </w:rPr>
            </w:pPr>
            <w:r>
              <w:rPr>
                <w:rFonts w:ascii="Arial" w:cs="Arial" w:eastAsia="Arial" w:hAnsi="Arial"/>
                <w:sz w:val="11"/>
                <w:szCs w:val="11"/>
                <w:color w:val="auto"/>
              </w:rPr>
              <w:t>Non-interest expense:</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460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(4)</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(669)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(687)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(732)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9 %</w:t>
            </w:r>
          </w:p>
        </w:tc>
      </w:tr>
      <w:tr>
        <w:trPr>
          <w:trHeight w:val="144"/>
        </w:trPr>
        <w:tc>
          <w:tcPr>
            <w:tcW w:w="460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(5)</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(929)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(918)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(936)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1 %</w:t>
            </w:r>
          </w:p>
        </w:tc>
      </w:tr>
      <w:tr>
        <w:trPr>
          <w:trHeight w:val="144"/>
        </w:trPr>
        <w:tc>
          <w:tcPr>
            <w:tcW w:w="460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(6)</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(330)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(318)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(4)</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(336)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2 %</w:t>
            </w:r>
          </w:p>
        </w:tc>
      </w:tr>
      <w:tr>
        <w:trPr>
          <w:trHeight w:val="151"/>
        </w:trPr>
        <w:tc>
          <w:tcPr>
            <w:tcW w:w="4540" w:type="dxa"/>
            <w:vAlign w:val="bottom"/>
            <w:tcBorders>
              <w:bottom w:val="single" w:sz="8" w:color="5587A6"/>
            </w:tcBorders>
          </w:tcPr>
          <w:p>
            <w:pPr>
              <w:ind w:left="80"/>
              <w:spacing w:after="0" w:line="151"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(7)</w:t>
            </w:r>
          </w:p>
        </w:tc>
        <w:tc>
          <w:tcPr>
            <w:tcW w:w="60" w:type="dxa"/>
            <w:vAlign w:val="bottom"/>
          </w:tcPr>
          <w:p>
            <w:pPr>
              <w:spacing w:after="0"/>
              <w:rPr>
                <w:sz w:val="13"/>
                <w:szCs w:val="13"/>
                <w:color w:val="auto"/>
              </w:rPr>
            </w:pPr>
          </w:p>
        </w:tc>
        <w:tc>
          <w:tcPr>
            <w:tcW w:w="160" w:type="dxa"/>
            <w:vAlign w:val="bottom"/>
            <w:tcBorders>
              <w:bottom w:val="single" w:sz="8" w:color="5587A6"/>
            </w:tcBorders>
          </w:tcPr>
          <w:p>
            <w:pPr>
              <w:spacing w:after="0"/>
              <w:rPr>
                <w:sz w:val="13"/>
                <w:szCs w:val="13"/>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(7)</w:t>
            </w:r>
          </w:p>
        </w:tc>
        <w:tc>
          <w:tcPr>
            <w:tcW w:w="60" w:type="dxa"/>
            <w:vAlign w:val="bottom"/>
          </w:tcPr>
          <w:p>
            <w:pPr>
              <w:spacing w:after="0"/>
              <w:rPr>
                <w:sz w:val="13"/>
                <w:szCs w:val="13"/>
                <w:color w:val="auto"/>
              </w:rPr>
            </w:pPr>
          </w:p>
        </w:tc>
        <w:tc>
          <w:tcPr>
            <w:tcW w:w="160" w:type="dxa"/>
            <w:vAlign w:val="bottom"/>
            <w:tcBorders>
              <w:bottom w:val="single" w:sz="8" w:color="5587A6"/>
            </w:tcBorders>
          </w:tcPr>
          <w:p>
            <w:pPr>
              <w:spacing w:after="0"/>
              <w:rPr>
                <w:sz w:val="13"/>
                <w:szCs w:val="13"/>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(143)</w:t>
            </w:r>
          </w:p>
        </w:tc>
        <w:tc>
          <w:tcPr>
            <w:tcW w:w="60" w:type="dxa"/>
            <w:vAlign w:val="bottom"/>
          </w:tcPr>
          <w:p>
            <w:pPr>
              <w:spacing w:after="0"/>
              <w:rPr>
                <w:sz w:val="13"/>
                <w:szCs w:val="13"/>
                <w:color w:val="auto"/>
              </w:rPr>
            </w:pPr>
          </w:p>
        </w:tc>
        <w:tc>
          <w:tcPr>
            <w:tcW w:w="140" w:type="dxa"/>
            <w:vAlign w:val="bottom"/>
            <w:tcBorders>
              <w:bottom w:val="single" w:sz="8" w:color="5587A6"/>
            </w:tcBorders>
          </w:tcPr>
          <w:p>
            <w:pPr>
              <w:spacing w:after="0"/>
              <w:rPr>
                <w:sz w:val="13"/>
                <w:szCs w:val="13"/>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136</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95</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40" w:type="dxa"/>
            <w:vAlign w:val="bottom"/>
            <w:tcBorders>
              <w:bottom w:val="single" w:sz="8" w:color="5587A6"/>
            </w:tcBorders>
          </w:tcPr>
          <w:p>
            <w:pPr>
              <w:spacing w:after="0"/>
              <w:rPr>
                <w:sz w:val="13"/>
                <w:szCs w:val="13"/>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(223)</w:t>
            </w:r>
          </w:p>
        </w:tc>
        <w:tc>
          <w:tcPr>
            <w:tcW w:w="140" w:type="dxa"/>
            <w:vAlign w:val="bottom"/>
          </w:tcPr>
          <w:p>
            <w:pPr>
              <w:spacing w:after="0"/>
              <w:rPr>
                <w:sz w:val="13"/>
                <w:szCs w:val="13"/>
                <w:color w:val="auto"/>
              </w:rPr>
            </w:pPr>
          </w:p>
        </w:tc>
        <w:tc>
          <w:tcPr>
            <w:tcW w:w="140" w:type="dxa"/>
            <w:vAlign w:val="bottom"/>
            <w:tcBorders>
              <w:bottom w:val="single" w:sz="8" w:color="5587A6"/>
            </w:tcBorders>
          </w:tcPr>
          <w:p>
            <w:pPr>
              <w:spacing w:after="0"/>
              <w:rPr>
                <w:sz w:val="13"/>
                <w:szCs w:val="13"/>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216</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97 %</w:t>
            </w:r>
          </w:p>
        </w:tc>
      </w:tr>
      <w:tr>
        <w:trPr>
          <w:trHeight w:val="133"/>
        </w:trPr>
        <w:tc>
          <w:tcPr>
            <w:tcW w:w="454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Total non-interest expense</w:t>
            </w:r>
          </w:p>
        </w:tc>
        <w:tc>
          <w:tcPr>
            <w:tcW w:w="60" w:type="dxa"/>
            <w:vAlign w:val="bottom"/>
          </w:tcPr>
          <w:p>
            <w:pPr>
              <w:spacing w:after="0"/>
              <w:rPr>
                <w:sz w:val="11"/>
                <w:szCs w:val="11"/>
                <w:color w:val="auto"/>
              </w:rPr>
            </w:pPr>
          </w:p>
        </w:tc>
        <w:tc>
          <w:tcPr>
            <w:tcW w:w="16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(1,935)</w:t>
            </w:r>
          </w:p>
        </w:tc>
        <w:tc>
          <w:tcPr>
            <w:tcW w:w="60" w:type="dxa"/>
            <w:vAlign w:val="bottom"/>
          </w:tcPr>
          <w:p>
            <w:pPr>
              <w:spacing w:after="0"/>
              <w:rPr>
                <w:sz w:val="11"/>
                <w:szCs w:val="11"/>
                <w:color w:val="auto"/>
              </w:rPr>
            </w:pPr>
          </w:p>
        </w:tc>
        <w:tc>
          <w:tcPr>
            <w:tcW w:w="16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(2,066)</w:t>
            </w:r>
          </w:p>
        </w:tc>
        <w:tc>
          <w:tcPr>
            <w:tcW w:w="6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131</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(2,227)</w:t>
            </w:r>
          </w:p>
        </w:tc>
        <w:tc>
          <w:tcPr>
            <w:tcW w:w="14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292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13 %</w:t>
            </w:r>
          </w:p>
        </w:tc>
      </w:tr>
      <w:tr>
        <w:trPr>
          <w:trHeight w:val="133"/>
        </w:trPr>
        <w:tc>
          <w:tcPr>
            <w:tcW w:w="4600" w:type="dxa"/>
            <w:vAlign w:val="bottom"/>
            <w:gridSpan w:val="2"/>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6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3,875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3,447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428</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4,404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(529)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w:t>
            </w:r>
          </w:p>
        </w:tc>
      </w:tr>
      <w:tr>
        <w:trPr>
          <w:trHeight w:val="144"/>
        </w:trPr>
        <w:tc>
          <w:tcPr>
            <w:tcW w:w="454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Provision for federal income taxes</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(790)</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(711)</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(79)</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(11)</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(890)</w:t>
            </w:r>
          </w:p>
        </w:tc>
        <w:tc>
          <w:tcPr>
            <w:tcW w:w="14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100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11 %</w:t>
            </w:r>
          </w:p>
        </w:tc>
      </w:tr>
      <w:tr>
        <w:trPr>
          <w:trHeight w:val="133"/>
        </w:trPr>
        <w:tc>
          <w:tcPr>
            <w:tcW w:w="4600" w:type="dxa"/>
            <w:vAlign w:val="bottom"/>
            <w:gridSpan w:val="2"/>
          </w:tcPr>
          <w:p>
            <w:pPr>
              <w:spacing w:after="0"/>
              <w:rPr>
                <w:sz w:val="20"/>
                <w:szCs w:val="20"/>
                <w:color w:val="auto"/>
              </w:rPr>
            </w:pPr>
            <w:r>
              <w:rPr>
                <w:rFonts w:ascii="Arial" w:cs="Arial" w:eastAsia="Arial" w:hAnsi="Arial"/>
                <w:sz w:val="11"/>
                <w:szCs w:val="11"/>
                <w:b w:val="1"/>
                <w:bCs w:val="1"/>
                <w:color w:val="auto"/>
              </w:rPr>
              <w:t>Net income</w:t>
            </w: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b w:val="1"/>
                <w:bCs w:val="1"/>
                <w:color w:val="auto"/>
              </w:rPr>
              <w:t>3,085</w:t>
            </w:r>
          </w:p>
        </w:tc>
        <w:tc>
          <w:tcPr>
            <w:tcW w:w="6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2,736</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349</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3,514</w:t>
            </w:r>
          </w:p>
        </w:tc>
        <w:tc>
          <w:tcPr>
            <w:tcW w:w="1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(429)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w:t>
            </w:r>
          </w:p>
        </w:tc>
      </w:tr>
      <w:tr>
        <w:trPr>
          <w:trHeight w:val="20"/>
        </w:trPr>
        <w:tc>
          <w:tcPr>
            <w:tcW w:w="454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3"/>
        </w:trPr>
        <w:tc>
          <w:tcPr>
            <w:tcW w:w="4600" w:type="dxa"/>
            <w:vAlign w:val="bottom"/>
            <w:gridSpan w:val="2"/>
          </w:tcPr>
          <w:p>
            <w:pPr>
              <w:spacing w:after="0"/>
              <w:rPr>
                <w:sz w:val="20"/>
                <w:szCs w:val="20"/>
                <w:color w:val="auto"/>
              </w:rPr>
            </w:pPr>
            <w:r>
              <w:rPr>
                <w:rFonts w:ascii="Arial" w:cs="Arial" w:eastAsia="Arial" w:hAnsi="Arial"/>
                <w:sz w:val="11"/>
                <w:szCs w:val="11"/>
                <w:color w:val="auto"/>
              </w:rPr>
              <w:t>Average charged guaranty fee on new conventional acquisitions, net of TCCA fees</w:t>
            </w:r>
          </w:p>
        </w:tc>
        <w:tc>
          <w:tcPr>
            <w:tcW w:w="1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56.3 bps</w:t>
            </w:r>
          </w:p>
        </w:tc>
        <w:tc>
          <w:tcPr>
            <w:tcW w:w="16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57.3 bps</w:t>
            </w:r>
          </w:p>
        </w:tc>
        <w:tc>
          <w:tcPr>
            <w:tcW w:w="140" w:type="dxa"/>
            <w:vAlign w:val="bottom"/>
          </w:tcPr>
          <w:p>
            <w:pPr>
              <w:spacing w:after="0"/>
              <w:rPr>
                <w:sz w:val="14"/>
                <w:szCs w:val="14"/>
                <w:color w:val="auto"/>
              </w:rPr>
            </w:pPr>
          </w:p>
        </w:tc>
        <w:tc>
          <w:tcPr>
            <w:tcW w:w="720" w:type="dxa"/>
            <w:vAlign w:val="bottom"/>
          </w:tcPr>
          <w:p>
            <w:pPr>
              <w:jc w:val="center"/>
              <w:ind w:right="86"/>
              <w:spacing w:after="0"/>
              <w:rPr>
                <w:sz w:val="20"/>
                <w:szCs w:val="20"/>
                <w:color w:val="auto"/>
              </w:rPr>
            </w:pPr>
            <w:r>
              <w:rPr>
                <w:rFonts w:ascii="Arial" w:cs="Arial" w:eastAsia="Arial" w:hAnsi="Arial"/>
                <w:sz w:val="11"/>
                <w:szCs w:val="11"/>
                <w:color w:val="auto"/>
                <w:w w:val="96"/>
              </w:rPr>
              <w:t>(1.0) bps</w:t>
            </w:r>
          </w:p>
        </w:tc>
        <w:tc>
          <w:tcPr>
            <w:tcW w:w="940" w:type="dxa"/>
            <w:vAlign w:val="bottom"/>
            <w:gridSpan w:val="3"/>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color w:val="auto"/>
                <w:w w:val="99"/>
              </w:rPr>
              <w:t>54.1 bps</w:t>
            </w:r>
          </w:p>
        </w:tc>
        <w:tc>
          <w:tcPr>
            <w:tcW w:w="14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Arial" w:cs="Arial" w:eastAsia="Arial" w:hAnsi="Arial"/>
                <w:sz w:val="11"/>
                <w:szCs w:val="11"/>
                <w:color w:val="auto"/>
              </w:rPr>
              <w:t>2.2 bps</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4 %</w:t>
            </w:r>
          </w:p>
        </w:tc>
      </w:tr>
      <w:tr>
        <w:trPr>
          <w:trHeight w:val="144"/>
        </w:trPr>
        <w:tc>
          <w:tcPr>
            <w:tcW w:w="4600" w:type="dxa"/>
            <w:vAlign w:val="bottom"/>
            <w:gridSpan w:val="2"/>
          </w:tcPr>
          <w:p>
            <w:pPr>
              <w:spacing w:after="0"/>
              <w:rPr>
                <w:sz w:val="20"/>
                <w:szCs w:val="20"/>
                <w:color w:val="auto"/>
              </w:rPr>
            </w:pPr>
            <w:r>
              <w:rPr>
                <w:rFonts w:ascii="Arial" w:cs="Arial" w:eastAsia="Arial" w:hAnsi="Arial"/>
                <w:sz w:val="11"/>
                <w:szCs w:val="11"/>
                <w:color w:val="auto"/>
              </w:rPr>
              <w:t>Average charged guaranty fee on conventional guaranty book of business, net of TCCA fees</w:t>
            </w:r>
          </w:p>
        </w:tc>
        <w:tc>
          <w:tcPr>
            <w:tcW w:w="16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48.5 bps</w:t>
            </w:r>
          </w:p>
        </w:tc>
        <w:tc>
          <w:tcPr>
            <w:tcW w:w="16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48.3 bps</w:t>
            </w:r>
          </w:p>
        </w:tc>
        <w:tc>
          <w:tcPr>
            <w:tcW w:w="140" w:type="dxa"/>
            <w:vAlign w:val="bottom"/>
          </w:tcPr>
          <w:p>
            <w:pPr>
              <w:spacing w:after="0"/>
              <w:rPr>
                <w:sz w:val="12"/>
                <w:szCs w:val="12"/>
                <w:color w:val="auto"/>
              </w:rPr>
            </w:pPr>
          </w:p>
        </w:tc>
        <w:tc>
          <w:tcPr>
            <w:tcW w:w="720" w:type="dxa"/>
            <w:vAlign w:val="bottom"/>
          </w:tcPr>
          <w:p>
            <w:pPr>
              <w:jc w:val="center"/>
              <w:ind w:right="86"/>
              <w:spacing w:after="0"/>
              <w:rPr>
                <w:sz w:val="20"/>
                <w:szCs w:val="20"/>
                <w:color w:val="auto"/>
              </w:rPr>
            </w:pPr>
            <w:r>
              <w:rPr>
                <w:rFonts w:ascii="Arial" w:cs="Arial" w:eastAsia="Arial" w:hAnsi="Arial"/>
                <w:sz w:val="11"/>
                <w:szCs w:val="11"/>
                <w:color w:val="auto"/>
                <w:w w:val="94"/>
              </w:rPr>
              <w:t>0.2 bps</w:t>
            </w:r>
          </w:p>
        </w:tc>
        <w:tc>
          <w:tcPr>
            <w:tcW w:w="80" w:type="dxa"/>
            <w:vAlign w:val="bottom"/>
          </w:tcPr>
          <w:p>
            <w:pPr>
              <w:spacing w:after="0"/>
              <w:rPr>
                <w:sz w:val="12"/>
                <w:szCs w:val="12"/>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1"/>
                <w:szCs w:val="11"/>
                <w:color w:val="auto"/>
                <w:w w:val="99"/>
              </w:rPr>
              <w:t>47.7 bps</w:t>
            </w:r>
          </w:p>
        </w:tc>
        <w:tc>
          <w:tcPr>
            <w:tcW w:w="140" w:type="dxa"/>
            <w:vAlign w:val="bottom"/>
          </w:tcPr>
          <w:p>
            <w:pPr>
              <w:spacing w:after="0"/>
              <w:rPr>
                <w:sz w:val="12"/>
                <w:szCs w:val="12"/>
                <w:color w:val="auto"/>
              </w:rPr>
            </w:pPr>
          </w:p>
        </w:tc>
        <w:tc>
          <w:tcPr>
            <w:tcW w:w="720" w:type="dxa"/>
            <w:vAlign w:val="bottom"/>
          </w:tcPr>
          <w:p>
            <w:pPr>
              <w:jc w:val="right"/>
              <w:ind w:right="206"/>
              <w:spacing w:after="0"/>
              <w:rPr>
                <w:sz w:val="20"/>
                <w:szCs w:val="20"/>
                <w:color w:val="auto"/>
              </w:rPr>
            </w:pPr>
            <w:r>
              <w:rPr>
                <w:rFonts w:ascii="Arial" w:cs="Arial" w:eastAsia="Arial" w:hAnsi="Arial"/>
                <w:sz w:val="11"/>
                <w:szCs w:val="11"/>
                <w:color w:val="auto"/>
              </w:rPr>
              <w:t>0.8 bps</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2 %</w:t>
            </w:r>
          </w:p>
        </w:tc>
      </w:tr>
      <w:tr>
        <w:trPr>
          <w:trHeight w:val="56"/>
        </w:trPr>
        <w:tc>
          <w:tcPr>
            <w:tcW w:w="4600" w:type="dxa"/>
            <w:vAlign w:val="bottom"/>
            <w:tcBorders>
              <w:bottom w:val="single" w:sz="8" w:color="05314D"/>
            </w:tcBorders>
            <w:gridSpan w:val="2"/>
          </w:tcPr>
          <w:p>
            <w:pPr>
              <w:spacing w:after="0"/>
              <w:rPr>
                <w:sz w:val="4"/>
                <w:szCs w:val="4"/>
                <w:color w:val="auto"/>
              </w:rPr>
            </w:pPr>
          </w:p>
        </w:tc>
        <w:tc>
          <w:tcPr>
            <w:tcW w:w="16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6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80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2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1020" w:type="dxa"/>
            <w:vAlign w:val="bottom"/>
            <w:tcBorders>
              <w:bottom w:val="single" w:sz="8" w:color="05314D"/>
            </w:tcBorders>
            <w:gridSpan w:val="2"/>
          </w:tcPr>
          <w:p>
            <w:pPr>
              <w:spacing w:after="0"/>
              <w:rPr>
                <w:sz w:val="4"/>
                <w:szCs w:val="4"/>
                <w:color w:val="auto"/>
              </w:rPr>
            </w:pPr>
          </w:p>
        </w:tc>
      </w:tr>
      <w:tr>
        <w:trPr>
          <w:trHeight w:val="140"/>
        </w:trPr>
        <w:tc>
          <w:tcPr>
            <w:tcW w:w="4600" w:type="dxa"/>
            <w:vAlign w:val="bottom"/>
            <w:gridSpan w:val="2"/>
          </w:tcPr>
          <w:p>
            <w:pPr>
              <w:spacing w:after="0"/>
              <w:rPr>
                <w:sz w:val="20"/>
                <w:szCs w:val="20"/>
                <w:color w:val="auto"/>
              </w:rPr>
            </w:pPr>
            <w:r>
              <w:rPr>
                <w:rFonts w:ascii="Arial" w:cs="Arial" w:eastAsia="Arial" w:hAnsi="Arial"/>
                <w:sz w:val="11"/>
                <w:szCs w:val="11"/>
                <w:color w:val="auto"/>
              </w:rPr>
              <w:t>Third Quarter 2025</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w:t>
            </w:r>
          </w:p>
        </w:tc>
      </w:tr>
    </w:tbl>
    <w:p>
      <w:pPr>
        <w:sectPr>
          <w:pgSz w:w="11900" w:h="16838" w:orient="portrait"/>
          <w:cols w:equalWidth="0" w:num="1">
            <w:col w:w="11300"/>
          </w:cols>
          <w:pgMar w:left="300" w:top="853"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Multifamily Business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Kelly Follain, Head of Multifamily, Fannie Mae</w:t>
      </w:r>
      <w:r>
        <w:rPr>
          <w:rFonts w:ascii="Arial" w:cs="Arial" w:eastAsia="Arial" w:hAnsi="Arial"/>
          <w:sz w:val="12"/>
          <w:szCs w:val="12"/>
          <w:color w:val="085280"/>
        </w:rPr>
        <w:t>:</w:t>
      </w:r>
    </w:p>
    <w:p>
      <w:pPr>
        <w:spacing w:after="0" w:line="9" w:lineRule="exact"/>
        <w:rPr>
          <w:sz w:val="20"/>
          <w:szCs w:val="20"/>
          <w:color w:val="auto"/>
        </w:rPr>
      </w:pPr>
    </w:p>
    <w:p>
      <w:pPr>
        <w:ind w:right="320"/>
        <w:spacing w:after="0" w:line="265" w:lineRule="auto"/>
        <w:rPr>
          <w:sz w:val="20"/>
          <w:szCs w:val="20"/>
          <w:color w:val="auto"/>
        </w:rPr>
      </w:pPr>
      <w:r>
        <w:rPr>
          <w:rFonts w:ascii="Arial" w:cs="Arial" w:eastAsia="Arial" w:hAnsi="Arial"/>
          <w:sz w:val="12"/>
          <w:szCs w:val="12"/>
          <w:color w:val="auto"/>
        </w:rPr>
        <w:t>“Our Multifamily book of business surpassed $ 520 billion in the third quarter. We remain focused on flexibly and safely meeting the needs of our multifamily lenders, investors, and borrowers as their partner of choice to help meet the demand for affordable rental housing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178040" cy="1331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33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Multifamily Highlights — Third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717804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pacing w:after="0" w:line="70" w:lineRule="exact"/>
        <w:rPr>
          <w:sz w:val="20"/>
          <w:szCs w:val="2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acquisition volume rose </w:t>
      </w:r>
      <w:r>
        <w:rPr>
          <w:rFonts w:ascii="Arial" w:cs="Arial" w:eastAsia="Arial" w:hAnsi="Arial"/>
          <w:sz w:val="11"/>
          <w:szCs w:val="11"/>
          <w:color w:val="auto"/>
        </w:rPr>
        <w:t>to $18.7 billion in 3Q 2025, compared with $17.4 billion in 2Q 2025.</w:t>
      </w:r>
    </w:p>
    <w:p>
      <w:pPr>
        <w:spacing w:after="0" w:line="62"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book of business grew </w:t>
      </w:r>
      <w:r>
        <w:rPr>
          <w:rFonts w:ascii="Arial" w:cs="Arial" w:eastAsia="Arial" w:hAnsi="Arial"/>
          <w:sz w:val="11"/>
          <w:szCs w:val="11"/>
          <w:color w:val="auto"/>
        </w:rPr>
        <w:t>to $521.3 billion as of September 30, 2025, a 2.1% increase from June 30, 2025.</w:t>
      </w:r>
    </w:p>
    <w:p>
      <w:pPr>
        <w:spacing w:after="0" w:line="62"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Average charged guaranty fees on overall multifamily book decreased </w:t>
      </w:r>
      <w:r>
        <w:rPr>
          <w:rFonts w:ascii="Arial" w:cs="Arial" w:eastAsia="Arial" w:hAnsi="Arial"/>
          <w:sz w:val="11"/>
          <w:szCs w:val="11"/>
          <w:color w:val="auto"/>
        </w:rPr>
        <w:t>by 0.9 basis points to 72.4 basis points as of September 30, 2025, compared with 73.3 basis points as of June 30, 2025.</w:t>
      </w:r>
    </w:p>
    <w:p>
      <w:pPr>
        <w:spacing w:after="0" w:line="71" w:lineRule="exact"/>
        <w:rPr>
          <w:rFonts w:ascii="Arial" w:cs="Arial" w:eastAsia="Arial" w:hAnsi="Arial"/>
          <w:sz w:val="10"/>
          <w:szCs w:val="10"/>
          <w:color w:val="auto"/>
        </w:rPr>
      </w:pPr>
    </w:p>
    <w:p>
      <w:pPr>
        <w:ind w:left="200" w:right="540" w:hanging="126"/>
        <w:spacing w:after="0" w:line="186" w:lineRule="auto"/>
        <w:tabs>
          <w:tab w:leader="none" w:pos="200" w:val="left"/>
        </w:tabs>
        <w:numPr>
          <w:ilvl w:val="0"/>
          <w:numId w:val="5"/>
        </w:numPr>
        <w:rPr>
          <w:rFonts w:ascii="Arial" w:cs="Arial" w:eastAsia="Arial" w:hAnsi="Arial"/>
          <w:sz w:val="19"/>
          <w:szCs w:val="19"/>
          <w:color w:val="auto"/>
          <w:vertAlign w:val="superscript"/>
        </w:rPr>
      </w:pPr>
      <w:r>
        <w:rPr>
          <w:rFonts w:ascii="Arial" w:cs="Arial" w:eastAsia="Arial" w:hAnsi="Arial"/>
          <w:sz w:val="11"/>
          <w:szCs w:val="11"/>
          <w:b w:val="1"/>
          <w:bCs w:val="1"/>
          <w:color w:val="auto"/>
        </w:rPr>
        <w:t>Multifamily guaranty book credit characteristics remained stable</w:t>
      </w:r>
      <w:r>
        <w:rPr>
          <w:rFonts w:ascii="Arial" w:cs="Arial" w:eastAsia="Arial" w:hAnsi="Arial"/>
          <w:sz w:val="11"/>
          <w:szCs w:val="11"/>
          <w:color w:val="auto"/>
        </w:rPr>
        <w:t>, with weighted-average original loan-to-value ratio of 63% and a weighted-average debt service coverage ratio of 1.9. This compares with 63% and 2.0,</w:t>
      </w:r>
      <w:r>
        <w:rPr>
          <w:rFonts w:ascii="Arial" w:cs="Arial" w:eastAsia="Arial" w:hAnsi="Arial"/>
          <w:sz w:val="11"/>
          <w:szCs w:val="11"/>
          <w:b w:val="1"/>
          <w:bCs w:val="1"/>
          <w:color w:val="auto"/>
        </w:rPr>
        <w:t xml:space="preserve"> </w:t>
      </w:r>
      <w:r>
        <w:rPr>
          <w:rFonts w:ascii="Arial" w:cs="Arial" w:eastAsia="Arial" w:hAnsi="Arial"/>
          <w:sz w:val="11"/>
          <w:szCs w:val="11"/>
          <w:color w:val="auto"/>
        </w:rPr>
        <w:t>respectively, as of June 30, 2025.</w:t>
      </w:r>
    </w:p>
    <w:p>
      <w:pPr>
        <w:spacing w:after="0" w:line="56" w:lineRule="exact"/>
        <w:rPr>
          <w:rFonts w:ascii="Arial" w:cs="Arial" w:eastAsia="Arial" w:hAnsi="Arial"/>
          <w:sz w:val="19"/>
          <w:szCs w:val="19"/>
          <w:color w:val="auto"/>
          <w:vertAlign w:val="superscript"/>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Multifamily serious delinquency rate increased </w:t>
      </w:r>
      <w:r>
        <w:rPr>
          <w:rFonts w:ascii="Arial" w:cs="Arial" w:eastAsia="Arial" w:hAnsi="Arial"/>
          <w:sz w:val="11"/>
          <w:szCs w:val="11"/>
          <w:color w:val="auto"/>
        </w:rPr>
        <w:t>to 0.68% as of September 30, 2025, from 0.61% as of June 30, 2025.</w:t>
      </w:r>
      <w:r>
        <w:rPr>
          <w:rFonts w:ascii="Arial" w:cs="Arial" w:eastAsia="Arial" w:hAnsi="Arial"/>
          <w:sz w:val="14"/>
          <w:szCs w:val="14"/>
          <w:color w:val="auto"/>
          <w:vertAlign w:val="superscript"/>
        </w:rPr>
        <w:t>(9)</w:t>
      </w:r>
    </w:p>
    <w:p>
      <w:pPr>
        <w:spacing w:after="0" w:line="28" w:lineRule="exact"/>
        <w:rPr>
          <w:rFonts w:ascii="Arial" w:cs="Arial" w:eastAsia="Arial" w:hAnsi="Arial"/>
          <w:sz w:val="10"/>
          <w:szCs w:val="10"/>
          <w:color w:val="auto"/>
        </w:rPr>
      </w:pPr>
    </w:p>
    <w:p>
      <w:pPr>
        <w:ind w:left="200" w:hanging="126"/>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1"/>
          <w:szCs w:val="11"/>
          <w:b w:val="1"/>
          <w:bCs w:val="1"/>
          <w:color w:val="auto"/>
        </w:rPr>
        <w:t xml:space="preserve">Provision for multifamily credit losses </w:t>
      </w:r>
      <w:r>
        <w:rPr>
          <w:rFonts w:ascii="Arial" w:cs="Arial" w:eastAsia="Arial" w:hAnsi="Arial"/>
          <w:sz w:val="11"/>
          <w:szCs w:val="11"/>
          <w:color w:val="auto"/>
        </w:rPr>
        <w:t>of $69 million was recorded for 3Q 2025, primarily driven by increased delinquencies. This compares to a multifamily provision for credit losses of $209 million for 2Q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7178040" cy="142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42875"/>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FFFFFF"/>
        </w:rPr>
        <w:t>Multifamily Business Financial Results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580" w:type="dxa"/>
            <w:vAlign w:val="bottom"/>
            <w:tcBorders>
              <w:top w:val="single" w:sz="8" w:color="1C6FA3"/>
              <w:bottom w:val="single" w:sz="8" w:color="5587A6"/>
            </w:tcBorders>
          </w:tcPr>
          <w:p>
            <w:pPr>
              <w:spacing w:after="0"/>
              <w:rPr>
                <w:sz w:val="20"/>
                <w:szCs w:val="20"/>
                <w:color w:val="auto"/>
              </w:rPr>
            </w:pPr>
            <w:r>
              <w:rPr>
                <w:rFonts w:ascii="Arial" w:cs="Arial" w:eastAsia="Arial" w:hAnsi="Arial"/>
                <w:sz w:val="11"/>
                <w:szCs w:val="11"/>
                <w:b w:val="1"/>
                <w:bCs w:val="1"/>
                <w:color w:val="auto"/>
              </w:rPr>
              <w:t>(Dollars in millions)</w:t>
            </w:r>
          </w:p>
        </w:tc>
        <w:tc>
          <w:tcPr>
            <w:tcW w:w="6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right"/>
              <w:ind w:right="246"/>
              <w:spacing w:after="0"/>
              <w:rPr>
                <w:sz w:val="20"/>
                <w:szCs w:val="20"/>
                <w:color w:val="auto"/>
              </w:rPr>
            </w:pPr>
            <w:r>
              <w:rPr>
                <w:rFonts w:ascii="Arial" w:cs="Arial" w:eastAsia="Arial" w:hAnsi="Arial"/>
                <w:sz w:val="11"/>
                <w:szCs w:val="11"/>
                <w:b w:val="1"/>
                <w:bCs w:val="1"/>
                <w:color w:val="auto"/>
              </w:rPr>
              <w:t>3Q25</w:t>
            </w:r>
          </w:p>
        </w:tc>
        <w:tc>
          <w:tcPr>
            <w:tcW w:w="6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226"/>
              <w:spacing w:after="0"/>
              <w:rPr>
                <w:sz w:val="20"/>
                <w:szCs w:val="20"/>
                <w:color w:val="auto"/>
              </w:rPr>
            </w:pPr>
            <w:r>
              <w:rPr>
                <w:rFonts w:ascii="Arial" w:cs="Arial" w:eastAsia="Arial" w:hAnsi="Arial"/>
                <w:sz w:val="11"/>
                <w:szCs w:val="11"/>
                <w:b w:val="1"/>
                <w:bCs w:val="1"/>
                <w:color w:val="auto"/>
              </w:rPr>
              <w:t>2Q25</w:t>
            </w:r>
          </w:p>
        </w:tc>
        <w:tc>
          <w:tcPr>
            <w:tcW w:w="8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60" w:type="dxa"/>
            <w:vAlign w:val="bottom"/>
            <w:tcBorders>
              <w:top w:val="single" w:sz="8" w:color="1C6FA3"/>
            </w:tcBorders>
          </w:tcPr>
          <w:p>
            <w:pPr>
              <w:spacing w:after="0"/>
              <w:rPr>
                <w:sz w:val="13"/>
                <w:szCs w:val="13"/>
                <w:color w:val="auto"/>
              </w:rPr>
            </w:pPr>
          </w:p>
        </w:tc>
        <w:tc>
          <w:tcPr>
            <w:tcW w:w="960" w:type="dxa"/>
            <w:vAlign w:val="bottom"/>
            <w:tcBorders>
              <w:top w:val="single" w:sz="8" w:color="1C6FA3"/>
              <w:bottom w:val="single" w:sz="8" w:color="5587A6"/>
            </w:tcBorders>
          </w:tcPr>
          <w:p>
            <w:pPr>
              <w:jc w:val="right"/>
              <w:ind w:right="166"/>
              <w:spacing w:after="0"/>
              <w:rPr>
                <w:sz w:val="20"/>
                <w:szCs w:val="20"/>
                <w:color w:val="auto"/>
              </w:rPr>
            </w:pPr>
            <w:r>
              <w:rPr>
                <w:rFonts w:ascii="Arial" w:cs="Arial" w:eastAsia="Arial" w:hAnsi="Arial"/>
                <w:sz w:val="11"/>
                <w:szCs w:val="11"/>
                <w:b w:val="1"/>
                <w:bCs w:val="1"/>
                <w:color w:val="auto"/>
              </w:rPr>
              <w:t>% Change</w:t>
            </w:r>
          </w:p>
        </w:tc>
        <w:tc>
          <w:tcPr>
            <w:tcW w:w="60" w:type="dxa"/>
            <w:vAlign w:val="bottom"/>
            <w:tcBorders>
              <w:top w:val="single" w:sz="8" w:color="1C6FA3"/>
            </w:tcBorders>
          </w:tcPr>
          <w:p>
            <w:pPr>
              <w:spacing w:after="0"/>
              <w:rPr>
                <w:sz w:val="13"/>
                <w:szCs w:val="13"/>
                <w:color w:val="auto"/>
              </w:rPr>
            </w:pPr>
          </w:p>
        </w:tc>
        <w:tc>
          <w:tcPr>
            <w:tcW w:w="160" w:type="dxa"/>
            <w:vAlign w:val="bottom"/>
            <w:tcBorders>
              <w:top w:val="single" w:sz="8" w:color="1C6FA3"/>
              <w:bottom w:val="single" w:sz="8" w:color="5587A6"/>
            </w:tcBorders>
          </w:tcPr>
          <w:p>
            <w:pPr>
              <w:spacing w:after="0"/>
              <w:rPr>
                <w:sz w:val="13"/>
                <w:szCs w:val="13"/>
                <w:color w:val="auto"/>
              </w:rPr>
            </w:pPr>
          </w:p>
        </w:tc>
        <w:tc>
          <w:tcPr>
            <w:tcW w:w="700" w:type="dxa"/>
            <w:vAlign w:val="bottom"/>
            <w:tcBorders>
              <w:top w:val="single" w:sz="8" w:color="1C6FA3"/>
              <w:bottom w:val="single" w:sz="8" w:color="5587A6"/>
            </w:tcBorders>
          </w:tcPr>
          <w:p>
            <w:pPr>
              <w:jc w:val="right"/>
              <w:ind w:right="246"/>
              <w:spacing w:after="0"/>
              <w:rPr>
                <w:sz w:val="20"/>
                <w:szCs w:val="20"/>
                <w:color w:val="auto"/>
              </w:rPr>
            </w:pPr>
            <w:r>
              <w:rPr>
                <w:rFonts w:ascii="Arial" w:cs="Arial" w:eastAsia="Arial" w:hAnsi="Arial"/>
                <w:sz w:val="11"/>
                <w:szCs w:val="11"/>
                <w:b w:val="1"/>
                <w:bCs w:val="1"/>
                <w:color w:val="auto"/>
              </w:rPr>
              <w:t>3Q24</w:t>
            </w:r>
          </w:p>
        </w:tc>
        <w:tc>
          <w:tcPr>
            <w:tcW w:w="140" w:type="dxa"/>
            <w:vAlign w:val="bottom"/>
            <w:tcBorders>
              <w:top w:val="single" w:sz="8" w:color="1C6FA3"/>
            </w:tcBorders>
          </w:tcPr>
          <w:p>
            <w:pPr>
              <w:spacing w:after="0"/>
              <w:rPr>
                <w:sz w:val="13"/>
                <w:szCs w:val="13"/>
                <w:color w:val="auto"/>
              </w:rPr>
            </w:pPr>
          </w:p>
        </w:tc>
        <w:tc>
          <w:tcPr>
            <w:tcW w:w="140" w:type="dxa"/>
            <w:vAlign w:val="bottom"/>
            <w:tcBorders>
              <w:top w:val="single" w:sz="8" w:color="1C6FA3"/>
              <w:bottom w:val="single" w:sz="8" w:color="5587A6"/>
            </w:tcBorders>
          </w:tcPr>
          <w:p>
            <w:pPr>
              <w:spacing w:after="0"/>
              <w:rPr>
                <w:sz w:val="13"/>
                <w:szCs w:val="13"/>
                <w:color w:val="auto"/>
              </w:rPr>
            </w:pPr>
          </w:p>
        </w:tc>
        <w:tc>
          <w:tcPr>
            <w:tcW w:w="720" w:type="dxa"/>
            <w:vAlign w:val="bottom"/>
            <w:tcBorders>
              <w:top w:val="single" w:sz="8" w:color="1C6FA3"/>
              <w:bottom w:val="single" w:sz="8" w:color="5587A6"/>
            </w:tcBorders>
          </w:tcPr>
          <w:p>
            <w:pPr>
              <w:jc w:val="right"/>
              <w:ind w:right="146"/>
              <w:spacing w:after="0"/>
              <w:rPr>
                <w:sz w:val="20"/>
                <w:szCs w:val="20"/>
                <w:color w:val="auto"/>
              </w:rPr>
            </w:pPr>
            <w:r>
              <w:rPr>
                <w:rFonts w:ascii="Arial" w:cs="Arial" w:eastAsia="Arial" w:hAnsi="Arial"/>
                <w:sz w:val="11"/>
                <w:szCs w:val="11"/>
                <w:b w:val="1"/>
                <w:bCs w:val="1"/>
                <w:color w:val="auto"/>
              </w:rPr>
              <w:t>Variance</w:t>
            </w:r>
          </w:p>
        </w:tc>
        <w:tc>
          <w:tcPr>
            <w:tcW w:w="80" w:type="dxa"/>
            <w:vAlign w:val="bottom"/>
            <w:tcBorders>
              <w:top w:val="single" w:sz="8" w:color="1C6FA3"/>
            </w:tcBorders>
          </w:tcPr>
          <w:p>
            <w:pPr>
              <w:spacing w:after="0"/>
              <w:rPr>
                <w:sz w:val="13"/>
                <w:szCs w:val="13"/>
                <w:color w:val="auto"/>
              </w:rPr>
            </w:pPr>
          </w:p>
        </w:tc>
        <w:tc>
          <w:tcPr>
            <w:tcW w:w="940" w:type="dxa"/>
            <w:vAlign w:val="bottom"/>
            <w:tcBorders>
              <w:top w:val="single" w:sz="8" w:color="1C6FA3"/>
              <w:bottom w:val="single" w:sz="8" w:color="5587A6"/>
            </w:tcBorders>
          </w:tcPr>
          <w:p>
            <w:pPr>
              <w:jc w:val="right"/>
              <w:ind w:right="166"/>
              <w:spacing w:after="0"/>
              <w:rPr>
                <w:sz w:val="20"/>
                <w:szCs w:val="20"/>
                <w:color w:val="auto"/>
              </w:rPr>
            </w:pPr>
            <w:r>
              <w:rPr>
                <w:rFonts w:ascii="Arial" w:cs="Arial" w:eastAsia="Arial" w:hAnsi="Arial"/>
                <w:sz w:val="11"/>
                <w:szCs w:val="11"/>
                <w:b w:val="1"/>
                <w:bCs w:val="1"/>
                <w:color w:val="auto"/>
              </w:rPr>
              <w:t>% Change</w:t>
            </w:r>
          </w:p>
        </w:tc>
      </w:tr>
      <w:tr>
        <w:trPr>
          <w:trHeight w:val="133"/>
        </w:trPr>
        <w:tc>
          <w:tcPr>
            <w:tcW w:w="4640" w:type="dxa"/>
            <w:vAlign w:val="bottom"/>
            <w:gridSpan w:val="2"/>
          </w:tcPr>
          <w:p>
            <w:pPr>
              <w:spacing w:after="0"/>
              <w:rPr>
                <w:sz w:val="20"/>
                <w:szCs w:val="20"/>
                <w:color w:val="auto"/>
              </w:rPr>
            </w:pPr>
            <w:r>
              <w:rPr>
                <w:rFonts w:ascii="Arial" w:cs="Arial" w:eastAsia="Arial" w:hAnsi="Arial"/>
                <w:sz w:val="11"/>
                <w:szCs w:val="11"/>
                <w:color w:val="auto"/>
              </w:rPr>
              <w:t>Net interest income</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1,192</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1,163</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2 %</w:t>
            </w:r>
          </w:p>
        </w:tc>
        <w:tc>
          <w:tcPr>
            <w:tcW w:w="6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1,144</w:t>
            </w:r>
          </w:p>
        </w:tc>
        <w:tc>
          <w:tcPr>
            <w:tcW w:w="1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48</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4 %</w:t>
            </w:r>
          </w:p>
        </w:tc>
      </w:tr>
      <w:tr>
        <w:trPr>
          <w:trHeight w:val="144"/>
        </w:trPr>
        <w:tc>
          <w:tcPr>
            <w:tcW w:w="458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Fee and other income</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19</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12 %</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18</w:t>
            </w:r>
          </w:p>
        </w:tc>
        <w:tc>
          <w:tcPr>
            <w:tcW w:w="14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6 %</w:t>
            </w:r>
          </w:p>
        </w:tc>
      </w:tr>
      <w:tr>
        <w:trPr>
          <w:trHeight w:val="133"/>
        </w:trPr>
        <w:tc>
          <w:tcPr>
            <w:tcW w:w="4640" w:type="dxa"/>
            <w:vAlign w:val="bottom"/>
            <w:gridSpan w:val="2"/>
          </w:tcPr>
          <w:p>
            <w:pPr>
              <w:spacing w:after="0"/>
              <w:rPr>
                <w:sz w:val="20"/>
                <w:szCs w:val="20"/>
                <w:color w:val="auto"/>
              </w:rPr>
            </w:pPr>
            <w:r>
              <w:rPr>
                <w:rFonts w:ascii="Arial" w:cs="Arial" w:eastAsia="Arial" w:hAnsi="Arial"/>
                <w:sz w:val="11"/>
                <w:szCs w:val="11"/>
                <w:b w:val="1"/>
                <w:bCs w:val="1"/>
                <w:color w:val="auto"/>
              </w:rPr>
              <w:t>Net revenues</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1,211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1,162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4 %</w:t>
            </w:r>
          </w:p>
        </w:tc>
      </w:tr>
      <w:tr>
        <w:trPr>
          <w:trHeight w:val="144"/>
        </w:trPr>
        <w:tc>
          <w:tcPr>
            <w:tcW w:w="4640" w:type="dxa"/>
            <w:vAlign w:val="bottom"/>
            <w:gridSpan w:val="2"/>
          </w:tcPr>
          <w:p>
            <w:pPr>
              <w:spacing w:after="0"/>
              <w:rPr>
                <w:sz w:val="20"/>
                <w:szCs w:val="20"/>
                <w:color w:val="auto"/>
              </w:rPr>
            </w:pPr>
            <w:r>
              <w:rPr>
                <w:rFonts w:ascii="Arial" w:cs="Arial" w:eastAsia="Arial" w:hAnsi="Arial"/>
                <w:sz w:val="11"/>
                <w:szCs w:val="11"/>
                <w:color w:val="auto"/>
              </w:rPr>
              <w:t>(Provision) benefit for credit losses</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(69)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140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67 %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(424)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84 %</w:t>
            </w:r>
          </w:p>
        </w:tc>
      </w:tr>
      <w:tr>
        <w:trPr>
          <w:trHeight w:val="144"/>
        </w:trPr>
        <w:tc>
          <w:tcPr>
            <w:tcW w:w="4640" w:type="dxa"/>
            <w:vAlign w:val="bottom"/>
            <w:gridSpan w:val="2"/>
          </w:tcPr>
          <w:p>
            <w:pPr>
              <w:spacing w:after="0"/>
              <w:rPr>
                <w:sz w:val="20"/>
                <w:szCs w:val="20"/>
                <w:color w:val="auto"/>
              </w:rPr>
            </w:pPr>
            <w:r>
              <w:rPr>
                <w:rFonts w:ascii="Arial" w:cs="Arial" w:eastAsia="Arial" w:hAnsi="Arial"/>
                <w:sz w:val="11"/>
                <w:szCs w:val="11"/>
                <w:color w:val="auto"/>
              </w:rPr>
              <w:t>Fair value gains (losses), net</w:t>
            </w: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35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150 %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(42)%</w:t>
            </w:r>
          </w:p>
        </w:tc>
      </w:tr>
      <w:tr>
        <w:trPr>
          <w:trHeight w:val="144"/>
        </w:trPr>
        <w:tc>
          <w:tcPr>
            <w:tcW w:w="4640" w:type="dxa"/>
            <w:vAlign w:val="bottom"/>
            <w:gridSpan w:val="2"/>
          </w:tcPr>
          <w:p>
            <w:pPr>
              <w:spacing w:after="0"/>
              <w:rPr>
                <w:sz w:val="20"/>
                <w:szCs w:val="20"/>
                <w:color w:val="auto"/>
              </w:rPr>
            </w:pPr>
            <w:r>
              <w:rPr>
                <w:rFonts w:ascii="Arial" w:cs="Arial" w:eastAsia="Arial" w:hAnsi="Arial"/>
                <w:sz w:val="11"/>
                <w:szCs w:val="11"/>
                <w:color w:val="auto"/>
              </w:rPr>
              <w:t>Investment gains (losses), net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w:t>
            </w:r>
          </w:p>
        </w:tc>
        <w:tc>
          <w:tcPr>
            <w:tcW w:w="60" w:type="dxa"/>
            <w:vAlign w:val="bottom"/>
          </w:tcPr>
          <w:p>
            <w:pPr>
              <w:spacing w:after="0"/>
              <w:rPr>
                <w:sz w:val="12"/>
                <w:szCs w:val="12"/>
                <w:color w:val="auto"/>
              </w:rPr>
            </w:pPr>
          </w:p>
        </w:tc>
        <w:tc>
          <w:tcPr>
            <w:tcW w:w="1020" w:type="dxa"/>
            <w:vAlign w:val="bottom"/>
            <w:gridSpan w:val="2"/>
          </w:tcPr>
          <w:p>
            <w:pPr>
              <w:ind w:left="780"/>
              <w:spacing w:after="0"/>
              <w:rPr>
                <w:sz w:val="20"/>
                <w:szCs w:val="20"/>
                <w:color w:val="auto"/>
              </w:rPr>
            </w:pPr>
            <w:r>
              <w:rPr>
                <w:rFonts w:ascii="Arial" w:cs="Arial" w:eastAsia="Arial" w:hAnsi="Arial"/>
                <w:sz w:val="11"/>
                <w:szCs w:val="11"/>
                <w:color w:val="auto"/>
              </w:rPr>
              <w:t>NM</w:t>
            </w: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42"/>
        </w:trPr>
        <w:tc>
          <w:tcPr>
            <w:tcW w:w="4640" w:type="dxa"/>
            <w:vAlign w:val="bottom"/>
            <w:gridSpan w:val="2"/>
          </w:tcPr>
          <w:p>
            <w:pPr>
              <w:spacing w:after="0"/>
              <w:rPr>
                <w:sz w:val="20"/>
                <w:szCs w:val="20"/>
                <w:color w:val="auto"/>
              </w:rPr>
            </w:pPr>
            <w:r>
              <w:rPr>
                <w:rFonts w:ascii="Arial" w:cs="Arial" w:eastAsia="Arial" w:hAnsi="Arial"/>
                <w:sz w:val="11"/>
                <w:szCs w:val="11"/>
                <w:color w:val="auto"/>
              </w:rPr>
              <w:t>Non-interest expense:</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6"/>
        </w:trPr>
        <w:tc>
          <w:tcPr>
            <w:tcW w:w="4640" w:type="dxa"/>
            <w:vAlign w:val="bottom"/>
            <w:gridSpan w:val="2"/>
          </w:tcPr>
          <w:p>
            <w:pPr>
              <w:ind w:left="80"/>
              <w:spacing w:after="0" w:line="147" w:lineRule="exact"/>
              <w:rPr>
                <w:sz w:val="20"/>
                <w:szCs w:val="20"/>
                <w:color w:val="auto"/>
              </w:rPr>
            </w:pPr>
            <w:r>
              <w:rPr>
                <w:rFonts w:ascii="Arial" w:cs="Arial" w:eastAsia="Arial" w:hAnsi="Arial"/>
                <w:sz w:val="11"/>
                <w:szCs w:val="11"/>
                <w:color w:val="auto"/>
              </w:rPr>
              <w:t>Administrative expenses</w:t>
            </w:r>
            <w:r>
              <w:rPr>
                <w:rFonts w:ascii="Arial" w:cs="Arial" w:eastAsia="Arial" w:hAnsi="Arial"/>
                <w:sz w:val="14"/>
                <w:szCs w:val="14"/>
                <w:color w:val="auto"/>
                <w:vertAlign w:val="superscript"/>
              </w:rPr>
              <w:t>(4)</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(150)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(152)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1 %</w:t>
            </w:r>
          </w:p>
        </w:tc>
      </w:tr>
      <w:tr>
        <w:trPr>
          <w:trHeight w:val="144"/>
        </w:trPr>
        <w:tc>
          <w:tcPr>
            <w:tcW w:w="464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Legislative assessments</w:t>
            </w:r>
            <w:r>
              <w:rPr>
                <w:rFonts w:ascii="Arial" w:cs="Arial" w:eastAsia="Arial" w:hAnsi="Arial"/>
                <w:sz w:val="14"/>
                <w:szCs w:val="14"/>
                <w:color w:val="auto"/>
                <w:vertAlign w:val="superscript"/>
              </w:rPr>
              <w:t>(5)</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(14)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33 %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(17)%</w:t>
            </w:r>
          </w:p>
        </w:tc>
      </w:tr>
      <w:tr>
        <w:trPr>
          <w:trHeight w:val="144"/>
        </w:trPr>
        <w:tc>
          <w:tcPr>
            <w:tcW w:w="464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Credit enhancement expense</w:t>
            </w:r>
            <w:r>
              <w:rPr>
                <w:rFonts w:ascii="Arial" w:cs="Arial" w:eastAsia="Arial" w:hAnsi="Arial"/>
                <w:sz w:val="14"/>
                <w:szCs w:val="14"/>
                <w:color w:val="auto"/>
                <w:vertAlign w:val="superscript"/>
              </w:rPr>
              <w:t>(6)</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(79)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(75)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w:t>
            </w:r>
          </w:p>
        </w:tc>
      </w:tr>
      <w:tr>
        <w:trPr>
          <w:trHeight w:val="144"/>
        </w:trPr>
        <w:tc>
          <w:tcPr>
            <w:tcW w:w="4580" w:type="dxa"/>
            <w:vAlign w:val="bottom"/>
            <w:tcBorders>
              <w:bottom w:val="single" w:sz="8" w:color="5587A6"/>
            </w:tcBorders>
          </w:tcPr>
          <w:p>
            <w:pPr>
              <w:ind w:left="80"/>
              <w:spacing w:after="0" w:line="144" w:lineRule="exact"/>
              <w:rPr>
                <w:sz w:val="20"/>
                <w:szCs w:val="20"/>
                <w:color w:val="auto"/>
              </w:rPr>
            </w:pPr>
            <w:r>
              <w:rPr>
                <w:rFonts w:ascii="Arial" w:cs="Arial" w:eastAsia="Arial" w:hAnsi="Arial"/>
                <w:sz w:val="11"/>
                <w:szCs w:val="11"/>
                <w:color w:val="auto"/>
              </w:rPr>
              <w:t>Other income (expense), net</w:t>
            </w:r>
            <w:r>
              <w:rPr>
                <w:rFonts w:ascii="Arial" w:cs="Arial" w:eastAsia="Arial" w:hAnsi="Arial"/>
                <w:sz w:val="14"/>
                <w:szCs w:val="14"/>
                <w:color w:val="auto"/>
                <w:vertAlign w:val="superscript"/>
              </w:rPr>
              <w:t>(7)</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b w:val="1"/>
                <w:bCs w:val="1"/>
                <w:color w:val="auto"/>
              </w:rPr>
              <w:t>32</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(15)</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47</w:t>
            </w:r>
          </w:p>
        </w:tc>
        <w:tc>
          <w:tcPr>
            <w:tcW w:w="60" w:type="dxa"/>
            <w:vAlign w:val="bottom"/>
          </w:tcPr>
          <w:p>
            <w:pPr>
              <w:spacing w:after="0"/>
              <w:rPr>
                <w:sz w:val="12"/>
                <w:szCs w:val="12"/>
                <w:color w:val="auto"/>
              </w:rPr>
            </w:pPr>
          </w:p>
        </w:tc>
        <w:tc>
          <w:tcPr>
            <w:tcW w:w="1020" w:type="dxa"/>
            <w:vAlign w:val="bottom"/>
            <w:gridSpan w:val="2"/>
          </w:tcPr>
          <w:p>
            <w:pPr>
              <w:ind w:left="780"/>
              <w:spacing w:after="0"/>
              <w:rPr>
                <w:sz w:val="20"/>
                <w:szCs w:val="20"/>
                <w:color w:val="auto"/>
              </w:rPr>
            </w:pPr>
            <w:r>
              <w:rPr>
                <w:rFonts w:ascii="Arial" w:cs="Arial" w:eastAsia="Arial" w:hAnsi="Arial"/>
                <w:sz w:val="11"/>
                <w:szCs w:val="11"/>
                <w:color w:val="auto"/>
              </w:rPr>
              <w:t>NM</w:t>
            </w: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87</w:t>
            </w:r>
          </w:p>
        </w:tc>
        <w:tc>
          <w:tcPr>
            <w:tcW w:w="14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(55)</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(63)%</w:t>
            </w:r>
          </w:p>
        </w:tc>
      </w:tr>
      <w:tr>
        <w:trPr>
          <w:trHeight w:val="133"/>
        </w:trPr>
        <w:tc>
          <w:tcPr>
            <w:tcW w:w="458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Total non-interest expense</w:t>
            </w:r>
          </w:p>
        </w:tc>
        <w:tc>
          <w:tcPr>
            <w:tcW w:w="6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(211)</w:t>
            </w:r>
          </w:p>
        </w:tc>
        <w:tc>
          <w:tcPr>
            <w:tcW w:w="6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(278)</w:t>
            </w:r>
          </w:p>
        </w:tc>
        <w:tc>
          <w:tcPr>
            <w:tcW w:w="8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ind w:right="6"/>
              <w:spacing w:after="0"/>
              <w:rPr>
                <w:sz w:val="20"/>
                <w:szCs w:val="20"/>
                <w:color w:val="auto"/>
              </w:rPr>
            </w:pPr>
            <w:r>
              <w:rPr>
                <w:rFonts w:ascii="Arial" w:cs="Arial" w:eastAsia="Arial" w:hAnsi="Arial"/>
                <w:sz w:val="11"/>
                <w:szCs w:val="11"/>
                <w:color w:val="auto"/>
              </w:rPr>
              <w:t>67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24 %</w:t>
            </w:r>
          </w:p>
        </w:tc>
        <w:tc>
          <w:tcPr>
            <w:tcW w:w="60" w:type="dxa"/>
            <w:vAlign w:val="bottom"/>
          </w:tcPr>
          <w:p>
            <w:pPr>
              <w:spacing w:after="0"/>
              <w:rPr>
                <w:sz w:val="11"/>
                <w:szCs w:val="11"/>
                <w:color w:val="auto"/>
              </w:rPr>
            </w:pPr>
          </w:p>
        </w:tc>
        <w:tc>
          <w:tcPr>
            <w:tcW w:w="16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(152)</w:t>
            </w:r>
          </w:p>
        </w:tc>
        <w:tc>
          <w:tcPr>
            <w:tcW w:w="140" w:type="dxa"/>
            <w:vAlign w:val="bottom"/>
          </w:tcPr>
          <w:p>
            <w:pPr>
              <w:spacing w:after="0"/>
              <w:rPr>
                <w:sz w:val="11"/>
                <w:szCs w:val="11"/>
                <w:color w:val="auto"/>
              </w:rPr>
            </w:pPr>
          </w:p>
        </w:tc>
        <w:tc>
          <w:tcPr>
            <w:tcW w:w="140" w:type="dxa"/>
            <w:vAlign w:val="bottom"/>
            <w:tcBorders>
              <w:bottom w:val="single" w:sz="8" w:color="5587A6"/>
            </w:tcBorders>
          </w:tcPr>
          <w:p>
            <w:pPr>
              <w:spacing w:after="0"/>
              <w:rPr>
                <w:sz w:val="11"/>
                <w:szCs w:val="11"/>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(59)</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(39)%</w:t>
            </w:r>
          </w:p>
        </w:tc>
      </w:tr>
      <w:tr>
        <w:trPr>
          <w:trHeight w:val="133"/>
        </w:trPr>
        <w:tc>
          <w:tcPr>
            <w:tcW w:w="4640" w:type="dxa"/>
            <w:vAlign w:val="bottom"/>
            <w:gridSpan w:val="2"/>
          </w:tcPr>
          <w:p>
            <w:pPr>
              <w:spacing w:after="0"/>
              <w:rPr>
                <w:sz w:val="20"/>
                <w:szCs w:val="20"/>
                <w:color w:val="auto"/>
              </w:rPr>
            </w:pPr>
            <w:r>
              <w:rPr>
                <w:rFonts w:ascii="Arial" w:cs="Arial" w:eastAsia="Arial" w:hAnsi="Arial"/>
                <w:sz w:val="11"/>
                <w:szCs w:val="11"/>
                <w:b w:val="1"/>
                <w:bCs w:val="1"/>
                <w:color w:val="auto"/>
              </w:rPr>
              <w:t>Income before federal income taxes</w:t>
            </w: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960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707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253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36 %</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649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311</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48 %</w:t>
            </w:r>
          </w:p>
        </w:tc>
      </w:tr>
      <w:tr>
        <w:trPr>
          <w:trHeight w:val="144"/>
        </w:trPr>
        <w:tc>
          <w:tcPr>
            <w:tcW w:w="4580" w:type="dxa"/>
            <w:vAlign w:val="bottom"/>
            <w:tcBorders>
              <w:bottom w:val="single" w:sz="8" w:color="5587A6"/>
            </w:tcBorders>
          </w:tcPr>
          <w:p>
            <w:pPr>
              <w:spacing w:after="0"/>
              <w:rPr>
                <w:sz w:val="20"/>
                <w:szCs w:val="20"/>
                <w:color w:val="auto"/>
              </w:rPr>
            </w:pPr>
            <w:r>
              <w:rPr>
                <w:rFonts w:ascii="Arial" w:cs="Arial" w:eastAsia="Arial" w:hAnsi="Arial"/>
                <w:sz w:val="11"/>
                <w:szCs w:val="11"/>
                <w:color w:val="auto"/>
              </w:rPr>
              <w:t>Provision for federal income taxes</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(186)</w:t>
            </w:r>
          </w:p>
        </w:tc>
        <w:tc>
          <w:tcPr>
            <w:tcW w:w="6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(126)</w:t>
            </w:r>
          </w:p>
        </w:tc>
        <w:tc>
          <w:tcPr>
            <w:tcW w:w="8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(60)</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(48)%</w:t>
            </w:r>
          </w:p>
        </w:tc>
        <w:tc>
          <w:tcPr>
            <w:tcW w:w="60" w:type="dxa"/>
            <w:vAlign w:val="bottom"/>
          </w:tcPr>
          <w:p>
            <w:pPr>
              <w:spacing w:after="0"/>
              <w:rPr>
                <w:sz w:val="12"/>
                <w:szCs w:val="12"/>
                <w:color w:val="auto"/>
              </w:rPr>
            </w:pPr>
          </w:p>
        </w:tc>
        <w:tc>
          <w:tcPr>
            <w:tcW w:w="16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1"/>
                <w:szCs w:val="11"/>
                <w:b w:val="1"/>
                <w:bCs w:val="1"/>
                <w:color w:val="auto"/>
              </w:rPr>
              <w:t>(119)</w:t>
            </w:r>
          </w:p>
        </w:tc>
        <w:tc>
          <w:tcPr>
            <w:tcW w:w="140" w:type="dxa"/>
            <w:vAlign w:val="bottom"/>
          </w:tcPr>
          <w:p>
            <w:pPr>
              <w:spacing w:after="0"/>
              <w:rPr>
                <w:sz w:val="12"/>
                <w:szCs w:val="12"/>
                <w:color w:val="auto"/>
              </w:rPr>
            </w:pPr>
          </w:p>
        </w:tc>
        <w:tc>
          <w:tcPr>
            <w:tcW w:w="140" w:type="dxa"/>
            <w:vAlign w:val="bottom"/>
            <w:tcBorders>
              <w:bottom w:val="single" w:sz="8" w:color="5587A6"/>
            </w:tcBorders>
          </w:tcPr>
          <w:p>
            <w:pPr>
              <w:spacing w:after="0"/>
              <w:rPr>
                <w:sz w:val="12"/>
                <w:szCs w:val="12"/>
                <w:color w:val="auto"/>
              </w:rPr>
            </w:pPr>
          </w:p>
        </w:tc>
        <w:tc>
          <w:tcPr>
            <w:tcW w:w="720" w:type="dxa"/>
            <w:vAlign w:val="bottom"/>
            <w:tcBorders>
              <w:bottom w:val="single" w:sz="8" w:color="5587A6"/>
            </w:tcBorders>
          </w:tcPr>
          <w:p>
            <w:pPr>
              <w:jc w:val="right"/>
              <w:spacing w:after="0"/>
              <w:rPr>
                <w:sz w:val="20"/>
                <w:szCs w:val="20"/>
                <w:color w:val="auto"/>
              </w:rPr>
            </w:pPr>
            <w:r>
              <w:rPr>
                <w:rFonts w:ascii="Arial" w:cs="Arial" w:eastAsia="Arial" w:hAnsi="Arial"/>
                <w:sz w:val="11"/>
                <w:szCs w:val="11"/>
                <w:color w:val="auto"/>
              </w:rPr>
              <w:t>(67)</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(56)%</w:t>
            </w:r>
          </w:p>
        </w:tc>
      </w:tr>
      <w:tr>
        <w:trPr>
          <w:trHeight w:val="133"/>
        </w:trPr>
        <w:tc>
          <w:tcPr>
            <w:tcW w:w="4640" w:type="dxa"/>
            <w:vAlign w:val="bottom"/>
            <w:gridSpan w:val="2"/>
          </w:tcPr>
          <w:p>
            <w:pPr>
              <w:spacing w:after="0"/>
              <w:rPr>
                <w:sz w:val="20"/>
                <w:szCs w:val="20"/>
                <w:color w:val="auto"/>
              </w:rPr>
            </w:pPr>
            <w:r>
              <w:rPr>
                <w:rFonts w:ascii="Arial" w:cs="Arial" w:eastAsia="Arial" w:hAnsi="Arial"/>
                <w:sz w:val="11"/>
                <w:szCs w:val="11"/>
                <w:b w:val="1"/>
                <w:bCs w:val="1"/>
                <w:color w:val="auto"/>
              </w:rPr>
              <w:t>Net income</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b w:val="1"/>
                <w:bCs w:val="1"/>
                <w:color w:val="auto"/>
              </w:rPr>
              <w:t>774</w:t>
            </w:r>
          </w:p>
        </w:tc>
        <w:tc>
          <w:tcPr>
            <w:tcW w:w="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581</w:t>
            </w:r>
          </w:p>
        </w:tc>
        <w:tc>
          <w:tcPr>
            <w:tcW w:w="8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ind w:right="6"/>
              <w:spacing w:after="0"/>
              <w:rPr>
                <w:sz w:val="20"/>
                <w:szCs w:val="20"/>
                <w:color w:val="auto"/>
              </w:rPr>
            </w:pPr>
            <w:r>
              <w:rPr>
                <w:rFonts w:ascii="Arial" w:cs="Arial" w:eastAsia="Arial" w:hAnsi="Arial"/>
                <w:sz w:val="11"/>
                <w:szCs w:val="11"/>
                <w:color w:val="auto"/>
              </w:rPr>
              <w:t>193</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33 %</w:t>
            </w:r>
          </w:p>
        </w:tc>
        <w:tc>
          <w:tcPr>
            <w:tcW w:w="60" w:type="dxa"/>
            <w:vAlign w:val="bottom"/>
          </w:tcPr>
          <w:p>
            <w:pPr>
              <w:spacing w:after="0"/>
              <w:rPr>
                <w:sz w:val="11"/>
                <w:szCs w:val="11"/>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530</w:t>
            </w:r>
          </w:p>
        </w:tc>
        <w:tc>
          <w:tcPr>
            <w:tcW w:w="14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244</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46 %</w:t>
            </w:r>
          </w:p>
        </w:tc>
      </w:tr>
      <w:tr>
        <w:trPr>
          <w:trHeight w:val="20"/>
        </w:trPr>
        <w:tc>
          <w:tcPr>
            <w:tcW w:w="458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5587A6"/>
              <w:bottom w:val="single" w:sz="8" w:color="5587A6"/>
            </w:tcBorders>
          </w:tcPr>
          <w:p>
            <w:pPr>
              <w:spacing w:after="0" w:line="20" w:lineRule="exact"/>
              <w:rPr>
                <w:sz w:val="1"/>
                <w:szCs w:val="1"/>
                <w:color w:val="auto"/>
              </w:rPr>
            </w:pPr>
          </w:p>
        </w:tc>
        <w:tc>
          <w:tcPr>
            <w:tcW w:w="7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3"/>
        </w:trPr>
        <w:tc>
          <w:tcPr>
            <w:tcW w:w="4640" w:type="dxa"/>
            <w:vAlign w:val="bottom"/>
            <w:gridSpan w:val="2"/>
          </w:tcPr>
          <w:p>
            <w:pPr>
              <w:spacing w:after="0"/>
              <w:rPr>
                <w:sz w:val="20"/>
                <w:szCs w:val="20"/>
                <w:color w:val="auto"/>
              </w:rPr>
            </w:pPr>
            <w:r>
              <w:rPr>
                <w:rFonts w:ascii="Arial" w:cs="Arial" w:eastAsia="Arial" w:hAnsi="Arial"/>
                <w:sz w:val="11"/>
                <w:szCs w:val="11"/>
                <w:color w:val="auto"/>
              </w:rPr>
              <w:t>Average charged guaranty fee rate on multifamily guaranty book of business, at period end</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color w:val="auto"/>
              </w:rPr>
              <w:t>72.4 bps</w:t>
            </w:r>
          </w:p>
        </w:tc>
        <w:tc>
          <w:tcPr>
            <w:tcW w:w="14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color w:val="auto"/>
              </w:rPr>
              <w:t>73.3 bps</w:t>
            </w:r>
          </w:p>
        </w:tc>
        <w:tc>
          <w:tcPr>
            <w:tcW w:w="14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(0.9) bps</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color w:val="auto"/>
              </w:rPr>
              <w:t>75.1 bps</w:t>
            </w:r>
          </w:p>
        </w:tc>
        <w:tc>
          <w:tcPr>
            <w:tcW w:w="140" w:type="dxa"/>
            <w:vAlign w:val="bottom"/>
          </w:tcPr>
          <w:p>
            <w:pPr>
              <w:spacing w:after="0"/>
              <w:rPr>
                <w:sz w:val="14"/>
                <w:szCs w:val="14"/>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color w:val="auto"/>
              </w:rPr>
              <w:t>(2.7) bps</w:t>
            </w: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w:t>
            </w:r>
          </w:p>
        </w:tc>
      </w:tr>
      <w:tr>
        <w:trPr>
          <w:trHeight w:val="56"/>
        </w:trPr>
        <w:tc>
          <w:tcPr>
            <w:tcW w:w="4640" w:type="dxa"/>
            <w:vAlign w:val="bottom"/>
            <w:tcBorders>
              <w:bottom w:val="single" w:sz="8" w:color="05314D"/>
            </w:tcBorders>
            <w:gridSpan w:val="2"/>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8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960" w:type="dxa"/>
            <w:vAlign w:val="bottom"/>
            <w:tcBorders>
              <w:bottom w:val="single" w:sz="8" w:color="05314D"/>
            </w:tcBorders>
          </w:tcPr>
          <w:p>
            <w:pPr>
              <w:spacing w:after="0"/>
              <w:rPr>
                <w:sz w:val="4"/>
                <w:szCs w:val="4"/>
                <w:color w:val="auto"/>
              </w:rPr>
            </w:pPr>
          </w:p>
        </w:tc>
        <w:tc>
          <w:tcPr>
            <w:tcW w:w="60" w:type="dxa"/>
            <w:vAlign w:val="bottom"/>
            <w:tcBorders>
              <w:bottom w:val="single" w:sz="8" w:color="05314D"/>
            </w:tcBorders>
          </w:tcPr>
          <w:p>
            <w:pPr>
              <w:spacing w:after="0"/>
              <w:rPr>
                <w:sz w:val="4"/>
                <w:szCs w:val="4"/>
                <w:color w:val="auto"/>
              </w:rPr>
            </w:pPr>
          </w:p>
        </w:tc>
        <w:tc>
          <w:tcPr>
            <w:tcW w:w="160" w:type="dxa"/>
            <w:vAlign w:val="bottom"/>
            <w:tcBorders>
              <w:bottom w:val="single" w:sz="8" w:color="05314D"/>
            </w:tcBorders>
          </w:tcPr>
          <w:p>
            <w:pPr>
              <w:spacing w:after="0"/>
              <w:rPr>
                <w:sz w:val="4"/>
                <w:szCs w:val="4"/>
                <w:color w:val="auto"/>
              </w:rPr>
            </w:pPr>
          </w:p>
        </w:tc>
        <w:tc>
          <w:tcPr>
            <w:tcW w:w="70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140" w:type="dxa"/>
            <w:vAlign w:val="bottom"/>
            <w:tcBorders>
              <w:bottom w:val="single" w:sz="8" w:color="05314D"/>
            </w:tcBorders>
          </w:tcPr>
          <w:p>
            <w:pPr>
              <w:spacing w:after="0"/>
              <w:rPr>
                <w:sz w:val="4"/>
                <w:szCs w:val="4"/>
                <w:color w:val="auto"/>
              </w:rPr>
            </w:pPr>
          </w:p>
        </w:tc>
        <w:tc>
          <w:tcPr>
            <w:tcW w:w="720" w:type="dxa"/>
            <w:vAlign w:val="bottom"/>
            <w:tcBorders>
              <w:bottom w:val="single" w:sz="8" w:color="05314D"/>
            </w:tcBorders>
          </w:tcPr>
          <w:p>
            <w:pPr>
              <w:spacing w:after="0"/>
              <w:rPr>
                <w:sz w:val="4"/>
                <w:szCs w:val="4"/>
                <w:color w:val="auto"/>
              </w:rPr>
            </w:pPr>
          </w:p>
        </w:tc>
        <w:tc>
          <w:tcPr>
            <w:tcW w:w="1020" w:type="dxa"/>
            <w:vAlign w:val="bottom"/>
            <w:tcBorders>
              <w:bottom w:val="single" w:sz="8" w:color="05314D"/>
            </w:tcBorders>
            <w:gridSpan w:val="2"/>
          </w:tcPr>
          <w:p>
            <w:pPr>
              <w:spacing w:after="0"/>
              <w:rPr>
                <w:sz w:val="4"/>
                <w:szCs w:val="4"/>
                <w:color w:val="auto"/>
              </w:rPr>
            </w:pPr>
          </w:p>
        </w:tc>
      </w:tr>
      <w:tr>
        <w:trPr>
          <w:trHeight w:val="140"/>
        </w:trPr>
        <w:tc>
          <w:tcPr>
            <w:tcW w:w="4640" w:type="dxa"/>
            <w:vAlign w:val="bottom"/>
            <w:gridSpan w:val="2"/>
          </w:tcPr>
          <w:p>
            <w:pPr>
              <w:spacing w:after="0"/>
              <w:rPr>
                <w:sz w:val="20"/>
                <w:szCs w:val="20"/>
                <w:color w:val="auto"/>
              </w:rPr>
            </w:pPr>
            <w:r>
              <w:rPr>
                <w:rFonts w:ascii="Arial" w:cs="Arial" w:eastAsia="Arial" w:hAnsi="Arial"/>
                <w:sz w:val="11"/>
                <w:szCs w:val="11"/>
                <w:color w:val="auto"/>
              </w:rPr>
              <w:t>Third Quarter 2025</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1"/>
                <w:szCs w:val="11"/>
                <w:color w:val="auto"/>
              </w:rPr>
              <w:t>4</w:t>
            </w:r>
          </w:p>
        </w:tc>
      </w:tr>
    </w:tbl>
    <w:p>
      <w:pPr>
        <w:sectPr>
          <w:pgSz w:w="11900" w:h="16838" w:orient="portrait"/>
          <w:cols w:equalWidth="0" w:num="1">
            <w:col w:w="11300"/>
          </w:cols>
          <w:pgMar w:left="300" w:top="970" w:right="299" w:bottom="1440" w:gutter="0" w:footer="0" w:header="0"/>
        </w:sectPr>
      </w:pPr>
    </w:p>
    <w:bookmarkStart w:id="7" w:name="page8"/>
    <w:bookmarkEnd w:id="7"/>
    <w:p>
      <w:pPr>
        <w:ind w:left="20"/>
        <w:spacing w:after="0"/>
        <w:rPr>
          <w:sz w:val="20"/>
          <w:szCs w:val="20"/>
          <w:color w:val="auto"/>
        </w:rPr>
      </w:pPr>
      <w:r>
        <w:rPr>
          <w:rFonts w:ascii="Arial" w:cs="Arial" w:eastAsia="Arial" w:hAnsi="Arial"/>
          <w:sz w:val="13"/>
          <w:szCs w:val="13"/>
          <w:b w:val="1"/>
          <w:bCs w:val="1"/>
          <w:color w:val="FFFFFF"/>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Additional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-90805</wp:posOffset>
            </wp:positionV>
            <wp:extent cx="7155180" cy="1314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31445"/>
                    </a:xfrm>
                    <a:prstGeom prst="rect">
                      <a:avLst/>
                    </a:prstGeom>
                    <a:noFill/>
                  </pic:spPr>
                </pic:pic>
              </a:graphicData>
            </a:graphic>
          </wp:anchor>
        </w:drawing>
      </w:r>
    </w:p>
    <w:p>
      <w:pPr>
        <w:spacing w:after="0" w:line="75" w:lineRule="exact"/>
        <w:rPr>
          <w:sz w:val="20"/>
          <w:szCs w:val="20"/>
          <w:color w:val="auto"/>
        </w:rPr>
      </w:pPr>
    </w:p>
    <w:p>
      <w:pPr>
        <w:ind w:right="60"/>
        <w:spacing w:after="0" w:line="243" w:lineRule="auto"/>
        <w:rPr>
          <w:sz w:val="20"/>
          <w:szCs w:val="20"/>
          <w:color w:val="auto"/>
        </w:rPr>
      </w:pPr>
      <w:r>
        <w:rPr>
          <w:rFonts w:ascii="Arial" w:cs="Arial" w:eastAsia="Arial" w:hAnsi="Arial"/>
          <w:sz w:val="12"/>
          <w:szCs w:val="12"/>
          <w:color w:val="auto"/>
        </w:rPr>
        <w:t>Fannie Mae’s Condensed Consolidated Balance Sheets and Condensed Consolidated Statements of Operations and Comprehensive Income for the third quarter of 2025 are available in the accompanying Annex; however, investors and interested parties should read the company’s quarterly report on Form 10-Q for the period ended September 30, 2025 (“Third Quarter 2025 Form 10-Q”), which was filed today with the Securities and Exchange Commission and is available on Fannie Mae’s website, www.fanniemae.com. The company provides further discussion of its financial results and condition, credit performance, and other matters in its Third Quarter 2025 Form 10-Q. Additional information about the company’s financial and credit performance is contained in Fannie Mae’s “3Q 2025 Earnings Presentation” and “Third Quarter 2025 Financial Supplement ” at www.fanniemae.com.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 #</w:t>
      </w:r>
    </w:p>
    <w:p>
      <w:pPr>
        <w:spacing w:after="0" w:line="170" w:lineRule="exact"/>
        <w:rPr>
          <w:sz w:val="20"/>
          <w:szCs w:val="20"/>
          <w:color w:val="auto"/>
        </w:rPr>
      </w:pPr>
    </w:p>
    <w:p>
      <w:pPr>
        <w:ind w:right="80"/>
        <w:spacing w:after="0" w:line="258" w:lineRule="auto"/>
        <w:rPr>
          <w:sz w:val="20"/>
          <w:szCs w:val="20"/>
          <w:color w:val="auto"/>
        </w:rPr>
      </w:pPr>
      <w:r>
        <w:rPr>
          <w:rFonts w:ascii="Arial" w:cs="Arial" w:eastAsia="Arial" w:hAnsi="Arial"/>
          <w:sz w:val="12"/>
          <w:szCs w:val="12"/>
          <w:i w:val="1"/>
          <w:iCs w:val="1"/>
          <w:color w:val="auto"/>
        </w:rPr>
        <w:t>This release includes forward-looking statements regarding the company's future financial performance and LIHTC investments, as well as the company’s future plans and their impact. Actual outcomes could be materially different from what is set forth in these forward-looking statements due to a variety of factors, including those described in “Forward-Looking Statements” in the company’s Third Quarter 2025 Form 10-Q and in the company’s annual report on Form 10-K for the year ended December 31, 2024.</w:t>
      </w:r>
    </w:p>
    <w:p>
      <w:pPr>
        <w:spacing w:after="0" w:line="131" w:lineRule="exact"/>
        <w:rPr>
          <w:sz w:val="20"/>
          <w:szCs w:val="20"/>
          <w:color w:val="auto"/>
        </w:rPr>
      </w:pPr>
    </w:p>
    <w:p>
      <w:pPr>
        <w:ind w:right="260"/>
        <w:spacing w:after="0" w:line="267" w:lineRule="auto"/>
        <w:rPr>
          <w:sz w:val="20"/>
          <w:szCs w:val="20"/>
          <w:color w:val="auto"/>
        </w:rPr>
      </w:pPr>
      <w:r>
        <w:rPr>
          <w:rFonts w:ascii="Arial" w:cs="Arial" w:eastAsia="Arial" w:hAnsi="Arial"/>
          <w:sz w:val="12"/>
          <w:szCs w:val="12"/>
          <w:i w:val="1"/>
          <w:iCs w:val="1"/>
          <w:color w:val="auto"/>
        </w:rPr>
        <w:t>Fannie Mae provides website addresses in its news releases solely for readers’ information. Information contained on or accessible through our website is not incorporated into, and does not form a part of, this release or any other report or document we file with or furnish to the Securities and Exchange Commission, and any references to our website are intended to be inactive textual references only.</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 learn more, visit fanniemae.com.</w:t>
      </w:r>
    </w:p>
    <w:p>
      <w:pPr>
        <w:spacing w:after="0" w:line="19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Endnotes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0" w:lineRule="exact"/>
        <w:rPr>
          <w:sz w:val="20"/>
          <w:szCs w:val="20"/>
          <w:color w:val="auto"/>
        </w:rPr>
      </w:pPr>
    </w:p>
    <w:p>
      <w:pPr>
        <w:spacing w:after="0"/>
        <w:tabs>
          <w:tab w:leader="none" w:pos="320" w:val="left"/>
        </w:tabs>
        <w:rPr>
          <w:sz w:val="20"/>
          <w:szCs w:val="20"/>
          <w:color w:val="auto"/>
        </w:rPr>
      </w:pPr>
      <w:r>
        <w:rPr>
          <w:rFonts w:ascii="Arial" w:cs="Arial" w:eastAsia="Arial" w:hAnsi="Arial"/>
          <w:sz w:val="10"/>
          <w:szCs w:val="10"/>
          <w:color w:val="auto"/>
        </w:rPr>
        <w:t>NM</w:t>
      </w:r>
      <w:r>
        <w:rPr>
          <w:sz w:val="20"/>
          <w:szCs w:val="20"/>
          <w:color w:val="auto"/>
        </w:rPr>
        <w:tab/>
      </w:r>
      <w:r>
        <w:rPr>
          <w:rFonts w:ascii="Arial" w:cs="Arial" w:eastAsia="Arial" w:hAnsi="Arial"/>
          <w:sz w:val="10"/>
          <w:szCs w:val="10"/>
          <w:color w:val="auto"/>
        </w:rPr>
        <w:t>Not meaningful</w:t>
      </w:r>
    </w:p>
    <w:p>
      <w:pPr>
        <w:spacing w:after="0" w:line="20" w:lineRule="exact"/>
        <w:rPr>
          <w:sz w:val="20"/>
          <w:szCs w:val="20"/>
          <w:color w:val="auto"/>
        </w:rPr>
      </w:pPr>
    </w:p>
    <w:p>
      <w:pPr>
        <w:ind w:left="340" w:hanging="336"/>
        <w:spacing w:after="0"/>
        <w:tabs>
          <w:tab w:leader="none" w:pos="340" w:val="left"/>
        </w:tabs>
        <w:numPr>
          <w:ilvl w:val="0"/>
          <w:numId w:val="6"/>
        </w:numPr>
        <w:rPr>
          <w:rFonts w:ascii="Arial" w:cs="Arial" w:eastAsia="Arial" w:hAnsi="Arial"/>
          <w:sz w:val="10"/>
          <w:szCs w:val="10"/>
          <w:color w:val="auto"/>
        </w:rPr>
      </w:pPr>
      <w:r>
        <w:rPr>
          <w:rFonts w:ascii="Arial" w:cs="Arial" w:eastAsia="Arial" w:hAnsi="Arial"/>
          <w:sz w:val="10"/>
          <w:szCs w:val="10"/>
          <w:color w:val="auto"/>
        </w:rPr>
        <w:t>Represents less than 0.5%</w:t>
      </w:r>
    </w:p>
    <w:p>
      <w:pPr>
        <w:spacing w:after="0" w:line="29" w:lineRule="exact"/>
        <w:rPr>
          <w:sz w:val="20"/>
          <w:szCs w:val="20"/>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As presented in our Form 10-Q, net revenues consists of net interest income, and fee and other income.</w:t>
      </w:r>
    </w:p>
    <w:p>
      <w:pPr>
        <w:spacing w:after="0" w:line="29" w:lineRule="exact"/>
        <w:rPr>
          <w:rFonts w:ascii="Arial" w:cs="Arial" w:eastAsia="Arial" w:hAnsi="Arial"/>
          <w:sz w:val="10"/>
          <w:szCs w:val="10"/>
          <w:color w:val="auto"/>
        </w:rPr>
      </w:pPr>
    </w:p>
    <w:p>
      <w:pPr>
        <w:ind w:left="340" w:right="20" w:hanging="336"/>
        <w:spacing w:after="0" w:line="212" w:lineRule="auto"/>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Illustrative return on average required Common Equity Tier 1 (CET1) is designed to show what our return on capital would have been if our actual CET1 available capital had been equal to the CET1 capital requirement for the applicable periods. CET1 requirement as presented represents the company's average CET1 capital requirement including prescribed capital conservation buffer amount under the enterprise regulatory capital framework (which is not currently in effect while the company is in conservatorship) for the applicable year-to-date period and not the amount of the company's actual available CET1 capital. As of September 30, 2025, the company's actual available CET1 capital was a deficit of $44 billion. The illustrative return on average required CET1 ratio for the third quarter of 2025 is calculated based on annualized year-to-date net income for the period ended September 30, 2025. We have revised the illustrative return on average required CET1 ratio for the second quarter of 2025 from what was presented in our 2Q Earnings Presentation published on July 30, 2025 to calculate the number based on annualized year-to-date net income and the year-to-date CET1 capital requirement for the period ended June 30, 2025. The number presented in the 2Q Earnings Presentation was calculated based on annualized quarterly net income and the CET1 capital requirement for the quarter ended June 30, 2025.</w:t>
      </w:r>
    </w:p>
    <w:p>
      <w:pPr>
        <w:spacing w:after="0" w:line="11" w:lineRule="exact"/>
        <w:rPr>
          <w:rFonts w:ascii="Arial" w:cs="Arial" w:eastAsia="Arial" w:hAnsi="Arial"/>
          <w:sz w:val="10"/>
          <w:szCs w:val="10"/>
          <w:color w:val="auto"/>
        </w:rPr>
      </w:pPr>
    </w:p>
    <w:p>
      <w:pPr>
        <w:ind w:left="340" w:right="60" w:hanging="336"/>
        <w:spacing w:after="0" w:line="264" w:lineRule="auto"/>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Efficiency ratio is calculated as non-interest expense during the quarter divided by the sum of net interest income and non-interest income. As presented in our Form 10-Q, non-interest income consists of the sum of “Fee and other income,” “Investment gains (losses), net” and “Fair value gains (losses), net.”</w:t>
      </w:r>
    </w:p>
    <w:p>
      <w:pPr>
        <w:ind w:left="340" w:hanging="336"/>
        <w:spacing w:after="0" w:line="197" w:lineRule="auto"/>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0"/>
          <w:szCs w:val="10"/>
          <w:color w:val="auto"/>
        </w:rPr>
        <w:t>Consists of salaries and employee benefits and professional services, technology and occupancy expenses.</w:t>
      </w:r>
    </w:p>
    <w:p>
      <w:pPr>
        <w:spacing w:after="0" w:line="63" w:lineRule="exact"/>
        <w:rPr>
          <w:rFonts w:ascii="Arial" w:cs="Arial" w:eastAsia="Arial" w:hAnsi="Arial"/>
          <w:sz w:val="19"/>
          <w:szCs w:val="19"/>
          <w:color w:val="auto"/>
          <w:vertAlign w:val="superscript"/>
        </w:rPr>
      </w:pPr>
    </w:p>
    <w:p>
      <w:pPr>
        <w:ind w:left="340" w:hanging="336"/>
        <w:spacing w:after="0" w:line="187" w:lineRule="auto"/>
        <w:tabs>
          <w:tab w:leader="none" w:pos="340" w:val="left"/>
        </w:tabs>
        <w:numPr>
          <w:ilvl w:val="0"/>
          <w:numId w:val="7"/>
        </w:numPr>
        <w:rPr>
          <w:rFonts w:ascii="Arial" w:cs="Arial" w:eastAsia="Arial" w:hAnsi="Arial"/>
          <w:sz w:val="13"/>
          <w:szCs w:val="13"/>
          <w:color w:val="auto"/>
          <w:vertAlign w:val="superscript"/>
        </w:rPr>
      </w:pPr>
      <w:r>
        <w:rPr>
          <w:rFonts w:ascii="Arial" w:cs="Arial" w:eastAsia="Arial" w:hAnsi="Arial"/>
          <w:sz w:val="7"/>
          <w:szCs w:val="7"/>
          <w:color w:val="auto"/>
        </w:rPr>
        <w:t>Consists of TCCA fees, affordable housing allocations and FHFA assessments.</w:t>
      </w:r>
    </w:p>
    <w:p>
      <w:pPr>
        <w:spacing w:after="0" w:line="63" w:lineRule="exact"/>
        <w:rPr>
          <w:rFonts w:ascii="Arial" w:cs="Arial" w:eastAsia="Arial" w:hAnsi="Arial"/>
          <w:sz w:val="13"/>
          <w:szCs w:val="13"/>
          <w:color w:val="auto"/>
          <w:vertAlign w:val="superscript"/>
        </w:rPr>
      </w:pPr>
    </w:p>
    <w:p>
      <w:pPr>
        <w:ind w:left="340" w:right="40" w:hanging="336"/>
        <w:spacing w:after="0" w:line="180" w:lineRule="auto"/>
        <w:tabs>
          <w:tab w:leader="none" w:pos="340" w:val="left"/>
        </w:tabs>
        <w:numPr>
          <w:ilvl w:val="0"/>
          <w:numId w:val="7"/>
        </w:numPr>
        <w:rPr>
          <w:rFonts w:ascii="Arial" w:cs="Arial" w:eastAsia="Arial" w:hAnsi="Arial"/>
          <w:sz w:val="18"/>
          <w:szCs w:val="18"/>
          <w:color w:val="auto"/>
          <w:vertAlign w:val="superscript"/>
        </w:rPr>
      </w:pPr>
      <w:r>
        <w:rPr>
          <w:rFonts w:ascii="Arial" w:cs="Arial" w:eastAsia="Arial" w:hAnsi="Arial"/>
          <w:sz w:val="9"/>
          <w:szCs w:val="9"/>
          <w:color w:val="auto"/>
        </w:rPr>
        <w:t>Consists of costs associated with freestanding credit enhancements, which primarily include the company’s Connecticut Avenue Securities® (“CAS”) and Credit Insurance Risk Transfer</w:t>
      </w:r>
      <w:r>
        <w:rPr>
          <w:rFonts w:ascii="Arial" w:cs="Arial" w:eastAsia="Arial" w:hAnsi="Arial"/>
          <w:sz w:val="6"/>
          <w:szCs w:val="6"/>
          <w:color w:val="auto"/>
        </w:rPr>
        <w:t>TM</w:t>
      </w:r>
      <w:r>
        <w:rPr>
          <w:rFonts w:ascii="Arial" w:cs="Arial" w:eastAsia="Arial" w:hAnsi="Arial"/>
          <w:sz w:val="9"/>
          <w:szCs w:val="9"/>
          <w:color w:val="auto"/>
        </w:rPr>
        <w:t xml:space="preserve"> programs, enterprise-paid mortgage insurance, and certain lender risk-sharing programs.</w:t>
      </w:r>
    </w:p>
    <w:p>
      <w:pPr>
        <w:ind w:left="340" w:hanging="336"/>
        <w:spacing w:after="0" w:line="197" w:lineRule="auto"/>
        <w:tabs>
          <w:tab w:leader="none" w:pos="340" w:val="left"/>
        </w:tabs>
        <w:numPr>
          <w:ilvl w:val="0"/>
          <w:numId w:val="7"/>
        </w:numPr>
        <w:rPr>
          <w:rFonts w:ascii="Arial" w:cs="Arial" w:eastAsia="Arial" w:hAnsi="Arial"/>
          <w:sz w:val="19"/>
          <w:szCs w:val="19"/>
          <w:color w:val="auto"/>
          <w:vertAlign w:val="superscript"/>
        </w:rPr>
      </w:pPr>
      <w:r>
        <w:rPr>
          <w:rFonts w:ascii="Arial" w:cs="Arial" w:eastAsia="Arial" w:hAnsi="Arial"/>
          <w:sz w:val="10"/>
          <w:szCs w:val="10"/>
          <w:color w:val="auto"/>
        </w:rPr>
        <w:t>Primarily consists of debt extinguishment gains (losses), foreclosed property income (expense), change in the expected benefits from our freestanding credit enhancements, and gains and losses from partnership investments.</w:t>
      </w:r>
    </w:p>
    <w:p>
      <w:pPr>
        <w:spacing w:after="0" w:line="36" w:lineRule="exact"/>
        <w:rPr>
          <w:rFonts w:ascii="Arial" w:cs="Arial" w:eastAsia="Arial" w:hAnsi="Arial"/>
          <w:sz w:val="19"/>
          <w:szCs w:val="19"/>
          <w:color w:val="auto"/>
          <w:vertAlign w:val="superscript"/>
        </w:rPr>
      </w:pPr>
    </w:p>
    <w:p>
      <w:pPr>
        <w:ind w:left="340" w:right="60" w:hanging="336"/>
        <w:spacing w:after="0" w:line="248" w:lineRule="auto"/>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Single-family seriously delinquent loans are loans that are 90 days or more past due or in the foreclosure process. Our single-family serious delinquency rate is expressed as a percentage of our single-family conventional guaranty book of business based on loan count.</w:t>
      </w:r>
    </w:p>
    <w:p>
      <w:pPr>
        <w:spacing w:after="0" w:line="15" w:lineRule="exact"/>
        <w:rPr>
          <w:rFonts w:ascii="Arial" w:cs="Arial" w:eastAsia="Arial" w:hAnsi="Arial"/>
          <w:sz w:val="10"/>
          <w:szCs w:val="10"/>
          <w:color w:val="auto"/>
        </w:rPr>
      </w:pPr>
    </w:p>
    <w:p>
      <w:pPr>
        <w:ind w:left="340" w:hanging="336"/>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Multifamily serious delinquency rate consists of multifamily loans that were 60 days or more past due based on unpaid principal balance, expressed as a percentage of our multifamily guaranty book of business.</w:t>
      </w: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 xml:space="preserve">Investor Contact: </w:t>
      </w:r>
      <w:r>
        <w:rPr>
          <w:rFonts w:ascii="Arial" w:cs="Arial" w:eastAsia="Arial" w:hAnsi="Arial"/>
          <w:sz w:val="12"/>
          <w:szCs w:val="12"/>
          <w:color w:val="000000"/>
        </w:rPr>
        <w:t>Yasaman Hekmat (yasaman_hekmat@fanniemae.com)</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b w:val="1"/>
          <w:bCs w:val="1"/>
          <w:color w:val="085280"/>
        </w:rPr>
        <w:t xml:space="preserve">Media Contact: </w:t>
      </w:r>
      <w:r>
        <w:rPr>
          <w:rFonts w:ascii="Arial" w:cs="Arial" w:eastAsia="Arial" w:hAnsi="Arial"/>
          <w:sz w:val="12"/>
          <w:szCs w:val="12"/>
          <w:color w:val="000000"/>
        </w:rPr>
        <w:t>Matthew Classick (matthew_t_classick@fanniemae.com)</w:t>
      </w:r>
      <w:r>
        <w:rPr>
          <w:rFonts w:ascii="Arial" w:cs="Arial" w:eastAsia="Arial" w:hAnsi="Arial"/>
          <w:sz w:val="9"/>
          <w:szCs w:val="9"/>
          <w:color w:val="000000"/>
        </w:rPr>
        <w:t>.</w:t>
      </w:r>
    </w:p>
    <w:tbl>
      <w:tblPr>
        <w:tblLayout w:type="fixed"/>
        <w:tblInd w:w="0" w:type="dxa"/>
        <w:tblCellMar>
          <w:top w:w="0" w:type="dxa"/>
          <w:left w:w="0" w:type="dxa"/>
          <w:bottom w:w="0" w:type="dxa"/>
          <w:right w:w="0" w:type="dxa"/>
        </w:tblCellMar>
      </w:tblPr>
      <w:tr>
        <w:trPr>
          <w:trHeight w:val="142"/>
        </w:trPr>
        <w:tc>
          <w:tcPr>
            <w:tcW w:w="6080" w:type="dxa"/>
            <w:vAlign w:val="bottom"/>
            <w:tcBorders>
              <w:top w:val="single" w:sz="8" w:color="05314D"/>
            </w:tcBorders>
          </w:tcPr>
          <w:p>
            <w:pPr>
              <w:spacing w:after="0"/>
              <w:rPr>
                <w:sz w:val="20"/>
                <w:szCs w:val="20"/>
                <w:color w:val="auto"/>
              </w:rPr>
            </w:pPr>
            <w:r>
              <w:rPr>
                <w:rFonts w:ascii="Arial" w:cs="Arial" w:eastAsia="Arial" w:hAnsi="Arial"/>
                <w:sz w:val="11"/>
                <w:szCs w:val="11"/>
                <w:color w:val="auto"/>
              </w:rPr>
              <w:t>Third Quarter 2025</w:t>
            </w:r>
          </w:p>
        </w:tc>
        <w:tc>
          <w:tcPr>
            <w:tcW w:w="5220" w:type="dxa"/>
            <w:vAlign w:val="bottom"/>
            <w:tcBorders>
              <w:top w:val="single" w:sz="8" w:color="05314D"/>
            </w:tcBorders>
          </w:tcPr>
          <w:p>
            <w:pPr>
              <w:jc w:val="right"/>
              <w:spacing w:after="0"/>
              <w:rPr>
                <w:sz w:val="20"/>
                <w:szCs w:val="20"/>
                <w:color w:val="auto"/>
              </w:rPr>
            </w:pPr>
            <w:r>
              <w:rPr>
                <w:rFonts w:ascii="Arial" w:cs="Arial" w:eastAsia="Arial" w:hAnsi="Arial"/>
                <w:sz w:val="11"/>
                <w:szCs w:val="11"/>
                <w:color w:val="auto"/>
              </w:rPr>
              <w:t>5</w:t>
            </w:r>
          </w:p>
        </w:tc>
      </w:tr>
    </w:tbl>
    <w:p>
      <w:pPr>
        <w:sectPr>
          <w:pgSz w:w="11900" w:h="16838" w:orient="portrait"/>
          <w:cols w:equalWidth="0" w:num="1">
            <w:col w:w="11300"/>
          </w:cols>
          <w:pgMar w:left="300" w:top="1214"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Annex</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5314D"/>
        </w:rPr>
        <w:t>FANNIE MAE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(In conservatorship)</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Condensed Consolidated Balance Sheets — (Unaudited)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05314D"/>
        </w:rPr>
        <w:t>(Dollars in 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6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28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spacing w:after="0"/>
              <w:rPr>
                <w:sz w:val="11"/>
                <w:szCs w:val="11"/>
                <w:color w:val="auto"/>
              </w:rPr>
            </w:pPr>
          </w:p>
        </w:tc>
        <w:tc>
          <w:tcPr>
            <w:tcW w:w="280" w:type="dxa"/>
            <w:vAlign w:val="bottom"/>
            <w:tcBorders>
              <w:bottom w:val="single" w:sz="8" w:color="5587A6"/>
            </w:tcBorders>
            <w:gridSpan w:val="3"/>
          </w:tcPr>
          <w:p>
            <w:pPr>
              <w:jc w:val="right"/>
              <w:ind w:right="20"/>
              <w:spacing w:after="0"/>
              <w:rPr>
                <w:sz w:val="20"/>
                <w:szCs w:val="20"/>
                <w:color w:val="auto"/>
              </w:rPr>
            </w:pPr>
            <w:r>
              <w:rPr>
                <w:rFonts w:ascii="Arial" w:cs="Arial" w:eastAsia="Arial" w:hAnsi="Arial"/>
                <w:sz w:val="10"/>
                <w:szCs w:val="10"/>
                <w:b w:val="1"/>
                <w:bCs w:val="1"/>
                <w:color w:val="auto"/>
                <w:w w:val="95"/>
              </w:rPr>
              <w:t>As of</w:t>
            </w:r>
          </w:p>
        </w:tc>
        <w:tc>
          <w:tcPr>
            <w:tcW w:w="980" w:type="dxa"/>
            <w:vAlign w:val="bottom"/>
            <w:tcBorders>
              <w:bottom w:val="single" w:sz="8" w:color="5587A6"/>
            </w:tcBorders>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8280" w:type="dxa"/>
            <w:vAlign w:val="bottom"/>
            <w:vMerge w:val="restart"/>
          </w:tcPr>
          <w:p>
            <w:pPr>
              <w:ind w:left="5060"/>
              <w:spacing w:after="0"/>
              <w:rPr>
                <w:sz w:val="20"/>
                <w:szCs w:val="20"/>
                <w:color w:val="auto"/>
              </w:rPr>
            </w:pPr>
            <w:r>
              <w:rPr>
                <w:rFonts w:ascii="Arial" w:cs="Arial" w:eastAsia="Arial" w:hAnsi="Arial"/>
                <w:sz w:val="12"/>
                <w:szCs w:val="12"/>
                <w:b w:val="1"/>
                <w:bCs w:val="1"/>
                <w:color w:val="auto"/>
              </w:rPr>
              <w:t>ASSETS</w:t>
            </w:r>
          </w:p>
        </w:tc>
        <w:tc>
          <w:tcPr>
            <w:tcW w:w="80" w:type="dxa"/>
            <w:vAlign w:val="bottom"/>
          </w:tcPr>
          <w:p>
            <w:pPr>
              <w:spacing w:after="0"/>
              <w:rPr>
                <w:sz w:val="10"/>
                <w:szCs w:val="10"/>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0"/>
                <w:szCs w:val="10"/>
                <w:b w:val="1"/>
                <w:bCs w:val="1"/>
                <w:color w:val="auto"/>
                <w:w w:val="96"/>
              </w:rPr>
              <w:t>September 30, 2025</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w w:val="95"/>
              </w:rPr>
              <w:t>December 31, 2024</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2"/>
                <w:szCs w:val="12"/>
                <w:color w:val="auto"/>
              </w:rPr>
            </w:pPr>
          </w:p>
        </w:tc>
        <w:tc>
          <w:tcPr>
            <w:tcW w:w="8280" w:type="dxa"/>
            <w:vAlign w:val="bottom"/>
            <w:vMerge w:val="continue"/>
          </w:tcPr>
          <w:p>
            <w:pPr>
              <w:spacing w:after="0"/>
              <w:rPr>
                <w:sz w:val="12"/>
                <w:szCs w:val="12"/>
                <w:color w:val="auto"/>
              </w:rPr>
            </w:pPr>
          </w:p>
        </w:tc>
        <w:tc>
          <w:tcPr>
            <w:tcW w:w="80" w:type="dxa"/>
            <w:vAlign w:val="bottom"/>
            <w:tcBorders>
              <w:top w:val="single" w:sz="8" w:color="5587A6"/>
            </w:tcBorders>
          </w:tcPr>
          <w:p>
            <w:pPr>
              <w:spacing w:after="0"/>
              <w:rPr>
                <w:sz w:val="12"/>
                <w:szCs w:val="12"/>
                <w:color w:val="auto"/>
              </w:rPr>
            </w:pPr>
          </w:p>
        </w:tc>
        <w:tc>
          <w:tcPr>
            <w:tcW w:w="280" w:type="dxa"/>
            <w:vAlign w:val="bottom"/>
            <w:tcBorders>
              <w:top w:val="single" w:sz="8" w:color="5587A6"/>
            </w:tcBorders>
            <w:vMerge w:val="restart"/>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5587A6"/>
            </w:tcBorders>
            <w:vMerge w:val="restart"/>
          </w:tcPr>
          <w:p>
            <w:pPr>
              <w:jc w:val="right"/>
              <w:ind w:right="12"/>
              <w:spacing w:after="0"/>
              <w:rPr>
                <w:sz w:val="20"/>
                <w:szCs w:val="20"/>
                <w:color w:val="auto"/>
              </w:rPr>
            </w:pPr>
            <w:r>
              <w:rPr>
                <w:rFonts w:ascii="Arial" w:cs="Arial" w:eastAsia="Arial" w:hAnsi="Arial"/>
                <w:sz w:val="10"/>
                <w:szCs w:val="10"/>
                <w:b w:val="1"/>
                <w:bCs w:val="1"/>
                <w:color w:val="auto"/>
              </w:rPr>
              <w:t>12,155</w:t>
            </w:r>
          </w:p>
        </w:tc>
        <w:tc>
          <w:tcPr>
            <w:tcW w:w="60" w:type="dxa"/>
            <w:vAlign w:val="bottom"/>
            <w:tcBorders>
              <w:top w:val="single" w:sz="8" w:color="5587A6"/>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5587A6"/>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Cash</w:t>
            </w:r>
          </w:p>
        </w:tc>
        <w:tc>
          <w:tcPr>
            <w:tcW w:w="2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13,477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Restricted cash (includes $19,599 and $16,994, respectively, related to consolidated trusts)</w:t>
            </w:r>
          </w:p>
        </w:tc>
        <w:tc>
          <w:tcPr>
            <w:tcW w:w="2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27,220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25,059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Securities purchased under agreements to resell (includes $15,975 and $14,899, respectively, related to consolidated trusts)</w:t>
            </w:r>
          </w:p>
        </w:tc>
        <w:tc>
          <w:tcPr>
            <w:tcW w:w="2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61,525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56,250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Investments in securities, at fair value</w:t>
            </w:r>
          </w:p>
        </w:tc>
        <w:tc>
          <w:tcPr>
            <w:tcW w:w="2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71,656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79,197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Mortgage loans: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8360" w:type="dxa"/>
            <w:vAlign w:val="bottom"/>
            <w:gridSpan w:val="2"/>
          </w:tcPr>
          <w:p>
            <w:pPr>
              <w:ind w:left="120"/>
              <w:spacing w:after="0"/>
              <w:rPr>
                <w:sz w:val="20"/>
                <w:szCs w:val="20"/>
                <w:color w:val="auto"/>
              </w:rPr>
            </w:pPr>
            <w:r>
              <w:rPr>
                <w:rFonts w:ascii="Arial" w:cs="Arial" w:eastAsia="Arial" w:hAnsi="Arial"/>
                <w:sz w:val="10"/>
                <w:szCs w:val="10"/>
                <w:color w:val="auto"/>
              </w:rPr>
              <w:t>Loans held for sale, at lower of cost or fair value</w:t>
            </w:r>
          </w:p>
        </w:tc>
        <w:tc>
          <w:tcPr>
            <w:tcW w:w="280" w:type="dxa"/>
            <w:vAlign w:val="bottom"/>
          </w:tcPr>
          <w:p>
            <w:pPr>
              <w:spacing w:after="0"/>
              <w:rPr>
                <w:sz w:val="12"/>
                <w:szCs w:val="12"/>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808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373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360" w:type="dxa"/>
            <w:vAlign w:val="bottom"/>
            <w:gridSpan w:val="2"/>
          </w:tcPr>
          <w:p>
            <w:pPr>
              <w:ind w:left="120"/>
              <w:spacing w:after="0"/>
              <w:rPr>
                <w:sz w:val="20"/>
                <w:szCs w:val="20"/>
                <w:color w:val="auto"/>
              </w:rPr>
            </w:pPr>
            <w:r>
              <w:rPr>
                <w:rFonts w:ascii="Arial" w:cs="Arial" w:eastAsia="Arial" w:hAnsi="Arial"/>
                <w:sz w:val="10"/>
                <w:szCs w:val="10"/>
                <w:color w:val="auto"/>
              </w:rPr>
              <w:t>Loans held for investment, at amortized cost:</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8360" w:type="dxa"/>
            <w:vAlign w:val="bottom"/>
            <w:gridSpan w:val="2"/>
          </w:tcPr>
          <w:p>
            <w:pPr>
              <w:ind w:left="240"/>
              <w:spacing w:after="0"/>
              <w:rPr>
                <w:sz w:val="20"/>
                <w:szCs w:val="20"/>
                <w:color w:val="auto"/>
              </w:rPr>
            </w:pPr>
            <w:r>
              <w:rPr>
                <w:rFonts w:ascii="Arial" w:cs="Arial" w:eastAsia="Arial" w:hAnsi="Arial"/>
                <w:sz w:val="10"/>
                <w:szCs w:val="10"/>
                <w:color w:val="auto"/>
              </w:rPr>
              <w:t>Of Fannie Mae</w:t>
            </w:r>
          </w:p>
        </w:tc>
        <w:tc>
          <w:tcPr>
            <w:tcW w:w="280" w:type="dxa"/>
            <w:vAlign w:val="bottom"/>
          </w:tcPr>
          <w:p>
            <w:pPr>
              <w:spacing w:after="0"/>
              <w:rPr>
                <w:sz w:val="12"/>
                <w:szCs w:val="12"/>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53,765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50,053</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8280" w:type="dxa"/>
            <w:vAlign w:val="bottom"/>
            <w:tcBorders>
              <w:bottom w:val="single" w:sz="8" w:color="5587A6"/>
            </w:tcBorders>
          </w:tcPr>
          <w:p>
            <w:pPr>
              <w:ind w:left="240"/>
              <w:spacing w:after="0"/>
              <w:rPr>
                <w:sz w:val="20"/>
                <w:szCs w:val="20"/>
                <w:color w:val="auto"/>
              </w:rPr>
            </w:pPr>
            <w:r>
              <w:rPr>
                <w:rFonts w:ascii="Arial" w:cs="Arial" w:eastAsia="Arial" w:hAnsi="Arial"/>
                <w:sz w:val="10"/>
                <w:szCs w:val="10"/>
                <w:color w:val="auto"/>
              </w:rPr>
              <w:t>Of consolidated trusts</w:t>
            </w:r>
          </w:p>
        </w:tc>
        <w:tc>
          <w:tcPr>
            <w:tcW w:w="80" w:type="dxa"/>
            <w:vAlign w:val="bottom"/>
          </w:tcPr>
          <w:p>
            <w:pPr>
              <w:spacing w:after="0"/>
              <w:rPr>
                <w:sz w:val="11"/>
                <w:szCs w:val="11"/>
                <w:color w:val="auto"/>
              </w:rPr>
            </w:pPr>
          </w:p>
        </w:tc>
        <w:tc>
          <w:tcPr>
            <w:tcW w:w="28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b w:val="1"/>
                <w:bCs w:val="1"/>
                <w:color w:val="auto"/>
              </w:rPr>
              <w:t>4,077,063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4,095,287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8360" w:type="dxa"/>
            <w:vAlign w:val="bottom"/>
            <w:gridSpan w:val="2"/>
          </w:tcPr>
          <w:p>
            <w:pPr>
              <w:ind w:left="220"/>
              <w:spacing w:after="0"/>
              <w:rPr>
                <w:sz w:val="20"/>
                <w:szCs w:val="20"/>
                <w:color w:val="auto"/>
              </w:rPr>
            </w:pPr>
            <w:r>
              <w:rPr>
                <w:rFonts w:ascii="Arial" w:cs="Arial" w:eastAsia="Arial" w:hAnsi="Arial"/>
                <w:sz w:val="10"/>
                <w:szCs w:val="10"/>
                <w:color w:val="auto"/>
              </w:rPr>
              <w:t>Total loans held for investment (includes $5,202 and $3,744, respectively, at fair value)</w:t>
            </w:r>
          </w:p>
        </w:tc>
        <w:tc>
          <w:tcPr>
            <w:tcW w:w="28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4,130,828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4,145,340</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8280" w:type="dxa"/>
            <w:vAlign w:val="bottom"/>
            <w:tcBorders>
              <w:bottom w:val="single" w:sz="8" w:color="5587A6"/>
            </w:tcBorders>
          </w:tcPr>
          <w:p>
            <w:pPr>
              <w:ind w:left="240"/>
              <w:spacing w:after="0"/>
              <w:rPr>
                <w:sz w:val="20"/>
                <w:szCs w:val="20"/>
                <w:color w:val="auto"/>
              </w:rPr>
            </w:pPr>
            <w:r>
              <w:rPr>
                <w:rFonts w:ascii="Arial" w:cs="Arial" w:eastAsia="Arial" w:hAnsi="Arial"/>
                <w:sz w:val="10"/>
                <w:szCs w:val="10"/>
                <w:color w:val="auto"/>
              </w:rPr>
              <w:t>Allowance for loan losses</w:t>
            </w:r>
          </w:p>
        </w:tc>
        <w:tc>
          <w:tcPr>
            <w:tcW w:w="80" w:type="dxa"/>
            <w:vAlign w:val="bottom"/>
          </w:tcPr>
          <w:p>
            <w:pPr>
              <w:spacing w:after="0"/>
              <w:rPr>
                <w:sz w:val="11"/>
                <w:szCs w:val="11"/>
                <w:color w:val="auto"/>
              </w:rPr>
            </w:pPr>
          </w:p>
        </w:tc>
        <w:tc>
          <w:tcPr>
            <w:tcW w:w="28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(8,246)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(7,707)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8280" w:type="dxa"/>
            <w:vAlign w:val="bottom"/>
            <w:tcBorders>
              <w:bottom w:val="single" w:sz="8" w:color="5587A6"/>
            </w:tcBorders>
          </w:tcPr>
          <w:p>
            <w:pPr>
              <w:ind w:left="340"/>
              <w:spacing w:after="0"/>
              <w:rPr>
                <w:sz w:val="20"/>
                <w:szCs w:val="20"/>
                <w:color w:val="auto"/>
              </w:rPr>
            </w:pPr>
            <w:r>
              <w:rPr>
                <w:rFonts w:ascii="Arial" w:cs="Arial" w:eastAsia="Arial" w:hAnsi="Arial"/>
                <w:sz w:val="10"/>
                <w:szCs w:val="10"/>
                <w:color w:val="auto"/>
              </w:rPr>
              <w:t>Total loans held for investment, net of allowance</w:t>
            </w:r>
          </w:p>
        </w:tc>
        <w:tc>
          <w:tcPr>
            <w:tcW w:w="80" w:type="dxa"/>
            <w:vAlign w:val="bottom"/>
          </w:tcPr>
          <w:p>
            <w:pPr>
              <w:spacing w:after="0"/>
              <w:rPr>
                <w:sz w:val="10"/>
                <w:szCs w:val="10"/>
                <w:color w:val="auto"/>
              </w:rPr>
            </w:pPr>
          </w:p>
        </w:tc>
        <w:tc>
          <w:tcPr>
            <w:tcW w:w="280" w:type="dxa"/>
            <w:vAlign w:val="bottom"/>
            <w:tcBorders>
              <w:bottom w:val="single" w:sz="8" w:color="5587A6"/>
            </w:tcBorders>
          </w:tcPr>
          <w:p>
            <w:pPr>
              <w:spacing w:after="0"/>
              <w:rPr>
                <w:sz w:val="10"/>
                <w:szCs w:val="10"/>
                <w:color w:val="auto"/>
              </w:rPr>
            </w:pPr>
          </w:p>
        </w:tc>
        <w:tc>
          <w:tcPr>
            <w:tcW w:w="70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b w:val="1"/>
                <w:bCs w:val="1"/>
                <w:color w:val="auto"/>
              </w:rPr>
              <w:t>4,122,582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4,137,633</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8360" w:type="dxa"/>
            <w:vAlign w:val="bottom"/>
            <w:gridSpan w:val="2"/>
          </w:tcPr>
          <w:p>
            <w:pPr>
              <w:ind w:left="440"/>
              <w:spacing w:after="0"/>
              <w:rPr>
                <w:sz w:val="20"/>
                <w:szCs w:val="20"/>
                <w:color w:val="auto"/>
              </w:rPr>
            </w:pPr>
            <w:r>
              <w:rPr>
                <w:rFonts w:ascii="Arial" w:cs="Arial" w:eastAsia="Arial" w:hAnsi="Arial"/>
                <w:sz w:val="10"/>
                <w:szCs w:val="10"/>
                <w:color w:val="auto"/>
              </w:rPr>
              <w:t>Total mortgage loans</w:t>
            </w:r>
          </w:p>
        </w:tc>
        <w:tc>
          <w:tcPr>
            <w:tcW w:w="28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4,123,390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4,138,006</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Advances to lenders</w:t>
            </w:r>
          </w:p>
        </w:tc>
        <w:tc>
          <w:tcPr>
            <w:tcW w:w="2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3,227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1,825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Deferred tax assets, net</w:t>
            </w:r>
          </w:p>
        </w:tc>
        <w:tc>
          <w:tcPr>
            <w:tcW w:w="2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10,000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10,545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Accrued interest receivable (includes $11,210 and $10,666, respectively, related to consolidated trusts)</w:t>
            </w:r>
          </w:p>
        </w:tc>
        <w:tc>
          <w:tcPr>
            <w:tcW w:w="280" w:type="dxa"/>
            <w:vAlign w:val="bottom"/>
          </w:tcPr>
          <w:p>
            <w:pPr>
              <w:spacing w:after="0"/>
              <w:rPr>
                <w:sz w:val="13"/>
                <w:szCs w:val="13"/>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11,901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11,364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828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Other assets</w:t>
            </w:r>
          </w:p>
        </w:tc>
        <w:tc>
          <w:tcPr>
            <w:tcW w:w="80" w:type="dxa"/>
            <w:vAlign w:val="bottom"/>
          </w:tcPr>
          <w:p>
            <w:pPr>
              <w:spacing w:after="0"/>
              <w:rPr>
                <w:sz w:val="11"/>
                <w:szCs w:val="11"/>
                <w:color w:val="auto"/>
              </w:rPr>
            </w:pPr>
          </w:p>
        </w:tc>
        <w:tc>
          <w:tcPr>
            <w:tcW w:w="28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b w:val="1"/>
                <w:bCs w:val="1"/>
                <w:color w:val="auto"/>
              </w:rPr>
              <w:t>14,782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14,008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8360" w:type="dxa"/>
            <w:vAlign w:val="bottom"/>
            <w:tcBorders>
              <w:bottom w:val="single" w:sz="8" w:color="5587A6"/>
            </w:tcBorders>
            <w:gridSpan w:val="2"/>
          </w:tcPr>
          <w:p>
            <w:pPr>
              <w:ind w:left="120"/>
              <w:spacing w:after="0"/>
              <w:rPr>
                <w:sz w:val="20"/>
                <w:szCs w:val="20"/>
                <w:color w:val="auto"/>
              </w:rPr>
            </w:pPr>
            <w:r>
              <w:rPr>
                <w:rFonts w:ascii="Arial" w:cs="Arial" w:eastAsia="Arial" w:hAnsi="Arial"/>
                <w:sz w:val="10"/>
                <w:szCs w:val="10"/>
                <w:color w:val="auto"/>
              </w:rPr>
              <w:t>Total assets</w:t>
            </w:r>
          </w:p>
        </w:tc>
        <w:tc>
          <w:tcPr>
            <w:tcW w:w="280" w:type="dxa"/>
            <w:vAlign w:val="bottom"/>
            <w:tcBorders>
              <w:bottom w:val="single" w:sz="8" w:color="5587A6"/>
            </w:tcBorders>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b w:val="1"/>
                <w:bCs w:val="1"/>
                <w:color w:val="auto"/>
              </w:rPr>
              <w:t>4,335,856</w:t>
            </w:r>
          </w:p>
        </w:tc>
        <w:tc>
          <w:tcPr>
            <w:tcW w:w="280" w:type="dxa"/>
            <w:vAlign w:val="bottom"/>
            <w:tcBorders>
              <w:bottom w:val="single" w:sz="8" w:color="5587A6"/>
            </w:tcBorders>
            <w:gridSpan w:val="3"/>
          </w:tcPr>
          <w:p>
            <w:pPr>
              <w:jc w:val="right"/>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4,349,731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360" w:type="dxa"/>
            <w:vAlign w:val="bottom"/>
            <w:tcBorders>
              <w:bottom w:val="single" w:sz="8" w:color="5587A6"/>
            </w:tcBorders>
            <w:gridSpan w:val="2"/>
          </w:tcPr>
          <w:p>
            <w:pPr>
              <w:spacing w:after="0" w:line="20" w:lineRule="exact"/>
              <w:rPr>
                <w:sz w:val="1"/>
                <w:szCs w:val="1"/>
                <w:color w:val="auto"/>
              </w:rPr>
            </w:pPr>
          </w:p>
        </w:tc>
        <w:tc>
          <w:tcPr>
            <w:tcW w:w="280" w:type="dxa"/>
            <w:vAlign w:val="bottom"/>
            <w:tcBorders>
              <w:bottom w:val="single" w:sz="8" w:color="5587A6"/>
            </w:tcBorders>
          </w:tcPr>
          <w:p>
            <w:pPr>
              <w:spacing w:after="0" w:line="20" w:lineRule="exact"/>
              <w:rPr>
                <w:sz w:val="1"/>
                <w:szCs w:val="1"/>
                <w:color w:val="auto"/>
              </w:rPr>
            </w:pPr>
          </w:p>
        </w:tc>
        <w:tc>
          <w:tcPr>
            <w:tcW w:w="700" w:type="dxa"/>
            <w:vAlign w:val="bottom"/>
            <w:tcBorders>
              <w:bottom w:val="single" w:sz="8" w:color="5587A6"/>
            </w:tcBorders>
          </w:tcPr>
          <w:p>
            <w:pPr>
              <w:spacing w:after="0" w:line="20" w:lineRule="exact"/>
              <w:rPr>
                <w:sz w:val="1"/>
                <w:szCs w:val="1"/>
                <w:color w:val="auto"/>
              </w:rPr>
            </w:pPr>
          </w:p>
        </w:tc>
        <w:tc>
          <w:tcPr>
            <w:tcW w:w="60" w:type="dxa"/>
            <w:vAlign w:val="bottom"/>
            <w:tcBorders>
              <w:bottom w:val="single" w:sz="8" w:color="5587A6"/>
            </w:tcBorders>
          </w:tcPr>
          <w:p>
            <w:pPr>
              <w:spacing w:after="0" w:line="20" w:lineRule="exact"/>
              <w:rPr>
                <w:sz w:val="1"/>
                <w:szCs w:val="1"/>
                <w:color w:val="auto"/>
              </w:rPr>
            </w:pPr>
          </w:p>
        </w:tc>
        <w:tc>
          <w:tcPr>
            <w:tcW w:w="140" w:type="dxa"/>
            <w:vAlign w:val="bottom"/>
            <w:tcBorders>
              <w:bottom w:val="single" w:sz="8" w:color="5587A6"/>
            </w:tcBorders>
          </w:tcPr>
          <w:p>
            <w:pPr>
              <w:spacing w:after="0" w:line="20" w:lineRule="exact"/>
              <w:rPr>
                <w:sz w:val="1"/>
                <w:szCs w:val="1"/>
                <w:color w:val="auto"/>
              </w:rPr>
            </w:pPr>
          </w:p>
        </w:tc>
        <w:tc>
          <w:tcPr>
            <w:tcW w:w="80" w:type="dxa"/>
            <w:vAlign w:val="bottom"/>
            <w:tcBorders>
              <w:bottom w:val="single" w:sz="8" w:color="5587A6"/>
            </w:tcBorders>
          </w:tcPr>
          <w:p>
            <w:pPr>
              <w:spacing w:after="0" w:line="20" w:lineRule="exact"/>
              <w:rPr>
                <w:sz w:val="1"/>
                <w:szCs w:val="1"/>
                <w:color w:val="auto"/>
              </w:rPr>
            </w:pPr>
          </w:p>
        </w:tc>
        <w:tc>
          <w:tcPr>
            <w:tcW w:w="98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60" w:type="dxa"/>
            <w:vAlign w:val="bottom"/>
          </w:tcPr>
          <w:p>
            <w:pPr>
              <w:spacing w:after="0"/>
              <w:rPr>
                <w:sz w:val="11"/>
                <w:szCs w:val="11"/>
                <w:color w:val="auto"/>
              </w:rPr>
            </w:pPr>
          </w:p>
        </w:tc>
        <w:tc>
          <w:tcPr>
            <w:tcW w:w="8360" w:type="dxa"/>
            <w:vAlign w:val="bottom"/>
            <w:gridSpan w:val="2"/>
          </w:tcPr>
          <w:p>
            <w:pPr>
              <w:ind w:left="4580"/>
              <w:spacing w:after="0" w:line="134" w:lineRule="exact"/>
              <w:rPr>
                <w:sz w:val="20"/>
                <w:szCs w:val="20"/>
                <w:color w:val="auto"/>
              </w:rPr>
            </w:pPr>
            <w:r>
              <w:rPr>
                <w:rFonts w:ascii="Arial" w:cs="Arial" w:eastAsia="Arial" w:hAnsi="Arial"/>
                <w:sz w:val="12"/>
                <w:szCs w:val="12"/>
                <w:b w:val="1"/>
                <w:bCs w:val="1"/>
                <w:color w:val="auto"/>
              </w:rPr>
              <w:t>LIABILITIES AND EQUITY</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60" w:type="dxa"/>
            <w:vAlign w:val="bottom"/>
          </w:tcPr>
          <w:p>
            <w:pPr>
              <w:spacing w:after="0"/>
              <w:rPr>
                <w:sz w:val="10"/>
                <w:szCs w:val="10"/>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Liabilities:</w:t>
            </w: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8360" w:type="dxa"/>
            <w:vAlign w:val="bottom"/>
            <w:gridSpan w:val="2"/>
          </w:tcPr>
          <w:p>
            <w:pPr>
              <w:ind w:left="120"/>
              <w:spacing w:after="0"/>
              <w:rPr>
                <w:sz w:val="20"/>
                <w:szCs w:val="20"/>
                <w:color w:val="auto"/>
              </w:rPr>
            </w:pPr>
            <w:r>
              <w:rPr>
                <w:rFonts w:ascii="Arial" w:cs="Arial" w:eastAsia="Arial" w:hAnsi="Arial"/>
                <w:sz w:val="10"/>
                <w:szCs w:val="10"/>
                <w:color w:val="auto"/>
              </w:rPr>
              <w:t>Accrued interest payable (includes $11,269 and $10,858, respectively, related to consolidated trusts)</w:t>
            </w:r>
          </w:p>
        </w:tc>
        <w:tc>
          <w:tcPr>
            <w:tcW w:w="280" w:type="dxa"/>
            <w:vAlign w:val="bottom"/>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12,080</w:t>
            </w: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11,585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360" w:type="dxa"/>
            <w:vAlign w:val="bottom"/>
            <w:gridSpan w:val="2"/>
          </w:tcPr>
          <w:p>
            <w:pPr>
              <w:ind w:left="120"/>
              <w:spacing w:after="0"/>
              <w:rPr>
                <w:sz w:val="20"/>
                <w:szCs w:val="20"/>
                <w:color w:val="auto"/>
              </w:rPr>
            </w:pPr>
            <w:r>
              <w:rPr>
                <w:rFonts w:ascii="Arial" w:cs="Arial" w:eastAsia="Arial" w:hAnsi="Arial"/>
                <w:sz w:val="10"/>
                <w:szCs w:val="10"/>
                <w:color w:val="auto"/>
              </w:rPr>
              <w:t>Debt:</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8360" w:type="dxa"/>
            <w:vAlign w:val="bottom"/>
            <w:gridSpan w:val="2"/>
          </w:tcPr>
          <w:p>
            <w:pPr>
              <w:ind w:left="240"/>
              <w:spacing w:after="0"/>
              <w:rPr>
                <w:sz w:val="20"/>
                <w:szCs w:val="20"/>
                <w:color w:val="auto"/>
              </w:rPr>
            </w:pPr>
            <w:r>
              <w:rPr>
                <w:rFonts w:ascii="Arial" w:cs="Arial" w:eastAsia="Arial" w:hAnsi="Arial"/>
                <w:sz w:val="10"/>
                <w:szCs w:val="10"/>
                <w:color w:val="auto"/>
              </w:rPr>
              <w:t>Of Fannie Mae (includes $299 and $385, respectively, at fair value)</w:t>
            </w:r>
          </w:p>
        </w:tc>
        <w:tc>
          <w:tcPr>
            <w:tcW w:w="280" w:type="dxa"/>
            <w:vAlign w:val="bottom"/>
          </w:tcPr>
          <w:p>
            <w:pPr>
              <w:spacing w:after="0"/>
              <w:rPr>
                <w:sz w:val="12"/>
                <w:szCs w:val="12"/>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126,390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139,422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360" w:type="dxa"/>
            <w:vAlign w:val="bottom"/>
            <w:gridSpan w:val="2"/>
          </w:tcPr>
          <w:p>
            <w:pPr>
              <w:ind w:left="240"/>
              <w:spacing w:after="0"/>
              <w:rPr>
                <w:sz w:val="20"/>
                <w:szCs w:val="20"/>
                <w:color w:val="auto"/>
              </w:rPr>
            </w:pPr>
            <w:r>
              <w:rPr>
                <w:rFonts w:ascii="Arial" w:cs="Arial" w:eastAsia="Arial" w:hAnsi="Arial"/>
                <w:sz w:val="10"/>
                <w:szCs w:val="10"/>
                <w:color w:val="auto"/>
              </w:rPr>
              <w:t>Of consolidated trusts (includes $15,323 and $13,292, respectively, at fair value)</w:t>
            </w:r>
          </w:p>
        </w:tc>
        <w:tc>
          <w:tcPr>
            <w:tcW w:w="2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4,076,945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4,088,675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828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Other liabilities (includes $1,682 and $1,699, respectively, related to consolidated trusts)</w:t>
            </w:r>
          </w:p>
        </w:tc>
        <w:tc>
          <w:tcPr>
            <w:tcW w:w="80" w:type="dxa"/>
            <w:vAlign w:val="bottom"/>
          </w:tcPr>
          <w:p>
            <w:pPr>
              <w:spacing w:after="0"/>
              <w:rPr>
                <w:sz w:val="11"/>
                <w:szCs w:val="11"/>
                <w:color w:val="auto"/>
              </w:rPr>
            </w:pPr>
          </w:p>
        </w:tc>
        <w:tc>
          <w:tcPr>
            <w:tcW w:w="28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b w:val="1"/>
                <w:bCs w:val="1"/>
                <w:color w:val="auto"/>
              </w:rPr>
              <w:t>14,956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15,392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828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Total liabilities</w:t>
            </w:r>
          </w:p>
        </w:tc>
        <w:tc>
          <w:tcPr>
            <w:tcW w:w="80" w:type="dxa"/>
            <w:vAlign w:val="bottom"/>
          </w:tcPr>
          <w:p>
            <w:pPr>
              <w:spacing w:after="0"/>
              <w:rPr>
                <w:sz w:val="10"/>
                <w:szCs w:val="10"/>
                <w:color w:val="auto"/>
              </w:rPr>
            </w:pPr>
          </w:p>
        </w:tc>
        <w:tc>
          <w:tcPr>
            <w:tcW w:w="280" w:type="dxa"/>
            <w:vAlign w:val="bottom"/>
            <w:tcBorders>
              <w:bottom w:val="single" w:sz="8" w:color="5587A6"/>
            </w:tcBorders>
          </w:tcPr>
          <w:p>
            <w:pPr>
              <w:spacing w:after="0"/>
              <w:rPr>
                <w:sz w:val="10"/>
                <w:szCs w:val="10"/>
                <w:color w:val="auto"/>
              </w:rPr>
            </w:pPr>
          </w:p>
        </w:tc>
        <w:tc>
          <w:tcPr>
            <w:tcW w:w="70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b w:val="1"/>
                <w:bCs w:val="1"/>
                <w:color w:val="auto"/>
              </w:rPr>
              <w:t>4,230,371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4,255,074</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60" w:type="dxa"/>
            <w:vAlign w:val="bottom"/>
          </w:tcPr>
          <w:p>
            <w:pPr>
              <w:spacing w:after="0"/>
              <w:rPr>
                <w:sz w:val="10"/>
                <w:szCs w:val="10"/>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Commitments and contingencies (Note 14)</w:t>
            </w:r>
          </w:p>
        </w:tc>
        <w:tc>
          <w:tcPr>
            <w:tcW w:w="280" w:type="dxa"/>
            <w:vAlign w:val="bottom"/>
          </w:tcPr>
          <w:p>
            <w:pPr>
              <w:spacing w:after="0"/>
              <w:rPr>
                <w:sz w:val="10"/>
                <w:szCs w:val="10"/>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tcPr>
          <w:p>
            <w:pPr>
              <w:jc w:val="right"/>
              <w:ind w:right="38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8360" w:type="dxa"/>
            <w:vAlign w:val="bottom"/>
            <w:gridSpan w:val="2"/>
          </w:tcPr>
          <w:p>
            <w:pPr>
              <w:ind w:left="20"/>
              <w:spacing w:after="0"/>
              <w:rPr>
                <w:sz w:val="20"/>
                <w:szCs w:val="20"/>
                <w:color w:val="auto"/>
              </w:rPr>
            </w:pPr>
            <w:r>
              <w:rPr>
                <w:rFonts w:ascii="Arial" w:cs="Arial" w:eastAsia="Arial" w:hAnsi="Arial"/>
                <w:sz w:val="10"/>
                <w:szCs w:val="10"/>
                <w:color w:val="auto"/>
              </w:rPr>
              <w:t>Fannie Mae stockholders’ equity:</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0" w:type="dxa"/>
            <w:vAlign w:val="bottom"/>
          </w:tcPr>
          <w:p>
            <w:pPr>
              <w:spacing w:after="0"/>
              <w:rPr>
                <w:sz w:val="12"/>
                <w:szCs w:val="12"/>
                <w:color w:val="auto"/>
              </w:rPr>
            </w:pPr>
          </w:p>
        </w:tc>
        <w:tc>
          <w:tcPr>
            <w:tcW w:w="8360" w:type="dxa"/>
            <w:vAlign w:val="bottom"/>
            <w:gridSpan w:val="2"/>
          </w:tcPr>
          <w:p>
            <w:pPr>
              <w:ind w:left="120"/>
              <w:spacing w:after="0"/>
              <w:rPr>
                <w:sz w:val="20"/>
                <w:szCs w:val="20"/>
                <w:color w:val="auto"/>
              </w:rPr>
            </w:pPr>
            <w:r>
              <w:rPr>
                <w:rFonts w:ascii="Arial" w:cs="Arial" w:eastAsia="Arial" w:hAnsi="Arial"/>
                <w:sz w:val="10"/>
                <w:szCs w:val="10"/>
                <w:color w:val="auto"/>
              </w:rPr>
              <w:t>Senior preferred stock (liquidation preference of $223,135 and $212,029, respectively)</w:t>
            </w:r>
          </w:p>
        </w:tc>
        <w:tc>
          <w:tcPr>
            <w:tcW w:w="280" w:type="dxa"/>
            <w:vAlign w:val="bottom"/>
          </w:tcPr>
          <w:p>
            <w:pPr>
              <w:spacing w:after="0"/>
              <w:rPr>
                <w:sz w:val="12"/>
                <w:szCs w:val="12"/>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120,836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120,836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360" w:type="dxa"/>
            <w:vAlign w:val="bottom"/>
            <w:gridSpan w:val="2"/>
          </w:tcPr>
          <w:p>
            <w:pPr>
              <w:ind w:left="120"/>
              <w:spacing w:after="0"/>
              <w:rPr>
                <w:sz w:val="20"/>
                <w:szCs w:val="20"/>
                <w:color w:val="auto"/>
              </w:rPr>
            </w:pPr>
            <w:r>
              <w:rPr>
                <w:rFonts w:ascii="Arial" w:cs="Arial" w:eastAsia="Arial" w:hAnsi="Arial"/>
                <w:sz w:val="10"/>
                <w:szCs w:val="10"/>
                <w:color w:val="auto"/>
              </w:rPr>
              <w:t>Preferred stock, 700,000,000 shares are authorized—555,374,922 shares issued and outstanding</w:t>
            </w:r>
          </w:p>
        </w:tc>
        <w:tc>
          <w:tcPr>
            <w:tcW w:w="2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19,130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19,130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60" w:type="dxa"/>
            <w:vAlign w:val="bottom"/>
          </w:tcPr>
          <w:p>
            <w:pPr>
              <w:spacing w:after="0"/>
              <w:rPr>
                <w:sz w:val="13"/>
                <w:szCs w:val="13"/>
                <w:color w:val="auto"/>
              </w:rPr>
            </w:pPr>
          </w:p>
        </w:tc>
        <w:tc>
          <w:tcPr>
            <w:tcW w:w="8360" w:type="dxa"/>
            <w:vAlign w:val="bottom"/>
            <w:gridSpan w:val="2"/>
          </w:tcPr>
          <w:p>
            <w:pPr>
              <w:ind w:left="120"/>
              <w:spacing w:after="0"/>
              <w:rPr>
                <w:sz w:val="20"/>
                <w:szCs w:val="20"/>
                <w:color w:val="auto"/>
              </w:rPr>
            </w:pPr>
            <w:r>
              <w:rPr>
                <w:rFonts w:ascii="Arial" w:cs="Arial" w:eastAsia="Arial" w:hAnsi="Arial"/>
                <w:sz w:val="10"/>
                <w:szCs w:val="10"/>
                <w:color w:val="auto"/>
              </w:rPr>
              <w:t>Common stock, no par value, no maximum authorization—1,308,762,703 shares issued and 1,158,087,567 shares outstanding</w:t>
            </w:r>
          </w:p>
        </w:tc>
        <w:tc>
          <w:tcPr>
            <w:tcW w:w="280" w:type="dxa"/>
            <w:vAlign w:val="bottom"/>
          </w:tcPr>
          <w:p>
            <w:pPr>
              <w:spacing w:after="0"/>
              <w:rPr>
                <w:sz w:val="13"/>
                <w:szCs w:val="13"/>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687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687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360" w:type="dxa"/>
            <w:vAlign w:val="bottom"/>
            <w:gridSpan w:val="2"/>
          </w:tcPr>
          <w:p>
            <w:pPr>
              <w:ind w:left="120"/>
              <w:spacing w:after="0"/>
              <w:rPr>
                <w:sz w:val="20"/>
                <w:szCs w:val="20"/>
                <w:color w:val="auto"/>
              </w:rPr>
            </w:pPr>
            <w:r>
              <w:rPr>
                <w:rFonts w:ascii="Arial" w:cs="Arial" w:eastAsia="Arial" w:hAnsi="Arial"/>
                <w:sz w:val="10"/>
                <w:szCs w:val="10"/>
                <w:color w:val="auto"/>
              </w:rPr>
              <w:t>Accumulated deficit</w:t>
            </w:r>
          </w:p>
        </w:tc>
        <w:tc>
          <w:tcPr>
            <w:tcW w:w="2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(27,788)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(38,625)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8360" w:type="dxa"/>
            <w:vAlign w:val="bottom"/>
            <w:gridSpan w:val="2"/>
          </w:tcPr>
          <w:p>
            <w:pPr>
              <w:ind w:left="120"/>
              <w:spacing w:after="0"/>
              <w:rPr>
                <w:sz w:val="20"/>
                <w:szCs w:val="20"/>
                <w:color w:val="auto"/>
              </w:rPr>
            </w:pPr>
            <w:r>
              <w:rPr>
                <w:rFonts w:ascii="Arial" w:cs="Arial" w:eastAsia="Arial" w:hAnsi="Arial"/>
                <w:sz w:val="10"/>
                <w:szCs w:val="10"/>
                <w:color w:val="auto"/>
              </w:rPr>
              <w:t>Accumulated other comprehensive income</w:t>
            </w:r>
          </w:p>
        </w:tc>
        <w:tc>
          <w:tcPr>
            <w:tcW w:w="280" w:type="dxa"/>
            <w:vAlign w:val="bottom"/>
          </w:tcPr>
          <w:p>
            <w:pPr>
              <w:spacing w:after="0"/>
              <w:rPr>
                <w:sz w:val="11"/>
                <w:szCs w:val="11"/>
                <w:color w:val="auto"/>
              </w:rPr>
            </w:pP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20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Arial" w:cs="Arial" w:eastAsia="Arial" w:hAnsi="Arial"/>
                <w:sz w:val="10"/>
                <w:szCs w:val="10"/>
                <w:color w:val="auto"/>
              </w:rPr>
              <w:t>29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60" w:type="dxa"/>
            <w:vAlign w:val="bottom"/>
          </w:tcPr>
          <w:p>
            <w:pPr>
              <w:spacing w:after="0"/>
              <w:rPr>
                <w:sz w:val="11"/>
                <w:szCs w:val="11"/>
                <w:color w:val="auto"/>
              </w:rPr>
            </w:pPr>
          </w:p>
        </w:tc>
        <w:tc>
          <w:tcPr>
            <w:tcW w:w="828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Treasury stock, at cost, 150,675,136 shares</w:t>
            </w:r>
          </w:p>
        </w:tc>
        <w:tc>
          <w:tcPr>
            <w:tcW w:w="80" w:type="dxa"/>
            <w:vAlign w:val="bottom"/>
          </w:tcPr>
          <w:p>
            <w:pPr>
              <w:spacing w:after="0"/>
              <w:rPr>
                <w:sz w:val="11"/>
                <w:szCs w:val="11"/>
                <w:color w:val="auto"/>
              </w:rPr>
            </w:pPr>
          </w:p>
        </w:tc>
        <w:tc>
          <w:tcPr>
            <w:tcW w:w="280" w:type="dxa"/>
            <w:vAlign w:val="bottom"/>
            <w:tcBorders>
              <w:bottom w:val="single" w:sz="8" w:color="5587A6"/>
            </w:tcBorders>
          </w:tcPr>
          <w:p>
            <w:pPr>
              <w:spacing w:after="0"/>
              <w:rPr>
                <w:sz w:val="11"/>
                <w:szCs w:val="11"/>
                <w:color w:val="auto"/>
              </w:rPr>
            </w:pPr>
          </w:p>
        </w:tc>
        <w:tc>
          <w:tcPr>
            <w:tcW w:w="70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(7,400)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5587A6"/>
            </w:tcBorders>
          </w:tcPr>
          <w:p>
            <w:pPr>
              <w:spacing w:after="0"/>
              <w:rPr>
                <w:sz w:val="11"/>
                <w:szCs w:val="11"/>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(7,400)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828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Total stockholders’ equity</w:t>
            </w:r>
          </w:p>
        </w:tc>
        <w:tc>
          <w:tcPr>
            <w:tcW w:w="80" w:type="dxa"/>
            <w:vAlign w:val="bottom"/>
          </w:tcPr>
          <w:p>
            <w:pPr>
              <w:spacing w:after="0"/>
              <w:rPr>
                <w:sz w:val="12"/>
                <w:szCs w:val="12"/>
                <w:color w:val="auto"/>
              </w:rPr>
            </w:pPr>
          </w:p>
        </w:tc>
        <w:tc>
          <w:tcPr>
            <w:tcW w:w="280" w:type="dxa"/>
            <w:vAlign w:val="bottom"/>
            <w:tcBorders>
              <w:bottom w:val="single" w:sz="8" w:color="5587A6"/>
            </w:tcBorders>
          </w:tcPr>
          <w:p>
            <w:pPr>
              <w:spacing w:after="0"/>
              <w:rPr>
                <w:sz w:val="12"/>
                <w:szCs w:val="12"/>
                <w:color w:val="auto"/>
              </w:rPr>
            </w:pPr>
          </w:p>
        </w:tc>
        <w:tc>
          <w:tcPr>
            <w:tcW w:w="70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b w:val="1"/>
                <w:bCs w:val="1"/>
                <w:color w:val="auto"/>
              </w:rPr>
              <w:t>105,485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5587A6"/>
            </w:tcBorders>
          </w:tcPr>
          <w:p>
            <w:pPr>
              <w:spacing w:after="0"/>
              <w:rPr>
                <w:sz w:val="12"/>
                <w:szCs w:val="12"/>
                <w:color w:val="auto"/>
              </w:rPr>
            </w:pPr>
          </w:p>
        </w:tc>
        <w:tc>
          <w:tcPr>
            <w:tcW w:w="98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94,657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60" w:type="dxa"/>
            <w:vAlign w:val="bottom"/>
          </w:tcPr>
          <w:p>
            <w:pPr>
              <w:spacing w:after="0"/>
              <w:rPr>
                <w:sz w:val="10"/>
                <w:szCs w:val="10"/>
                <w:color w:val="auto"/>
              </w:rPr>
            </w:pPr>
          </w:p>
        </w:tc>
        <w:tc>
          <w:tcPr>
            <w:tcW w:w="8360" w:type="dxa"/>
            <w:vAlign w:val="bottom"/>
            <w:gridSpan w:val="2"/>
          </w:tcPr>
          <w:p>
            <w:pPr>
              <w:ind w:left="120"/>
              <w:spacing w:after="0"/>
              <w:rPr>
                <w:sz w:val="20"/>
                <w:szCs w:val="20"/>
                <w:color w:val="auto"/>
              </w:rPr>
            </w:pPr>
            <w:r>
              <w:rPr>
                <w:rFonts w:ascii="Arial" w:cs="Arial" w:eastAsia="Arial" w:hAnsi="Arial"/>
                <w:sz w:val="10"/>
                <w:szCs w:val="10"/>
                <w:color w:val="auto"/>
              </w:rPr>
              <w:t>Total liabilities and equity</w:t>
            </w:r>
          </w:p>
        </w:tc>
        <w:tc>
          <w:tcPr>
            <w:tcW w:w="280" w:type="dxa"/>
            <w:vAlign w:val="bottom"/>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700" w:type="dxa"/>
            <w:vAlign w:val="bottom"/>
          </w:tcPr>
          <w:p>
            <w:pPr>
              <w:jc w:val="right"/>
              <w:ind w:right="12"/>
              <w:spacing w:after="0"/>
              <w:rPr>
                <w:sz w:val="20"/>
                <w:szCs w:val="20"/>
                <w:color w:val="auto"/>
              </w:rPr>
            </w:pPr>
            <w:r>
              <w:rPr>
                <w:rFonts w:ascii="Arial" w:cs="Arial" w:eastAsia="Arial" w:hAnsi="Arial"/>
                <w:sz w:val="10"/>
                <w:szCs w:val="10"/>
                <w:b w:val="1"/>
                <w:bCs w:val="1"/>
                <w:color w:val="auto"/>
              </w:rPr>
              <w:t>4,335,856</w:t>
            </w:r>
          </w:p>
        </w:tc>
        <w:tc>
          <w:tcPr>
            <w:tcW w:w="280" w:type="dxa"/>
            <w:vAlign w:val="bottom"/>
            <w:gridSpan w:val="3"/>
          </w:tcPr>
          <w:p>
            <w:pPr>
              <w:jc w:val="right"/>
              <w:spacing w:after="0"/>
              <w:rPr>
                <w:sz w:val="20"/>
                <w:szCs w:val="20"/>
                <w:color w:val="auto"/>
              </w:rPr>
            </w:pPr>
            <w:r>
              <w:rPr>
                <w:rFonts w:ascii="Arial" w:cs="Arial" w:eastAsia="Arial" w:hAnsi="Arial"/>
                <w:sz w:val="10"/>
                <w:szCs w:val="10"/>
                <w:color w:val="auto"/>
              </w:rPr>
              <w:t>$</w:t>
            </w:r>
          </w:p>
        </w:tc>
        <w:tc>
          <w:tcPr>
            <w:tcW w:w="980" w:type="dxa"/>
            <w:vAlign w:val="bottom"/>
          </w:tcPr>
          <w:p>
            <w:pPr>
              <w:jc w:val="right"/>
              <w:spacing w:after="0"/>
              <w:rPr>
                <w:sz w:val="20"/>
                <w:szCs w:val="20"/>
                <w:color w:val="auto"/>
              </w:rPr>
            </w:pPr>
            <w:r>
              <w:rPr>
                <w:rFonts w:ascii="Arial" w:cs="Arial" w:eastAsia="Arial" w:hAnsi="Arial"/>
                <w:sz w:val="10"/>
                <w:szCs w:val="10"/>
                <w:color w:val="auto"/>
              </w:rPr>
              <w:t>4,349,731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28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5587A6"/>
              <w:bottom w:val="single" w:sz="8" w:color="5587A6"/>
            </w:tcBorders>
          </w:tcPr>
          <w:p>
            <w:pPr>
              <w:spacing w:after="0" w:line="20" w:lineRule="exact"/>
              <w:rPr>
                <w:sz w:val="1"/>
                <w:szCs w:val="1"/>
                <w:color w:val="auto"/>
              </w:rPr>
            </w:pPr>
          </w:p>
        </w:tc>
        <w:tc>
          <w:tcPr>
            <w:tcW w:w="70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5587A6"/>
              <w:bottom w:val="single" w:sz="8" w:color="5587A6"/>
            </w:tcBorders>
          </w:tcPr>
          <w:p>
            <w:pPr>
              <w:spacing w:after="0" w:line="20" w:lineRule="exact"/>
              <w:rPr>
                <w:sz w:val="1"/>
                <w:szCs w:val="1"/>
                <w:color w:val="auto"/>
              </w:rPr>
            </w:pPr>
          </w:p>
        </w:tc>
        <w:tc>
          <w:tcPr>
            <w:tcW w:w="98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360" w:type="dxa"/>
            <w:vAlign w:val="bottom"/>
          </w:tcPr>
          <w:p>
            <w:pPr>
              <w:spacing w:after="0"/>
              <w:rPr>
                <w:sz w:val="24"/>
                <w:szCs w:val="24"/>
                <w:color w:val="auto"/>
              </w:rPr>
            </w:pPr>
          </w:p>
        </w:tc>
        <w:tc>
          <w:tcPr>
            <w:tcW w:w="8360" w:type="dxa"/>
            <w:vAlign w:val="bottom"/>
            <w:gridSpan w:val="2"/>
          </w:tcPr>
          <w:p>
            <w:pPr>
              <w:ind w:left="3200"/>
              <w:spacing w:after="0"/>
              <w:rPr>
                <w:sz w:val="20"/>
                <w:szCs w:val="20"/>
                <w:color w:val="auto"/>
              </w:rPr>
            </w:pPr>
            <w:r>
              <w:rPr>
                <w:rFonts w:ascii="Arial" w:cs="Arial" w:eastAsia="Arial" w:hAnsi="Arial"/>
                <w:sz w:val="10"/>
                <w:szCs w:val="10"/>
                <w:color w:val="auto"/>
              </w:rPr>
              <w:t>See Notes to Condensed Consolidated Financial Statements in the Third Quarter 2025 Form 10-Q</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5"/>
        </w:trPr>
        <w:tc>
          <w:tcPr>
            <w:tcW w:w="8720" w:type="dxa"/>
            <w:vAlign w:val="bottom"/>
            <w:tcBorders>
              <w:bottom w:val="single" w:sz="8" w:color="05314D"/>
            </w:tcBorders>
            <w:gridSpan w:val="3"/>
          </w:tcPr>
          <w:p>
            <w:pPr>
              <w:spacing w:after="0"/>
              <w:rPr>
                <w:sz w:val="24"/>
                <w:szCs w:val="24"/>
                <w:color w:val="auto"/>
              </w:rPr>
            </w:pPr>
          </w:p>
        </w:tc>
        <w:tc>
          <w:tcPr>
            <w:tcW w:w="280" w:type="dxa"/>
            <w:vAlign w:val="bottom"/>
            <w:tcBorders>
              <w:bottom w:val="single" w:sz="8" w:color="05314D"/>
            </w:tcBorders>
          </w:tcPr>
          <w:p>
            <w:pPr>
              <w:spacing w:after="0"/>
              <w:rPr>
                <w:sz w:val="24"/>
                <w:szCs w:val="24"/>
                <w:color w:val="auto"/>
              </w:rPr>
            </w:pPr>
          </w:p>
        </w:tc>
        <w:tc>
          <w:tcPr>
            <w:tcW w:w="70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14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320" w:type="dxa"/>
            <w:vAlign w:val="bottom"/>
            <w:tcBorders>
              <w:bottom w:val="single" w:sz="8" w:color="05314D"/>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720" w:type="dxa"/>
            <w:vAlign w:val="bottom"/>
            <w:gridSpan w:val="3"/>
          </w:tcPr>
          <w:p>
            <w:pPr>
              <w:spacing w:after="0"/>
              <w:rPr>
                <w:sz w:val="20"/>
                <w:szCs w:val="20"/>
                <w:color w:val="auto"/>
              </w:rPr>
            </w:pPr>
            <w:r>
              <w:rPr>
                <w:rFonts w:ascii="Arial" w:cs="Arial" w:eastAsia="Arial" w:hAnsi="Arial"/>
                <w:sz w:val="11"/>
                <w:szCs w:val="11"/>
                <w:color w:val="auto"/>
              </w:rPr>
              <w:t>Third Quarter 2025</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bl>
    <w:p>
      <w:pPr>
        <w:sectPr>
          <w:pgSz w:w="11900" w:h="16838" w:orient="portrait"/>
          <w:cols w:equalWidth="0" w:num="1">
            <w:col w:w="11300"/>
          </w:cols>
          <w:pgMar w:left="300" w:top="880"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4"/>
          <w:szCs w:val="14"/>
          <w:b w:val="1"/>
          <w:bCs w:val="1"/>
          <w:color w:val="05314D"/>
        </w:rPr>
        <w:drawing>
          <wp:anchor simplePos="0" relativeHeight="251657728" behindDoc="1" locked="0" layoutInCell="0" allowOverlap="1">
            <wp:simplePos x="0" y="0"/>
            <wp:positionH relativeFrom="page">
              <wp:posOffset>185420</wp:posOffset>
            </wp:positionH>
            <wp:positionV relativeFrom="page">
              <wp:posOffset>88900</wp:posOffset>
            </wp:positionV>
            <wp:extent cx="4457700" cy="291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457700" cy="291465"/>
                    </a:xfrm>
                    <a:prstGeom prst="rect">
                      <a:avLst/>
                    </a:prstGeom>
                    <a:noFill/>
                  </pic:spPr>
                </pic:pic>
              </a:graphicData>
            </a:graphic>
          </wp:anchor>
        </w:drawing>
        <w:t>FANNIE MAE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(In conservatorship)</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05314D"/>
        </w:rPr>
        <w:t>Condensed Consolidated Statements of Operations and Comprehensive Income — (Unaudited)</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05314D"/>
        </w:rPr>
        <w:t>(Dollars in millions,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7"/>
          </w:tcPr>
          <w:p>
            <w:pPr>
              <w:ind w:left="20"/>
              <w:spacing w:after="0"/>
              <w:rPr>
                <w:sz w:val="20"/>
                <w:szCs w:val="20"/>
                <w:color w:val="auto"/>
              </w:rPr>
            </w:pPr>
            <w:r>
              <w:rPr>
                <w:rFonts w:ascii="Arial" w:cs="Arial" w:eastAsia="Arial" w:hAnsi="Arial"/>
                <w:sz w:val="10"/>
                <w:szCs w:val="10"/>
                <w:b w:val="1"/>
                <w:bCs w:val="1"/>
                <w:color w:val="auto"/>
                <w:w w:val="95"/>
              </w:rPr>
              <w:t>For the Three Months Ended September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340" w:type="dxa"/>
            <w:vAlign w:val="bottom"/>
            <w:gridSpan w:val="10"/>
            <w:vMerge w:val="restart"/>
          </w:tcPr>
          <w:p>
            <w:pPr>
              <w:jc w:val="right"/>
              <w:ind w:right="380"/>
              <w:spacing w:after="0"/>
              <w:rPr>
                <w:sz w:val="20"/>
                <w:szCs w:val="20"/>
                <w:color w:val="auto"/>
              </w:rPr>
            </w:pPr>
            <w:r>
              <w:rPr>
                <w:rFonts w:ascii="Arial" w:cs="Arial" w:eastAsia="Arial" w:hAnsi="Arial"/>
                <w:sz w:val="10"/>
                <w:szCs w:val="10"/>
                <w:b w:val="1"/>
                <w:bCs w:val="1"/>
                <w:color w:val="auto"/>
                <w:w w:val="96"/>
              </w:rPr>
              <w:t>For the Nine Months Ended September 30,</w:t>
            </w:r>
          </w:p>
        </w:tc>
        <w:tc>
          <w:tcPr>
            <w:tcW w:w="0" w:type="dxa"/>
            <w:vAlign w:val="bottom"/>
          </w:tcPr>
          <w:p>
            <w:pPr>
              <w:spacing w:after="0"/>
              <w:rPr>
                <w:sz w:val="1"/>
                <w:szCs w:val="1"/>
                <w:color w:val="auto"/>
              </w:rPr>
            </w:pPr>
          </w:p>
        </w:tc>
      </w:tr>
      <w:tr>
        <w:trPr>
          <w:trHeight w:val="79"/>
        </w:trPr>
        <w:tc>
          <w:tcPr>
            <w:tcW w:w="320" w:type="dxa"/>
            <w:vAlign w:val="bottom"/>
          </w:tcPr>
          <w:p>
            <w:pPr>
              <w:spacing w:after="0"/>
              <w:rPr>
                <w:sz w:val="6"/>
                <w:szCs w:val="6"/>
                <w:color w:val="auto"/>
              </w:rPr>
            </w:pPr>
          </w:p>
        </w:tc>
        <w:tc>
          <w:tcPr>
            <w:tcW w:w="3100" w:type="dxa"/>
            <w:vAlign w:val="bottom"/>
          </w:tcPr>
          <w:p>
            <w:pPr>
              <w:spacing w:after="0"/>
              <w:rPr>
                <w:sz w:val="6"/>
                <w:szCs w:val="6"/>
                <w:color w:val="auto"/>
              </w:rPr>
            </w:pPr>
          </w:p>
        </w:tc>
        <w:tc>
          <w:tcPr>
            <w:tcW w:w="34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gridSpan w:val="3"/>
            <w:vMerge w:val="restart"/>
          </w:tcPr>
          <w:p>
            <w:pPr>
              <w:jc w:val="right"/>
              <w:ind w:right="40"/>
              <w:spacing w:after="0"/>
              <w:rPr>
                <w:sz w:val="20"/>
                <w:szCs w:val="20"/>
                <w:color w:val="auto"/>
              </w:rPr>
            </w:pPr>
            <w:r>
              <w:rPr>
                <w:rFonts w:ascii="Arial" w:cs="Arial" w:eastAsia="Arial" w:hAnsi="Arial"/>
                <w:sz w:val="10"/>
                <w:szCs w:val="10"/>
                <w:b w:val="1"/>
                <w:bCs w:val="1"/>
                <w:color w:val="auto"/>
              </w:rPr>
              <w:t>30,</w:t>
            </w: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34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3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60" w:type="dxa"/>
            <w:vAlign w:val="bottom"/>
            <w:tcBorders>
              <w:bottom w:val="single" w:sz="8" w:color="5587A6"/>
            </w:tcBorders>
          </w:tcPr>
          <w:p>
            <w:pPr>
              <w:spacing w:after="0"/>
              <w:rPr>
                <w:sz w:val="4"/>
                <w:szCs w:val="4"/>
                <w:color w:val="auto"/>
              </w:rPr>
            </w:pPr>
          </w:p>
        </w:tc>
        <w:tc>
          <w:tcPr>
            <w:tcW w:w="200" w:type="dxa"/>
            <w:vAlign w:val="bottom"/>
            <w:tcBorders>
              <w:bottom w:val="single" w:sz="8" w:color="5587A6"/>
            </w:tcBorders>
          </w:tcPr>
          <w:p>
            <w:pPr>
              <w:spacing w:after="0"/>
              <w:rPr>
                <w:sz w:val="4"/>
                <w:szCs w:val="4"/>
                <w:color w:val="auto"/>
              </w:rPr>
            </w:pPr>
          </w:p>
        </w:tc>
        <w:tc>
          <w:tcPr>
            <w:tcW w:w="620" w:type="dxa"/>
            <w:vAlign w:val="bottom"/>
            <w:tcBorders>
              <w:bottom w:val="single" w:sz="8" w:color="5587A6"/>
            </w:tcBorders>
          </w:tcPr>
          <w:p>
            <w:pPr>
              <w:spacing w:after="0"/>
              <w:rPr>
                <w:sz w:val="4"/>
                <w:szCs w:val="4"/>
                <w:color w:val="auto"/>
              </w:rPr>
            </w:pPr>
          </w:p>
        </w:tc>
        <w:tc>
          <w:tcPr>
            <w:tcW w:w="220" w:type="dxa"/>
            <w:vAlign w:val="bottom"/>
            <w:tcBorders>
              <w:bottom w:val="single" w:sz="8" w:color="5587A6"/>
            </w:tcBorders>
            <w:gridSpan w:val="3"/>
            <w:vMerge w:val="continue"/>
          </w:tcPr>
          <w:p>
            <w:pPr>
              <w:spacing w:after="0"/>
              <w:rPr>
                <w:sz w:val="4"/>
                <w:szCs w:val="4"/>
                <w:color w:val="auto"/>
              </w:rPr>
            </w:pPr>
          </w:p>
        </w:tc>
        <w:tc>
          <w:tcPr>
            <w:tcW w:w="180" w:type="dxa"/>
            <w:vAlign w:val="bottom"/>
            <w:tcBorders>
              <w:bottom w:val="single" w:sz="8" w:color="5587A6"/>
            </w:tcBorders>
          </w:tcPr>
          <w:p>
            <w:pPr>
              <w:spacing w:after="0"/>
              <w:rPr>
                <w:sz w:val="4"/>
                <w:szCs w:val="4"/>
                <w:color w:val="auto"/>
              </w:rPr>
            </w:pPr>
          </w:p>
        </w:tc>
        <w:tc>
          <w:tcPr>
            <w:tcW w:w="640" w:type="dxa"/>
            <w:vAlign w:val="bottom"/>
            <w:tcBorders>
              <w:bottom w:val="single" w:sz="8" w:color="5587A6"/>
            </w:tcBorders>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180" w:type="dxa"/>
            <w:vAlign w:val="bottom"/>
            <w:tcBorders>
              <w:bottom w:val="single" w:sz="8" w:color="5587A6"/>
            </w:tcBorders>
          </w:tcPr>
          <w:p>
            <w:pPr>
              <w:spacing w:after="0"/>
              <w:rPr>
                <w:sz w:val="4"/>
                <w:szCs w:val="4"/>
                <w:color w:val="auto"/>
              </w:rPr>
            </w:pPr>
          </w:p>
        </w:tc>
        <w:tc>
          <w:tcPr>
            <w:tcW w:w="640" w:type="dxa"/>
            <w:vAlign w:val="bottom"/>
            <w:tcBorders>
              <w:bottom w:val="single" w:sz="8" w:color="5587A6"/>
            </w:tcBorders>
          </w:tcPr>
          <w:p>
            <w:pPr>
              <w:spacing w:after="0"/>
              <w:rPr>
                <w:sz w:val="4"/>
                <w:szCs w:val="4"/>
                <w:color w:val="auto"/>
              </w:rPr>
            </w:pPr>
          </w:p>
        </w:tc>
        <w:tc>
          <w:tcPr>
            <w:tcW w:w="60" w:type="dxa"/>
            <w:vAlign w:val="bottom"/>
            <w:tcBorders>
              <w:bottom w:val="single" w:sz="8" w:color="5587A6"/>
            </w:tcBorders>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80" w:type="dxa"/>
            <w:vAlign w:val="bottom"/>
            <w:tcBorders>
              <w:bottom w:val="single" w:sz="8" w:color="5587A6"/>
            </w:tcBorders>
          </w:tcPr>
          <w:p>
            <w:pPr>
              <w:spacing w:after="0"/>
              <w:rPr>
                <w:sz w:val="4"/>
                <w:szCs w:val="4"/>
                <w:color w:val="auto"/>
              </w:rPr>
            </w:pPr>
          </w:p>
        </w:tc>
        <w:tc>
          <w:tcPr>
            <w:tcW w:w="180" w:type="dxa"/>
            <w:vAlign w:val="bottom"/>
            <w:tcBorders>
              <w:bottom w:val="single" w:sz="8" w:color="5587A6"/>
            </w:tcBorders>
          </w:tcPr>
          <w:p>
            <w:pPr>
              <w:spacing w:after="0"/>
              <w:rPr>
                <w:sz w:val="4"/>
                <w:szCs w:val="4"/>
                <w:color w:val="auto"/>
              </w:rPr>
            </w:pPr>
          </w:p>
        </w:tc>
        <w:tc>
          <w:tcPr>
            <w:tcW w:w="640" w:type="dxa"/>
            <w:vAlign w:val="bottom"/>
            <w:tcBorders>
              <w:bottom w:val="single" w:sz="8" w:color="5587A6"/>
            </w:tcBorders>
          </w:tcPr>
          <w:p>
            <w:pPr>
              <w:spacing w:after="0"/>
              <w:rPr>
                <w:sz w:val="4"/>
                <w:szCs w:val="4"/>
                <w:color w:val="auto"/>
              </w:rPr>
            </w:pPr>
          </w:p>
        </w:tc>
        <w:tc>
          <w:tcPr>
            <w:tcW w:w="60" w:type="dxa"/>
            <w:vAlign w:val="bottom"/>
            <w:tcBorders>
              <w:bottom w:val="single" w:sz="8" w:color="5587A6"/>
            </w:tcBorders>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0" w:type="dxa"/>
            <w:vAlign w:val="bottom"/>
            <w:tcBorders>
              <w:bottom w:val="single" w:sz="8" w:color="5587A6"/>
            </w:tcBorders>
          </w:tcPr>
          <w:p>
            <w:pPr>
              <w:spacing w:after="0"/>
              <w:rPr>
                <w:sz w:val="10"/>
                <w:szCs w:val="10"/>
                <w:color w:val="auto"/>
              </w:rPr>
            </w:pPr>
          </w:p>
        </w:tc>
        <w:tc>
          <w:tcPr>
            <w:tcW w:w="200" w:type="dxa"/>
            <w:vAlign w:val="bottom"/>
            <w:tcBorders>
              <w:bottom w:val="single" w:sz="8" w:color="5587A6"/>
            </w:tcBorders>
          </w:tcPr>
          <w:p>
            <w:pPr>
              <w:spacing w:after="0"/>
              <w:rPr>
                <w:sz w:val="10"/>
                <w:szCs w:val="10"/>
                <w:color w:val="auto"/>
              </w:rPr>
            </w:pPr>
          </w:p>
        </w:tc>
        <w:tc>
          <w:tcPr>
            <w:tcW w:w="620" w:type="dxa"/>
            <w:vAlign w:val="bottom"/>
            <w:tcBorders>
              <w:bottom w:val="single" w:sz="8" w:color="5587A6"/>
            </w:tcBorders>
          </w:tcPr>
          <w:p>
            <w:pPr>
              <w:jc w:val="right"/>
              <w:ind w:right="252"/>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5587A6"/>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ind w:right="252"/>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5587A6"/>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ind w:right="252"/>
              <w:spacing w:after="0"/>
              <w:rPr>
                <w:sz w:val="20"/>
                <w:szCs w:val="20"/>
                <w:color w:val="auto"/>
              </w:rPr>
            </w:pPr>
            <w:r>
              <w:rPr>
                <w:rFonts w:ascii="Arial" w:cs="Arial" w:eastAsia="Arial" w:hAnsi="Arial"/>
                <w:sz w:val="10"/>
                <w:szCs w:val="10"/>
                <w:b w:val="1"/>
                <w:bCs w:val="1"/>
                <w:color w:val="auto"/>
              </w:rPr>
              <w:t>2025</w:t>
            </w:r>
          </w:p>
        </w:tc>
        <w:tc>
          <w:tcPr>
            <w:tcW w:w="60" w:type="dxa"/>
            <w:vAlign w:val="bottom"/>
            <w:tcBorders>
              <w:bottom w:val="single" w:sz="8" w:color="5587A6"/>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5587A6"/>
            </w:tcBorders>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ind w:right="272"/>
              <w:spacing w:after="0"/>
              <w:rPr>
                <w:sz w:val="20"/>
                <w:szCs w:val="20"/>
                <w:color w:val="auto"/>
              </w:rPr>
            </w:pPr>
            <w:r>
              <w:rPr>
                <w:rFonts w:ascii="Arial" w:cs="Arial" w:eastAsia="Arial" w:hAnsi="Arial"/>
                <w:sz w:val="10"/>
                <w:szCs w:val="10"/>
                <w:b w:val="1"/>
                <w:bCs w:val="1"/>
                <w:color w:val="auto"/>
              </w:rPr>
              <w:t>2024</w:t>
            </w:r>
          </w:p>
        </w:tc>
        <w:tc>
          <w:tcPr>
            <w:tcW w:w="60" w:type="dxa"/>
            <w:vAlign w:val="bottom"/>
            <w:tcBorders>
              <w:bottom w:val="single" w:sz="8" w:color="5587A6"/>
            </w:tcBorders>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320" w:type="dxa"/>
            <w:vAlign w:val="bottom"/>
          </w:tcPr>
          <w:p>
            <w:pPr>
              <w:spacing w:after="0"/>
              <w:rPr>
                <w:sz w:val="9"/>
                <w:szCs w:val="9"/>
                <w:color w:val="auto"/>
              </w:rPr>
            </w:pPr>
          </w:p>
        </w:tc>
        <w:tc>
          <w:tcPr>
            <w:tcW w:w="3100" w:type="dxa"/>
            <w:vAlign w:val="bottom"/>
          </w:tcPr>
          <w:p>
            <w:pPr>
              <w:ind w:left="20"/>
              <w:spacing w:after="0" w:line="111" w:lineRule="exact"/>
              <w:rPr>
                <w:sz w:val="20"/>
                <w:szCs w:val="20"/>
                <w:color w:val="auto"/>
              </w:rPr>
            </w:pPr>
            <w:r>
              <w:rPr>
                <w:rFonts w:ascii="Arial" w:cs="Arial" w:eastAsia="Arial" w:hAnsi="Arial"/>
                <w:sz w:val="10"/>
                <w:szCs w:val="10"/>
                <w:color w:val="auto"/>
              </w:rPr>
              <w:t>Interest income:</w:t>
            </w:r>
          </w:p>
        </w:tc>
        <w:tc>
          <w:tcPr>
            <w:tcW w:w="3740" w:type="dxa"/>
            <w:vAlign w:val="bottom"/>
            <w:gridSpan w:val="3"/>
            <w:vMerge w:val="restart"/>
          </w:tcPr>
          <w:p>
            <w:pPr>
              <w:ind w:left="3560"/>
              <w:spacing w:after="0"/>
              <w:rPr>
                <w:sz w:val="20"/>
                <w:szCs w:val="20"/>
                <w:color w:val="auto"/>
              </w:rPr>
            </w:pPr>
            <w:r>
              <w:rPr>
                <w:rFonts w:ascii="Arial" w:cs="Arial" w:eastAsia="Arial" w:hAnsi="Arial"/>
                <w:sz w:val="10"/>
                <w:szCs w:val="10"/>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38,344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gridSpan w:val="4"/>
            <w:vMerge w:val="restart"/>
          </w:tcPr>
          <w:p>
            <w:pPr>
              <w:jc w:val="right"/>
              <w:ind w:right="72"/>
              <w:spacing w:after="0"/>
              <w:rPr>
                <w:sz w:val="20"/>
                <w:szCs w:val="20"/>
                <w:color w:val="auto"/>
              </w:rPr>
            </w:pPr>
            <w:r>
              <w:rPr>
                <w:rFonts w:ascii="Arial" w:cs="Arial" w:eastAsia="Arial" w:hAnsi="Arial"/>
                <w:sz w:val="10"/>
                <w:szCs w:val="10"/>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113,436</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Mortgage loans</w:t>
            </w:r>
          </w:p>
        </w:tc>
        <w:tc>
          <w:tcPr>
            <w:tcW w:w="374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0" w:type="dxa"/>
            <w:vAlign w:val="bottom"/>
            <w:gridSpan w:val="4"/>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36,390</w:t>
            </w:r>
          </w:p>
        </w:tc>
        <w:tc>
          <w:tcPr>
            <w:tcW w:w="400" w:type="dxa"/>
            <w:vAlign w:val="bottom"/>
            <w:gridSpan w:val="4"/>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107,223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Securities purchased under agreements to resell</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844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1,057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2,640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3,313</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Investments in securities and other</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789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565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2,328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1,549</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3100" w:type="dxa"/>
            <w:vAlign w:val="bottom"/>
            <w:tcBorders>
              <w:bottom w:val="single" w:sz="8" w:color="5587A6"/>
            </w:tcBorders>
          </w:tcPr>
          <w:p>
            <w:pPr>
              <w:ind w:left="240"/>
              <w:spacing w:after="0"/>
              <w:rPr>
                <w:sz w:val="20"/>
                <w:szCs w:val="20"/>
                <w:color w:val="auto"/>
              </w:rPr>
            </w:pPr>
            <w:r>
              <w:rPr>
                <w:rFonts w:ascii="Arial" w:cs="Arial" w:eastAsia="Arial" w:hAnsi="Arial"/>
                <w:sz w:val="10"/>
                <w:szCs w:val="10"/>
                <w:color w:val="auto"/>
              </w:rPr>
              <w:t>Total interest income</w:t>
            </w:r>
          </w:p>
        </w:tc>
        <w:tc>
          <w:tcPr>
            <w:tcW w:w="3480" w:type="dxa"/>
            <w:vAlign w:val="bottom"/>
            <w:tcBorders>
              <w:bottom w:val="single" w:sz="8" w:color="5587A6"/>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5587A6"/>
            </w:tcBorders>
          </w:tcPr>
          <w:p>
            <w:pPr>
              <w:spacing w:after="0"/>
              <w:rPr>
                <w:sz w:val="10"/>
                <w:szCs w:val="10"/>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39,977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38,012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118,404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112,085</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20" w:type="dxa"/>
            <w:vAlign w:val="bottom"/>
          </w:tcPr>
          <w:p>
            <w:pPr>
              <w:spacing w:after="0"/>
              <w:rPr>
                <w:sz w:val="10"/>
                <w:szCs w:val="10"/>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Interest expense:</w:t>
            </w:r>
          </w:p>
        </w:tc>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Short-term debt</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(154)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(362)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(462)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Long-term debt</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(32,639)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(30,600)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(96,702)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(90,057)</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3100" w:type="dxa"/>
            <w:vAlign w:val="bottom"/>
            <w:tcBorders>
              <w:bottom w:val="single" w:sz="8" w:color="5587A6"/>
            </w:tcBorders>
          </w:tcPr>
          <w:p>
            <w:pPr>
              <w:ind w:left="240"/>
              <w:spacing w:after="0"/>
              <w:rPr>
                <w:sz w:val="20"/>
                <w:szCs w:val="20"/>
                <w:color w:val="auto"/>
              </w:rPr>
            </w:pPr>
            <w:r>
              <w:rPr>
                <w:rFonts w:ascii="Arial" w:cs="Arial" w:eastAsia="Arial" w:hAnsi="Arial"/>
                <w:sz w:val="10"/>
                <w:szCs w:val="10"/>
                <w:color w:val="auto"/>
              </w:rPr>
              <w:t>Total interest expense</w:t>
            </w:r>
          </w:p>
        </w:tc>
        <w:tc>
          <w:tcPr>
            <w:tcW w:w="3480" w:type="dxa"/>
            <w:vAlign w:val="bottom"/>
            <w:tcBorders>
              <w:bottom w:val="single" w:sz="8" w:color="5587A6"/>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5587A6"/>
            </w:tcBorders>
          </w:tcPr>
          <w:p>
            <w:pPr>
              <w:spacing w:after="0"/>
              <w:rPr>
                <w:sz w:val="10"/>
                <w:szCs w:val="10"/>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(32,793)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(30,737)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(97,064)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(90,519)</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Net interest income</w:t>
            </w:r>
          </w:p>
        </w:tc>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7,184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7,275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21,340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21,566</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(Provision) benefit for credit losses</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(338)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(1,308)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507</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3100" w:type="dxa"/>
            <w:vAlign w:val="bottom"/>
          </w:tcPr>
          <w:p>
            <w:pPr>
              <w:ind w:left="240"/>
              <w:spacing w:after="0"/>
              <w:rPr>
                <w:sz w:val="20"/>
                <w:szCs w:val="20"/>
                <w:color w:val="auto"/>
              </w:rPr>
            </w:pPr>
            <w:r>
              <w:rPr>
                <w:rFonts w:ascii="Arial" w:cs="Arial" w:eastAsia="Arial" w:hAnsi="Arial"/>
                <w:sz w:val="10"/>
                <w:szCs w:val="10"/>
                <w:color w:val="auto"/>
              </w:rPr>
              <w:t>Net interest income after (provision) benefit for credit losses</w:t>
            </w:r>
          </w:p>
        </w:tc>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6,846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7,302</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20,032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22,073</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Fair value gains, net</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347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979</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Fee and other income</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123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66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206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Investment gains (losses), net</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3100" w:type="dxa"/>
            <w:vAlign w:val="bottom"/>
          </w:tcPr>
          <w:p>
            <w:pPr>
              <w:ind w:left="240"/>
              <w:spacing w:after="0"/>
              <w:rPr>
                <w:sz w:val="20"/>
                <w:szCs w:val="20"/>
                <w:color w:val="auto"/>
              </w:rPr>
            </w:pPr>
            <w:r>
              <w:rPr>
                <w:rFonts w:ascii="Arial" w:cs="Arial" w:eastAsia="Arial" w:hAnsi="Arial"/>
                <w:sz w:val="10"/>
                <w:szCs w:val="10"/>
                <w:color w:val="auto"/>
              </w:rPr>
              <w:t>Non-interest income</w:t>
            </w:r>
          </w:p>
        </w:tc>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135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631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1,157</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0" w:type="dxa"/>
            <w:vAlign w:val="bottom"/>
          </w:tcPr>
          <w:p>
            <w:pPr>
              <w:spacing w:after="0"/>
              <w:rPr>
                <w:sz w:val="11"/>
                <w:szCs w:val="11"/>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Non-interest expense:</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Salaries and employee benefits</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(475)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(1,578)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(1,507)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Professional services, technology, and occupancy</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(344)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(384)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(1,080)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(1,165)</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Legislative assessments</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(943)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(948)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(2,813)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(2,817)</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00" w:type="dxa"/>
            <w:vAlign w:val="bottom"/>
          </w:tcPr>
          <w:p>
            <w:pPr>
              <w:ind w:left="120"/>
              <w:spacing w:after="0"/>
              <w:rPr>
                <w:sz w:val="20"/>
                <w:szCs w:val="20"/>
                <w:color w:val="auto"/>
              </w:rPr>
            </w:pPr>
            <w:r>
              <w:rPr>
                <w:rFonts w:ascii="Arial" w:cs="Arial" w:eastAsia="Arial" w:hAnsi="Arial"/>
                <w:sz w:val="10"/>
                <w:szCs w:val="10"/>
                <w:color w:val="auto"/>
              </w:rPr>
              <w:t>Credit enhancement expense</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(409)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(411)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(1,288)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(1,235)</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120"/>
              <w:spacing w:after="0"/>
              <w:rPr>
                <w:sz w:val="20"/>
                <w:szCs w:val="20"/>
                <w:color w:val="auto"/>
              </w:rPr>
            </w:pPr>
            <w:r>
              <w:rPr>
                <w:rFonts w:ascii="Arial" w:cs="Arial" w:eastAsia="Arial" w:hAnsi="Arial"/>
                <w:sz w:val="10"/>
                <w:szCs w:val="10"/>
                <w:color w:val="auto"/>
              </w:rPr>
              <w:t>Other income (expense), net</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(136)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(416)</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3100" w:type="dxa"/>
            <w:vAlign w:val="bottom"/>
            <w:tcBorders>
              <w:bottom w:val="single" w:sz="8" w:color="5587A6"/>
            </w:tcBorders>
          </w:tcPr>
          <w:p>
            <w:pPr>
              <w:ind w:left="240"/>
              <w:spacing w:after="0"/>
              <w:rPr>
                <w:sz w:val="20"/>
                <w:szCs w:val="20"/>
                <w:color w:val="auto"/>
              </w:rPr>
            </w:pPr>
            <w:r>
              <w:rPr>
                <w:rFonts w:ascii="Arial" w:cs="Arial" w:eastAsia="Arial" w:hAnsi="Arial"/>
                <w:sz w:val="10"/>
                <w:szCs w:val="10"/>
                <w:color w:val="auto"/>
              </w:rPr>
              <w:t>Total non-interest expense</w:t>
            </w:r>
          </w:p>
        </w:tc>
        <w:tc>
          <w:tcPr>
            <w:tcW w:w="3480" w:type="dxa"/>
            <w:vAlign w:val="bottom"/>
            <w:tcBorders>
              <w:bottom w:val="single" w:sz="8" w:color="5587A6"/>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5587A6"/>
            </w:tcBorders>
          </w:tcPr>
          <w:p>
            <w:pPr>
              <w:spacing w:after="0"/>
              <w:rPr>
                <w:sz w:val="10"/>
                <w:szCs w:val="10"/>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(2,146)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(2,379)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(7,090)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spacing w:after="0"/>
              <w:rPr>
                <w:sz w:val="10"/>
                <w:szCs w:val="10"/>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(7,140)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Income before federal income taxes</w:t>
            </w:r>
          </w:p>
        </w:tc>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4,835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5,053</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13,573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16,090</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Provision for federal income taxes</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(976)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(1,009)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(2,736)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(3,242)</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3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3,859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4,044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10,837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12,848</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Other comprehensive income (loss)</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w:t>
            </w:r>
          </w:p>
        </w:tc>
        <w:tc>
          <w:tcPr>
            <w:tcW w:w="4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310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rPr>
              <w:t>Total comprehensive income</w:t>
            </w:r>
          </w:p>
        </w:tc>
        <w:tc>
          <w:tcPr>
            <w:tcW w:w="3480" w:type="dxa"/>
            <w:vAlign w:val="bottom"/>
            <w:tcBorders>
              <w:bottom w:val="single" w:sz="8" w:color="5587A6"/>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5587A6"/>
            </w:tcBorders>
          </w:tcPr>
          <w:p>
            <w:pPr>
              <w:ind w:left="20"/>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3,849</w:t>
            </w:r>
          </w:p>
        </w:tc>
        <w:tc>
          <w:tcPr>
            <w:tcW w:w="220" w:type="dxa"/>
            <w:vAlign w:val="bottom"/>
            <w:gridSpan w:val="3"/>
          </w:tcPr>
          <w:p>
            <w:pPr>
              <w:spacing w:after="0"/>
              <w:rPr>
                <w:sz w:val="10"/>
                <w:szCs w:val="10"/>
                <w:color w:val="auto"/>
              </w:rPr>
            </w:pPr>
          </w:p>
        </w:tc>
        <w:tc>
          <w:tcPr>
            <w:tcW w:w="180" w:type="dxa"/>
            <w:vAlign w:val="bottom"/>
            <w:tcBorders>
              <w:bottom w:val="single" w:sz="8" w:color="5587A6"/>
            </w:tcBorders>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4,047</w:t>
            </w:r>
          </w:p>
        </w:tc>
        <w:tc>
          <w:tcPr>
            <w:tcW w:w="220" w:type="dxa"/>
            <w:vAlign w:val="bottom"/>
            <w:gridSpan w:val="3"/>
          </w:tcPr>
          <w:p>
            <w:pPr>
              <w:spacing w:after="0"/>
              <w:rPr>
                <w:sz w:val="10"/>
                <w:szCs w:val="10"/>
                <w:color w:val="auto"/>
              </w:rPr>
            </w:pPr>
          </w:p>
        </w:tc>
        <w:tc>
          <w:tcPr>
            <w:tcW w:w="180" w:type="dxa"/>
            <w:vAlign w:val="bottom"/>
            <w:tcBorders>
              <w:bottom w:val="single" w:sz="8" w:color="5587A6"/>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10,828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5587A6"/>
            </w:tcBorders>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5587A6"/>
            </w:tcBorders>
          </w:tcPr>
          <w:p>
            <w:pPr>
              <w:jc w:val="right"/>
              <w:ind w:right="12"/>
              <w:spacing w:after="0"/>
              <w:rPr>
                <w:sz w:val="20"/>
                <w:szCs w:val="20"/>
                <w:color w:val="auto"/>
              </w:rPr>
            </w:pPr>
            <w:r>
              <w:rPr>
                <w:rFonts w:ascii="Arial" w:cs="Arial" w:eastAsia="Arial" w:hAnsi="Arial"/>
                <w:sz w:val="10"/>
                <w:szCs w:val="10"/>
                <w:color w:val="auto"/>
              </w:rPr>
              <w:t>12,848</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00" w:type="dxa"/>
            <w:vAlign w:val="bottom"/>
            <w:tcBorders>
              <w:bottom w:val="single" w:sz="8" w:color="5587A6"/>
            </w:tcBorders>
          </w:tcPr>
          <w:p>
            <w:pPr>
              <w:spacing w:after="0" w:line="20" w:lineRule="exact"/>
              <w:rPr>
                <w:sz w:val="1"/>
                <w:szCs w:val="1"/>
                <w:color w:val="auto"/>
              </w:rPr>
            </w:pPr>
          </w:p>
        </w:tc>
        <w:tc>
          <w:tcPr>
            <w:tcW w:w="3480" w:type="dxa"/>
            <w:vAlign w:val="bottom"/>
            <w:tcBorders>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5587A6"/>
            </w:tcBorders>
          </w:tcPr>
          <w:p>
            <w:pPr>
              <w:spacing w:after="0" w:line="20" w:lineRule="exact"/>
              <w:rPr>
                <w:sz w:val="1"/>
                <w:szCs w:val="1"/>
                <w:color w:val="auto"/>
              </w:rPr>
            </w:pPr>
          </w:p>
        </w:tc>
        <w:tc>
          <w:tcPr>
            <w:tcW w:w="62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5587A6"/>
            </w:tcBorders>
          </w:tcPr>
          <w:p>
            <w:pPr>
              <w:spacing w:after="0" w:line="20" w:lineRule="exact"/>
              <w:rPr>
                <w:sz w:val="1"/>
                <w:szCs w:val="1"/>
                <w:color w:val="auto"/>
              </w:rPr>
            </w:pPr>
          </w:p>
        </w:tc>
        <w:tc>
          <w:tcPr>
            <w:tcW w:w="640" w:type="dxa"/>
            <w:vAlign w:val="bottom"/>
            <w:tcBorders>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5587A6"/>
            </w:tcBorders>
          </w:tcPr>
          <w:p>
            <w:pPr>
              <w:spacing w:after="0" w:line="20" w:lineRule="exact"/>
              <w:rPr>
                <w:sz w:val="1"/>
                <w:szCs w:val="1"/>
                <w:color w:val="auto"/>
              </w:rPr>
            </w:pPr>
          </w:p>
        </w:tc>
        <w:tc>
          <w:tcPr>
            <w:tcW w:w="640" w:type="dxa"/>
            <w:vAlign w:val="bottom"/>
            <w:tcBorders>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5587A6"/>
            </w:tcBorders>
          </w:tcPr>
          <w:p>
            <w:pPr>
              <w:spacing w:after="0" w:line="20" w:lineRule="exact"/>
              <w:rPr>
                <w:sz w:val="1"/>
                <w:szCs w:val="1"/>
                <w:color w:val="auto"/>
              </w:rPr>
            </w:pPr>
          </w:p>
        </w:tc>
        <w:tc>
          <w:tcPr>
            <w:tcW w:w="640" w:type="dxa"/>
            <w:vAlign w:val="bottom"/>
            <w:tcBorders>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320" w:type="dxa"/>
            <w:vAlign w:val="bottom"/>
          </w:tcPr>
          <w:p>
            <w:pPr>
              <w:spacing w:after="0"/>
              <w:rPr>
                <w:sz w:val="9"/>
                <w:szCs w:val="9"/>
                <w:color w:val="auto"/>
              </w:rPr>
            </w:pPr>
          </w:p>
        </w:tc>
        <w:tc>
          <w:tcPr>
            <w:tcW w:w="3100" w:type="dxa"/>
            <w:vAlign w:val="bottom"/>
          </w:tcPr>
          <w:p>
            <w:pPr>
              <w:ind w:left="20"/>
              <w:spacing w:after="0" w:line="110" w:lineRule="exact"/>
              <w:rPr>
                <w:sz w:val="20"/>
                <w:szCs w:val="20"/>
                <w:color w:val="auto"/>
              </w:rPr>
            </w:pPr>
            <w:r>
              <w:rPr>
                <w:rFonts w:ascii="Arial" w:cs="Arial" w:eastAsia="Arial" w:hAnsi="Arial"/>
                <w:sz w:val="10"/>
                <w:szCs w:val="10"/>
                <w:color w:val="auto"/>
              </w:rPr>
              <w:t>Net income</w:t>
            </w:r>
          </w:p>
        </w:tc>
        <w:tc>
          <w:tcPr>
            <w:tcW w:w="3740" w:type="dxa"/>
            <w:vAlign w:val="bottom"/>
            <w:gridSpan w:val="3"/>
          </w:tcPr>
          <w:p>
            <w:pPr>
              <w:ind w:left="3560"/>
              <w:spacing w:after="0" w:line="110" w:lineRule="exact"/>
              <w:rPr>
                <w:sz w:val="20"/>
                <w:szCs w:val="20"/>
                <w:color w:val="auto"/>
              </w:rPr>
            </w:pPr>
            <w:r>
              <w:rPr>
                <w:rFonts w:ascii="Arial" w:cs="Arial" w:eastAsia="Arial" w:hAnsi="Arial"/>
                <w:sz w:val="10"/>
                <w:szCs w:val="10"/>
                <w:b w:val="1"/>
                <w:bCs w:val="1"/>
                <w:color w:val="auto"/>
              </w:rPr>
              <w:t>$</w:t>
            </w:r>
          </w:p>
        </w:tc>
        <w:tc>
          <w:tcPr>
            <w:tcW w:w="620" w:type="dxa"/>
            <w:vAlign w:val="bottom"/>
          </w:tcPr>
          <w:p>
            <w:pPr>
              <w:jc w:val="right"/>
              <w:spacing w:after="0" w:line="110" w:lineRule="exact"/>
              <w:rPr>
                <w:sz w:val="20"/>
                <w:szCs w:val="20"/>
                <w:color w:val="auto"/>
              </w:rPr>
            </w:pPr>
            <w:r>
              <w:rPr>
                <w:rFonts w:ascii="Arial" w:cs="Arial" w:eastAsia="Arial" w:hAnsi="Arial"/>
                <w:sz w:val="10"/>
                <w:szCs w:val="10"/>
                <w:b w:val="1"/>
                <w:bCs w:val="1"/>
                <w:color w:val="auto"/>
              </w:rPr>
              <w:t>3,859</w:t>
            </w:r>
          </w:p>
        </w:tc>
        <w:tc>
          <w:tcPr>
            <w:tcW w:w="400" w:type="dxa"/>
            <w:vAlign w:val="bottom"/>
            <w:gridSpan w:val="4"/>
          </w:tcPr>
          <w:p>
            <w:pPr>
              <w:jc w:val="right"/>
              <w:ind w:right="72"/>
              <w:spacing w:after="0" w:line="110"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0" w:lineRule="exact"/>
              <w:rPr>
                <w:sz w:val="20"/>
                <w:szCs w:val="20"/>
                <w:color w:val="auto"/>
              </w:rPr>
            </w:pPr>
            <w:r>
              <w:rPr>
                <w:rFonts w:ascii="Arial" w:cs="Arial" w:eastAsia="Arial" w:hAnsi="Arial"/>
                <w:sz w:val="10"/>
                <w:szCs w:val="10"/>
                <w:color w:val="auto"/>
              </w:rPr>
              <w:t>4,044</w:t>
            </w:r>
          </w:p>
        </w:tc>
        <w:tc>
          <w:tcPr>
            <w:tcW w:w="400" w:type="dxa"/>
            <w:vAlign w:val="bottom"/>
            <w:gridSpan w:val="4"/>
          </w:tcPr>
          <w:p>
            <w:pPr>
              <w:jc w:val="right"/>
              <w:ind w:right="72"/>
              <w:spacing w:after="0" w:line="110" w:lineRule="exact"/>
              <w:rPr>
                <w:sz w:val="20"/>
                <w:szCs w:val="20"/>
                <w:color w:val="auto"/>
              </w:rPr>
            </w:pPr>
            <w:r>
              <w:rPr>
                <w:rFonts w:ascii="Arial" w:cs="Arial" w:eastAsia="Arial" w:hAnsi="Arial"/>
                <w:sz w:val="10"/>
                <w:szCs w:val="10"/>
                <w:b w:val="1"/>
                <w:bCs w:val="1"/>
                <w:color w:val="auto"/>
              </w:rPr>
              <w:t>$</w:t>
            </w:r>
          </w:p>
        </w:tc>
        <w:tc>
          <w:tcPr>
            <w:tcW w:w="640" w:type="dxa"/>
            <w:vAlign w:val="bottom"/>
          </w:tcPr>
          <w:p>
            <w:pPr>
              <w:jc w:val="right"/>
              <w:spacing w:after="0" w:line="110" w:lineRule="exact"/>
              <w:rPr>
                <w:sz w:val="20"/>
                <w:szCs w:val="20"/>
                <w:color w:val="auto"/>
              </w:rPr>
            </w:pPr>
            <w:r>
              <w:rPr>
                <w:rFonts w:ascii="Arial" w:cs="Arial" w:eastAsia="Arial" w:hAnsi="Arial"/>
                <w:sz w:val="10"/>
                <w:szCs w:val="10"/>
                <w:b w:val="1"/>
                <w:bCs w:val="1"/>
                <w:color w:val="auto"/>
              </w:rPr>
              <w:t>10,837</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jc w:val="right"/>
              <w:ind w:right="72"/>
              <w:spacing w:after="0" w:line="110" w:lineRule="exact"/>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line="110" w:lineRule="exact"/>
              <w:rPr>
                <w:sz w:val="20"/>
                <w:szCs w:val="20"/>
                <w:color w:val="auto"/>
              </w:rPr>
            </w:pPr>
            <w:r>
              <w:rPr>
                <w:rFonts w:ascii="Arial" w:cs="Arial" w:eastAsia="Arial" w:hAnsi="Arial"/>
                <w:sz w:val="10"/>
                <w:szCs w:val="10"/>
                <w:color w:val="auto"/>
              </w:rPr>
              <w:t>12,848</w:t>
            </w: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3100" w:type="dxa"/>
            <w:vAlign w:val="bottom"/>
            <w:tcBorders>
              <w:bottom w:val="single" w:sz="8" w:color="5587A6"/>
            </w:tcBorders>
          </w:tcPr>
          <w:p>
            <w:pPr>
              <w:ind w:left="20"/>
              <w:spacing w:after="0"/>
              <w:rPr>
                <w:sz w:val="20"/>
                <w:szCs w:val="20"/>
                <w:color w:val="auto"/>
              </w:rPr>
            </w:pPr>
            <w:r>
              <w:rPr>
                <w:rFonts w:ascii="Arial" w:cs="Arial" w:eastAsia="Arial" w:hAnsi="Arial"/>
                <w:sz w:val="10"/>
                <w:szCs w:val="10"/>
                <w:color w:val="auto"/>
                <w:w w:val="99"/>
              </w:rPr>
              <w:t>Dividends distributed or amounts attributable to senior preferred stock</w:t>
            </w:r>
          </w:p>
        </w:tc>
        <w:tc>
          <w:tcPr>
            <w:tcW w:w="3480" w:type="dxa"/>
            <w:vAlign w:val="bottom"/>
            <w:tcBorders>
              <w:bottom w:val="single" w:sz="8" w:color="5587A6"/>
            </w:tcBorders>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bottom w:val="single" w:sz="8" w:color="5587A6"/>
            </w:tcBorders>
          </w:tcPr>
          <w:p>
            <w:pPr>
              <w:spacing w:after="0"/>
              <w:rPr>
                <w:sz w:val="11"/>
                <w:szCs w:val="11"/>
                <w:color w:val="auto"/>
              </w:rPr>
            </w:pPr>
          </w:p>
        </w:tc>
        <w:tc>
          <w:tcPr>
            <w:tcW w:w="62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(3,849)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(4,047)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b w:val="1"/>
                <w:bCs w:val="1"/>
                <w:color w:val="auto"/>
              </w:rPr>
              <w:t>(10,828)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5587A6"/>
            </w:tcBorders>
          </w:tcPr>
          <w:p>
            <w:pPr>
              <w:spacing w:after="0"/>
              <w:rPr>
                <w:sz w:val="11"/>
                <w:szCs w:val="11"/>
                <w:color w:val="auto"/>
              </w:rPr>
            </w:pPr>
          </w:p>
        </w:tc>
        <w:tc>
          <w:tcPr>
            <w:tcW w:w="640" w:type="dxa"/>
            <w:vAlign w:val="bottom"/>
            <w:tcBorders>
              <w:bottom w:val="single" w:sz="8" w:color="5587A6"/>
            </w:tcBorders>
          </w:tcPr>
          <w:p>
            <w:pPr>
              <w:jc w:val="right"/>
              <w:spacing w:after="0"/>
              <w:rPr>
                <w:sz w:val="20"/>
                <w:szCs w:val="20"/>
                <w:color w:val="auto"/>
              </w:rPr>
            </w:pPr>
            <w:r>
              <w:rPr>
                <w:rFonts w:ascii="Arial" w:cs="Arial" w:eastAsia="Arial" w:hAnsi="Arial"/>
                <w:sz w:val="10"/>
                <w:szCs w:val="10"/>
                <w:color w:val="auto"/>
              </w:rPr>
              <w:t>(12,848)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20" w:type="dxa"/>
            <w:vAlign w:val="bottom"/>
          </w:tcPr>
          <w:p>
            <w:pPr>
              <w:spacing w:after="0"/>
              <w:rPr>
                <w:sz w:val="10"/>
                <w:szCs w:val="10"/>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Net income (loss) attributable to common stockholders</w:t>
            </w:r>
          </w:p>
        </w:tc>
        <w:tc>
          <w:tcPr>
            <w:tcW w:w="3740" w:type="dxa"/>
            <w:vAlign w:val="bottom"/>
            <w:gridSpan w:val="3"/>
          </w:tcPr>
          <w:p>
            <w:pPr>
              <w:ind w:left="3560"/>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10</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9</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040" w:type="dxa"/>
            <w:vAlign w:val="bottom"/>
            <w:gridSpan w:val="3"/>
          </w:tcPr>
          <w:p>
            <w:pPr>
              <w:jc w:val="right"/>
              <w:ind w:right="46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00" w:type="dxa"/>
            <w:vAlign w:val="bottom"/>
            <w:tcBorders>
              <w:top w:val="single" w:sz="8" w:color="5587A6"/>
              <w:bottom w:val="single" w:sz="8" w:color="5587A6"/>
            </w:tcBorders>
          </w:tcPr>
          <w:p>
            <w:pPr>
              <w:spacing w:after="0" w:line="20" w:lineRule="exact"/>
              <w:rPr>
                <w:sz w:val="1"/>
                <w:szCs w:val="1"/>
                <w:color w:val="auto"/>
              </w:rPr>
            </w:pPr>
          </w:p>
        </w:tc>
        <w:tc>
          <w:tcPr>
            <w:tcW w:w="348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5587A6"/>
              <w:bottom w:val="single" w:sz="8" w:color="5587A6"/>
            </w:tcBorders>
          </w:tcPr>
          <w:p>
            <w:pPr>
              <w:spacing w:after="0" w:line="20" w:lineRule="exact"/>
              <w:rPr>
                <w:sz w:val="1"/>
                <w:szCs w:val="1"/>
                <w:color w:val="auto"/>
              </w:rPr>
            </w:pPr>
          </w:p>
        </w:tc>
        <w:tc>
          <w:tcPr>
            <w:tcW w:w="62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40" w:type="dxa"/>
            <w:vAlign w:val="bottom"/>
            <w:tcBorders>
              <w:top w:val="single" w:sz="8" w:color="5587A6"/>
              <w:bottom w:val="single" w:sz="8" w:color="5587A6"/>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4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5587A6"/>
              <w:bottom w:val="single" w:sz="8" w:color="5587A6"/>
            </w:tcBorders>
          </w:tcPr>
          <w:p>
            <w:pPr>
              <w:spacing w:after="0" w:line="20" w:lineRule="exact"/>
              <w:rPr>
                <w:sz w:val="1"/>
                <w:szCs w:val="1"/>
                <w:color w:val="auto"/>
              </w:rPr>
            </w:pPr>
          </w:p>
        </w:tc>
        <w:tc>
          <w:tcPr>
            <w:tcW w:w="640" w:type="dxa"/>
            <w:vAlign w:val="bottom"/>
            <w:tcBorders>
              <w:top w:val="single" w:sz="8" w:color="5587A6"/>
              <w:bottom w:val="single" w:sz="8" w:color="5587A6"/>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20" w:type="dxa"/>
            <w:vAlign w:val="bottom"/>
          </w:tcPr>
          <w:p>
            <w:pPr>
              <w:spacing w:after="0"/>
              <w:rPr>
                <w:sz w:val="9"/>
                <w:szCs w:val="9"/>
                <w:color w:val="auto"/>
              </w:rPr>
            </w:pPr>
          </w:p>
        </w:tc>
        <w:tc>
          <w:tcPr>
            <w:tcW w:w="3100" w:type="dxa"/>
            <w:vAlign w:val="bottom"/>
          </w:tcPr>
          <w:p>
            <w:pPr>
              <w:ind w:left="20"/>
              <w:spacing w:after="0" w:line="106" w:lineRule="exact"/>
              <w:rPr>
                <w:sz w:val="20"/>
                <w:szCs w:val="20"/>
                <w:color w:val="auto"/>
              </w:rPr>
            </w:pPr>
            <w:r>
              <w:rPr>
                <w:rFonts w:ascii="Arial" w:cs="Arial" w:eastAsia="Arial" w:hAnsi="Arial"/>
                <w:sz w:val="10"/>
                <w:szCs w:val="10"/>
                <w:color w:val="auto"/>
              </w:rPr>
              <w:t>Earnings per share:</w:t>
            </w:r>
          </w:p>
        </w:tc>
        <w:tc>
          <w:tcPr>
            <w:tcW w:w="3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3100" w:type="dxa"/>
            <w:vAlign w:val="bottom"/>
          </w:tcPr>
          <w:p>
            <w:pPr>
              <w:ind w:left="160"/>
              <w:spacing w:after="0"/>
              <w:rPr>
                <w:sz w:val="20"/>
                <w:szCs w:val="20"/>
                <w:color w:val="auto"/>
              </w:rPr>
            </w:pPr>
            <w:r>
              <w:rPr>
                <w:rFonts w:ascii="Arial" w:cs="Arial" w:eastAsia="Arial" w:hAnsi="Arial"/>
                <w:sz w:val="10"/>
                <w:szCs w:val="10"/>
                <w:color w:val="auto"/>
              </w:rPr>
              <w:t>Basic</w:t>
            </w:r>
          </w:p>
        </w:tc>
        <w:tc>
          <w:tcPr>
            <w:tcW w:w="3740" w:type="dxa"/>
            <w:vAlign w:val="bottom"/>
            <w:gridSpan w:val="3"/>
          </w:tcPr>
          <w:p>
            <w:pPr>
              <w:ind w:left="3560"/>
              <w:spacing w:after="0"/>
              <w:rPr>
                <w:sz w:val="20"/>
                <w:szCs w:val="20"/>
                <w:color w:val="auto"/>
              </w:rPr>
            </w:pPr>
            <w:r>
              <w:rPr>
                <w:rFonts w:ascii="Arial" w:cs="Arial" w:eastAsia="Arial" w:hAnsi="Arial"/>
                <w:sz w:val="10"/>
                <w:szCs w:val="10"/>
                <w:b w:val="1"/>
                <w:bCs w:val="1"/>
                <w:color w:val="auto"/>
              </w:rPr>
              <w:t>$</w:t>
            </w: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0.00</w:t>
            </w:r>
          </w:p>
        </w:tc>
        <w:tc>
          <w:tcPr>
            <w:tcW w:w="400" w:type="dxa"/>
            <w:vAlign w:val="bottom"/>
            <w:gridSpan w:val="4"/>
          </w:tcPr>
          <w:p>
            <w:pPr>
              <w:jc w:val="right"/>
              <w:ind w:right="72"/>
              <w:spacing w:after="0"/>
              <w:rPr>
                <w:sz w:val="20"/>
                <w:szCs w:val="20"/>
                <w:color w:val="auto"/>
              </w:rPr>
            </w:pPr>
            <w:r>
              <w:rPr>
                <w:rFonts w:ascii="Arial" w:cs="Arial" w:eastAsia="Arial" w:hAnsi="Arial"/>
                <w:sz w:val="10"/>
                <w:szCs w:val="10"/>
                <w:b w:val="1"/>
                <w:bCs w:val="1"/>
                <w:color w:val="auto"/>
              </w:rPr>
              <w:t>$</w:t>
            </w: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0.00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00" w:type="dxa"/>
            <w:vAlign w:val="bottom"/>
          </w:tcPr>
          <w:p>
            <w:pPr>
              <w:ind w:left="160"/>
              <w:spacing w:after="0"/>
              <w:rPr>
                <w:sz w:val="20"/>
                <w:szCs w:val="20"/>
                <w:color w:val="auto"/>
              </w:rPr>
            </w:pPr>
            <w:r>
              <w:rPr>
                <w:rFonts w:ascii="Arial" w:cs="Arial" w:eastAsia="Arial" w:hAnsi="Arial"/>
                <w:sz w:val="10"/>
                <w:szCs w:val="10"/>
                <w:color w:val="auto"/>
              </w:rPr>
              <w:t>Diluted</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0.00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0.00</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 w:type="dxa"/>
            <w:vAlign w:val="bottom"/>
          </w:tcPr>
          <w:p>
            <w:pPr>
              <w:spacing w:after="0"/>
              <w:rPr>
                <w:sz w:val="11"/>
                <w:szCs w:val="11"/>
                <w:color w:val="auto"/>
              </w:rPr>
            </w:pPr>
          </w:p>
        </w:tc>
        <w:tc>
          <w:tcPr>
            <w:tcW w:w="3100" w:type="dxa"/>
            <w:vAlign w:val="bottom"/>
          </w:tcPr>
          <w:p>
            <w:pPr>
              <w:ind w:left="20"/>
              <w:spacing w:after="0"/>
              <w:rPr>
                <w:sz w:val="20"/>
                <w:szCs w:val="20"/>
                <w:color w:val="auto"/>
              </w:rPr>
            </w:pPr>
            <w:r>
              <w:rPr>
                <w:rFonts w:ascii="Arial" w:cs="Arial" w:eastAsia="Arial" w:hAnsi="Arial"/>
                <w:sz w:val="10"/>
                <w:szCs w:val="10"/>
                <w:color w:val="auto"/>
              </w:rPr>
              <w:t>Weighted-average common shares outstanding:</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 w:type="dxa"/>
            <w:vAlign w:val="bottom"/>
          </w:tcPr>
          <w:p>
            <w:pPr>
              <w:spacing w:after="0"/>
              <w:rPr>
                <w:sz w:val="12"/>
                <w:szCs w:val="12"/>
                <w:color w:val="auto"/>
              </w:rPr>
            </w:pPr>
          </w:p>
        </w:tc>
        <w:tc>
          <w:tcPr>
            <w:tcW w:w="3100" w:type="dxa"/>
            <w:vAlign w:val="bottom"/>
          </w:tcPr>
          <w:p>
            <w:pPr>
              <w:ind w:left="160"/>
              <w:spacing w:after="0"/>
              <w:rPr>
                <w:sz w:val="20"/>
                <w:szCs w:val="20"/>
                <w:color w:val="auto"/>
              </w:rPr>
            </w:pPr>
            <w:r>
              <w:rPr>
                <w:rFonts w:ascii="Arial" w:cs="Arial" w:eastAsia="Arial" w:hAnsi="Arial"/>
                <w:sz w:val="10"/>
                <w:szCs w:val="10"/>
                <w:color w:val="auto"/>
              </w:rPr>
              <w:t>Basic</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5,867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5,867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5,867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5,867</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100" w:type="dxa"/>
            <w:vAlign w:val="bottom"/>
          </w:tcPr>
          <w:p>
            <w:pPr>
              <w:ind w:left="160"/>
              <w:spacing w:after="0"/>
              <w:rPr>
                <w:sz w:val="20"/>
                <w:szCs w:val="20"/>
                <w:color w:val="auto"/>
              </w:rPr>
            </w:pPr>
            <w:r>
              <w:rPr>
                <w:rFonts w:ascii="Arial" w:cs="Arial" w:eastAsia="Arial" w:hAnsi="Arial"/>
                <w:sz w:val="10"/>
                <w:szCs w:val="10"/>
                <w:color w:val="auto"/>
              </w:rPr>
              <w:t>Diluted</w:t>
            </w:r>
          </w:p>
        </w:tc>
        <w:tc>
          <w:tcPr>
            <w:tcW w:w="3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5,893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5,867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b w:val="1"/>
                <w:bCs w:val="1"/>
                <w:color w:val="auto"/>
              </w:rPr>
              <w:t>5,893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12"/>
              <w:spacing w:after="0"/>
              <w:rPr>
                <w:sz w:val="20"/>
                <w:szCs w:val="20"/>
                <w:color w:val="auto"/>
              </w:rPr>
            </w:pPr>
            <w:r>
              <w:rPr>
                <w:rFonts w:ascii="Arial" w:cs="Arial" w:eastAsia="Arial" w:hAnsi="Arial"/>
                <w:sz w:val="10"/>
                <w:szCs w:val="10"/>
                <w:color w:val="auto"/>
              </w:rPr>
              <w:t>5,893</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6"/>
        </w:trPr>
        <w:tc>
          <w:tcPr>
            <w:tcW w:w="320" w:type="dxa"/>
            <w:vAlign w:val="bottom"/>
            <w:tcBorders>
              <w:bottom w:val="single" w:sz="8" w:color="05314D"/>
            </w:tcBorders>
          </w:tcPr>
          <w:p>
            <w:pPr>
              <w:spacing w:after="0"/>
              <w:rPr>
                <w:sz w:val="24"/>
                <w:szCs w:val="24"/>
                <w:color w:val="auto"/>
              </w:rPr>
            </w:pPr>
          </w:p>
        </w:tc>
        <w:tc>
          <w:tcPr>
            <w:tcW w:w="3100" w:type="dxa"/>
            <w:vAlign w:val="bottom"/>
            <w:tcBorders>
              <w:bottom w:val="single" w:sz="8" w:color="05314D"/>
            </w:tcBorders>
          </w:tcPr>
          <w:p>
            <w:pPr>
              <w:spacing w:after="0"/>
              <w:rPr>
                <w:sz w:val="24"/>
                <w:szCs w:val="24"/>
                <w:color w:val="auto"/>
              </w:rPr>
            </w:pPr>
          </w:p>
        </w:tc>
        <w:tc>
          <w:tcPr>
            <w:tcW w:w="4360" w:type="dxa"/>
            <w:vAlign w:val="bottom"/>
            <w:tcBorders>
              <w:bottom w:val="single" w:sz="8" w:color="05314D"/>
            </w:tcBorders>
            <w:gridSpan w:val="4"/>
          </w:tcPr>
          <w:p>
            <w:pPr>
              <w:jc w:val="right"/>
              <w:ind w:right="12"/>
              <w:spacing w:after="0"/>
              <w:rPr>
                <w:sz w:val="20"/>
                <w:szCs w:val="20"/>
                <w:color w:val="auto"/>
              </w:rPr>
            </w:pPr>
            <w:r>
              <w:rPr>
                <w:rFonts w:ascii="Arial" w:cs="Arial" w:eastAsia="Arial" w:hAnsi="Arial"/>
                <w:sz w:val="10"/>
                <w:szCs w:val="10"/>
                <w:color w:val="auto"/>
                <w:w w:val="98"/>
              </w:rPr>
              <w:t>See Notes to Condensed Consolidated Financial Statements in the Third Quarter 2025 Form 10-Q</w:t>
            </w:r>
          </w:p>
        </w:tc>
        <w:tc>
          <w:tcPr>
            <w:tcW w:w="8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80" w:type="dxa"/>
            <w:vAlign w:val="bottom"/>
            <w:tcBorders>
              <w:bottom w:val="single" w:sz="8" w:color="05314D"/>
            </w:tcBorders>
          </w:tcPr>
          <w:p>
            <w:pPr>
              <w:spacing w:after="0"/>
              <w:rPr>
                <w:sz w:val="24"/>
                <w:szCs w:val="24"/>
                <w:color w:val="auto"/>
              </w:rPr>
            </w:pPr>
          </w:p>
        </w:tc>
        <w:tc>
          <w:tcPr>
            <w:tcW w:w="64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80" w:type="dxa"/>
            <w:vAlign w:val="bottom"/>
            <w:tcBorders>
              <w:bottom w:val="single" w:sz="8" w:color="05314D"/>
            </w:tcBorders>
          </w:tcPr>
          <w:p>
            <w:pPr>
              <w:spacing w:after="0"/>
              <w:rPr>
                <w:sz w:val="24"/>
                <w:szCs w:val="24"/>
                <w:color w:val="auto"/>
              </w:rPr>
            </w:pPr>
          </w:p>
        </w:tc>
        <w:tc>
          <w:tcPr>
            <w:tcW w:w="64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80" w:type="dxa"/>
            <w:vAlign w:val="bottom"/>
            <w:tcBorders>
              <w:bottom w:val="single" w:sz="8" w:color="05314D"/>
            </w:tcBorders>
          </w:tcPr>
          <w:p>
            <w:pPr>
              <w:spacing w:after="0"/>
              <w:rPr>
                <w:sz w:val="24"/>
                <w:szCs w:val="24"/>
                <w:color w:val="auto"/>
              </w:rPr>
            </w:pPr>
          </w:p>
        </w:tc>
        <w:tc>
          <w:tcPr>
            <w:tcW w:w="180" w:type="dxa"/>
            <w:vAlign w:val="bottom"/>
            <w:tcBorders>
              <w:bottom w:val="single" w:sz="8" w:color="05314D"/>
            </w:tcBorders>
          </w:tcPr>
          <w:p>
            <w:pPr>
              <w:spacing w:after="0"/>
              <w:rPr>
                <w:sz w:val="24"/>
                <w:szCs w:val="24"/>
                <w:color w:val="auto"/>
              </w:rPr>
            </w:pPr>
          </w:p>
        </w:tc>
        <w:tc>
          <w:tcPr>
            <w:tcW w:w="640" w:type="dxa"/>
            <w:vAlign w:val="bottom"/>
            <w:tcBorders>
              <w:bottom w:val="single" w:sz="8" w:color="05314D"/>
            </w:tcBorders>
          </w:tcPr>
          <w:p>
            <w:pPr>
              <w:spacing w:after="0"/>
              <w:rPr>
                <w:sz w:val="24"/>
                <w:szCs w:val="24"/>
                <w:color w:val="auto"/>
              </w:rPr>
            </w:pPr>
          </w:p>
        </w:tc>
        <w:tc>
          <w:tcPr>
            <w:tcW w:w="60" w:type="dxa"/>
            <w:vAlign w:val="bottom"/>
            <w:tcBorders>
              <w:bottom w:val="single" w:sz="8" w:color="05314D"/>
            </w:tcBorders>
          </w:tcPr>
          <w:p>
            <w:pPr>
              <w:spacing w:after="0"/>
              <w:rPr>
                <w:sz w:val="24"/>
                <w:szCs w:val="24"/>
                <w:color w:val="auto"/>
              </w:rPr>
            </w:pPr>
          </w:p>
        </w:tc>
        <w:tc>
          <w:tcPr>
            <w:tcW w:w="340" w:type="dxa"/>
            <w:vAlign w:val="bottom"/>
            <w:tcBorders>
              <w:bottom w:val="single" w:sz="8" w:color="05314D"/>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3420" w:type="dxa"/>
            <w:vAlign w:val="bottom"/>
            <w:gridSpan w:val="2"/>
          </w:tcPr>
          <w:p>
            <w:pPr>
              <w:spacing w:after="0"/>
              <w:rPr>
                <w:sz w:val="20"/>
                <w:szCs w:val="20"/>
                <w:color w:val="auto"/>
              </w:rPr>
            </w:pPr>
            <w:r>
              <w:rPr>
                <w:rFonts w:ascii="Arial" w:cs="Arial" w:eastAsia="Arial" w:hAnsi="Arial"/>
                <w:sz w:val="11"/>
                <w:szCs w:val="11"/>
                <w:color w:val="auto"/>
              </w:rPr>
              <w:t>Third Quarter 2025</w:t>
            </w:r>
          </w:p>
        </w:tc>
        <w:tc>
          <w:tcPr>
            <w:tcW w:w="3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bl>
    <w:p>
      <w:pPr>
        <w:sectPr>
          <w:pgSz w:w="11900" w:h="16838" w:orient="portrait"/>
          <w:cols w:equalWidth="0" w:num="1">
            <w:col w:w="11300"/>
          </w:cols>
          <w:pgMar w:left="300" w:top="1030" w:right="299"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2025-10-29T06:34:03Z</dcterms:created>
  <dcterms:modified xsi:type="dcterms:W3CDTF">2025-10-29T06:34:03Z</dcterms:modified>
</cp:coreProperties>
</file>