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10, 2023</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5"/>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4"/>
        </w:trPr>
        <w:tc>
          <w:tcPr>
            <w:tcW w:w="3420" w:type="dxa"/>
            <w:vAlign w:val="bottom"/>
          </w:tcPr>
          <w:p>
            <w:pPr>
              <w:jc w:val="center"/>
              <w:ind w:left="105"/>
              <w:spacing w:after="0" w:line="145"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5"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5"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5"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5" w:lineRule="exact"/>
              <w:rPr>
                <w:sz w:val="20"/>
                <w:szCs w:val="20"/>
                <w:color w:val="auto"/>
              </w:rPr>
            </w:pPr>
            <w:r>
              <w:rPr>
                <w:rFonts w:ascii="Arial" w:cs="Arial" w:eastAsia="Arial" w:hAnsi="Arial"/>
                <w:sz w:val="14"/>
                <w:szCs w:val="14"/>
                <w:i w:val="1"/>
                <w:iCs w:val="1"/>
                <w:color w:val="auto"/>
              </w:rPr>
              <w:t>(Registrant’s telephone number,</w:t>
            </w:r>
          </w:p>
        </w:tc>
      </w:tr>
      <w:tr>
        <w:trPr>
          <w:trHeight w:val="188"/>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49" w:lineRule="exact"/>
        <w:rPr>
          <w:sz w:val="24"/>
          <w:szCs w:val="24"/>
          <w:color w:val="auto"/>
        </w:rPr>
      </w:pPr>
    </w:p>
    <w:p>
      <w:pPr>
        <w:ind w:right="300"/>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7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7"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08"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Fannie Mae announced on October 10, 2023 that it has commenced fixed-price cash tender offers (each, an “Offer” and, collectively, the “Offers”) for the purchase of certain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The Offers are being conducted upon the terms and subject to the conditions set forth in an offer to purchase and related notice of guaranteed delivery, each dated as of October 10, 2023. The Offers will expire at 5:00 p.m. New York City time on Monday, October 16, 2023 unless extended or earlier terminated.</w:t>
      </w:r>
    </w:p>
    <w:p>
      <w:pPr>
        <w:spacing w:after="0" w:line="7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1"/>
        </w:trPr>
        <w:tc>
          <w:tcPr>
            <w:tcW w:w="1780" w:type="dxa"/>
            <w:vAlign w:val="bottom"/>
          </w:tcPr>
          <w:p>
            <w:pPr>
              <w:ind w:left="80"/>
              <w:spacing w:after="0" w:line="191" w:lineRule="exact"/>
              <w:rPr>
                <w:sz w:val="20"/>
                <w:szCs w:val="20"/>
                <w:color w:val="auto"/>
              </w:rPr>
            </w:pPr>
            <w:r>
              <w:rPr>
                <w:rFonts w:ascii="Arial" w:cs="Arial" w:eastAsia="Arial" w:hAnsi="Arial"/>
                <w:sz w:val="18"/>
                <w:szCs w:val="18"/>
                <w:color w:val="auto"/>
              </w:rPr>
              <w:t>99.1</w:t>
            </w:r>
          </w:p>
        </w:tc>
        <w:tc>
          <w:tcPr>
            <w:tcW w:w="3100" w:type="dxa"/>
            <w:vAlign w:val="bottom"/>
            <w:tcBorders>
              <w:bottom w:val="single" w:sz="8" w:color="0000FF"/>
            </w:tcBorders>
          </w:tcPr>
          <w:p>
            <w:pPr>
              <w:spacing w:after="0" w:line="191" w:lineRule="exact"/>
              <w:rPr>
                <w:sz w:val="20"/>
                <w:szCs w:val="20"/>
                <w:color w:val="auto"/>
              </w:rPr>
            </w:pPr>
            <w:r>
              <w:rPr>
                <w:rFonts w:ascii="Arial" w:cs="Arial" w:eastAsia="Arial" w:hAnsi="Arial"/>
                <w:sz w:val="18"/>
                <w:szCs w:val="18"/>
                <w:color w:val="0000FF"/>
                <w:w w:val="99"/>
              </w:rPr>
              <w:t>Press release, dated October 10, 2023</w:t>
            </w:r>
          </w:p>
        </w:tc>
        <w:tc>
          <w:tcPr>
            <w:tcW w:w="6360" w:type="dxa"/>
            <w:vAlign w:val="bottom"/>
          </w:tcPr>
          <w:p>
            <w:pPr>
              <w:spacing w:after="0"/>
              <w:rPr>
                <w:sz w:val="16"/>
                <w:szCs w:val="16"/>
                <w:color w:val="auto"/>
              </w:rPr>
            </w:pPr>
          </w:p>
        </w:tc>
      </w:tr>
      <w:tr>
        <w:trPr>
          <w:trHeight w:val="250"/>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03"/>
        </w:trPr>
        <w:tc>
          <w:tcPr>
            <w:tcW w:w="17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82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702"/>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Wells M. Engledow</w:t>
            </w:r>
          </w:p>
        </w:tc>
      </w:tr>
      <w:tr>
        <w:trPr>
          <w:trHeight w:val="223"/>
        </w:trPr>
        <w:tc>
          <w:tcPr>
            <w:tcW w:w="2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Wells M. Engledow</w:t>
            </w:r>
          </w:p>
        </w:tc>
      </w:tr>
      <w:tr>
        <w:trPr>
          <w:trHeight w:val="230"/>
        </w:trPr>
        <w:tc>
          <w:tcPr>
            <w:tcW w:w="2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Counsel—Senior Vice President</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2023</w:t>
      </w:r>
    </w:p>
    <w:p>
      <w:pPr>
        <w:sectPr>
          <w:pgSz w:w="11900" w:h="16838" w:orient="portrait"/>
          <w:cols w:equalWidth="0" w:num="1">
            <w:col w:w="11120"/>
          </w:cols>
          <w:pgMar w:left="320" w:top="1129" w:right="459" w:bottom="1440" w:gutter="0" w:footer="0" w:header="0"/>
        </w:sectPr>
      </w:pPr>
    </w:p>
    <w:bookmarkStart w:id="3" w:name="page4"/>
    <w:bookmarkEnd w:id="3"/>
    <w:p>
      <w:pPr>
        <w:spacing w:after="0" w:line="3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33" w:lineRule="exact"/>
        <w:rPr>
          <w:sz w:val="20"/>
          <w:szCs w:val="20"/>
          <w:color w:val="auto"/>
        </w:rPr>
      </w:pPr>
    </w:p>
    <w:p>
      <w:pPr>
        <w:ind w:right="860"/>
        <w:spacing w:after="0" w:line="302" w:lineRule="auto"/>
        <w:rPr>
          <w:sz w:val="20"/>
          <w:szCs w:val="20"/>
          <w:color w:val="auto"/>
        </w:rPr>
      </w:pPr>
      <w:r>
        <w:rPr>
          <w:rFonts w:ascii="Arial" w:cs="Arial" w:eastAsia="Arial" w:hAnsi="Arial"/>
          <w:sz w:val="32"/>
          <w:szCs w:val="32"/>
          <w:b w:val="1"/>
          <w:bCs w:val="1"/>
          <w:color w:val="000F2B"/>
        </w:rPr>
        <w:t>Fannie Mae Announces Tender Offer for Any and All of Certain CAS Notes</w:t>
      </w:r>
    </w:p>
    <w:p>
      <w:pPr>
        <w:spacing w:after="0" w:line="69"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WASHINGTON, DC – October 10, 2023 – Fannie Mae (FNMA/OTCQB) today announced that it has commenced fixed-price cash tender offers (each, an “Offer” and, collectively, the “Offers”) for the purchase of any and all of the Connecticut Avenue Securities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(CAS) Notes listed below (the “Notes”), upon the terms and subject to the conditions set forth in the Offer to Purchase and related Notice of Guaranteed Delivery, each dated as of October 10, 2023 (collectively, the “Offer Documents”). The Offers will expire at 5:00 PM New York City time on Monday, October 16, 2023 (the “Expiration Time”) unless extended or earlier terminated. Notes tendered may be withdrawn at any time at or before the Expiration Time by following the procedures described in the Offer Documents.</w:t>
      </w:r>
    </w:p>
    <w:p>
      <w:pPr>
        <w:spacing w:after="0" w:line="218"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Fannie Mae has engaged BofA Securities as the designated lead dealer manager and Wells Fargo Securities as the designated dealer manager for the Offers. Fannie Mae has engaged African-American-owned Loop Capital Markets LLC and Service-Disabled Veteran and</w:t>
      </w:r>
    </w:p>
    <w:p>
      <w:pPr>
        <w:spacing w:after="0" w:line="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Hispanic-owned Mischler Financial Group, Inc. as advisors on the transaction. Global Bondholder Services Corporation will serve as the tender agent and information agent for the Offers. Fannie Mae is offering to purchase, subject to the conditions of the Offers, any and all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Notes listed in the table below.</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r>
        <w:rPr>
          <w:rFonts w:ascii="Arial" w:cs="Arial" w:eastAsia="Arial" w:hAnsi="Arial"/>
          <w:sz w:val="21"/>
          <w:szCs w:val="21"/>
          <w:color w:val="auto"/>
        </w:rPr>
        <w:t>.</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Security</w:t>
            </w:r>
          </w:p>
        </w:tc>
        <w:tc>
          <w:tcPr>
            <w:tcW w:w="2320" w:type="dxa"/>
            <w:vAlign w:val="bottom"/>
            <w:tcBorders>
              <w:top w:val="single" w:sz="8" w:color="auto"/>
              <w:right w:val="single" w:sz="8" w:color="auto"/>
            </w:tcBorders>
            <w:vMerge w:val="restart"/>
          </w:tcPr>
          <w:p>
            <w:pPr>
              <w:ind w:left="900"/>
              <w:spacing w:after="0"/>
              <w:rPr>
                <w:sz w:val="20"/>
                <w:szCs w:val="20"/>
                <w:color w:val="auto"/>
              </w:rPr>
            </w:pPr>
            <w:r>
              <w:rPr>
                <w:rFonts w:ascii="Arial" w:cs="Arial" w:eastAsia="Arial" w:hAnsi="Arial"/>
                <w:sz w:val="16"/>
                <w:szCs w:val="16"/>
                <w:b w:val="1"/>
                <w:bCs w:val="1"/>
                <w:color w:val="auto"/>
              </w:rPr>
              <w:t>CUSIP</w:t>
            </w:r>
          </w:p>
        </w:tc>
        <w:tc>
          <w:tcPr>
            <w:tcW w:w="2180" w:type="dxa"/>
            <w:vAlign w:val="bottom"/>
            <w:tcBorders>
              <w:top w:val="single" w:sz="8" w:color="auto"/>
              <w:right w:val="single" w:sz="8" w:color="auto"/>
            </w:tcBorders>
            <w:vMerge w:val="restart"/>
          </w:tcPr>
          <w:p>
            <w:pPr>
              <w:ind w:left="900"/>
              <w:spacing w:after="0"/>
              <w:rPr>
                <w:sz w:val="20"/>
                <w:szCs w:val="20"/>
                <w:color w:val="auto"/>
              </w:rPr>
            </w:pPr>
            <w:r>
              <w:rPr>
                <w:rFonts w:ascii="Arial" w:cs="Arial" w:eastAsia="Arial" w:hAnsi="Arial"/>
                <w:sz w:val="16"/>
                <w:szCs w:val="16"/>
                <w:b w:val="1"/>
                <w:bCs w:val="1"/>
                <w:color w:val="auto"/>
              </w:rPr>
              <w:t>ISIN</w:t>
            </w:r>
          </w:p>
        </w:tc>
        <w:tc>
          <w:tcPr>
            <w:tcW w:w="21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w w:val="98"/>
              </w:rPr>
              <w:t>Original Principal Balance</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Tender Offer Consideration</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vMerge w:val="continue"/>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218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 $1,000 original principal</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amount)</w:t>
            </w: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30711XCL6</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US30711XCL64</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$180,295,000.00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$1,067.50</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2016-C03, Class 1M-2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30711XEQ3</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US30711XEQ34</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$143,674,000.00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$1,134.07</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2017-C01, Class 1B-1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30711XGQ1</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US30711XGQ16</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$189,945,000.00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$1,128.50</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2017-C02, Class 2B-1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30711XLU6</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US30711XLU62</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$143,230,000.00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$1,115.00</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2017-C04, Class 2B-1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30711XQW7</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US30711XQW73</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$78,322,000.00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$1,091.25</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2017-C06, Class 1B-1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30711XUW2</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US30711XUW28</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$97,984,000.00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$1,091.25</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2017-C07, Class 1B-1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30711XWW0</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US30711XWW00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$63,333,000.00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$1,107.50</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2017-C07, Class 2B-1 Notes</w:t>
            </w:r>
          </w:p>
        </w:tc>
        <w:tc>
          <w:tcPr>
            <w:tcW w:w="232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2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560" w:type="dxa"/>
            <w:vAlign w:val="bottom"/>
          </w:tcPr>
          <w:p>
            <w:pPr>
              <w:ind w:left="80"/>
              <w:spacing w:after="0"/>
              <w:rPr>
                <w:sz w:val="20"/>
                <w:szCs w:val="20"/>
                <w:color w:val="auto"/>
              </w:rPr>
            </w:pPr>
            <w:r>
              <w:rPr>
                <w:rFonts w:ascii="Arial" w:cs="Arial" w:eastAsia="Arial" w:hAnsi="Arial"/>
                <w:sz w:val="14"/>
                <w:szCs w:val="14"/>
                <w:color w:val="666666"/>
              </w:rPr>
              <w:t>© 2023 Fannie Mae   10.10.2023 1</w:t>
            </w:r>
          </w:p>
        </w:tc>
        <w:tc>
          <w:tcPr>
            <w:tcW w:w="2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4" w:name="page5"/>
    <w:bookmarkEnd w:id="4"/>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30711XYW8</w:t>
            </w:r>
          </w:p>
        </w:tc>
        <w:tc>
          <w:tcPr>
            <w:tcW w:w="2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US30711XYW81</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$149,886,078.00</w:t>
            </w:r>
          </w:p>
        </w:tc>
        <w:tc>
          <w:tcPr>
            <w:tcW w:w="2100" w:type="dxa"/>
            <w:vAlign w:val="bottom"/>
            <w:tcBorders>
              <w:top w:val="single" w:sz="8" w:color="auto"/>
              <w:right w:val="single" w:sz="8" w:color="auto"/>
            </w:tcBorders>
            <w:vMerge w:val="restart"/>
          </w:tcPr>
          <w:p>
            <w:pPr>
              <w:jc w:val="right"/>
              <w:ind w:right="659"/>
              <w:spacing w:after="0"/>
              <w:rPr>
                <w:sz w:val="20"/>
                <w:szCs w:val="20"/>
                <w:color w:val="auto"/>
              </w:rPr>
            </w:pPr>
            <w:r>
              <w:rPr>
                <w:rFonts w:ascii="Arial" w:cs="Arial" w:eastAsia="Arial" w:hAnsi="Arial"/>
                <w:sz w:val="16"/>
                <w:szCs w:val="16"/>
                <w:color w:val="auto"/>
              </w:rPr>
              <w:t>$1,077.50</w:t>
            </w:r>
          </w:p>
        </w:tc>
        <w:tc>
          <w:tcPr>
            <w:tcW w:w="0" w:type="dxa"/>
            <w:vAlign w:val="bottom"/>
          </w:tcPr>
          <w:p>
            <w:pPr>
              <w:spacing w:after="0"/>
              <w:rPr>
                <w:sz w:val="1"/>
                <w:szCs w:val="1"/>
                <w:color w:val="auto"/>
              </w:rPr>
            </w:pPr>
          </w:p>
        </w:tc>
      </w:tr>
      <w:tr>
        <w:trPr>
          <w:trHeight w:val="125"/>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2018-C01, Class 1B-1 Notes</w:t>
            </w:r>
          </w:p>
        </w:tc>
        <w:tc>
          <w:tcPr>
            <w:tcW w:w="232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56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30711XYX6</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US30711XYX64</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$90,954,182.00</w:t>
            </w:r>
          </w:p>
        </w:tc>
        <w:tc>
          <w:tcPr>
            <w:tcW w:w="2100" w:type="dxa"/>
            <w:vAlign w:val="bottom"/>
            <w:tcBorders>
              <w:right w:val="single" w:sz="8" w:color="auto"/>
            </w:tcBorders>
            <w:vMerge w:val="restart"/>
          </w:tcPr>
          <w:p>
            <w:pPr>
              <w:jc w:val="right"/>
              <w:ind w:right="659"/>
              <w:spacing w:after="0"/>
              <w:rPr>
                <w:sz w:val="20"/>
                <w:szCs w:val="20"/>
                <w:color w:val="auto"/>
              </w:rPr>
            </w:pPr>
            <w:r>
              <w:rPr>
                <w:rFonts w:ascii="Arial" w:cs="Arial" w:eastAsia="Arial" w:hAnsi="Arial"/>
                <w:sz w:val="16"/>
                <w:szCs w:val="16"/>
                <w:color w:val="auto"/>
              </w:rPr>
              <w:t>$1,026.25</w:t>
            </w:r>
          </w:p>
        </w:tc>
        <w:tc>
          <w:tcPr>
            <w:tcW w:w="0" w:type="dxa"/>
            <w:vAlign w:val="bottom"/>
          </w:tcPr>
          <w:p>
            <w:pPr>
              <w:spacing w:after="0"/>
              <w:rPr>
                <w:sz w:val="1"/>
                <w:szCs w:val="1"/>
                <w:color w:val="auto"/>
              </w:rPr>
            </w:pPr>
          </w:p>
        </w:tc>
      </w:tr>
      <w:tr>
        <w:trPr>
          <w:trHeight w:val="125"/>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2018-C01, Class 1M-2 Notes</w:t>
            </w:r>
          </w:p>
        </w:tc>
        <w:tc>
          <w:tcPr>
            <w:tcW w:w="232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56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30711XR30</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US30711XR309</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$152,663,000.00</w:t>
            </w:r>
          </w:p>
        </w:tc>
        <w:tc>
          <w:tcPr>
            <w:tcW w:w="2100" w:type="dxa"/>
            <w:vAlign w:val="bottom"/>
            <w:tcBorders>
              <w:right w:val="single" w:sz="8" w:color="auto"/>
            </w:tcBorders>
            <w:vMerge w:val="restart"/>
          </w:tcPr>
          <w:p>
            <w:pPr>
              <w:jc w:val="right"/>
              <w:ind w:right="659"/>
              <w:spacing w:after="0"/>
              <w:rPr>
                <w:sz w:val="20"/>
                <w:szCs w:val="20"/>
                <w:color w:val="auto"/>
              </w:rPr>
            </w:pPr>
            <w:r>
              <w:rPr>
                <w:rFonts w:ascii="Arial" w:cs="Arial" w:eastAsia="Arial" w:hAnsi="Arial"/>
                <w:sz w:val="16"/>
                <w:szCs w:val="16"/>
                <w:color w:val="auto"/>
              </w:rPr>
              <w:t>$1,112.50</w:t>
            </w:r>
          </w:p>
        </w:tc>
        <w:tc>
          <w:tcPr>
            <w:tcW w:w="0" w:type="dxa"/>
            <w:vAlign w:val="bottom"/>
          </w:tcPr>
          <w:p>
            <w:pPr>
              <w:spacing w:after="0"/>
              <w:rPr>
                <w:sz w:val="1"/>
                <w:szCs w:val="1"/>
                <w:color w:val="auto"/>
              </w:rPr>
            </w:pPr>
          </w:p>
        </w:tc>
      </w:tr>
      <w:tr>
        <w:trPr>
          <w:trHeight w:val="125"/>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2018-C04, Class 2B-1 Notes</w:t>
            </w:r>
          </w:p>
        </w:tc>
        <w:tc>
          <w:tcPr>
            <w:tcW w:w="232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560" w:type="dxa"/>
            <w:vAlign w:val="bottom"/>
            <w:tcBorders>
              <w:left w:val="single" w:sz="8" w:color="auto"/>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1"/>
              </w:rPr>
              <w:t>Connecticut Avenue Securities, Series</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30711X3M4</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US30711X3M42</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$108,185,000.00</w:t>
            </w:r>
          </w:p>
        </w:tc>
        <w:tc>
          <w:tcPr>
            <w:tcW w:w="2100" w:type="dxa"/>
            <w:vAlign w:val="bottom"/>
            <w:tcBorders>
              <w:right w:val="single" w:sz="8" w:color="auto"/>
            </w:tcBorders>
            <w:vMerge w:val="restart"/>
          </w:tcPr>
          <w:p>
            <w:pPr>
              <w:jc w:val="right"/>
              <w:ind w:right="659"/>
              <w:spacing w:after="0"/>
              <w:rPr>
                <w:sz w:val="20"/>
                <w:szCs w:val="20"/>
                <w:color w:val="auto"/>
              </w:rPr>
            </w:pPr>
            <w:r>
              <w:rPr>
                <w:rFonts w:ascii="Arial" w:cs="Arial" w:eastAsia="Arial" w:hAnsi="Arial"/>
                <w:sz w:val="16"/>
                <w:szCs w:val="16"/>
                <w:color w:val="auto"/>
              </w:rPr>
              <w:t>$1,088.75</w:t>
            </w:r>
          </w:p>
        </w:tc>
        <w:tc>
          <w:tcPr>
            <w:tcW w:w="0" w:type="dxa"/>
            <w:vAlign w:val="bottom"/>
          </w:tcPr>
          <w:p>
            <w:pPr>
              <w:spacing w:after="0"/>
              <w:rPr>
                <w:sz w:val="1"/>
                <w:szCs w:val="1"/>
                <w:color w:val="auto"/>
              </w:rPr>
            </w:pPr>
          </w:p>
        </w:tc>
      </w:tr>
      <w:tr>
        <w:trPr>
          <w:trHeight w:val="125"/>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2018-C06, Class 1B-1 Notes</w:t>
            </w:r>
          </w:p>
        </w:tc>
        <w:tc>
          <w:tcPr>
            <w:tcW w:w="232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6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$1,398,471,260.00</w:t>
            </w: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In addition, holders whose Notes are purchased in the Offers will receive accrued and unpaid interest from the last interest payment date to, but not including, the Settlement Date (as defined in the Offer to Purchase) for the Notes. Fannie Mae expects the Settlement Date to occur on October 18, 2023. Any Notes tendered using the Notice of Guaranteed Delivery and accepted for purchase are expected to be purchased on October 19, 2023, but payment of accrued interest on such Notes will only be made to, but not including, the Settlement Date.</w:t>
      </w:r>
    </w:p>
    <w:p>
      <w:pPr>
        <w:spacing w:after="0" w:line="13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(855) 654-2015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563C1"/>
        </w:rPr>
        <w:t xml:space="preserve">. </w:t>
      </w:r>
      <w:r>
        <w:rPr>
          <w:rFonts w:ascii="Arial" w:cs="Arial" w:eastAsia="Arial" w:hAnsi="Arial"/>
          <w:sz w:val="18"/>
          <w:szCs w:val="18"/>
          <w:color w:val="000000"/>
        </w:rPr>
        <w:t>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Wells Fargo Securities, LLC at (866) 309-6316 (toll free) or (704) 410-4756 (collect).</w:t>
      </w:r>
    </w:p>
    <w:p>
      <w:pPr>
        <w:spacing w:after="0" w:line="22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Notes Tender Offer Frequently Asked Questions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Fannie Mae</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Fannie Mae advances equitable and sustainable access to homeownership and quality, affordable rental housing for millions of people across America. We enable the 30-year fixed-rate mortgage and drive responsible innovation to make homebuying and renting easier, fairer,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more accessible. To learn more,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fanniemae.com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Twitter</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Facebook</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Instagram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YouTube</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Blog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rPr>
          <w:sz w:val="20"/>
          <w:szCs w:val="20"/>
          <w:color w:val="auto"/>
        </w:rPr>
      </w:pPr>
      <w:r>
        <w:rPr>
          <w:rFonts w:ascii="Arial" w:cs="Arial" w:eastAsia="Arial" w:hAnsi="Arial"/>
          <w:sz w:val="18"/>
          <w:szCs w:val="18"/>
          <w:color w:val="auto"/>
        </w:rPr>
        <w:t>202-752-3662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2023 Fannie Mae</w:t>
        <w:tab/>
        <w:t>10.10.2023 2</w:t>
      </w:r>
    </w:p>
    <w:p>
      <w:pPr>
        <w:sectPr>
          <w:pgSz w:w="11900" w:h="16838" w:orient="portrait"/>
          <w:cols w:equalWidth="0" w:num="1">
            <w:col w:w="11260"/>
          </w:cols>
          <w:pgMar w:left="320" w:top="1440" w:right="319" w:bottom="1440" w:gutter="0" w:footer="0" w:header="0"/>
        </w:sectPr>
      </w:pPr>
    </w:p>
    <w:bookmarkStart w:id="5" w:name="page6"/>
    <w:bookmarkEnd w:id="5"/>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https://www.fanniemae.com/news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https://www.fanniemae.com/resources/img/about-fm/fm-building.tif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p>
      <w:pPr>
        <w:spacing w:after="0" w:line="266"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Wells Fargo Securities, LLC (as applicable) or one or more registered brokers or dealers that are licensed under the laws of such jurisdiction.</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color w:val="666666"/>
        </w:rPr>
        <w:t>© 2023 Fannie Mae</w:t>
        <w:tab/>
        <w:t>10.10.2023 3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2023-10-10T08:44:54Z</dcterms:created>
  <dcterms:modified xsi:type="dcterms:W3CDTF">2023-10-10T08:44:54Z</dcterms:modified>
</cp:coreProperties>
</file>