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March 18, 2025</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Federal National Mortgage Association</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0"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Fannie Mae</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420" w:type="dxa"/>
            <w:vAlign w:val="bottom"/>
            <w:tcBorders>
              <w:top w:val="single" w:sz="8" w:color="auto"/>
            </w:tcBorders>
          </w:tcPr>
          <w:p>
            <w:pPr>
              <w:jc w:val="center"/>
              <w:ind w:left="105"/>
              <w:spacing w:after="0"/>
              <w:rPr>
                <w:sz w:val="20"/>
                <w:szCs w:val="20"/>
                <w:color w:val="auto"/>
              </w:rPr>
            </w:pPr>
            <w:r>
              <w:rPr>
                <w:rFonts w:ascii="Arial" w:cs="Arial" w:eastAsia="Arial" w:hAnsi="Arial"/>
                <w:sz w:val="16"/>
                <w:szCs w:val="16"/>
                <w:b w:val="1"/>
                <w:bCs w:val="1"/>
                <w:color w:val="auto"/>
              </w:rPr>
              <w:t>Federally chartered corporation</w:t>
            </w:r>
          </w:p>
        </w:tc>
        <w:tc>
          <w:tcPr>
            <w:tcW w:w="1420" w:type="dxa"/>
            <w:vAlign w:val="bottom"/>
            <w:tcBorders>
              <w:top w:val="single" w:sz="8" w:color="auto"/>
            </w:tcBorders>
          </w:tcPr>
          <w:p>
            <w:pPr>
              <w:jc w:val="center"/>
              <w:ind w:left="185"/>
              <w:spacing w:after="0"/>
              <w:rPr>
                <w:sz w:val="20"/>
                <w:szCs w:val="20"/>
                <w:color w:val="auto"/>
              </w:rPr>
            </w:pPr>
            <w:r>
              <w:rPr>
                <w:rFonts w:ascii="Arial" w:cs="Arial" w:eastAsia="Arial" w:hAnsi="Arial"/>
                <w:sz w:val="16"/>
                <w:szCs w:val="16"/>
                <w:b w:val="1"/>
                <w:bCs w:val="1"/>
                <w:color w:val="auto"/>
              </w:rPr>
              <w:t>0-50231</w:t>
            </w: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52-0883107</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1100 15th</w:t>
            </w:r>
          </w:p>
        </w:tc>
        <w:tc>
          <w:tcPr>
            <w:tcW w:w="1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Street, NW</w:t>
            </w:r>
          </w:p>
        </w:tc>
        <w:tc>
          <w:tcPr>
            <w:tcW w:w="520" w:type="dxa"/>
            <w:vAlign w:val="bottom"/>
            <w:tcBorders>
              <w:top w:val="single" w:sz="8" w:color="auto"/>
            </w:tcBorders>
          </w:tcPr>
          <w:p>
            <w:pPr>
              <w:ind w:left="220"/>
              <w:spacing w:after="0"/>
              <w:rPr>
                <w:sz w:val="20"/>
                <w:szCs w:val="20"/>
                <w:color w:val="auto"/>
              </w:rPr>
            </w:pPr>
            <w:r>
              <w:rPr>
                <w:rFonts w:ascii="Arial" w:cs="Arial" w:eastAsia="Arial" w:hAnsi="Arial"/>
                <w:sz w:val="16"/>
                <w:szCs w:val="16"/>
                <w:b w:val="1"/>
                <w:bCs w:val="1"/>
                <w:color w:val="auto"/>
              </w:rPr>
              <w:t>800</w:t>
            </w:r>
          </w:p>
        </w:tc>
        <w:tc>
          <w:tcPr>
            <w:tcW w:w="1860" w:type="dxa"/>
            <w:vAlign w:val="bottom"/>
            <w:tcBorders>
              <w:top w:val="single" w:sz="8" w:color="auto"/>
            </w:tcBorders>
          </w:tcPr>
          <w:p>
            <w:pPr>
              <w:jc w:val="right"/>
              <w:ind w:right="844"/>
              <w:spacing w:after="0"/>
              <w:rPr>
                <w:sz w:val="20"/>
                <w:szCs w:val="20"/>
                <w:color w:val="auto"/>
              </w:rPr>
            </w:pPr>
            <w:r>
              <w:rPr>
                <w:rFonts w:ascii="Arial" w:cs="Arial" w:eastAsia="Arial" w:hAnsi="Arial"/>
                <w:sz w:val="16"/>
                <w:szCs w:val="16"/>
                <w:b w:val="1"/>
                <w:bCs w:val="1"/>
                <w:color w:val="auto"/>
              </w:rPr>
              <w:t>232-6643</w:t>
            </w:r>
          </w:p>
        </w:tc>
      </w:tr>
      <w:tr>
        <w:trPr>
          <w:trHeight w:val="223"/>
        </w:trPr>
        <w:tc>
          <w:tcPr>
            <w:tcW w:w="3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Washington,</w:t>
            </w:r>
          </w:p>
        </w:tc>
        <w:tc>
          <w:tcPr>
            <w:tcW w:w="1320" w:type="dxa"/>
            <w:vAlign w:val="bottom"/>
          </w:tcPr>
          <w:p>
            <w:pPr>
              <w:ind w:left="220"/>
              <w:spacing w:after="0"/>
              <w:rPr>
                <w:sz w:val="20"/>
                <w:szCs w:val="20"/>
                <w:color w:val="auto"/>
              </w:rPr>
            </w:pPr>
            <w:r>
              <w:rPr>
                <w:rFonts w:ascii="Arial" w:cs="Arial" w:eastAsia="Arial" w:hAnsi="Arial"/>
                <w:sz w:val="16"/>
                <w:szCs w:val="16"/>
                <w:b w:val="1"/>
                <w:bCs w:val="1"/>
                <w:color w:val="auto"/>
              </w:rPr>
              <w:t>DC   20005</w:t>
            </w:r>
          </w:p>
        </w:tc>
        <w:tc>
          <w:tcPr>
            <w:tcW w:w="5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143"/>
        </w:trPr>
        <w:tc>
          <w:tcPr>
            <w:tcW w:w="3420" w:type="dxa"/>
            <w:vAlign w:val="bottom"/>
          </w:tcPr>
          <w:p>
            <w:pPr>
              <w:jc w:val="center"/>
              <w:ind w:left="105"/>
              <w:spacing w:after="0" w:line="143" w:lineRule="exact"/>
              <w:rPr>
                <w:sz w:val="20"/>
                <w:szCs w:val="20"/>
                <w:color w:val="auto"/>
              </w:rPr>
            </w:pPr>
            <w:r>
              <w:rPr>
                <w:rFonts w:ascii="Arial" w:cs="Arial" w:eastAsia="Arial" w:hAnsi="Arial"/>
                <w:sz w:val="14"/>
                <w:szCs w:val="14"/>
                <w:i w:val="1"/>
                <w:iCs w:val="1"/>
                <w:color w:val="auto"/>
              </w:rPr>
              <w:t>(State or other jurisdiction</w:t>
            </w:r>
          </w:p>
        </w:tc>
        <w:tc>
          <w:tcPr>
            <w:tcW w:w="1420" w:type="dxa"/>
            <w:vAlign w:val="bottom"/>
          </w:tcPr>
          <w:p>
            <w:pPr>
              <w:jc w:val="center"/>
              <w:ind w:left="185"/>
              <w:spacing w:after="0" w:line="143" w:lineRule="exact"/>
              <w:rPr>
                <w:sz w:val="20"/>
                <w:szCs w:val="20"/>
                <w:color w:val="auto"/>
              </w:rPr>
            </w:pPr>
            <w:r>
              <w:rPr>
                <w:rFonts w:ascii="Arial" w:cs="Arial" w:eastAsia="Arial" w:hAnsi="Arial"/>
                <w:sz w:val="14"/>
                <w:szCs w:val="14"/>
                <w:i w:val="1"/>
                <w:iCs w:val="1"/>
                <w:color w:val="auto"/>
              </w:rPr>
              <w:t>(Commission</w:t>
            </w:r>
          </w:p>
        </w:tc>
        <w:tc>
          <w:tcPr>
            <w:tcW w:w="1500" w:type="dxa"/>
            <w:vAlign w:val="bottom"/>
          </w:tcPr>
          <w:p>
            <w:pPr>
              <w:jc w:val="center"/>
              <w:spacing w:after="0" w:line="143" w:lineRule="exact"/>
              <w:rPr>
                <w:sz w:val="20"/>
                <w:szCs w:val="20"/>
                <w:color w:val="auto"/>
              </w:rPr>
            </w:pPr>
            <w:r>
              <w:rPr>
                <w:rFonts w:ascii="Arial" w:cs="Arial" w:eastAsia="Arial" w:hAnsi="Arial"/>
                <w:sz w:val="14"/>
                <w:szCs w:val="14"/>
                <w:i w:val="1"/>
                <w:iCs w:val="1"/>
                <w:color w:val="auto"/>
              </w:rPr>
              <w:t>(IRS Employer</w:t>
            </w:r>
          </w:p>
        </w:tc>
        <w:tc>
          <w:tcPr>
            <w:tcW w:w="2500" w:type="dxa"/>
            <w:vAlign w:val="bottom"/>
            <w:gridSpan w:val="2"/>
          </w:tcPr>
          <w:p>
            <w:pPr>
              <w:jc w:val="center"/>
              <w:spacing w:after="0" w:line="143" w:lineRule="exact"/>
              <w:rPr>
                <w:sz w:val="20"/>
                <w:szCs w:val="20"/>
                <w:color w:val="auto"/>
              </w:rPr>
            </w:pPr>
            <w:r>
              <w:rPr>
                <w:rFonts w:ascii="Arial" w:cs="Arial" w:eastAsia="Arial" w:hAnsi="Arial"/>
                <w:sz w:val="14"/>
                <w:szCs w:val="14"/>
                <w:i w:val="1"/>
                <w:iCs w:val="1"/>
                <w:color w:val="auto"/>
              </w:rPr>
              <w:t>(Address of principal executive</w:t>
            </w:r>
          </w:p>
        </w:tc>
        <w:tc>
          <w:tcPr>
            <w:tcW w:w="2380" w:type="dxa"/>
            <w:vAlign w:val="bottom"/>
            <w:gridSpan w:val="2"/>
          </w:tcPr>
          <w:p>
            <w:pPr>
              <w:ind w:left="200"/>
              <w:spacing w:after="0" w:line="143" w:lineRule="exact"/>
              <w:rPr>
                <w:sz w:val="20"/>
                <w:szCs w:val="20"/>
                <w:color w:val="auto"/>
              </w:rPr>
            </w:pPr>
            <w:r>
              <w:rPr>
                <w:rFonts w:ascii="Arial" w:cs="Arial" w:eastAsia="Arial" w:hAnsi="Arial"/>
                <w:sz w:val="14"/>
                <w:szCs w:val="14"/>
                <w:i w:val="1"/>
                <w:iCs w:val="1"/>
                <w:color w:val="auto"/>
              </w:rPr>
              <w:t>(Registrant’s telephone number,</w:t>
            </w:r>
          </w:p>
        </w:tc>
      </w:tr>
      <w:tr>
        <w:trPr>
          <w:trHeight w:val="189"/>
        </w:trPr>
        <w:tc>
          <w:tcPr>
            <w:tcW w:w="342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i w:val="1"/>
                <w:iCs w:val="1"/>
                <w:color w:val="auto"/>
              </w:rPr>
              <w:t>of incorporation)</w:t>
            </w:r>
          </w:p>
        </w:tc>
        <w:tc>
          <w:tcPr>
            <w:tcW w:w="142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i w:val="1"/>
                <w:iCs w:val="1"/>
                <w:color w:val="auto"/>
              </w:rPr>
              <w:t>File Number)</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i w:val="1"/>
                <w:iCs w:val="1"/>
                <w:color w:val="auto"/>
              </w:rPr>
              <w:t>Identification No.)</w:t>
            </w: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rPr>
              <w:t>offices, including zip code)</w:t>
            </w:r>
          </w:p>
        </w:tc>
        <w:tc>
          <w:tcPr>
            <w:tcW w:w="5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i w:val="1"/>
                <w:iCs w:val="1"/>
                <w:color w:val="auto"/>
              </w:rPr>
              <w:t>including area code)</w:t>
            </w:r>
          </w:p>
        </w:tc>
      </w:tr>
    </w:tbl>
    <w:p>
      <w:pPr>
        <w:spacing w:after="0" w:line="256" w:lineRule="exact"/>
        <w:rPr>
          <w:sz w:val="24"/>
          <w:szCs w:val="24"/>
          <w:color w:val="auto"/>
        </w:rPr>
      </w:pPr>
    </w:p>
    <w:p>
      <w:pPr>
        <w:ind w:right="30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u w:val="single" w:color="auto"/>
          <w:color w:val="auto"/>
        </w:rPr>
        <w:t>see</w:t>
      </w:r>
      <w:r>
        <w:rPr>
          <w:rFonts w:ascii="Arial" w:cs="Arial" w:eastAsia="Arial" w:hAnsi="Arial"/>
          <w:sz w:val="16"/>
          <w:szCs w:val="16"/>
          <w:color w:val="auto"/>
        </w:rPr>
        <w:t xml:space="preserve"> General Instruction A.2. below):</w:t>
      </w:r>
    </w:p>
    <w:p>
      <w:pPr>
        <w:spacing w:after="0" w:line="169"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9"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9"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rFonts w:ascii="MS PGothic" w:cs="MS PGothic" w:eastAsia="MS PGothic" w:hAnsi="MS PGothic"/>
          <w:sz w:val="16"/>
          <w:szCs w:val="16"/>
          <w:color w:val="auto"/>
        </w:rPr>
      </w:pPr>
    </w:p>
    <w:p>
      <w:pPr>
        <w:ind w:left="660" w:hanging="63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2" w:lineRule="exact"/>
        <w:rPr>
          <w:sz w:val="24"/>
          <w:szCs w:val="24"/>
          <w:color w:val="auto"/>
        </w:rPr>
      </w:pPr>
    </w:p>
    <w:tbl>
      <w:tblPr>
        <w:tblLayout w:type="fixed"/>
        <w:tblInd w:w="170" w:type="dxa"/>
        <w:tblCellMar>
          <w:top w:w="0" w:type="dxa"/>
          <w:left w:w="0" w:type="dxa"/>
          <w:bottom w:w="0" w:type="dxa"/>
          <w:right w:w="0" w:type="dxa"/>
        </w:tblCellMar>
      </w:tblPr>
      <w:tr>
        <w:trPr>
          <w:trHeight w:val="243"/>
        </w:trPr>
        <w:tc>
          <w:tcPr>
            <w:tcW w:w="3220" w:type="dxa"/>
            <w:vAlign w:val="bottom"/>
            <w:tcBorders>
              <w:top w:val="single" w:sz="8" w:color="auto"/>
              <w:left w:val="single" w:sz="8" w:color="auto"/>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Title of each class</w:t>
            </w:r>
          </w:p>
        </w:tc>
        <w:tc>
          <w:tcPr>
            <w:tcW w:w="21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Trading Symbol(s)</w:t>
            </w:r>
          </w:p>
        </w:tc>
        <w:tc>
          <w:tcPr>
            <w:tcW w:w="5580" w:type="dxa"/>
            <w:vAlign w:val="bottom"/>
            <w:tcBorders>
              <w:top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3"/>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None</w:t>
            </w:r>
          </w:p>
        </w:tc>
        <w:tc>
          <w:tcPr>
            <w:tcW w:w="2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c>
          <w:tcPr>
            <w:tcW w:w="55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w:t>
            </w:r>
          </w:p>
        </w:tc>
      </w:tr>
    </w:tbl>
    <w:p>
      <w:pPr>
        <w:spacing w:after="0" w:line="256" w:lineRule="exact"/>
        <w:rPr>
          <w:sz w:val="24"/>
          <w:szCs w:val="24"/>
          <w:color w:val="auto"/>
        </w:rPr>
      </w:pPr>
    </w:p>
    <w:p>
      <w:pPr>
        <w:spacing w:after="0" w:line="30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9" w:lineRule="exact"/>
        <w:rPr>
          <w:sz w:val="24"/>
          <w:szCs w:val="24"/>
          <w:color w:val="auto"/>
        </w:rPr>
      </w:pPr>
    </w:p>
    <w:p>
      <w:pPr>
        <w:ind w:left="8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11" w:lineRule="exact"/>
        <w:rPr>
          <w:sz w:val="24"/>
          <w:szCs w:val="24"/>
          <w:color w:val="auto"/>
        </w:rPr>
      </w:pPr>
    </w:p>
    <w:p>
      <w:pPr>
        <w:ind w:right="1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643890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2" w:right="339" w:bottom="1440" w:gutter="0" w:footer="0" w:header="0"/>
        </w:sectPr>
      </w:pPr>
    </w:p>
    <w:bookmarkStart w:id="1" w:name="page2"/>
    <w:bookmarkEnd w:id="1"/>
    <w:p>
      <w:pPr>
        <w:ind w:right="120"/>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On March 18, 2025, Christopher Stanley notified us of his resignation from Fannie’s Mae Board of Directors, effective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066" w:right="1019" w:bottom="1440" w:gutter="0" w:footer="0" w:header="0"/>
        </w:sectPr>
      </w:pPr>
    </w:p>
    <w:bookmarkStart w:id="2" w:name="page3"/>
    <w:bookmarkEnd w:id="2"/>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4820" w:type="dxa"/>
        <w:tblCellMar>
          <w:top w:w="0" w:type="dxa"/>
          <w:left w:w="0" w:type="dxa"/>
          <w:bottom w:w="0" w:type="dxa"/>
          <w:right w:w="0" w:type="dxa"/>
        </w:tblCellMar>
      </w:tblPr>
      <w:tr>
        <w:trPr>
          <w:trHeight w:val="239"/>
        </w:trPr>
        <w:tc>
          <w:tcPr>
            <w:tcW w:w="22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FEDERAL NATIONAL MORTGAGE ASSOCIATION</w:t>
            </w:r>
          </w:p>
        </w:tc>
      </w:tr>
      <w:tr>
        <w:trPr>
          <w:trHeight w:val="698"/>
        </w:trPr>
        <w:tc>
          <w:tcPr>
            <w:tcW w:w="220" w:type="dxa"/>
            <w:vAlign w:val="bottom"/>
          </w:tcPr>
          <w:p>
            <w:pPr>
              <w:spacing w:after="0"/>
              <w:rPr>
                <w:sz w:val="20"/>
                <w:szCs w:val="20"/>
                <w:color w:val="auto"/>
              </w:rPr>
            </w:pPr>
            <w:r>
              <w:rPr>
                <w:rFonts w:ascii="Arial" w:cs="Arial" w:eastAsia="Arial" w:hAnsi="Arial"/>
                <w:sz w:val="18"/>
                <w:szCs w:val="18"/>
                <w:color w:val="auto"/>
                <w:w w:val="94"/>
              </w:rPr>
              <w:t>By</w:t>
            </w:r>
          </w:p>
        </w:tc>
        <w:tc>
          <w:tcPr>
            <w:tcW w:w="53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/s/ Thomas L. Klein</w:t>
            </w:r>
          </w:p>
        </w:tc>
      </w:tr>
      <w:tr>
        <w:trPr>
          <w:trHeight w:val="218"/>
        </w:trPr>
        <w:tc>
          <w:tcPr>
            <w:tcW w:w="220" w:type="dxa"/>
            <w:vAlign w:val="bottom"/>
          </w:tcPr>
          <w:p>
            <w:pPr>
              <w:spacing w:after="0"/>
              <w:rPr>
                <w:sz w:val="18"/>
                <w:szCs w:val="18"/>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Thomas L. Klein</w:t>
            </w:r>
          </w:p>
        </w:tc>
      </w:tr>
      <w:tr>
        <w:trPr>
          <w:trHeight w:val="239"/>
        </w:trPr>
        <w:tc>
          <w:tcPr>
            <w:tcW w:w="220" w:type="dxa"/>
            <w:vAlign w:val="bottom"/>
          </w:tcPr>
          <w:p>
            <w:pPr>
              <w:spacing w:after="0"/>
              <w:rPr>
                <w:sz w:val="20"/>
                <w:szCs w:val="20"/>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Enterprise Deputy General Counsel—Vice President</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2025</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2025-03-19T05:09:26Z</dcterms:created>
  <dcterms:modified xsi:type="dcterms:W3CDTF">2025-03-19T05:09:26Z</dcterms:modified>
</cp:coreProperties>
</file>