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18"/>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213"/>
        </w:trPr>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18"/>
                <w:szCs w:val="18"/>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00" w:type="dxa"/>
        <w:tblCellMar>
          <w:top w:w="0" w:type="dxa"/>
          <w:left w:w="0" w:type="dxa"/>
          <w:bottom w:w="0" w:type="dxa"/>
          <w:right w:w="0" w:type="dxa"/>
        </w:tblCellMar>
      </w:tblPr>
      <w:tr>
        <w:trPr>
          <w:trHeight w:val="229"/>
        </w:trPr>
        <w:tc>
          <w:tcPr>
            <w:tcW w:w="20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40" w:type="dxa"/>
            <w:vAlign w:val="bottom"/>
          </w:tcPr>
          <w:p>
            <w:pPr>
              <w:spacing w:after="0"/>
              <w:rPr>
                <w:sz w:val="20"/>
                <w:szCs w:val="20"/>
                <w:color w:val="auto"/>
              </w:rPr>
            </w:pPr>
            <w:r>
              <w:rPr>
                <w:rFonts w:ascii="Arial" w:cs="Arial" w:eastAsia="Arial" w:hAnsi="Arial"/>
                <w:sz w:val="15"/>
                <w:szCs w:val="15"/>
                <w:color w:val="auto"/>
              </w:rPr>
              <w:t>Non-accelerated filer</w:t>
            </w:r>
          </w:p>
        </w:tc>
        <w:tc>
          <w:tcPr>
            <w:tcW w:w="31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ind w:left="25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760" w:type="dxa"/>
            <w:vAlign w:val="bottom"/>
          </w:tcPr>
          <w:p>
            <w:pPr>
              <w:ind w:left="25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10, 2026,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380" w:type="dxa"/>
            <w:vAlign w:val="bottom"/>
            <w:tcBorders>
              <w:top w:val="single" w:sz="8" w:color="2C6937"/>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Page</w:t>
            </w:r>
          </w:p>
        </w:tc>
        <w:tc>
          <w:tcPr>
            <w:tcW w:w="160" w:type="dxa"/>
            <w:vAlign w:val="bottom"/>
            <w:tcBorders>
              <w:top w:val="single" w:sz="8" w:color="2C6937"/>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Statements of Operations and Comprehensive Income</w:t>
            </w:r>
          </w:p>
        </w:tc>
        <w:tc>
          <w:tcPr>
            <w:tcW w:w="1920" w:type="dxa"/>
            <w:vAlign w:val="bottom"/>
            <w:gridSpan w:val="2"/>
          </w:tcPr>
          <w:p>
            <w:pPr>
              <w:spacing w:after="0"/>
              <w:rPr>
                <w:sz w:val="14"/>
                <w:szCs w:val="14"/>
                <w:color w:val="auto"/>
              </w:rPr>
            </w:pPr>
          </w:p>
        </w:tc>
        <w:tc>
          <w:tcPr>
            <w:tcW w:w="180" w:type="dxa"/>
            <w:vAlign w:val="bottom"/>
            <w:tcBorders>
              <w:bottom w:val="single" w:sz="8" w:color="0000FF"/>
            </w:tcBorders>
            <w:gridSpan w:val="4"/>
          </w:tcPr>
          <w:p>
            <w:pPr>
              <w:jc w:val="right"/>
              <w:spacing w:after="0" w:line="169" w:lineRule="exact"/>
              <w:rPr>
                <w:sz w:val="20"/>
                <w:szCs w:val="20"/>
                <w:color w:val="auto"/>
              </w:rPr>
            </w:pPr>
            <w:r>
              <w:rPr>
                <w:rFonts w:ascii="Arial" w:cs="Arial" w:eastAsia="Arial" w:hAnsi="Arial"/>
                <w:sz w:val="15"/>
                <w:szCs w:val="15"/>
                <w:color w:val="0000FF"/>
                <w:w w:val="95"/>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Balance Sheets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Credit Losses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940" w:type="dxa"/>
            <w:vAlign w:val="bottom"/>
            <w:gridSpan w:val="3"/>
          </w:tcPr>
          <w:p>
            <w:pPr>
              <w:spacing w:after="0"/>
              <w:rPr>
                <w:sz w:val="16"/>
                <w:szCs w:val="16"/>
                <w:color w:val="auto"/>
              </w:rPr>
            </w:pPr>
          </w:p>
        </w:tc>
        <w:tc>
          <w:tcPr>
            <w:tcW w:w="60" w:type="dxa"/>
            <w:vAlign w:val="bottom"/>
            <w:tcBorders>
              <w:top w:val="single" w:sz="8" w:color="0000FF"/>
            </w:tcBorders>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Recent Developments</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Results Summary</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 Financial Results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4.</w:t>
            </w:r>
          </w:p>
        </w:tc>
        <w:tc>
          <w:tcPr>
            <w:tcW w:w="8340" w:type="dxa"/>
            <w:vAlign w:val="bottom"/>
          </w:tcPr>
          <w:p>
            <w:pPr>
              <w:ind w:left="280"/>
              <w:spacing w:after="0"/>
              <w:rPr>
                <w:sz w:val="20"/>
                <w:szCs w:val="20"/>
                <w:color w:val="auto"/>
              </w:rPr>
            </w:pPr>
            <w:r>
              <w:rPr>
                <w:rFonts w:ascii="Arial" w:cs="Arial" w:eastAsia="Arial" w:hAnsi="Arial"/>
                <w:sz w:val="15"/>
                <w:szCs w:val="15"/>
                <w:color w:val="auto"/>
              </w:rPr>
              <w:t>Controls and Procedures</w:t>
            </w:r>
          </w:p>
        </w:tc>
        <w:tc>
          <w:tcPr>
            <w:tcW w:w="192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95"/>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First Quarter 2026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80" w:type="dxa"/>
            <w:vAlign w:val="bottom"/>
          </w:tcPr>
          <w:p>
            <w:pPr>
              <w:spacing w:after="0"/>
              <w:rPr>
                <w:sz w:val="14"/>
                <w:szCs w:val="1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100</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100</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100</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First Quarter 2026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2025 (“2025 Form 10-K”). You can find a “Glossary of Terms Used in This Report” in MD&amp;A in our 2025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2025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$115.8 billion in liquidity to the mortgage market in the first quarter of 2026, which enabled the financing of approximately 385,000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 Multifamily Mortgage Credit Risk Management” in this report and in our 2025 Form 10-K.</w:t>
      </w:r>
    </w:p>
    <w:p>
      <w:pPr>
        <w:spacing w:after="0" w:line="38"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December 31, 2025 (the latest date for which information is available), Fannie Mae owned or guaranteed an estimated 24% of single-family mortgage debt outstanding and an estimated 21% of multifamily mortgage debt outstanding in the United States.</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 Conservatorship and Treasury Agreements” and “Risk Factors—GSE and Conservatorship Risk” in our 2025 Form 10-K.</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139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New Credit Score Models</w:t>
      </w:r>
    </w:p>
    <w:p>
      <w:pPr>
        <w:spacing w:after="0" w:line="63"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In April 2026, we updated our Selling Guide to allow for two new credit score models—VantageScore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4.0 and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10T. For additional information on these new models, see “Single-Family Business—Single-Family Mortgage Credit Risk Management—Single-Family Acquisition and Servicing Policies and Underwriting and Servicing Standards—New Credit Score Models.”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9340"/>
        <w:spacing w:after="0"/>
        <w:rPr>
          <w:sz w:val="20"/>
          <w:szCs w:val="20"/>
          <w:color w:val="auto"/>
        </w:rPr>
      </w:pPr>
      <w:r>
        <w:rPr>
          <w:rFonts w:ascii="Arial" w:cs="Arial" w:eastAsia="Arial" w:hAnsi="Arial"/>
          <w:sz w:val="14"/>
          <w:szCs w:val="14"/>
          <w:color w:val="001543"/>
        </w:rPr>
        <w:t>MD&amp;A | 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Cybersecurity Risks and Risk Management</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Recently announced new artificial intelligence (“AI”) models have raised concerns that the new models may significantly increase the ability of cyber threat actors (including the AI itself acting autonomously) to use AI tools to find and exploit cybersecurity vulnerabilities. We are engaging with industry leaders and have established plans to prepare for this heightened cyber risk environment. Notwithstanding our efforts to manage these and other cybersecurity risks, we may not be successful in preventing or mitigating a cybersecurity incident that could have a material adverse effect on our business, including our business strategy, results of operations and financial condition. See “Risk Factors—Operational and Model Risk” in our 2025 Form 10-K for additional discussion of cybersecurity risks to our business.</w:t>
      </w:r>
    </w:p>
    <w:p>
      <w:pPr>
        <w:spacing w:after="0" w:line="13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and the accompanying notes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83820</wp:posOffset>
            </wp:positionV>
            <wp:extent cx="5419090" cy="2038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9090"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right="40" w:hanging="307"/>
        <w:spacing w:after="0" w:line="271"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was $3.7 billion for both the first quarter of 2026 and the first quarter of 2025. Net income increased by $59 million from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2025, primarily driven by a $247 million decrease in administrative expenses, a $195 million increase in net revenues and a $121 million decrease in credit enhancement expense, which were mostly offset by a $276 million increase in investment losses and a $253 million increase in provision for credit losses.</w:t>
      </w:r>
    </w:p>
    <w:p>
      <w:pPr>
        <w:spacing w:after="0" w:line="32" w:lineRule="exact"/>
        <w:rPr>
          <w:rFonts w:ascii="Arial" w:cs="Arial" w:eastAsia="Arial" w:hAnsi="Arial"/>
          <w:sz w:val="16"/>
          <w:szCs w:val="16"/>
          <w:color w:val="auto"/>
        </w:rPr>
      </w:pPr>
    </w:p>
    <w:p>
      <w:pPr>
        <w:ind w:left="1240" w:right="20" w:hanging="309"/>
        <w:spacing w:after="0" w:line="293" w:lineRule="auto"/>
        <w:tabs>
          <w:tab w:leader="none" w:pos="1233"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totaled $7.3 billion in the first quarter of 2026, up $195 million from the first quarter of 2025, primarily driven by a $120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interest income from portfolios and a $76 million increase in net interest income from base guaranty fees.</w:t>
      </w:r>
    </w:p>
    <w:p>
      <w:pPr>
        <w:spacing w:after="0" w:line="14" w:lineRule="exact"/>
        <w:rPr>
          <w:rFonts w:ascii="Arial" w:cs="Arial" w:eastAsia="Arial" w:hAnsi="Arial"/>
          <w:sz w:val="16"/>
          <w:szCs w:val="16"/>
          <w:color w:val="auto"/>
        </w:rPr>
      </w:pPr>
    </w:p>
    <w:p>
      <w:pPr>
        <w:ind w:left="1240" w:right="20" w:hanging="309"/>
        <w:spacing w:after="0" w:line="266" w:lineRule="auto"/>
        <w:tabs>
          <w:tab w:leader="none" w:pos="1233"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$277 million in the first quarter of 2026, consisting of a $103 million single-family provision for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 $174 million multifamily provision for credit losses. The single-family provision was primarily driven by current-period loan acquisitions and newly delinquent loans, partially offset by a benefit from actual home price growth. The multifamily provision was primarily driven by an increase in loan delinquencies and by weakened property valuations on properties in our multifamily guaranty book of business where foreclosure was probable.</w:t>
      </w:r>
    </w:p>
    <w:p>
      <w:pPr>
        <w:spacing w:after="0" w:line="37" w:lineRule="exact"/>
        <w:rPr>
          <w:rFonts w:ascii="Arial" w:cs="Arial" w:eastAsia="Arial" w:hAnsi="Arial"/>
          <w:sz w:val="16"/>
          <w:szCs w:val="16"/>
          <w:color w:val="auto"/>
        </w:rPr>
      </w:pPr>
    </w:p>
    <w:p>
      <w:pPr>
        <w:ind w:left="1240" w:right="80" w:hanging="309"/>
        <w:spacing w:after="0" w:line="293" w:lineRule="auto"/>
        <w:tabs>
          <w:tab w:leader="none" w:pos="1233"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Non-interest expense </w:t>
      </w:r>
      <w:r>
        <w:rPr>
          <w:rFonts w:ascii="Arial" w:cs="Arial" w:eastAsia="Arial" w:hAnsi="Arial"/>
          <w:sz w:val="16"/>
          <w:szCs w:val="16"/>
          <w:color w:val="auto"/>
        </w:rPr>
        <w:t>was $2.2 billion in the first quarter of 2026, a decrease of $416 million from the first quarter of 2025,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a $247 million decrease in administrative expenses and a $121 million decrease in credit enhancement expense.</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by $3.7 billion in the first quarter of 2026 to $112.7 billion as of March 31, 2026.</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6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“MD&amp;A—Key Market Economic Indicators” in our 2025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expectations are based on many assumptions, subject to many uncertainties and may change, perhaps substantially, from our current forecasts and expectations. See “Risk Factors” in our 2025 Form 10-K and “Forward-Looking Statements” in this report for a discussion of factors that could cause actual results to differ materially from our current forecasts and expectations.</w:t>
      </w:r>
    </w:p>
    <w:p>
      <w:pPr>
        <w:spacing w:after="0" w:line="8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Interest Rates</w:t>
      </w:r>
    </w:p>
    <w:p>
      <w:pPr>
        <w:spacing w:after="0" w:line="10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7620</wp:posOffset>
            </wp:positionV>
            <wp:extent cx="5501005" cy="2160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right="180" w:hanging="237"/>
        <w:spacing w:after="0" w:line="229" w:lineRule="auto"/>
        <w:tabs>
          <w:tab w:leader="none" w:pos="233"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ind w:left="220" w:hanging="217"/>
        <w:spacing w:after="0"/>
        <w:tabs>
          <w:tab w:leader="none" w:pos="2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According to Bloomberg.</w:t>
      </w:r>
    </w:p>
    <w:p>
      <w:pPr>
        <w:spacing w:after="0" w:line="2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
        </w:numPr>
        <w:rPr>
          <w:rFonts w:ascii="Arial" w:cs="Arial" w:eastAsia="Arial" w:hAnsi="Arial"/>
          <w:sz w:val="9"/>
          <w:szCs w:val="9"/>
          <w:color w:val="auto"/>
        </w:rPr>
      </w:pPr>
      <w:r>
        <w:rPr>
          <w:rFonts w:ascii="Arial" w:cs="Arial" w:eastAsia="Arial" w:hAnsi="Arial"/>
          <w:sz w:val="14"/>
          <w:szCs w:val="14"/>
          <w:color w:val="auto"/>
        </w:rPr>
        <w:t>Refers to the daily rate per the Federal Reserve Bank of New York.</w:t>
      </w:r>
    </w:p>
    <w:p>
      <w:pPr>
        <w:spacing w:after="0" w:line="8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U.S. weekly average 30-year fixed-rate mortgage rate increased to 6.38% at the end of the first quarter of 2026, compared to 6.15% at the end of the fourth quarter of 2025.</w:t>
      </w:r>
    </w:p>
    <w:p>
      <w:pPr>
        <w:spacing w:after="0" w:line="7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111125</wp:posOffset>
            </wp:positionV>
            <wp:extent cx="5501005" cy="1137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right="200" w:hanging="237"/>
        <w:spacing w:after="0" w:line="233" w:lineRule="auto"/>
        <w:tabs>
          <w:tab w:leader="none" w:pos="233"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7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currently estimate home prices on a national basis increased by 1.2% in the first quarter of 2026. We expect home price growth of 3.2% on a national basis in 2026. We also expect regional variation in the timing and rate of home price changes.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1800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hanging="217"/>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U.S. gross domestic product (“GDP”) increased by 0.5% in the fourth quarter of 2025. Bureau of Economic Analysis GDP data for the first quarter of 2026 was not available at the time of filing this report. We expect GDP will continue to grow in 2026. The unemployment rate decreased to 4.3% in the first quarter of 2026, compared with 4.4% in the fourth quarter of 2025. We expect the unemployment rate to remain relatively stable in 2026.</w:t>
      </w:r>
    </w:p>
    <w:p>
      <w:pPr>
        <w:spacing w:after="0" w:line="4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impact of trade, fiscal, monetary, regulatory, and immigration policies is uncertain and could materially impact our outlook for interest rates, home price growth, and economic growth. Our housing and economic outlook also could be affected by the impact of geopolitical events, including the continuation or worsening of the conflict in the Middle East. See “Risk Factors—Credit Risk” and “Risk Factors—Market and Industry Risk” in our 2025 Form 10-K for discussion of risks to our business and financial results associated with interest rates, home prices, economic conditions, and geopolitical events.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8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8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r>
      <w:tr>
        <w:trPr>
          <w:trHeight w:val="173"/>
        </w:trPr>
        <w:tc>
          <w:tcPr>
            <w:tcW w:w="8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6"/>
        </w:trPr>
        <w:tc>
          <w:tcPr>
            <w:tcW w:w="808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7,198</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7,001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208"/>
        </w:trPr>
        <w:tc>
          <w:tcPr>
            <w:tcW w:w="8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r>
      <w:tr>
        <w:trPr>
          <w:trHeight w:val="198"/>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7,280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7,085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195</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8"/>
        </w:trPr>
        <w:tc>
          <w:tcPr>
            <w:tcW w:w="8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Investment gains (losses), net</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(277)</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(276)</w:t>
            </w:r>
          </w:p>
        </w:tc>
      </w:tr>
      <w:tr>
        <w:trPr>
          <w:trHeight w:val="198"/>
        </w:trPr>
        <w:tc>
          <w:tcPr>
            <w:tcW w:w="8080" w:type="dxa"/>
            <w:vAlign w:val="bottom"/>
            <w:gridSpan w:val="2"/>
          </w:tcPr>
          <w:p>
            <w:pPr>
              <w:ind w:left="120"/>
              <w:spacing w:after="0"/>
              <w:rPr>
                <w:sz w:val="20"/>
                <w:szCs w:val="20"/>
                <w:color w:val="auto"/>
              </w:rPr>
            </w:pPr>
            <w:r>
              <w:rPr>
                <w:rFonts w:ascii="Arial" w:cs="Arial" w:eastAsia="Arial" w:hAnsi="Arial"/>
                <w:sz w:val="15"/>
                <w:szCs w:val="15"/>
                <w:color w:val="auto"/>
              </w:rPr>
              <w:t>Other gains (losses), net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(278)</w:t>
            </w:r>
          </w:p>
        </w:tc>
      </w:tr>
      <w:tr>
        <w:trPr>
          <w:trHeight w:val="208"/>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(253)</w:t>
            </w:r>
          </w:p>
        </w:tc>
      </w:tr>
      <w:tr>
        <w:trPr>
          <w:trHeight w:val="204"/>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08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Administrative expenses</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(745)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06"/>
        </w:trPr>
        <w:tc>
          <w:tcPr>
            <w:tcW w:w="808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Legislative assessments</w:t>
            </w:r>
            <w:r>
              <w:rPr>
                <w:rFonts w:ascii="Arial" w:cs="Arial" w:eastAsia="Arial" w:hAnsi="Arial"/>
                <w:sz w:val="20"/>
                <w:szCs w:val="20"/>
                <w:color w:val="auto"/>
                <w:vertAlign w:val="superscript"/>
              </w:rPr>
              <w:t>(3)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08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8"/>
        </w:trPr>
        <w:tc>
          <w:tcPr>
            <w:tcW w:w="8000" w:type="dxa"/>
            <w:vAlign w:val="bottom"/>
            <w:tcBorders>
              <w:bottom w:val="single" w:sz="8" w:color="2C6937"/>
            </w:tcBorders>
          </w:tcPr>
          <w:p>
            <w:pPr>
              <w:ind w:left="120"/>
              <w:spacing w:after="0" w:line="207"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(5)</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(149)</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80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(2,183)</w:t>
            </w:r>
          </w:p>
        </w:tc>
        <w:tc>
          <w:tcPr>
            <w:tcW w:w="8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(2,599)</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416</w:t>
            </w:r>
          </w:p>
        </w:tc>
      </w:tr>
      <w:tr>
        <w:trPr>
          <w:trHeight w:val="198"/>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4,664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4,584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8"/>
        </w:trPr>
        <w:tc>
          <w:tcPr>
            <w:tcW w:w="8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(944)</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199"/>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3,720</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
        </w:trPr>
        <w:tc>
          <w:tcPr>
            <w:tcW w:w="8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3,655</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14" w:lineRule="exact"/>
        <w:rPr>
          <w:sz w:val="20"/>
          <w:szCs w:val="20"/>
          <w:color w:val="auto"/>
        </w:rPr>
      </w:pPr>
    </w:p>
    <w:p>
      <w:pPr>
        <w:ind w:left="240" w:right="180" w:hanging="237"/>
        <w:spacing w:after="0" w:line="244" w:lineRule="auto"/>
        <w:tabs>
          <w:tab w:leader="none" w:pos="233"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Includes net interest income generated by the 10 basis point guaranty fee increase we implemented pursuant to the Temporary Payroll Tax Cut Continuation Act of 2011 (“TCCA”), and as extended by the Infrastructure Investment and Jobs Act, which is paid to Treasury and not retained by us. We refer to this as TCCA fees, or income related to TCCA.</w:t>
      </w:r>
    </w:p>
    <w:p>
      <w:pPr>
        <w:ind w:left="220" w:hanging="217"/>
        <w:spacing w:after="0"/>
        <w:tabs>
          <w:tab w:leader="none" w:pos="2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Consists of TCCA fees, affordable housing allocations and FHFA assessments.</w:t>
      </w:r>
    </w:p>
    <w:p>
      <w:pPr>
        <w:spacing w:after="0" w:line="25" w:lineRule="exact"/>
        <w:rPr>
          <w:rFonts w:ascii="Arial" w:cs="Arial" w:eastAsia="Arial" w:hAnsi="Arial"/>
          <w:sz w:val="18"/>
          <w:szCs w:val="18"/>
          <w:color w:val="auto"/>
          <w:vertAlign w:val="superscript"/>
        </w:rPr>
      </w:pPr>
    </w:p>
    <w:p>
      <w:pPr>
        <w:ind w:left="240" w:right="100" w:hanging="237"/>
        <w:spacing w:after="0" w:line="239" w:lineRule="auto"/>
        <w:tabs>
          <w:tab w:leader="none" w:pos="233" w:val="left"/>
        </w:tabs>
        <w:numPr>
          <w:ilvl w:val="0"/>
          <w:numId w:val="7"/>
        </w:numPr>
        <w:rPr>
          <w:rFonts w:ascii="Arial" w:cs="Arial" w:eastAsia="Arial" w:hAnsi="Arial"/>
          <w:sz w:val="9"/>
          <w:szCs w:val="9"/>
          <w:color w:val="auto"/>
        </w:rPr>
      </w:pPr>
      <w:r>
        <w:rPr>
          <w:rFonts w:ascii="Arial" w:cs="Arial" w:eastAsia="Arial" w:hAnsi="Arial"/>
          <w:sz w:val="14"/>
          <w:szCs w:val="14"/>
          <w:color w:val="auto"/>
        </w:rPr>
        <w:t>Single-family credit enhancement expense 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 (“CIRT</w:t>
      </w:r>
      <w:r>
        <w:rPr>
          <w:rFonts w:ascii="Arial" w:cs="Arial" w:eastAsia="Arial" w:hAnsi="Arial"/>
          <w:sz w:val="8"/>
          <w:szCs w:val="8"/>
          <w:color w:val="auto"/>
        </w:rPr>
        <w:t>TM</w:t>
      </w:r>
      <w:r>
        <w:rPr>
          <w:rFonts w:ascii="Arial" w:cs="Arial" w:eastAsia="Arial" w:hAnsi="Arial"/>
          <w:sz w:val="14"/>
          <w:szCs w:val="14"/>
          <w:color w:val="auto"/>
        </w:rPr>
        <w:t>”) programs, enterprise-paid mortgage insurance (“EPMI”) and certain lender risk-sharing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15" w:lineRule="exact"/>
        <w:rPr>
          <w:rFonts w:ascii="Arial" w:cs="Arial" w:eastAsia="Arial" w:hAnsi="Arial"/>
          <w:sz w:val="9"/>
          <w:szCs w:val="9"/>
          <w:color w:val="auto"/>
        </w:rPr>
      </w:pPr>
    </w:p>
    <w:p>
      <w:pPr>
        <w:ind w:left="240" w:right="540" w:hanging="237"/>
        <w:spacing w:after="0" w:line="278" w:lineRule="auto"/>
        <w:tabs>
          <w:tab w:leader="none" w:pos="233" w:val="left"/>
        </w:tabs>
        <w:numPr>
          <w:ilvl w:val="0"/>
          <w:numId w:val="7"/>
        </w:numPr>
        <w:rPr>
          <w:rFonts w:ascii="Arial" w:cs="Arial" w:eastAsia="Arial" w:hAnsi="Arial"/>
          <w:sz w:val="9"/>
          <w:szCs w:val="9"/>
          <w:color w:val="auto"/>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2025 Form 10-K for more information about the sources of our net interest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60" w:type="dxa"/>
            <w:vAlign w:val="bottom"/>
            <w:tcBorders>
              <w:top w:val="single" w:sz="8" w:color="2C6937"/>
            </w:tcBorders>
          </w:tcPr>
          <w:p>
            <w:pPr>
              <w:spacing w:after="0"/>
              <w:rPr>
                <w:sz w:val="20"/>
                <w:szCs w:val="20"/>
                <w:color w:val="auto"/>
              </w:rPr>
            </w:pPr>
          </w:p>
        </w:tc>
        <w:tc>
          <w:tcPr>
            <w:tcW w:w="180" w:type="dxa"/>
            <w:vAlign w:val="bottom"/>
            <w:tcBorders>
              <w:top w:val="single" w:sz="8" w:color="2C6937"/>
            </w:tcBorders>
          </w:tcPr>
          <w:p>
            <w:pPr>
              <w:spacing w:after="0"/>
              <w:rPr>
                <w:sz w:val="20"/>
                <w:szCs w:val="20"/>
                <w:color w:val="auto"/>
              </w:rPr>
            </w:pPr>
          </w:p>
        </w:tc>
        <w:tc>
          <w:tcPr>
            <w:tcW w:w="3540" w:type="dxa"/>
            <w:vAlign w:val="bottom"/>
            <w:tcBorders>
              <w:top w:val="single" w:sz="8" w:color="2C6937"/>
            </w:tcBorders>
            <w:gridSpan w:val="6"/>
          </w:tcPr>
          <w:p>
            <w:pPr>
              <w:ind w:left="300"/>
              <w:spacing w:after="0"/>
              <w:rPr>
                <w:sz w:val="20"/>
                <w:szCs w:val="20"/>
                <w:color w:val="auto"/>
              </w:rPr>
            </w:pPr>
            <w:r>
              <w:rPr>
                <w:rFonts w:ascii="Arial" w:cs="Arial" w:eastAsia="Arial" w:hAnsi="Arial"/>
                <w:sz w:val="15"/>
                <w:szCs w:val="15"/>
                <w:b w:val="1"/>
                <w:bCs w:val="1"/>
                <w:color w:val="auto"/>
              </w:rPr>
              <w:t>For the Three Months Ended March 31,</w:t>
            </w:r>
          </w:p>
        </w:tc>
        <w:tc>
          <w:tcPr>
            <w:tcW w:w="320" w:type="dxa"/>
            <w:vAlign w:val="bottom"/>
            <w:tcBorders>
              <w:top w:val="single" w:sz="8" w:color="2C6937"/>
            </w:tcBorders>
          </w:tcPr>
          <w:p>
            <w:pPr>
              <w:spacing w:after="0"/>
              <w:rPr>
                <w:sz w:val="20"/>
                <w:szCs w:val="20"/>
                <w:color w:val="auto"/>
              </w:rPr>
            </w:pPr>
          </w:p>
        </w:tc>
        <w:tc>
          <w:tcPr>
            <w:tcW w:w="1340" w:type="dxa"/>
            <w:vAlign w:val="bottom"/>
            <w:tcBorders>
              <w:top w:val="single" w:sz="8" w:color="2C6937"/>
            </w:tcBorders>
          </w:tcPr>
          <w:p>
            <w:pPr>
              <w:spacing w:after="0"/>
              <w:rPr>
                <w:sz w:val="20"/>
                <w:szCs w:val="20"/>
                <w:color w:val="auto"/>
              </w:rPr>
            </w:pPr>
          </w:p>
        </w:tc>
      </w:tr>
      <w:tr>
        <w:trPr>
          <w:trHeight w:val="199"/>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2026</w:t>
            </w:r>
          </w:p>
        </w:tc>
        <w:tc>
          <w:tcPr>
            <w:tcW w:w="5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80" w:type="dxa"/>
            <w:vAlign w:val="bottom"/>
            <w:tcBorders>
              <w:top w:val="single" w:sz="8" w:color="2C6937"/>
              <w:bottom w:val="single" w:sz="8" w:color="2C6937"/>
            </w:tcBorders>
          </w:tcPr>
          <w:p>
            <w:pPr>
              <w:spacing w:after="0"/>
              <w:rPr>
                <w:sz w:val="17"/>
                <w:szCs w:val="17"/>
                <w:color w:val="auto"/>
              </w:rPr>
            </w:pPr>
          </w:p>
        </w:tc>
        <w:tc>
          <w:tcPr>
            <w:tcW w:w="128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423"/>
              <w:spacing w:after="0"/>
              <w:rPr>
                <w:sz w:val="20"/>
                <w:szCs w:val="20"/>
                <w:color w:val="auto"/>
              </w:rPr>
            </w:pPr>
            <w:r>
              <w:rPr>
                <w:rFonts w:ascii="Arial" w:cs="Arial" w:eastAsia="Arial" w:hAnsi="Arial"/>
                <w:sz w:val="15"/>
                <w:szCs w:val="15"/>
                <w:b w:val="1"/>
                <w:bCs w:val="1"/>
                <w:color w:val="auto"/>
              </w:rPr>
              <w:t>Variance</w:t>
            </w:r>
          </w:p>
        </w:tc>
      </w:tr>
      <w:tr>
        <w:trPr>
          <w:trHeight w:val="283"/>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9"/>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interest income from guaranty book of business: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604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excluding TCCA</w:t>
            </w:r>
          </w:p>
        </w:tc>
        <w:tc>
          <w:tcPr>
            <w:tcW w:w="1120" w:type="dxa"/>
            <w:vAlign w:val="bottom"/>
          </w:tcPr>
          <w:p>
            <w:pPr>
              <w:jc w:val="right"/>
              <w:ind w:right="92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4,286</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4,202</w:t>
            </w:r>
          </w:p>
        </w:tc>
        <w:tc>
          <w:tcPr>
            <w:tcW w:w="100" w:type="dxa"/>
            <w:vAlign w:val="bottom"/>
          </w:tcPr>
          <w:p>
            <w:pPr>
              <w:spacing w:after="0"/>
              <w:rPr>
                <w:sz w:val="21"/>
                <w:szCs w:val="21"/>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24"/>
        </w:trPr>
        <w:tc>
          <w:tcPr>
            <w:tcW w:w="604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p>
        </w:tc>
        <w:tc>
          <w:tcPr>
            <w:tcW w:w="1120" w:type="dxa"/>
            <w:vAlign w:val="bottom"/>
          </w:tcPr>
          <w:p>
            <w:pPr>
              <w:spacing w:after="0"/>
              <w:rPr>
                <w:sz w:val="19"/>
                <w:szCs w:val="19"/>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8"/>
        </w:trPr>
        <w:tc>
          <w:tcPr>
            <w:tcW w:w="58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p>
        </w:tc>
        <w:tc>
          <w:tcPr>
            <w:tcW w:w="180" w:type="dxa"/>
            <w:vAlign w:val="bottom"/>
          </w:tcPr>
          <w:p>
            <w:pPr>
              <w:spacing w:after="0"/>
              <w:rPr>
                <w:sz w:val="18"/>
                <w:szCs w:val="18"/>
                <w:color w:val="auto"/>
              </w:rPr>
            </w:pPr>
          </w:p>
        </w:tc>
        <w:tc>
          <w:tcPr>
            <w:tcW w:w="1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792</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796</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r>
      <w:tr>
        <w:trPr>
          <w:trHeight w:val="309"/>
        </w:trPr>
        <w:tc>
          <w:tcPr>
            <w:tcW w:w="604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11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5,929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5,857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317"/>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(1)</w:t>
            </w:r>
          </w:p>
        </w:tc>
        <w:tc>
          <w:tcPr>
            <w:tcW w:w="11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1,442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18"/>
        </w:trPr>
        <w:tc>
          <w:tcPr>
            <w:tcW w:w="5860" w:type="dxa"/>
            <w:vAlign w:val="bottom"/>
            <w:tcBorders>
              <w:bottom w:val="single" w:sz="8" w:color="2C6937"/>
            </w:tcBorders>
          </w:tcPr>
          <w:p>
            <w:pPr>
              <w:ind w:left="20"/>
              <w:spacing w:after="0" w:line="218" w:lineRule="exact"/>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1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(173)</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r>
      <w:tr>
        <w:trPr>
          <w:trHeight w:val="277"/>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1120" w:type="dxa"/>
            <w:vAlign w:val="bottom"/>
          </w:tcPr>
          <w:p>
            <w:pPr>
              <w:jc w:val="right"/>
              <w:ind w:right="92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7,198</w:t>
            </w:r>
          </w:p>
        </w:tc>
        <w:tc>
          <w:tcPr>
            <w:tcW w:w="10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7,001</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20"/>
        </w:trPr>
        <w:tc>
          <w:tcPr>
            <w:tcW w:w="586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18"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Net interest income increased by $197 million in the first quarter of 2026 compared with the first quarter of 2025 primarily driven by higher net interest income from portfolios and higher base guaranty fee income.</w:t>
      </w:r>
    </w:p>
    <w:p>
      <w:pPr>
        <w:spacing w:after="0" w:line="15" w:lineRule="exact"/>
        <w:rPr>
          <w:sz w:val="20"/>
          <w:szCs w:val="20"/>
          <w:color w:val="auto"/>
        </w:rPr>
      </w:pPr>
    </w:p>
    <w:p>
      <w:pPr>
        <w:ind w:left="620" w:right="240" w:hanging="307"/>
        <w:spacing w:after="0" w:line="263"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first quarter of 2026 compared with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2025 was primarily due to a higher average balance outstanding on our retained mortgage portfolio, primarily driven by an increase in our acquisition of agency MBS. This was partially offset by a decrease in net interest income from our corporate liquidity portfolio as we reinvested a portion of these funds into agency MBS. See “Retained Mortgage Portfolio” for more information about our retained mortgage portfolio and “Liquidity and Capital Management—Liquidity Management—Corporate Liquidity Portfolio” for more information about our corporate liquidity portfolio.</w:t>
      </w:r>
    </w:p>
    <w:p>
      <w:pPr>
        <w:spacing w:after="0" w:line="53" w:lineRule="exact"/>
        <w:rPr>
          <w:rFonts w:ascii="Arial" w:cs="Arial" w:eastAsia="Arial" w:hAnsi="Arial"/>
          <w:sz w:val="16"/>
          <w:szCs w:val="16"/>
          <w:color w:val="auto"/>
        </w:rPr>
      </w:pPr>
    </w:p>
    <w:p>
      <w:pPr>
        <w:ind w:left="620" w:right="460" w:hanging="307"/>
        <w:spacing w:after="0" w:line="272"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Higher base guaranty fee income. </w:t>
      </w:r>
      <w:r>
        <w:rPr>
          <w:rFonts w:ascii="Arial" w:cs="Arial" w:eastAsia="Arial" w:hAnsi="Arial"/>
          <w:sz w:val="16"/>
          <w:szCs w:val="16"/>
          <w:color w:val="auto"/>
        </w:rPr>
        <w:t>Higher base guaranty fee income in the first quarter of 2026 compared with the first quarter of 2025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the size of our multifamily guaranty book of business, higher yield maintenance revenue we recognized on the prepayment of multifamily loans, and higher average guaranty fees on our single-family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3"/>
          <w:szCs w:val="13"/>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As shown in the chart below (on the left), most of our single-family conventional guaranty book of business as of March 31, 2026 had an interest rate lower than the U.S. weekly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March 26, 2026, the U.S. weekly average interest rate for a single-family 30-year fixed-rate mortgage was 6.38%. Accordingly, even if interest rates decline to 5%,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2025 Form 10-K.</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80" w:type="dxa"/>
            <w:vAlign w:val="bottom"/>
          </w:tcPr>
          <w:p>
            <w:pPr>
              <w:jc w:val="center"/>
              <w:ind w:right="4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220" w:type="dxa"/>
            <w:vAlign w:val="bottom"/>
          </w:tcPr>
          <w:p>
            <w:pPr>
              <w:spacing w:after="0"/>
              <w:rPr>
                <w:sz w:val="18"/>
                <w:szCs w:val="18"/>
                <w:color w:val="auto"/>
              </w:rPr>
            </w:pPr>
          </w:p>
        </w:tc>
      </w:tr>
      <w:tr>
        <w:trPr>
          <w:trHeight w:val="232"/>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Book of Business Compared with the U.S. Weekly</w:t>
            </w:r>
          </w:p>
        </w:tc>
        <w:tc>
          <w:tcPr>
            <w:tcW w:w="4220" w:type="dxa"/>
            <w:vAlign w:val="bottom"/>
          </w:tcPr>
          <w:p>
            <w:pPr>
              <w:spacing w:after="0"/>
              <w:rPr>
                <w:sz w:val="20"/>
                <w:szCs w:val="20"/>
                <w:color w:val="auto"/>
              </w:rPr>
            </w:pPr>
          </w:p>
        </w:tc>
      </w:tr>
      <w:tr>
        <w:trPr>
          <w:trHeight w:val="219"/>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Average 30-Year Fixed-Rate Mortgage Rate</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9"/>
              </w:rPr>
              <w:t>Unamortized Deferred Guaranty Fees</w:t>
            </w:r>
          </w:p>
        </w:tc>
      </w:tr>
      <w:tr>
        <w:trPr>
          <w:trHeight w:val="271"/>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5314D"/>
                <w:w w:val="99"/>
              </w:rPr>
              <w:t>As of March 31, 2026</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2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3215" cy="212026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FFB400"/>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94"/>
        </w:trPr>
        <w:tc>
          <w:tcPr>
            <w:tcW w:w="2920" w:type="dxa"/>
            <w:vAlign w:val="bottom"/>
          </w:tcPr>
          <w:p>
            <w:pPr>
              <w:spacing w:after="0"/>
              <w:rPr>
                <w:sz w:val="20"/>
                <w:szCs w:val="20"/>
                <w:color w:val="auto"/>
              </w:rPr>
            </w:pPr>
            <w:r>
              <w:rPr>
                <w:rFonts w:ascii="Arial" w:cs="Arial" w:eastAsia="Arial" w:hAnsi="Arial"/>
                <w:sz w:val="14"/>
                <w:szCs w:val="14"/>
                <w:color w:val="auto"/>
              </w:rPr>
              <w:t>Represents the U.S. weekly average 30-year</w:t>
            </w:r>
          </w:p>
        </w:tc>
        <w:tc>
          <w:tcPr>
            <w:tcW w:w="1520" w:type="dxa"/>
            <w:vAlign w:val="bottom"/>
            <w:vMerge w:val="restart"/>
          </w:tcPr>
          <w:p>
            <w:pPr>
              <w:ind w:left="180"/>
              <w:spacing w:after="0"/>
              <w:rPr>
                <w:sz w:val="20"/>
                <w:szCs w:val="20"/>
                <w:color w:val="auto"/>
              </w:rPr>
            </w:pPr>
            <w:r>
              <w:rPr>
                <w:rFonts w:ascii="Arial" w:cs="Arial" w:eastAsia="Arial" w:hAnsi="Arial"/>
                <w:sz w:val="124"/>
                <w:szCs w:val="124"/>
                <w:b w:val="1"/>
                <w:bCs w:val="1"/>
                <w:color w:val="2C6937"/>
              </w:rPr>
              <w:t>—</w:t>
            </w:r>
          </w:p>
        </w:tc>
        <w:tc>
          <w:tcPr>
            <w:tcW w:w="2880" w:type="dxa"/>
            <w:vAlign w:val="bottom"/>
          </w:tcPr>
          <w:p>
            <w:pPr>
              <w:ind w:left="80"/>
              <w:spacing w:after="0"/>
              <w:rPr>
                <w:sz w:val="20"/>
                <w:szCs w:val="20"/>
                <w:color w:val="auto"/>
              </w:rPr>
            </w:pPr>
            <w:r>
              <w:rPr>
                <w:rFonts w:ascii="Arial" w:cs="Arial" w:eastAsia="Arial" w:hAnsi="Arial"/>
                <w:sz w:val="14"/>
                <w:szCs w:val="14"/>
                <w:color w:val="auto"/>
              </w:rPr>
              <w:t>Represents the net unamortized cost basis</w:t>
            </w:r>
          </w:p>
        </w:tc>
        <w:tc>
          <w:tcPr>
            <w:tcW w:w="0" w:type="dxa"/>
            <w:vAlign w:val="bottom"/>
          </w:tcPr>
          <w:p>
            <w:pPr>
              <w:spacing w:after="0"/>
              <w:rPr>
                <w:sz w:val="1"/>
                <w:szCs w:val="1"/>
                <w:color w:val="auto"/>
              </w:rPr>
            </w:pPr>
          </w:p>
        </w:tc>
      </w:tr>
      <w:tr>
        <w:trPr>
          <w:trHeight w:val="134"/>
        </w:trPr>
        <w:tc>
          <w:tcPr>
            <w:tcW w:w="2920" w:type="dxa"/>
            <w:vAlign w:val="bottom"/>
          </w:tcPr>
          <w:p>
            <w:pPr>
              <w:spacing w:after="0" w:line="135" w:lineRule="exact"/>
              <w:rPr>
                <w:sz w:val="20"/>
                <w:szCs w:val="20"/>
                <w:color w:val="auto"/>
              </w:rPr>
            </w:pPr>
            <w:r>
              <w:rPr>
                <w:rFonts w:ascii="Arial" w:cs="Arial" w:eastAsia="Arial" w:hAnsi="Arial"/>
                <w:sz w:val="14"/>
                <w:szCs w:val="14"/>
                <w:color w:val="auto"/>
              </w:rPr>
              <w:t>fixed-rate mortgage rate as of March 26,</w:t>
            </w:r>
          </w:p>
        </w:tc>
        <w:tc>
          <w:tcPr>
            <w:tcW w:w="1520" w:type="dxa"/>
            <w:vAlign w:val="bottom"/>
            <w:vMerge w:val="continue"/>
          </w:tcPr>
          <w:p>
            <w:pPr>
              <w:spacing w:after="0"/>
              <w:rPr>
                <w:sz w:val="11"/>
                <w:szCs w:val="11"/>
                <w:color w:val="auto"/>
              </w:rPr>
            </w:pPr>
          </w:p>
        </w:tc>
        <w:tc>
          <w:tcPr>
            <w:tcW w:w="2880" w:type="dxa"/>
            <w:vAlign w:val="bottom"/>
          </w:tcPr>
          <w:p>
            <w:pPr>
              <w:ind w:left="80"/>
              <w:spacing w:after="0" w:line="135" w:lineRule="exact"/>
              <w:rPr>
                <w:sz w:val="20"/>
                <w:szCs w:val="20"/>
                <w:color w:val="auto"/>
              </w:rPr>
            </w:pPr>
            <w:r>
              <w:rPr>
                <w:rFonts w:ascii="Arial" w:cs="Arial" w:eastAsia="Arial" w:hAnsi="Arial"/>
                <w:sz w:val="14"/>
                <w:szCs w:val="14"/>
                <w:color w:val="auto"/>
                <w:w w:val="97"/>
              </w:rPr>
              <w:t>adjustment balance that will be amortized and</w:t>
            </w:r>
          </w:p>
        </w:tc>
        <w:tc>
          <w:tcPr>
            <w:tcW w:w="0" w:type="dxa"/>
            <w:vAlign w:val="bottom"/>
          </w:tcPr>
          <w:p>
            <w:pPr>
              <w:spacing w:after="0"/>
              <w:rPr>
                <w:sz w:val="1"/>
                <w:szCs w:val="1"/>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color w:val="auto"/>
              </w:rPr>
              <w:t>2026, according to Freddie Mac’s Primary</w:t>
            </w:r>
          </w:p>
        </w:tc>
        <w:tc>
          <w:tcPr>
            <w:tcW w:w="1520" w:type="dxa"/>
            <w:vAlign w:val="bottom"/>
            <w:vMerge w:val="continue"/>
          </w:tcPr>
          <w:p>
            <w:pPr>
              <w:spacing w:after="0"/>
              <w:rPr>
                <w:sz w:val="12"/>
                <w:szCs w:val="12"/>
                <w:color w:val="auto"/>
              </w:rPr>
            </w:pPr>
          </w:p>
        </w:tc>
        <w:tc>
          <w:tcPr>
            <w:tcW w:w="2880" w:type="dxa"/>
            <w:vAlign w:val="bottom"/>
          </w:tcPr>
          <w:p>
            <w:pPr>
              <w:ind w:left="80"/>
              <w:spacing w:after="0" w:line="142" w:lineRule="exact"/>
              <w:rPr>
                <w:sz w:val="20"/>
                <w:szCs w:val="20"/>
                <w:color w:val="auto"/>
              </w:rPr>
            </w:pPr>
            <w:r>
              <w:rPr>
                <w:rFonts w:ascii="Arial" w:cs="Arial" w:eastAsia="Arial" w:hAnsi="Arial"/>
                <w:sz w:val="14"/>
                <w:szCs w:val="14"/>
                <w:color w:val="auto"/>
              </w:rPr>
              <w:t>recognized through deferred guaranty fee</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Mortgage Market Survey</w:t>
            </w:r>
            <w:r>
              <w:rPr>
                <w:rFonts w:ascii="Arial" w:cs="Arial" w:eastAsia="Arial" w:hAnsi="Arial"/>
                <w:sz w:val="8"/>
                <w:szCs w:val="8"/>
                <w:color w:val="auto"/>
              </w:rPr>
              <w:t>®</w:t>
            </w:r>
            <w:r>
              <w:rPr>
                <w:rFonts w:ascii="Arial" w:cs="Arial" w:eastAsia="Arial" w:hAnsi="Arial"/>
                <w:sz w:val="14"/>
                <w:szCs w:val="14"/>
                <w:color w:val="auto"/>
              </w:rPr>
              <w:t>, the last published</w:t>
            </w:r>
          </w:p>
        </w:tc>
        <w:tc>
          <w:tcPr>
            <w:tcW w:w="1520" w:type="dxa"/>
            <w:vAlign w:val="bottom"/>
            <w:vMerge w:val="continue"/>
          </w:tcPr>
          <w:p>
            <w:pPr>
              <w:spacing w:after="0"/>
              <w:rPr>
                <w:sz w:val="12"/>
                <w:szCs w:val="12"/>
                <w:color w:val="auto"/>
              </w:rPr>
            </w:pPr>
          </w:p>
        </w:tc>
        <w:tc>
          <w:tcPr>
            <w:tcW w:w="2880" w:type="dxa"/>
            <w:vAlign w:val="bottom"/>
          </w:tcPr>
          <w:p>
            <w:pPr>
              <w:ind w:left="80"/>
              <w:spacing w:after="0" w:line="149" w:lineRule="exact"/>
              <w:rPr>
                <w:sz w:val="20"/>
                <w:szCs w:val="20"/>
                <w:color w:val="auto"/>
              </w:rPr>
            </w:pPr>
            <w:r>
              <w:rPr>
                <w:rFonts w:ascii="Arial" w:cs="Arial" w:eastAsia="Arial" w:hAnsi="Arial"/>
                <w:sz w:val="14"/>
                <w:szCs w:val="14"/>
                <w:color w:val="auto"/>
              </w:rPr>
              <w:t>income over the remaining contractual life of</w:t>
            </w:r>
          </w:p>
        </w:tc>
        <w:tc>
          <w:tcPr>
            <w:tcW w:w="0" w:type="dxa"/>
            <w:vAlign w:val="bottom"/>
          </w:tcPr>
          <w:p>
            <w:pPr>
              <w:spacing w:after="0"/>
              <w:rPr>
                <w:sz w:val="1"/>
                <w:szCs w:val="1"/>
                <w:color w:val="auto"/>
              </w:rPr>
            </w:pPr>
          </w:p>
        </w:tc>
      </w:t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color w:val="auto"/>
              </w:rPr>
              <w:t>rate for the quarter ending March 31, 2026.</w:t>
            </w:r>
          </w:p>
        </w:tc>
        <w:tc>
          <w:tcPr>
            <w:tcW w:w="1520" w:type="dxa"/>
            <w:vAlign w:val="bottom"/>
            <w:vMerge w:val="continue"/>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the mortgage loans or debt.</w:t>
            </w:r>
          </w:p>
        </w:tc>
        <w:tc>
          <w:tcPr>
            <w:tcW w:w="0" w:type="dxa"/>
            <w:vAlign w:val="bottom"/>
          </w:tcPr>
          <w:p>
            <w:pPr>
              <w:spacing w:after="0"/>
              <w:rPr>
                <w:sz w:val="1"/>
                <w:szCs w:val="1"/>
                <w:color w:val="auto"/>
              </w:rPr>
            </w:pPr>
          </w:p>
        </w:tc>
      </w:tr>
      <w:tr>
        <w:trPr>
          <w:trHeight w:val="425"/>
        </w:trPr>
        <w:tc>
          <w:tcPr>
            <w:tcW w:w="29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4"/>
                <w:szCs w:val="14"/>
                <w:color w:val="auto"/>
              </w:rPr>
              <w:t>Represents the percentage of single-family</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conventional guaranty book of business by</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select interest rate band based on the</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20"/>
                <w:szCs w:val="20"/>
                <w:color w:val="auto"/>
              </w:rPr>
            </w:pPr>
            <w:r>
              <w:rPr>
                <w:rFonts w:ascii="Arial" w:cs="Arial" w:eastAsia="Arial" w:hAnsi="Arial"/>
                <w:sz w:val="14"/>
                <w:szCs w:val="14"/>
                <w:color w:val="auto"/>
              </w:rPr>
              <w:t>current interest rate of the mortgage loans.</w:t>
            </w:r>
          </w:p>
        </w:tc>
        <w:tc>
          <w:tcPr>
            <w:tcW w:w="1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8" w:lineRule="exact"/>
        <w:rPr>
          <w:sz w:val="20"/>
          <w:szCs w:val="20"/>
          <w:color w:val="auto"/>
        </w:rPr>
      </w:pPr>
    </w:p>
    <w:p>
      <w:pPr>
        <w:sectPr>
          <w:pgSz w:w="11900" w:h="16838" w:orient="portrait"/>
          <w:cols w:equalWidth="0" w:num="2">
            <w:col w:w="2480" w:space="180"/>
            <w:col w:w="8580"/>
          </w:cols>
          <w:pgMar w:left="320" w:top="248" w:right="339" w:bottom="1440" w:gutter="0" w:footer="0" w:header="0"/>
          <w:type w:val="continuous"/>
        </w:sectPr>
      </w:pPr>
    </w:p>
    <w:p>
      <w:pPr>
        <w:ind w:right="60"/>
        <w:spacing w:after="0" w:line="253"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 are different compared to newly acquired loans and debt.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the unpaid principal balance (“UPB”)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2920" w:type="dxa"/>
            <w:vAlign w:val="bottom"/>
            <w:tcBorders>
              <w:top w:val="single" w:sz="8" w:color="2C6937"/>
              <w:bottom w:val="single" w:sz="8" w:color="2C6937"/>
            </w:tcBorders>
            <w:gridSpan w:val="6"/>
          </w:tcPr>
          <w:p>
            <w:pPr>
              <w:spacing w:after="0"/>
              <w:rPr>
                <w:sz w:val="20"/>
                <w:szCs w:val="20"/>
                <w:color w:val="auto"/>
              </w:rPr>
            </w:pPr>
            <w:r>
              <w:rPr>
                <w:rFonts w:ascii="Arial" w:cs="Arial" w:eastAsia="Arial" w:hAnsi="Arial"/>
                <w:sz w:val="15"/>
                <w:szCs w:val="15"/>
                <w:b w:val="1"/>
                <w:bCs w:val="1"/>
                <w:color w:val="auto"/>
              </w:rPr>
              <w:t>For the Three Months Ended March 31,</w:t>
            </w:r>
          </w:p>
        </w:tc>
        <w:tc>
          <w:tcPr>
            <w:tcW w:w="106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2026</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360" w:type="dxa"/>
            <w:vAlign w:val="bottom"/>
            <w:tcBorders>
              <w:bottom w:val="single" w:sz="8" w:color="2C6937"/>
            </w:tcBorders>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ind w:left="200"/>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ind w:left="300"/>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222"/>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ind w:left="700"/>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11,092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3.53 %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11,625</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125</w:t>
            </w:r>
          </w:p>
        </w:tc>
        <w:tc>
          <w:tcPr>
            <w:tcW w:w="1360" w:type="dxa"/>
            <w:vAlign w:val="bottom"/>
          </w:tcPr>
          <w:p>
            <w:pPr>
              <w:ind w:left="860"/>
              <w:spacing w:after="0"/>
              <w:rPr>
                <w:sz w:val="20"/>
                <w:szCs w:val="20"/>
                <w:color w:val="auto"/>
              </w:rPr>
            </w:pPr>
            <w:r>
              <w:rPr>
                <w:rFonts w:ascii="Arial" w:cs="Arial" w:eastAsia="Arial" w:hAnsi="Arial"/>
                <w:sz w:val="15"/>
                <w:szCs w:val="15"/>
                <w:color w:val="auto"/>
              </w:rPr>
              <w:t>4.30 %</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67,993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630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79,218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872</w:t>
            </w:r>
          </w:p>
        </w:tc>
        <w:tc>
          <w:tcPr>
            <w:tcW w:w="1360" w:type="dxa"/>
            <w:vAlign w:val="bottom"/>
          </w:tcPr>
          <w:p>
            <w:pPr>
              <w:ind w:left="860"/>
              <w:spacing w:after="0"/>
              <w:rPr>
                <w:sz w:val="20"/>
                <w:szCs w:val="20"/>
                <w:color w:val="auto"/>
              </w:rPr>
            </w:pPr>
            <w:r>
              <w:rPr>
                <w:rFonts w:ascii="Arial" w:cs="Arial" w:eastAsia="Arial" w:hAnsi="Arial"/>
                <w:sz w:val="15"/>
                <w:szCs w:val="15"/>
                <w:color w:val="auto"/>
              </w:rPr>
              <w:t>4.40</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65,219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547</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81,509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587</w:t>
            </w:r>
          </w:p>
        </w:tc>
        <w:tc>
          <w:tcPr>
            <w:tcW w:w="1360" w:type="dxa"/>
            <w:vAlign w:val="bottom"/>
          </w:tcPr>
          <w:p>
            <w:pPr>
              <w:ind w:left="860"/>
              <w:spacing w:after="0"/>
              <w:rPr>
                <w:sz w:val="20"/>
                <w:szCs w:val="20"/>
                <w:color w:val="auto"/>
              </w:rPr>
            </w:pPr>
            <w:r>
              <w:rPr>
                <w:rFonts w:ascii="Arial" w:cs="Arial" w:eastAsia="Arial" w:hAnsi="Arial"/>
                <w:sz w:val="15"/>
                <w:szCs w:val="15"/>
                <w:color w:val="auto"/>
              </w:rPr>
              <w:t>2.88</w:t>
            </w:r>
          </w:p>
        </w:tc>
      </w:tr>
      <w:tr>
        <w:trPr>
          <w:trHeight w:val="21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60,605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655</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49,919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499</w:t>
            </w:r>
          </w:p>
        </w:tc>
        <w:tc>
          <w:tcPr>
            <w:tcW w:w="1360" w:type="dxa"/>
            <w:vAlign w:val="bottom"/>
          </w:tcPr>
          <w:p>
            <w:pPr>
              <w:ind w:left="860"/>
              <w:spacing w:after="0"/>
              <w:rPr>
                <w:sz w:val="20"/>
                <w:szCs w:val="20"/>
                <w:color w:val="auto"/>
              </w:rPr>
            </w:pPr>
            <w:r>
              <w:rPr>
                <w:rFonts w:ascii="Arial" w:cs="Arial" w:eastAsia="Arial" w:hAnsi="Arial"/>
                <w:sz w:val="15"/>
                <w:szCs w:val="15"/>
                <w:color w:val="auto"/>
              </w:rPr>
              <w:t>4.00</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4,069,960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38,250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4,094,365</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36,900</w:t>
            </w:r>
          </w:p>
        </w:tc>
        <w:tc>
          <w:tcPr>
            <w:tcW w:w="1360" w:type="dxa"/>
            <w:vAlign w:val="bottom"/>
          </w:tcPr>
          <w:p>
            <w:pPr>
              <w:ind w:left="860"/>
              <w:spacing w:after="0"/>
              <w:rPr>
                <w:sz w:val="20"/>
                <w:szCs w:val="20"/>
                <w:color w:val="auto"/>
              </w:rPr>
            </w:pPr>
            <w:r>
              <w:rPr>
                <w:rFonts w:ascii="Arial" w:cs="Arial" w:eastAsia="Arial" w:hAnsi="Arial"/>
                <w:sz w:val="15"/>
                <w:szCs w:val="15"/>
                <w:color w:val="auto"/>
              </w:rPr>
              <w:t>3.60</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4,130,565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38,905</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4,144,284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37,399</w:t>
            </w:r>
          </w:p>
        </w:tc>
        <w:tc>
          <w:tcPr>
            <w:tcW w:w="1360" w:type="dxa"/>
            <w:vAlign w:val="bottom"/>
          </w:tcPr>
          <w:p>
            <w:pPr>
              <w:ind w:left="860"/>
              <w:spacing w:after="0"/>
              <w:rPr>
                <w:sz w:val="20"/>
                <w:szCs w:val="20"/>
                <w:color w:val="auto"/>
              </w:rPr>
            </w:pPr>
            <w:r>
              <w:rPr>
                <w:rFonts w:ascii="Arial" w:cs="Arial" w:eastAsia="Arial" w:hAnsi="Arial"/>
                <w:sz w:val="15"/>
                <w:szCs w:val="15"/>
                <w:color w:val="auto"/>
              </w:rPr>
              <w:t>3.61</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3,452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4.87</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2,376</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33</w:t>
            </w:r>
          </w:p>
        </w:tc>
        <w:tc>
          <w:tcPr>
            <w:tcW w:w="1360" w:type="dxa"/>
            <w:vAlign w:val="bottom"/>
          </w:tcPr>
          <w:p>
            <w:pPr>
              <w:ind w:left="860"/>
              <w:spacing w:after="0"/>
              <w:rPr>
                <w:sz w:val="20"/>
                <w:szCs w:val="20"/>
                <w:color w:val="auto"/>
              </w:rPr>
            </w:pPr>
            <w:r>
              <w:rPr>
                <w:rFonts w:ascii="Arial" w:cs="Arial" w:eastAsia="Arial" w:hAnsi="Arial"/>
                <w:sz w:val="15"/>
                <w:szCs w:val="15"/>
                <w:color w:val="auto"/>
              </w:rPr>
              <w:t>5.56</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4,278,321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40,222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3.76 %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4,319,012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39,016</w:t>
            </w:r>
          </w:p>
        </w:tc>
        <w:tc>
          <w:tcPr>
            <w:tcW w:w="1360" w:type="dxa"/>
            <w:vAlign w:val="bottom"/>
          </w:tcPr>
          <w:p>
            <w:pPr>
              <w:ind w:left="860"/>
              <w:spacing w:after="0"/>
              <w:rPr>
                <w:sz w:val="20"/>
                <w:szCs w:val="20"/>
                <w:color w:val="auto"/>
              </w:rPr>
            </w:pPr>
            <w:r>
              <w:rPr>
                <w:rFonts w:ascii="Arial" w:cs="Arial" w:eastAsia="Arial" w:hAnsi="Arial"/>
                <w:sz w:val="15"/>
                <w:szCs w:val="15"/>
                <w:color w:val="auto"/>
              </w:rPr>
              <w:t>3.61 %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21,431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(194)</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3.62 %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9,837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(105)</w:t>
            </w:r>
          </w:p>
        </w:tc>
        <w:tc>
          <w:tcPr>
            <w:tcW w:w="1360" w:type="dxa"/>
            <w:vAlign w:val="bottom"/>
          </w:tcPr>
          <w:p>
            <w:pPr>
              <w:ind w:left="860"/>
              <w:spacing w:after="0"/>
              <w:rPr>
                <w:sz w:val="20"/>
                <w:szCs w:val="20"/>
                <w:color w:val="auto"/>
              </w:rPr>
            </w:pPr>
            <w:r>
              <w:rPr>
                <w:rFonts w:ascii="Arial" w:cs="Arial" w:eastAsia="Arial" w:hAnsi="Arial"/>
                <w:sz w:val="15"/>
                <w:szCs w:val="15"/>
                <w:color w:val="auto"/>
              </w:rPr>
              <w:t>4.27 %</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Long-term funding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116,949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(1,310)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4.48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125,332</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(1,292)</w:t>
            </w:r>
          </w:p>
        </w:tc>
        <w:tc>
          <w:tcPr>
            <w:tcW w:w="1360" w:type="dxa"/>
            <w:vAlign w:val="bottom"/>
          </w:tcPr>
          <w:p>
            <w:pPr>
              <w:ind w:left="860"/>
              <w:spacing w:after="0"/>
              <w:rPr>
                <w:sz w:val="20"/>
                <w:szCs w:val="20"/>
                <w:color w:val="auto"/>
              </w:rPr>
            </w:pPr>
            <w:r>
              <w:rPr>
                <w:rFonts w:ascii="Arial" w:cs="Arial" w:eastAsia="Arial" w:hAnsi="Arial"/>
                <w:sz w:val="15"/>
                <w:szCs w:val="15"/>
                <w:color w:val="auto"/>
              </w:rPr>
              <w:t>4.12</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138,380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(1,504)</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135,169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(1,397)</w:t>
            </w:r>
          </w:p>
        </w:tc>
        <w:tc>
          <w:tcPr>
            <w:tcW w:w="1360" w:type="dxa"/>
            <w:vAlign w:val="bottom"/>
          </w:tcPr>
          <w:p>
            <w:pPr>
              <w:ind w:left="860"/>
              <w:spacing w:after="0"/>
              <w:rPr>
                <w:sz w:val="20"/>
                <w:szCs w:val="20"/>
                <w:color w:val="auto"/>
              </w:rPr>
            </w:pPr>
            <w:r>
              <w:rPr>
                <w:rFonts w:ascii="Arial" w:cs="Arial" w:eastAsia="Arial" w:hAnsi="Arial"/>
                <w:sz w:val="15"/>
                <w:szCs w:val="15"/>
                <w:color w:val="auto"/>
              </w:rPr>
              <w:t>4.13</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4,021,658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(31,520)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3.14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4,080,854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(30,618)</w:t>
            </w:r>
          </w:p>
        </w:tc>
        <w:tc>
          <w:tcPr>
            <w:tcW w:w="1360" w:type="dxa"/>
            <w:vAlign w:val="bottom"/>
          </w:tcPr>
          <w:p>
            <w:pPr>
              <w:ind w:left="860"/>
              <w:spacing w:after="0"/>
              <w:rPr>
                <w:sz w:val="20"/>
                <w:szCs w:val="20"/>
                <w:color w:val="auto"/>
              </w:rPr>
            </w:pPr>
            <w:r>
              <w:rPr>
                <w:rFonts w:ascii="Arial" w:cs="Arial" w:eastAsia="Arial" w:hAnsi="Arial"/>
                <w:sz w:val="15"/>
                <w:szCs w:val="15"/>
                <w:color w:val="auto"/>
              </w:rPr>
              <w:t>3.00</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4,160,038</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(33,024)</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3.18 %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4,216,023</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(32,015)</w:t>
            </w:r>
          </w:p>
        </w:tc>
        <w:tc>
          <w:tcPr>
            <w:tcW w:w="1360" w:type="dxa"/>
            <w:vAlign w:val="bottom"/>
          </w:tcPr>
          <w:p>
            <w:pPr>
              <w:ind w:left="860"/>
              <w:spacing w:after="0"/>
              <w:rPr>
                <w:sz w:val="20"/>
                <w:szCs w:val="20"/>
                <w:color w:val="auto"/>
              </w:rPr>
            </w:pPr>
            <w:r>
              <w:rPr>
                <w:rFonts w:ascii="Arial" w:cs="Arial" w:eastAsia="Arial" w:hAnsi="Arial"/>
                <w:sz w:val="15"/>
                <w:szCs w:val="15"/>
                <w:color w:val="auto"/>
              </w:rPr>
              <w:t>3.04 %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06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7,198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0.67 %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7,001</w:t>
            </w:r>
          </w:p>
        </w:tc>
        <w:tc>
          <w:tcPr>
            <w:tcW w:w="1360" w:type="dxa"/>
            <w:vAlign w:val="bottom"/>
          </w:tcPr>
          <w:p>
            <w:pPr>
              <w:ind w:left="860"/>
              <w:spacing w:after="0"/>
              <w:rPr>
                <w:sz w:val="20"/>
                <w:szCs w:val="20"/>
                <w:color w:val="auto"/>
              </w:rPr>
            </w:pPr>
            <w:r>
              <w:rPr>
                <w:rFonts w:ascii="Arial" w:cs="Arial" w:eastAsia="Arial" w:hAnsi="Arial"/>
                <w:sz w:val="15"/>
                <w:szCs w:val="15"/>
                <w:color w:val="auto"/>
              </w:rPr>
              <w:t>0.65 %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40" w:hanging="237"/>
        <w:spacing w:after="0" w:line="222" w:lineRule="auto"/>
        <w:tabs>
          <w:tab w:leader="none" w:pos="21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Average balance includes mortgage loans on nonaccrual status. Interest income includes loan fees of $790 million for the first quarter of 2026, compared with $645 million for the first quarter of 2025.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(Provision) Benefit for Credit Losses</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table below presents our single-family and multifamily benefit or provision for credit losses and the change in expected credit enhancement recoveries. The benefit or provision for credit losses includes our benefit or provision for loan losses, advances of pre-foreclosure costs, accrued interest receivable losses, our guaranty loss reserves and credit losses on our available-for-sale (“AFS”) debt securities.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(Provision) Benefit for Credit Losses and Change in Expected Credit Enhancement Recoveries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40" w:type="dxa"/>
            <w:vAlign w:val="bottom"/>
            <w:tcBorders>
              <w:top w:val="single" w:sz="8" w:color="2C6937"/>
            </w:tcBorders>
          </w:tcPr>
          <w:p>
            <w:pPr>
              <w:spacing w:after="0"/>
              <w:rPr>
                <w:sz w:val="21"/>
                <w:szCs w:val="21"/>
                <w:color w:val="auto"/>
              </w:rPr>
            </w:pPr>
          </w:p>
        </w:tc>
        <w:tc>
          <w:tcPr>
            <w:tcW w:w="100" w:type="dxa"/>
            <w:vAlign w:val="bottom"/>
            <w:tcBorders>
              <w:top w:val="single" w:sz="8" w:color="2C6937"/>
            </w:tcBorders>
          </w:tcPr>
          <w:p>
            <w:pPr>
              <w:spacing w:after="0"/>
              <w:rPr>
                <w:sz w:val="21"/>
                <w:szCs w:val="21"/>
                <w:color w:val="auto"/>
              </w:rPr>
            </w:pPr>
          </w:p>
        </w:tc>
        <w:tc>
          <w:tcPr>
            <w:tcW w:w="3920" w:type="dxa"/>
            <w:vAlign w:val="bottom"/>
            <w:tcBorders>
              <w:top w:val="single" w:sz="8" w:color="2C6937"/>
              <w:bottom w:val="single" w:sz="8" w:color="2C6937"/>
            </w:tcBorders>
            <w:gridSpan w:val="4"/>
          </w:tcPr>
          <w:p>
            <w:pPr>
              <w:jc w:val="right"/>
              <w:ind w:right="183"/>
              <w:spacing w:after="0"/>
              <w:rPr>
                <w:sz w:val="20"/>
                <w:szCs w:val="20"/>
                <w:color w:val="auto"/>
              </w:rPr>
            </w:pPr>
            <w:r>
              <w:rPr>
                <w:rFonts w:ascii="Arial" w:cs="Arial" w:eastAsia="Arial" w:hAnsi="Arial"/>
                <w:sz w:val="15"/>
                <w:szCs w:val="15"/>
                <w:b w:val="1"/>
                <w:bCs w:val="1"/>
                <w:color w:val="auto"/>
              </w:rPr>
              <w:t>For the Three Months Ended March 31,</w:t>
            </w:r>
          </w:p>
        </w:tc>
        <w:tc>
          <w:tcPr>
            <w:tcW w:w="560" w:type="dxa"/>
            <w:vAlign w:val="bottom"/>
            <w:tcBorders>
              <w:top w:val="single" w:sz="8" w:color="2C6937"/>
              <w:bottom w:val="single" w:sz="8" w:color="2C6937"/>
            </w:tcBorders>
          </w:tcPr>
          <w:p>
            <w:pPr>
              <w:spacing w:after="0"/>
              <w:rPr>
                <w:sz w:val="21"/>
                <w:szCs w:val="21"/>
                <w:color w:val="auto"/>
              </w:rPr>
            </w:pPr>
          </w:p>
        </w:tc>
      </w:tr>
      <w:tr>
        <w:trPr>
          <w:trHeight w:val="229"/>
        </w:trPr>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2026</w:t>
            </w:r>
          </w:p>
        </w:tc>
        <w:tc>
          <w:tcPr>
            <w:tcW w:w="80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4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2025</w:t>
            </w:r>
          </w:p>
        </w:tc>
        <w:tc>
          <w:tcPr>
            <w:tcW w:w="560" w:type="dxa"/>
            <w:vAlign w:val="bottom"/>
            <w:tcBorders>
              <w:bottom w:val="single" w:sz="8" w:color="2C6937"/>
            </w:tcBorders>
          </w:tcPr>
          <w:p>
            <w:pPr>
              <w:spacing w:after="0"/>
              <w:rPr>
                <w:sz w:val="19"/>
                <w:szCs w:val="19"/>
                <w:color w:val="auto"/>
              </w:rPr>
            </w:pPr>
          </w:p>
        </w:tc>
      </w:tr>
      <w:tr>
        <w:trPr>
          <w:trHeight w:val="299"/>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gridSpan w:val="3"/>
          </w:tcPr>
          <w:p>
            <w:pPr>
              <w:jc w:val="right"/>
              <w:ind w:right="883"/>
              <w:spacing w:after="0"/>
              <w:rPr>
                <w:sz w:val="20"/>
                <w:szCs w:val="20"/>
                <w:color w:val="auto"/>
              </w:rPr>
            </w:pPr>
            <w:r>
              <w:rPr>
                <w:rFonts w:ascii="Arial" w:cs="Arial" w:eastAsia="Arial" w:hAnsi="Arial"/>
                <w:sz w:val="15"/>
                <w:szCs w:val="15"/>
                <w:b w:val="1"/>
                <w:bCs w:val="1"/>
                <w:color w:val="auto"/>
              </w:rPr>
              <w:t>(Dollars in millions)</w:t>
            </w:r>
          </w:p>
        </w:tc>
        <w:tc>
          <w:tcPr>
            <w:tcW w:w="560" w:type="dxa"/>
            <w:vAlign w:val="bottom"/>
          </w:tcPr>
          <w:p>
            <w:pPr>
              <w:spacing w:after="0"/>
              <w:rPr>
                <w:sz w:val="24"/>
                <w:szCs w:val="24"/>
                <w:color w:val="auto"/>
              </w:rPr>
            </w:pPr>
          </w:p>
        </w:tc>
      </w:tr>
      <w:tr>
        <w:trPr>
          <w:trHeight w:val="309"/>
        </w:trPr>
        <w:tc>
          <w:tcPr>
            <w:tcW w:w="674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benefit for credit losses:</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9"/>
        </w:trPr>
        <w:tc>
          <w:tcPr>
            <w:tcW w:w="6740" w:type="dxa"/>
            <w:vAlign w:val="bottom"/>
            <w:gridSpan w:val="2"/>
          </w:tcPr>
          <w:p>
            <w:pPr>
              <w:ind w:left="20"/>
              <w:spacing w:after="0"/>
              <w:rPr>
                <w:sz w:val="20"/>
                <w:szCs w:val="20"/>
                <w:color w:val="auto"/>
              </w:rPr>
            </w:pPr>
            <w:r>
              <w:rPr>
                <w:rFonts w:ascii="Arial" w:cs="Arial" w:eastAsia="Arial" w:hAnsi="Arial"/>
                <w:sz w:val="15"/>
                <w:szCs w:val="15"/>
                <w:color w:val="auto"/>
              </w:rPr>
              <w:t>Single-family (provision) benefit for credit losses</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19"/>
                <w:szCs w:val="19"/>
                <w:color w:val="auto"/>
              </w:rPr>
            </w:pPr>
          </w:p>
        </w:tc>
        <w:tc>
          <w:tcPr>
            <w:tcW w:w="1640" w:type="dxa"/>
            <w:vAlign w:val="bottom"/>
          </w:tcPr>
          <w:p>
            <w:pPr>
              <w:jc w:val="right"/>
              <w:ind w:right="144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303"/>
        </w:trPr>
        <w:tc>
          <w:tcPr>
            <w:tcW w:w="664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benefit for credit losses</w:t>
            </w:r>
          </w:p>
        </w:tc>
        <w:tc>
          <w:tcPr>
            <w:tcW w:w="100" w:type="dxa"/>
            <w:vAlign w:val="bottom"/>
          </w:tcPr>
          <w:p>
            <w:pPr>
              <w:spacing w:after="0"/>
              <w:rPr>
                <w:sz w:val="24"/>
                <w:szCs w:val="24"/>
                <w:color w:val="auto"/>
              </w:rPr>
            </w:pPr>
          </w:p>
        </w:tc>
        <w:tc>
          <w:tcPr>
            <w:tcW w:w="140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24"/>
                <w:szCs w:val="24"/>
                <w:color w:val="auto"/>
              </w:rPr>
            </w:pPr>
          </w:p>
        </w:tc>
        <w:tc>
          <w:tcPr>
            <w:tcW w:w="1640" w:type="dxa"/>
            <w:vAlign w:val="bottom"/>
            <w:tcBorders>
              <w:bottom w:val="single" w:sz="8" w:color="216C2B"/>
            </w:tcBorders>
          </w:tcPr>
          <w:p>
            <w:pPr>
              <w:spacing w:after="0"/>
              <w:rPr>
                <w:sz w:val="24"/>
                <w:szCs w:val="24"/>
                <w:color w:val="auto"/>
              </w:rPr>
            </w:pPr>
          </w:p>
        </w:tc>
        <w:tc>
          <w:tcPr>
            <w:tcW w:w="56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w:t>
            </w:r>
          </w:p>
        </w:tc>
      </w:tr>
      <w:tr>
        <w:trPr>
          <w:trHeight w:val="302"/>
        </w:trPr>
        <w:tc>
          <w:tcPr>
            <w:tcW w:w="6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(provision) benefit for credit losses</w:t>
            </w:r>
          </w:p>
        </w:tc>
        <w:tc>
          <w:tcPr>
            <w:tcW w:w="100" w:type="dxa"/>
            <w:vAlign w:val="bottom"/>
          </w:tcPr>
          <w:p>
            <w:pPr>
              <w:spacing w:after="0"/>
              <w:rPr>
                <w:sz w:val="24"/>
                <w:szCs w:val="24"/>
                <w:color w:val="auto"/>
              </w:rPr>
            </w:pPr>
          </w:p>
        </w:tc>
        <w:tc>
          <w:tcPr>
            <w:tcW w:w="1400" w:type="dxa"/>
            <w:vAlign w:val="bottom"/>
            <w:tcBorders>
              <w:bottom w:val="single" w:sz="8" w:color="2C6937"/>
            </w:tcBorders>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(277)</w:t>
            </w:r>
          </w:p>
        </w:tc>
        <w:tc>
          <w:tcPr>
            <w:tcW w:w="80" w:type="dxa"/>
            <w:vAlign w:val="bottom"/>
          </w:tcPr>
          <w:p>
            <w:pPr>
              <w:spacing w:after="0"/>
              <w:rPr>
                <w:sz w:val="24"/>
                <w:szCs w:val="24"/>
                <w:color w:val="auto"/>
              </w:rPr>
            </w:pPr>
          </w:p>
        </w:tc>
        <w:tc>
          <w:tcPr>
            <w:tcW w:w="1640" w:type="dxa"/>
            <w:vAlign w:val="bottom"/>
            <w:tcBorders>
              <w:bottom w:val="single" w:sz="8" w:color="2C6937"/>
            </w:tcBorders>
          </w:tcPr>
          <w:p>
            <w:pPr>
              <w:jc w:val="right"/>
              <w:ind w:right="1443"/>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r>
      <w:tr>
        <w:trPr>
          <w:trHeight w:val="20"/>
        </w:trPr>
        <w:tc>
          <w:tcPr>
            <w:tcW w:w="6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r>
      <w:tr>
        <w:trPr>
          <w:trHeight w:val="357"/>
        </w:trPr>
        <w:tc>
          <w:tcPr>
            <w:tcW w:w="674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(1)</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9"/>
        </w:trPr>
        <w:tc>
          <w:tcPr>
            <w:tcW w:w="674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12</w:t>
            </w:r>
          </w:p>
        </w:tc>
        <w:tc>
          <w:tcPr>
            <w:tcW w:w="80" w:type="dxa"/>
            <w:vAlign w:val="bottom"/>
          </w:tcPr>
          <w:p>
            <w:pPr>
              <w:spacing w:after="0"/>
              <w:rPr>
                <w:sz w:val="22"/>
                <w:szCs w:val="22"/>
                <w:color w:val="auto"/>
              </w:rPr>
            </w:pPr>
          </w:p>
        </w:tc>
        <w:tc>
          <w:tcPr>
            <w:tcW w:w="1640" w:type="dxa"/>
            <w:vAlign w:val="bottom"/>
          </w:tcPr>
          <w:p>
            <w:pPr>
              <w:jc w:val="right"/>
              <w:ind w:right="144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303"/>
        </w:trPr>
        <w:tc>
          <w:tcPr>
            <w:tcW w:w="6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40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60</w:t>
            </w:r>
          </w:p>
        </w:tc>
        <w:tc>
          <w:tcPr>
            <w:tcW w:w="80" w:type="dxa"/>
            <w:vAlign w:val="bottom"/>
          </w:tcPr>
          <w:p>
            <w:pPr>
              <w:spacing w:after="0"/>
              <w:rPr>
                <w:sz w:val="24"/>
                <w:szCs w:val="24"/>
                <w:color w:val="auto"/>
              </w:rPr>
            </w:pPr>
          </w:p>
        </w:tc>
        <w:tc>
          <w:tcPr>
            <w:tcW w:w="164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r>
      <w:tr>
        <w:trPr>
          <w:trHeight w:val="302"/>
        </w:trPr>
        <w:tc>
          <w:tcPr>
            <w:tcW w:w="6740" w:type="dxa"/>
            <w:vAlign w:val="bottom"/>
            <w:gridSpan w:val="2"/>
          </w:tcPr>
          <w:p>
            <w:pPr>
              <w:ind w:left="20"/>
              <w:spacing w:after="0"/>
              <w:rPr>
                <w:sz w:val="20"/>
                <w:szCs w:val="20"/>
                <w:color w:val="auto"/>
              </w:rPr>
            </w:pPr>
            <w:r>
              <w:rPr>
                <w:rFonts w:ascii="Arial" w:cs="Arial" w:eastAsia="Arial" w:hAnsi="Arial"/>
                <w:sz w:val="15"/>
                <w:szCs w:val="15"/>
                <w:color w:val="auto"/>
              </w:rPr>
              <w:t>Total change in expected credit enhancement recoveries</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72</w:t>
            </w:r>
          </w:p>
        </w:tc>
        <w:tc>
          <w:tcPr>
            <w:tcW w:w="80" w:type="dxa"/>
            <w:vAlign w:val="bottom"/>
          </w:tcPr>
          <w:p>
            <w:pPr>
              <w:spacing w:after="0"/>
              <w:rPr>
                <w:sz w:val="24"/>
                <w:szCs w:val="24"/>
                <w:color w:val="auto"/>
              </w:rPr>
            </w:pPr>
          </w:p>
        </w:tc>
        <w:tc>
          <w:tcPr>
            <w:tcW w:w="1640" w:type="dxa"/>
            <w:vAlign w:val="bottom"/>
          </w:tcPr>
          <w:p>
            <w:pPr>
              <w:jc w:val="right"/>
              <w:ind w:right="144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
        </w:trPr>
        <w:tc>
          <w:tcPr>
            <w:tcW w:w="664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226600"/>
              <w:bottom w:val="single" w:sz="8" w:color="226600"/>
            </w:tcBorders>
          </w:tcPr>
          <w:p>
            <w:pPr>
              <w:spacing w:after="0" w:line="20" w:lineRule="exact"/>
              <w:rPr>
                <w:sz w:val="1"/>
                <w:szCs w:val="1"/>
                <w:color w:val="auto"/>
              </w:rPr>
            </w:pPr>
          </w:p>
        </w:tc>
        <w:tc>
          <w:tcPr>
            <w:tcW w:w="80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226600"/>
              <w:bottom w:val="single" w:sz="8" w:color="226600"/>
            </w:tcBorders>
          </w:tcPr>
          <w:p>
            <w:pPr>
              <w:spacing w:after="0" w:line="20" w:lineRule="exact"/>
              <w:rPr>
                <w:sz w:val="1"/>
                <w:szCs w:val="1"/>
                <w:color w:val="auto"/>
              </w:rPr>
            </w:pPr>
          </w:p>
        </w:tc>
        <w:tc>
          <w:tcPr>
            <w:tcW w:w="560" w:type="dxa"/>
            <w:vAlign w:val="bottom"/>
            <w:tcBorders>
              <w:top w:val="single" w:sz="8" w:color="226600"/>
              <w:bottom w:val="single" w:sz="8" w:color="226600"/>
            </w:tcBorders>
          </w:tcPr>
          <w:p>
            <w:pPr>
              <w:spacing w:after="0" w:line="20" w:lineRule="exact"/>
              <w:rPr>
                <w:sz w:val="1"/>
                <w:szCs w:val="1"/>
                <w:color w:val="auto"/>
              </w:rPr>
            </w:pPr>
          </w:p>
        </w:tc>
      </w:tr>
    </w:tbl>
    <w:p>
      <w:pPr>
        <w:spacing w:after="0" w:line="109" w:lineRule="exact"/>
        <w:rPr>
          <w:sz w:val="20"/>
          <w:szCs w:val="20"/>
          <w:color w:val="auto"/>
        </w:rPr>
      </w:pPr>
    </w:p>
    <w:p>
      <w:pPr>
        <w:ind w:left="240" w:right="320" w:hanging="237"/>
        <w:spacing w:after="0" w:line="278" w:lineRule="auto"/>
        <w:tabs>
          <w:tab w:leader="none" w:pos="233"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Consists of estimated changes in benefits from our freestanding credit enhancements, which are recognized as a component of “Other income (expense), net” in our condensed consolidated statements of operations and comprehensive income.</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(Provision) Benefit for Credit Losses</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single-family provision for credit losses in the first quarter of 2026 was primarily driven by provision associated with loans that we acquired during the period, the majority of which consisted of purchase loans, and by provision from newly delinquent loans, partially offset by a benefit from actual home price growth.</w:t>
      </w:r>
    </w:p>
    <w:p>
      <w:pPr>
        <w:spacing w:after="0" w:line="3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single-family provision for credit losses of $24 million in the first quarter of 2025 reflected the impact of economic uncertainty and improvements in actual and forecasted home price growth.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More specifically, the provision from economic uncertainty was offset by a benefit from actual and forecasted home price growth as described below:</w:t>
      </w:r>
    </w:p>
    <w:p>
      <w:pPr>
        <w:spacing w:after="0" w:line="87" w:lineRule="exact"/>
        <w:rPr>
          <w:sz w:val="20"/>
          <w:szCs w:val="20"/>
          <w:color w:val="auto"/>
        </w:rPr>
      </w:pPr>
    </w:p>
    <w:p>
      <w:pPr>
        <w:ind w:left="620" w:right="280" w:hanging="307"/>
        <w:spacing w:after="0" w:line="293" w:lineRule="auto"/>
        <w:tabs>
          <w:tab w:leader="none" w:pos="61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Provision from economic uncertainty. </w:t>
      </w:r>
      <w:r>
        <w:rPr>
          <w:rFonts w:ascii="Arial" w:cs="Arial" w:eastAsia="Arial" w:hAnsi="Arial"/>
          <w:sz w:val="16"/>
          <w:szCs w:val="16"/>
          <w:color w:val="auto"/>
        </w:rPr>
        <w:t>During the first quarter of 2025, the impact of economic uncertainty associated with recent trade and fiscal</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led to market volatility, which increased our estimate for credit losses and resulted in a provision.</w:t>
      </w:r>
    </w:p>
    <w:p>
      <w:pPr>
        <w:spacing w:after="0" w:line="14" w:lineRule="exact"/>
        <w:rPr>
          <w:rFonts w:ascii="Arial" w:cs="Arial" w:eastAsia="Arial" w:hAnsi="Arial"/>
          <w:sz w:val="16"/>
          <w:szCs w:val="16"/>
          <w:i w:val="1"/>
          <w:iCs w:val="1"/>
          <w:color w:val="auto"/>
        </w:rPr>
      </w:pPr>
    </w:p>
    <w:p>
      <w:pPr>
        <w:ind w:left="620" w:right="620" w:hanging="307"/>
        <w:spacing w:after="0" w:line="293" w:lineRule="auto"/>
        <w:tabs>
          <w:tab w:leader="none" w:pos="61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quarter of 2025, actual home prices appreciated more than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projected and our forecast of future home prices also improved.</w:t>
      </w:r>
    </w:p>
    <w:p>
      <w:pPr>
        <w:spacing w:after="0" w:line="2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For further discussion of how our single-family provision is affected by purchase loan acquisitions, loan delinquencies, and home prices, see “MD&amp;A— Consolidated Results of Operations—(Provision) Benefit for Credit Losses” in our 2025 Form 10-K. Additional information on home price growth and our home price forecast is provided in “Key Market Economic Indicators” in this report and in our 2025 Form 10-K. Also see “Critical Accounting Estimates” in this report for further discussion of our home price and interest rate forecasts and their impact on our single-family (provision) benefit for credit losses.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(Provision) Benefit for Credit Losses</w:t>
      </w:r>
    </w:p>
    <w:p>
      <w:pPr>
        <w:spacing w:after="0" w:line="8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multifamily provision for credit losses in the first quarter of 2026 was primarily driven by an increase in loan delinquencies and by weakened property valuations on properties in our multifamily guaranty book of business where foreclosure was probable.</w:t>
      </w:r>
    </w:p>
    <w:p>
      <w:pPr>
        <w:spacing w:after="0" w:line="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multifamily (provision) benefit for credit losses in the first quarter of 2025 was neutral. Our multifamily allowance for credit losses as of March 31, 2025 included a component related to economic uncertainty, particularly uncertainty related to multifamily property values.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hedge accounting program is designed to hedge our exposure to changes in benchmark interest rates, specifically the Secured Overnight Financing Rate (“SOFR”), and cannot be applied to changes in interest rate spreads, convexity, or seasoning (i.e., the effect of financial instruments moving closer to maturity). As a result, our fair value gains and losses after the impact of hedge accounting are impacted by components unrelated to changes in SOFR. See “Note 1, Summary of Significant Accounting Policies—Fair Value Hedge Accounting” in our 2025 Form 10-K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fair value gains (losses) both including and excluding the impact of hedge accounting.</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4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3900" w:type="dxa"/>
            <w:vAlign w:val="bottom"/>
            <w:tcBorders>
              <w:top w:val="single" w:sz="8" w:color="2C6937"/>
              <w:bottom w:val="single" w:sz="8" w:color="2C6937"/>
            </w:tcBorders>
            <w:gridSpan w:val="4"/>
          </w:tcPr>
          <w:p>
            <w:pPr>
              <w:jc w:val="right"/>
              <w:ind w:right="163"/>
              <w:spacing w:after="0"/>
              <w:rPr>
                <w:sz w:val="20"/>
                <w:szCs w:val="20"/>
                <w:color w:val="auto"/>
              </w:rPr>
            </w:pPr>
            <w:r>
              <w:rPr>
                <w:rFonts w:ascii="Arial" w:cs="Arial" w:eastAsia="Arial" w:hAnsi="Arial"/>
                <w:sz w:val="15"/>
                <w:szCs w:val="15"/>
                <w:b w:val="1"/>
                <w:bCs w:val="1"/>
                <w:color w:val="auto"/>
              </w:rPr>
              <w:t>For the Three Months Ended March 31,</w:t>
            </w:r>
          </w:p>
        </w:tc>
        <w:tc>
          <w:tcPr>
            <w:tcW w:w="560" w:type="dxa"/>
            <w:vAlign w:val="bottom"/>
            <w:tcBorders>
              <w:top w:val="single" w:sz="8" w:color="2C6937"/>
              <w:bottom w:val="single" w:sz="8" w:color="2C6937"/>
            </w:tcBorders>
          </w:tcPr>
          <w:p>
            <w:pPr>
              <w:spacing w:after="0"/>
              <w:rPr>
                <w:sz w:val="20"/>
                <w:szCs w:val="20"/>
                <w:color w:val="auto"/>
              </w:rPr>
            </w:pPr>
          </w:p>
        </w:tc>
      </w:tr>
      <w:tr>
        <w:trPr>
          <w:trHeight w:val="199"/>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2026</w:t>
            </w:r>
          </w:p>
        </w:tc>
        <w:tc>
          <w:tcPr>
            <w:tcW w:w="86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2025</w:t>
            </w:r>
          </w:p>
        </w:tc>
        <w:tc>
          <w:tcPr>
            <w:tcW w:w="560" w:type="dxa"/>
            <w:vAlign w:val="bottom"/>
            <w:tcBorders>
              <w:bottom w:val="single" w:sz="8" w:color="2C6937"/>
            </w:tcBorders>
          </w:tcPr>
          <w:p>
            <w:pPr>
              <w:spacing w:after="0"/>
              <w:rPr>
                <w:sz w:val="17"/>
                <w:szCs w:val="17"/>
                <w:color w:val="auto"/>
              </w:rPr>
            </w:pPr>
          </w:p>
        </w:tc>
      </w:tr>
      <w:tr>
        <w:trPr>
          <w:trHeight w:val="185"/>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(Dollars in</w:t>
            </w:r>
          </w:p>
        </w:tc>
        <w:tc>
          <w:tcPr>
            <w:tcW w:w="14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b w:val="1"/>
                <w:bCs w:val="1"/>
                <w:color w:val="auto"/>
              </w:rPr>
              <w:t>millions)</w:t>
            </w:r>
          </w:p>
        </w:tc>
        <w:tc>
          <w:tcPr>
            <w:tcW w:w="560" w:type="dxa"/>
            <w:vAlign w:val="bottom"/>
          </w:tcPr>
          <w:p>
            <w:pPr>
              <w:spacing w:after="0"/>
              <w:rPr>
                <w:sz w:val="16"/>
                <w:szCs w:val="16"/>
                <w:color w:val="auto"/>
              </w:rPr>
            </w:pPr>
          </w:p>
        </w:tc>
      </w:tr>
      <w:tr>
        <w:trPr>
          <w:trHeight w:val="206"/>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Total pre-hedge accounting fair value gains (losses)</w:t>
            </w:r>
          </w:p>
        </w:tc>
        <w:tc>
          <w:tcPr>
            <w:tcW w:w="1360" w:type="dxa"/>
            <w:vAlign w:val="bottom"/>
          </w:tcPr>
          <w:p>
            <w:pPr>
              <w:jc w:val="right"/>
              <w:ind w:right="118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199</w:t>
            </w:r>
          </w:p>
        </w:tc>
        <w:tc>
          <w:tcPr>
            <w:tcW w:w="140" w:type="dxa"/>
            <w:vAlign w:val="bottom"/>
          </w:tcPr>
          <w:p>
            <w:pPr>
              <w:spacing w:after="0"/>
              <w:rPr>
                <w:sz w:val="17"/>
                <w:szCs w:val="17"/>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8"/>
        </w:trPr>
        <w:tc>
          <w:tcPr>
            <w:tcW w:w="664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13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(78)</w:t>
            </w:r>
          </w:p>
        </w:tc>
        <w:tc>
          <w:tcPr>
            <w:tcW w:w="140" w:type="dxa"/>
            <w:vAlign w:val="bottom"/>
          </w:tcPr>
          <w:p>
            <w:pPr>
              <w:spacing w:after="0"/>
              <w:rPr>
                <w:sz w:val="18"/>
                <w:szCs w:val="18"/>
                <w:color w:val="auto"/>
              </w:rPr>
            </w:pPr>
          </w:p>
        </w:tc>
        <w:tc>
          <w:tcPr>
            <w:tcW w:w="15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192</w:t>
            </w:r>
          </w:p>
        </w:tc>
      </w:tr>
      <w:tr>
        <w:trPr>
          <w:trHeight w:val="199"/>
        </w:trPr>
        <w:tc>
          <w:tcPr>
            <w:tcW w:w="6780" w:type="dxa"/>
            <w:vAlign w:val="bottom"/>
            <w:gridSpan w:val="2"/>
          </w:tcPr>
          <w:p>
            <w:pPr>
              <w:ind w:left="180"/>
              <w:spacing w:after="0"/>
              <w:rPr>
                <w:sz w:val="20"/>
                <w:szCs w:val="20"/>
                <w:color w:val="auto"/>
              </w:rPr>
            </w:pPr>
            <w:r>
              <w:rPr>
                <w:rFonts w:ascii="Arial" w:cs="Arial" w:eastAsia="Arial" w:hAnsi="Arial"/>
                <w:sz w:val="15"/>
                <w:szCs w:val="15"/>
                <w:color w:val="auto"/>
              </w:rPr>
              <w:t>Total fair value gains (losses), net</w:t>
            </w:r>
          </w:p>
        </w:tc>
        <w:tc>
          <w:tcPr>
            <w:tcW w:w="1360" w:type="dxa"/>
            <w:vAlign w:val="bottom"/>
          </w:tcPr>
          <w:p>
            <w:pPr>
              <w:jc w:val="right"/>
              <w:ind w:right="118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140" w:type="dxa"/>
            <w:vAlign w:val="bottom"/>
          </w:tcPr>
          <w:p>
            <w:pPr>
              <w:spacing w:after="0"/>
              <w:rPr>
                <w:sz w:val="17"/>
                <w:szCs w:val="17"/>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0"/>
        </w:trPr>
        <w:tc>
          <w:tcPr>
            <w:tcW w:w="6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0" w:hanging="237"/>
        <w:spacing w:after="0" w:line="226" w:lineRule="auto"/>
        <w:tabs>
          <w:tab w:leader="none" w:pos="233"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which are recognized in “Net interest income.”</w:t>
      </w:r>
    </w:p>
    <w:p>
      <w:pPr>
        <w:spacing w:after="0" w:line="19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the first quarter of 2026 and 2025, our hedge accounting program largely mitigated the impact of benchmark interest rate-driven fair value movements. The net fair value gains recognized for those periods reflect residual impacts not addressed by hedge accounting. For the first quarter of 2026, the net fair value gains recognized included net gains on mortgage commitment derivatives and mortgage-related securities resulting from the widening of the secondary spread, which is the spread between the 30-year MBS current coupon yield and the 10-year U.S. Treasury rate. For the first quarter of 2025, the net fair value gains recognized included gains on our fixed-rate trading securities.</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Investment Gains (Losses), Net</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Investment losses, net increased by $276 million in the first quarter of 2026 compared with the first quarter of 2025, primarily driven by debt extinguishment losses in the first quarter of 2026 resulting from our acquisitions of Fannie Mae MBS for our retained mortgage portfolio. See “Note 1, Summary of Significant Accounting Policies—Debt” in our 2025 Form 10-K for more information about how we record debt extinguishment gains or losses.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Administrative Expenses</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Administrative expenses decreased by $247 million in the first quarter of 2026 compared with the first quarter of 2025, primarily driven by lower professional services fees, severance costs and employee headcount, and a reduced real-estate footprint.</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Legislative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legislative assessments.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Legislative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8" w:lineRule="exact"/>
        <w:rPr>
          <w:sz w:val="20"/>
          <w:szCs w:val="20"/>
          <w:color w:val="auto"/>
        </w:rPr>
      </w:pPr>
    </w:p>
    <w:p>
      <w:pPr>
        <w:jc w:val="center"/>
        <w:ind w:left="8340"/>
        <w:spacing w:after="0"/>
        <w:rPr>
          <w:sz w:val="20"/>
          <w:szCs w:val="20"/>
          <w:color w:val="auto"/>
        </w:rPr>
      </w:pPr>
      <w:r>
        <w:rPr>
          <w:rFonts w:ascii="Arial" w:cs="Arial" w:eastAsia="Arial" w:hAnsi="Arial"/>
          <w:sz w:val="15"/>
          <w:szCs w:val="15"/>
          <w:b w:val="1"/>
          <w:bCs w:val="1"/>
          <w:color w:val="auto"/>
        </w:rPr>
        <w:t>For the Three Months Ended March</w:t>
      </w:r>
    </w:p>
    <w:p>
      <w:pPr>
        <w:jc w:val="center"/>
        <w:ind w:left="8340"/>
        <w:spacing w:after="0"/>
        <w:rPr>
          <w:sz w:val="20"/>
          <w:szCs w:val="20"/>
          <w:color w:val="auto"/>
        </w:rPr>
      </w:pPr>
      <w:r>
        <w:rPr>
          <w:rFonts w:ascii="Arial" w:cs="Arial" w:eastAsia="Arial" w:hAnsi="Arial"/>
          <w:sz w:val="15"/>
          <w:szCs w:val="15"/>
          <w:b w:val="1"/>
          <w:bCs w:val="1"/>
          <w:color w:val="auto"/>
        </w:rPr>
        <w:t>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2026</w:t>
            </w:r>
          </w:p>
        </w:tc>
        <w:tc>
          <w:tcPr>
            <w:tcW w:w="420" w:type="dxa"/>
            <w:vAlign w:val="bottom"/>
            <w:tcBorders>
              <w:top w:val="single" w:sz="8" w:color="2C6937"/>
              <w:bottom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top w:val="single" w:sz="8" w:color="2C6937"/>
              <w:bottom w:val="single" w:sz="8" w:color="2C6937"/>
            </w:tcBorders>
          </w:tcPr>
          <w:p>
            <w:pPr>
              <w:spacing w:after="0"/>
              <w:rPr>
                <w:sz w:val="17"/>
                <w:szCs w:val="17"/>
                <w:color w:val="auto"/>
              </w:rPr>
            </w:pPr>
          </w:p>
        </w:tc>
      </w:tr>
      <w:tr>
        <w:trPr>
          <w:trHeight w:val="200"/>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rPr>
              <w:t>(Dollars in</w:t>
            </w:r>
          </w:p>
        </w:tc>
        <w:tc>
          <w:tcPr>
            <w:tcW w:w="14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5"/>
                <w:szCs w:val="15"/>
                <w:b w:val="1"/>
                <w:bCs w:val="1"/>
                <w:color w:val="auto"/>
              </w:rPr>
              <w:t>millions)</w:t>
            </w:r>
          </w:p>
        </w:tc>
        <w:tc>
          <w:tcPr>
            <w:tcW w:w="420" w:type="dxa"/>
            <w:vAlign w:val="bottom"/>
          </w:tcPr>
          <w:p>
            <w:pPr>
              <w:spacing w:after="0"/>
              <w:rPr>
                <w:sz w:val="17"/>
                <w:szCs w:val="17"/>
                <w:color w:val="auto"/>
              </w:rPr>
            </w:pPr>
          </w:p>
        </w:tc>
      </w:tr>
      <w:tr>
        <w:trPr>
          <w:trHeight w:val="232"/>
        </w:trPr>
        <w:tc>
          <w:tcPr>
            <w:tcW w:w="836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96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851</w:t>
            </w:r>
          </w:p>
        </w:tc>
        <w:tc>
          <w:tcPr>
            <w:tcW w:w="14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859</w:t>
            </w:r>
          </w:p>
        </w:tc>
      </w:tr>
      <w:tr>
        <w:trPr>
          <w:trHeight w:val="219"/>
        </w:trPr>
        <w:tc>
          <w:tcPr>
            <w:tcW w:w="83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FHFA assessments</w:t>
            </w:r>
            <w:r>
              <w:rPr>
                <w:rFonts w:ascii="Arial" w:cs="Arial" w:eastAsia="Arial" w:hAnsi="Arial"/>
                <w:sz w:val="20"/>
                <w:szCs w:val="20"/>
                <w:color w:val="auto"/>
                <w:vertAlign w:val="superscript"/>
              </w:rPr>
              <w:t>(2)</w:t>
            </w:r>
          </w:p>
        </w:tc>
        <w:tc>
          <w:tcPr>
            <w:tcW w:w="960" w:type="dxa"/>
            <w:vAlign w:val="bottom"/>
          </w:tcPr>
          <w:p>
            <w:pPr>
              <w:spacing w:after="0"/>
              <w:rPr>
                <w:sz w:val="19"/>
                <w:szCs w:val="19"/>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31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04"/>
        </w:trPr>
        <w:tc>
          <w:tcPr>
            <w:tcW w:w="8360" w:type="dxa"/>
            <w:vAlign w:val="bottom"/>
            <w:gridSpan w:val="2"/>
          </w:tcPr>
          <w:p>
            <w:pPr>
              <w:ind w:left="20"/>
              <w:spacing w:after="0" w:line="205" w:lineRule="exact"/>
              <w:rPr>
                <w:sz w:val="20"/>
                <w:szCs w:val="20"/>
                <w:color w:val="auto"/>
              </w:rPr>
            </w:pPr>
            <w:r>
              <w:rPr>
                <w:rFonts w:ascii="Arial" w:cs="Arial" w:eastAsia="Arial" w:hAnsi="Arial"/>
                <w:sz w:val="15"/>
                <w:szCs w:val="15"/>
                <w:color w:val="auto"/>
              </w:rPr>
              <w:t>Affordable housing allocations:</w:t>
            </w:r>
            <w:r>
              <w:rPr>
                <w:rFonts w:ascii="Arial" w:cs="Arial" w:eastAsia="Arial" w:hAnsi="Arial"/>
                <w:sz w:val="20"/>
                <w:szCs w:val="20"/>
                <w:color w:val="auto"/>
                <w:vertAlign w:val="superscript"/>
              </w:rPr>
              <w:t>(3)</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6"/>
        </w:trPr>
        <w:tc>
          <w:tcPr>
            <w:tcW w:w="8360" w:type="dxa"/>
            <w:vAlign w:val="bottom"/>
            <w:gridSpan w:val="2"/>
          </w:tcPr>
          <w:p>
            <w:pPr>
              <w:ind w:left="120"/>
              <w:spacing w:after="0"/>
              <w:rPr>
                <w:sz w:val="20"/>
                <w:szCs w:val="20"/>
                <w:color w:val="auto"/>
              </w:rPr>
            </w:pPr>
            <w:r>
              <w:rPr>
                <w:rFonts w:ascii="Arial" w:cs="Arial" w:eastAsia="Arial" w:hAnsi="Arial"/>
                <w:sz w:val="15"/>
                <w:szCs w:val="15"/>
                <w:color w:val="auto"/>
              </w:rPr>
              <w:t>Treasury’s Capital Magnet Fund</w:t>
            </w:r>
          </w:p>
        </w:tc>
        <w:tc>
          <w:tcPr>
            <w:tcW w:w="960" w:type="dxa"/>
            <w:vAlign w:val="bottom"/>
          </w:tcPr>
          <w:p>
            <w:pPr>
              <w:spacing w:after="0"/>
              <w:rPr>
                <w:sz w:val="17"/>
                <w:szCs w:val="17"/>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8"/>
        </w:trPr>
        <w:tc>
          <w:tcPr>
            <w:tcW w:w="82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HUD’s Housing Trust Fund</w:t>
            </w:r>
          </w:p>
        </w:tc>
        <w:tc>
          <w:tcPr>
            <w:tcW w:w="140" w:type="dxa"/>
            <w:vAlign w:val="bottom"/>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32</w:t>
            </w:r>
          </w:p>
        </w:tc>
        <w:tc>
          <w:tcPr>
            <w:tcW w:w="140" w:type="dxa"/>
            <w:vAlign w:val="bottom"/>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199"/>
        </w:trPr>
        <w:tc>
          <w:tcPr>
            <w:tcW w:w="822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affordable housing allocations</w:t>
            </w:r>
          </w:p>
        </w:tc>
        <w:tc>
          <w:tcPr>
            <w:tcW w:w="140" w:type="dxa"/>
            <w:vAlign w:val="bottom"/>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49</w:t>
            </w:r>
          </w:p>
        </w:tc>
        <w:tc>
          <w:tcPr>
            <w:tcW w:w="140" w:type="dxa"/>
            <w:vAlign w:val="bottom"/>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8360" w:type="dxa"/>
            <w:vAlign w:val="bottom"/>
            <w:gridSpan w:val="2"/>
          </w:tcPr>
          <w:p>
            <w:pPr>
              <w:ind w:left="20"/>
              <w:spacing w:after="0"/>
              <w:rPr>
                <w:sz w:val="20"/>
                <w:szCs w:val="20"/>
                <w:color w:val="auto"/>
              </w:rPr>
            </w:pPr>
            <w:r>
              <w:rPr>
                <w:rFonts w:ascii="Arial" w:cs="Arial" w:eastAsia="Arial" w:hAnsi="Arial"/>
                <w:sz w:val="15"/>
                <w:szCs w:val="15"/>
                <w:color w:val="auto"/>
              </w:rPr>
              <w:t>Total legislative assessments</w:t>
            </w:r>
          </w:p>
        </w:tc>
        <w:tc>
          <w:tcPr>
            <w:tcW w:w="96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931</w:t>
            </w:r>
          </w:p>
        </w:tc>
        <w:tc>
          <w:tcPr>
            <w:tcW w:w="14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0"/>
        </w:trPr>
        <w:tc>
          <w:tcPr>
            <w:tcW w:w="82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r>
    </w:tbl>
    <w:p>
      <w:pPr>
        <w:spacing w:after="0" w:line="186" w:lineRule="exact"/>
        <w:rPr>
          <w:sz w:val="20"/>
          <w:szCs w:val="20"/>
          <w:color w:val="auto"/>
        </w:rPr>
      </w:pPr>
    </w:p>
    <w:p>
      <w:pPr>
        <w:ind w:left="240" w:right="40" w:hanging="237"/>
        <w:spacing w:after="0" w:line="226" w:lineRule="auto"/>
        <w:tabs>
          <w:tab w:leader="none" w:pos="23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27" w:lineRule="exact"/>
        <w:rPr>
          <w:rFonts w:ascii="Arial" w:cs="Arial" w:eastAsia="Arial" w:hAnsi="Arial"/>
          <w:sz w:val="18"/>
          <w:szCs w:val="18"/>
          <w:color w:val="auto"/>
          <w:vertAlign w:val="superscript"/>
        </w:rPr>
      </w:pPr>
    </w:p>
    <w:p>
      <w:pPr>
        <w:ind w:left="240" w:right="60" w:hanging="237"/>
        <w:spacing w:after="0" w:line="218" w:lineRule="auto"/>
        <w:tabs>
          <w:tab w:leader="none" w:pos="23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FHFA assessments are expenses relating to our obligation under the Federal Housing Enterprises Financial Safety and Soundness Act of 1992, as amended (the “GSE Act”), to pay FHFA to cover a portion of its costs, expenses and working capital.</w:t>
      </w:r>
    </w:p>
    <w:p>
      <w:pPr>
        <w:spacing w:after="0" w:line="26" w:lineRule="exact"/>
        <w:rPr>
          <w:rFonts w:ascii="Arial" w:cs="Arial" w:eastAsia="Arial" w:hAnsi="Arial"/>
          <w:sz w:val="18"/>
          <w:szCs w:val="18"/>
          <w:color w:val="auto"/>
          <w:vertAlign w:val="superscript"/>
        </w:rPr>
      </w:pPr>
    </w:p>
    <w:p>
      <w:pPr>
        <w:ind w:left="240" w:hanging="237"/>
        <w:spacing w:after="0" w:line="257" w:lineRule="auto"/>
        <w:tabs>
          <w:tab w:leader="none" w:pos="233" w:val="left"/>
        </w:tabs>
        <w:numPr>
          <w:ilvl w:val="0"/>
          <w:numId w:val="14"/>
        </w:numPr>
        <w:rPr>
          <w:rFonts w:ascii="Arial" w:cs="Arial" w:eastAsia="Arial" w:hAnsi="Arial"/>
          <w:sz w:val="9"/>
          <w:szCs w:val="9"/>
          <w:color w:val="auto"/>
        </w:rPr>
      </w:pPr>
      <w:r>
        <w:rPr>
          <w:rFonts w:ascii="Arial" w:cs="Arial" w:eastAsia="Arial" w:hAnsi="Arial"/>
          <w:sz w:val="14"/>
          <w:szCs w:val="14"/>
          <w:color w:val="auto"/>
        </w:rPr>
        <w:t>Affordable housing allocations relates to the GSE Act requirement to set aside each year an amount equal to 4.2 basis points of the UPB of our new business purchases and to pay this amount to specified U.S. Department of Housing and Urban Development (“HUD”) and Treasury funds in support of affordable housing. In March 2026, we paid $171 million to the funds based on $408.2 billion new business purchases in 2025. For the first quarter of 2026, we recognized an expense of $49 million related to this obligation based on $115.5 billion in new business purchases during the period. We expect to pay this amount to the funds in 2027, plus additional amounts to be accrued based on our new business purchases in the remaining nine months of 2026.</w:t>
      </w:r>
    </w:p>
    <w:p>
      <w:pPr>
        <w:spacing w:after="0" w:line="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Credit Enhancement Expense</w:t>
      </w:r>
    </w:p>
    <w:p>
      <w:pPr>
        <w:spacing w:after="0" w:line="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Credit enhancement expense decreased by $121 million in the first quarter of 2026 compared with first quarter of 2025. This decrease was primarily driven by cancellation fees paid in the first quarter of 2025 to terminate certain single-family lender risk-sharing transactions.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74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March 31, 2026</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11,485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w:t>
            </w:r>
          </w:p>
        </w:tc>
        <w:tc>
          <w:tcPr>
            <w:tcW w:w="1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11,452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33,779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31,131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2,648</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38,199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45,650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(7,451)</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75,520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69,889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5,631</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60,785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58,173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2,612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4,062,872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4,069,504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(6,632)</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(8,357)</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(8,364)</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4,115,300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4,119,313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(4,013)</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9,430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9,828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30,922</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30,275</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4,314,635</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4,317,538</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(2,903)</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150,438</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127,289</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23,149</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4,022,364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4,053,140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(30,776)</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29,166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28,097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4,201,968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4,208,526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(6,558)</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112,667</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109,012</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3,655</w:t>
            </w:r>
          </w:p>
        </w:tc>
        <w:tc>
          <w:tcPr>
            <w:tcW w:w="0" w:type="dxa"/>
            <w:vAlign w:val="bottom"/>
          </w:tcPr>
          <w:p>
            <w:pPr>
              <w:spacing w:after="0"/>
              <w:rPr>
                <w:sz w:val="1"/>
                <w:szCs w:val="1"/>
                <w:color w:val="auto"/>
              </w:rPr>
            </w:pPr>
          </w:p>
        </w:tc>
      </w:tr>
      <w:tr>
        <w:trPr>
          <w:trHeight w:val="199"/>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4,314,635</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4,317,538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(2,903)</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Restricted Cash</w:t>
      </w:r>
    </w:p>
    <w:p>
      <w:pPr>
        <w:spacing w:after="0" w:line="6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increase in restricted cash from December 31, 2025 to March 31, 2026, was primarily driven by an increase in prepayments of loans held in consolidated trusts, resulting in higher cash balances held in trusts at period end. For information on our accounting policy for restricted cash, see “Note 1, Summary of Significant Accounting Policies” in our 2025 Form 10-K.</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w:t>
      </w:r>
    </w:p>
    <w:p>
      <w:pPr>
        <w:spacing w:after="0" w:line="63" w:lineRule="exact"/>
        <w:rPr>
          <w:sz w:val="20"/>
          <w:szCs w:val="20"/>
          <w:color w:val="auto"/>
        </w:rPr>
      </w:pPr>
    </w:p>
    <w:p>
      <w:pPr>
        <w:jc w:val="both"/>
        <w:ind w:right="600"/>
        <w:spacing w:after="0" w:line="272" w:lineRule="auto"/>
        <w:rPr>
          <w:sz w:val="20"/>
          <w:szCs w:val="20"/>
          <w:color w:val="auto"/>
        </w:rPr>
      </w:pPr>
      <w:r>
        <w:rPr>
          <w:rFonts w:ascii="Arial" w:cs="Arial" w:eastAsia="Arial" w:hAnsi="Arial"/>
          <w:sz w:val="16"/>
          <w:szCs w:val="16"/>
          <w:color w:val="auto"/>
        </w:rPr>
        <w:t>The decrease in securities purchased under agreements to resell from December 31, 2025 to March 31, 2026, was due to maturities, with proceeds reinvested into agency MBS investments held in our retained mortgage portfolio. See “Liquidity and Capital Management—Liquidity Management— Corporate Liquidity Portfolio” and “Retained Mortgage Portfolio” for additional information.</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Investments in Securities, at Fair Value</w:t>
      </w:r>
    </w:p>
    <w:p>
      <w:pPr>
        <w:spacing w:after="0" w:line="6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primary driver of the increase in investments in securities, at fair value, from December 31, 2025 to March 31, 2026, was the reallocation of investable funds to agency MBS securities held in our retained mortgage portfolio and purchases of U.S. Treasury securities.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 for Loan Losses</w:t>
      </w:r>
    </w:p>
    <w:p>
      <w:pPr>
        <w:spacing w:after="0" w:line="6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held for sale (“HFS”) or held for investment (“HFI”) and include loans owned by Fannie Mae and loans held in consolidated trusts.</w:t>
      </w: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Mortgage loans, net of allowance for loan losses decreased from December 31, 2025 to March 31, 2026, driven primarily by loan paydowns and liquidations outpacing acquisitions during the first quarter of 2026.</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Credit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7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increase in debt of Fannie Mae from December 31, 2025 to March 31, 2026 was primarily driven by long-term debt issuances to replace debt scheduled to mature later in the year and to further enhance our liquidity position by taking advantage of favorable market conditions. The decrease in debt of consolidated trusts from December 31, 2025 to March 31, 2026 was primarily driven by an increase in Fannie Mae MBS held in our retained mortgage portfolio, and liquidations of single-family Fannie Mae MBS outpacing issuances. Purchases of Fannie Mae MBS from consolidated trusts for our retained mortgage portfolio result in the derecognition of related balances in debt of consolidated trusts.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8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retained mortgage portfolio into three categories:</w:t>
      </w:r>
    </w:p>
    <w:p>
      <w:pPr>
        <w:spacing w:after="0" w:line="74" w:lineRule="exact"/>
        <w:rPr>
          <w:sz w:val="20"/>
          <w:szCs w:val="20"/>
          <w:color w:val="auto"/>
        </w:rPr>
      </w:pPr>
    </w:p>
    <w:p>
      <w:pPr>
        <w:ind w:left="620" w:hanging="307"/>
        <w:spacing w:after="0" w:line="272" w:lineRule="auto"/>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Agency MBS investments and lender liquidity </w:t>
      </w:r>
      <w:r>
        <w:rPr>
          <w:rFonts w:ascii="Arial" w:cs="Arial" w:eastAsia="Arial" w:hAnsi="Arial"/>
          <w:sz w:val="16"/>
          <w:szCs w:val="16"/>
          <w:color w:val="auto"/>
        </w:rPr>
        <w:t>includes balances related to agency MBS that we have purchased for investment purposes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balances related to our portfolio securitization activity, which supports our efforts to provide liquidity to the single-family and multifamily mortgage markets.</w:t>
      </w:r>
    </w:p>
    <w:p>
      <w:pPr>
        <w:spacing w:after="0" w:line="6" w:lineRule="exact"/>
        <w:rPr>
          <w:rFonts w:ascii="Arial" w:cs="Arial" w:eastAsia="Arial" w:hAnsi="Arial"/>
          <w:sz w:val="16"/>
          <w:szCs w:val="16"/>
          <w:color w:val="auto"/>
        </w:rPr>
      </w:pPr>
    </w:p>
    <w:p>
      <w:pPr>
        <w:ind w:left="620" w:hanging="3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includes delinquent mortgage loans we purchase from our MBS trusts, which enables us to initiate certain loss mitigation efforts.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primarily includes legacy assets that we purchased for investment purposes prior to our entry into conservatorship in 2008.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902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24130</wp:posOffset>
            </wp:positionV>
            <wp:extent cx="7122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160"/>
        <w:spacing w:after="0" w:line="271" w:lineRule="auto"/>
        <w:rPr>
          <w:sz w:val="20"/>
          <w:szCs w:val="20"/>
          <w:color w:val="auto"/>
        </w:rPr>
      </w:pPr>
      <w:r>
        <w:rPr>
          <w:rFonts w:ascii="Arial" w:cs="Arial" w:eastAsia="Arial" w:hAnsi="Arial"/>
          <w:sz w:val="16"/>
          <w:szCs w:val="16"/>
          <w:color w:val="auto"/>
        </w:rPr>
        <w:t>The following table displays the components of our retained mortgage portfolio, based on UPB. The presentation of mortgage loans and mortgage-related securities in our condensed consolidated balance sheets is dependent upon the nature of the asset. For mortgage-related securities, purchases of Fannie Mae MBS for our retained mortgage portfolio result in the derecognition of related balances in debt of consolidated trusts, and therefore remain in “Mortgage loans, net of allowance for loan losses,” while purchases of non-Fannie Mae MBS are included in “Investments in securities, at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80" w:type="dxa"/>
            <w:vAlign w:val="bottom"/>
            <w:tcBorders>
              <w:top w:val="single" w:sz="8" w:color="2C6937"/>
            </w:tcBorders>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320" w:type="dxa"/>
            <w:vAlign w:val="bottom"/>
            <w:tcBorders>
              <w:top w:val="single" w:sz="8" w:color="2C6937"/>
              <w:bottom w:val="single" w:sz="8" w:color="2C6937"/>
            </w:tcBorders>
          </w:tcPr>
          <w:p>
            <w:pPr>
              <w:spacing w:after="0"/>
              <w:rPr>
                <w:sz w:val="20"/>
                <w:szCs w:val="20"/>
                <w:color w:val="auto"/>
              </w:rPr>
            </w:pPr>
          </w:p>
        </w:tc>
        <w:tc>
          <w:tcPr>
            <w:tcW w:w="2000" w:type="dxa"/>
            <w:vAlign w:val="bottom"/>
            <w:tcBorders>
              <w:top w:val="single" w:sz="8" w:color="2C6937"/>
              <w:bottom w:val="single" w:sz="8" w:color="2C6937"/>
            </w:tcBorders>
            <w:gridSpan w:val="2"/>
          </w:tcPr>
          <w:p>
            <w:pPr>
              <w:ind w:left="1620"/>
              <w:spacing w:after="0"/>
              <w:rPr>
                <w:sz w:val="20"/>
                <w:szCs w:val="20"/>
                <w:color w:val="auto"/>
              </w:rPr>
            </w:pPr>
            <w:r>
              <w:rPr>
                <w:rFonts w:ascii="Arial" w:cs="Arial" w:eastAsia="Arial" w:hAnsi="Arial"/>
                <w:sz w:val="15"/>
                <w:szCs w:val="15"/>
                <w:b w:val="1"/>
                <w:bCs w:val="1"/>
                <w:color w:val="auto"/>
                <w:w w:val="95"/>
              </w:rPr>
              <w:t>As of</w:t>
            </w:r>
          </w:p>
        </w:tc>
        <w:tc>
          <w:tcPr>
            <w:tcW w:w="180" w:type="dxa"/>
            <w:vAlign w:val="bottom"/>
            <w:tcBorders>
              <w:top w:val="single" w:sz="8" w:color="2C6937"/>
              <w:bottom w:val="single" w:sz="8" w:color="2C6937"/>
            </w:tcBorders>
          </w:tcPr>
          <w:p>
            <w:pPr>
              <w:spacing w:after="0"/>
              <w:rPr>
                <w:sz w:val="20"/>
                <w:szCs w:val="20"/>
                <w:color w:val="auto"/>
              </w:rPr>
            </w:pPr>
          </w:p>
        </w:tc>
        <w:tc>
          <w:tcPr>
            <w:tcW w:w="174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2000" w:type="dxa"/>
            <w:vAlign w:val="bottom"/>
            <w:tcBorders>
              <w:bottom w:val="single" w:sz="8" w:color="2C6937"/>
            </w:tcBorders>
            <w:gridSpan w:val="2"/>
          </w:tcPr>
          <w:p>
            <w:pPr>
              <w:ind w:left="220"/>
              <w:spacing w:after="0"/>
              <w:rPr>
                <w:sz w:val="20"/>
                <w:szCs w:val="20"/>
                <w:color w:val="auto"/>
              </w:rPr>
            </w:pPr>
            <w:r>
              <w:rPr>
                <w:rFonts w:ascii="Arial" w:cs="Arial" w:eastAsia="Arial" w:hAnsi="Arial"/>
                <w:sz w:val="15"/>
                <w:szCs w:val="15"/>
                <w:b w:val="1"/>
                <w:bCs w:val="1"/>
                <w:color w:val="auto"/>
              </w:rPr>
              <w:t>March 31, 2026</w:t>
            </w:r>
          </w:p>
        </w:tc>
        <w:tc>
          <w:tcPr>
            <w:tcW w:w="18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207"/>
        </w:trPr>
        <w:tc>
          <w:tcPr>
            <w:tcW w:w="70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Agency MBS investments and lender liquidity:</w:t>
            </w:r>
          </w:p>
        </w:tc>
        <w:tc>
          <w:tcPr>
            <w:tcW w:w="320" w:type="dxa"/>
            <w:vAlign w:val="bottom"/>
          </w:tcPr>
          <w:p>
            <w:pPr>
              <w:spacing w:after="0"/>
              <w:rPr>
                <w:sz w:val="17"/>
                <w:szCs w:val="17"/>
                <w:color w:val="auto"/>
              </w:rPr>
            </w:pPr>
          </w:p>
        </w:tc>
        <w:tc>
          <w:tcPr>
            <w:tcW w:w="3920" w:type="dxa"/>
            <w:vAlign w:val="bottom"/>
            <w:gridSpan w:val="4"/>
          </w:tcPr>
          <w:p>
            <w:pPr>
              <w:jc w:val="right"/>
              <w:ind w:right="132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99"/>
        </w:trPr>
        <w:tc>
          <w:tcPr>
            <w:tcW w:w="7000" w:type="dxa"/>
            <w:vAlign w:val="bottom"/>
            <w:gridSpan w:val="2"/>
            <w:vMerge w:val="continue"/>
          </w:tcPr>
          <w:p>
            <w:pPr>
              <w:spacing w:after="0"/>
              <w:rPr>
                <w:sz w:val="17"/>
                <w:szCs w:val="17"/>
                <w:color w:val="auto"/>
              </w:rPr>
            </w:pP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103,882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0" w:type="dxa"/>
            <w:vAlign w:val="bottom"/>
            <w:gridSpan w:val="2"/>
          </w:tcPr>
          <w:p>
            <w:pPr>
              <w:ind w:left="220"/>
              <w:spacing w:after="0" w:line="205"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3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70,416</w:t>
            </w:r>
          </w:p>
        </w:tc>
        <w:tc>
          <w:tcPr>
            <w:tcW w:w="0" w:type="dxa"/>
            <w:vAlign w:val="bottom"/>
          </w:tcPr>
          <w:p>
            <w:pPr>
              <w:spacing w:after="0"/>
              <w:rPr>
                <w:sz w:val="1"/>
                <w:szCs w:val="1"/>
                <w:color w:val="auto"/>
              </w:rPr>
            </w:pPr>
          </w:p>
        </w:tc>
      </w:tr>
      <w:tr>
        <w:trPr>
          <w:trHeight w:val="208"/>
        </w:trPr>
        <w:tc>
          <w:tcPr>
            <w:tcW w:w="688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Mortgage loans</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7,640</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7,821</w:t>
            </w:r>
          </w:p>
        </w:tc>
        <w:tc>
          <w:tcPr>
            <w:tcW w:w="0" w:type="dxa"/>
            <w:vAlign w:val="bottom"/>
          </w:tcPr>
          <w:p>
            <w:pPr>
              <w:spacing w:after="0"/>
              <w:rPr>
                <w:sz w:val="1"/>
                <w:szCs w:val="1"/>
                <w:color w:val="auto"/>
              </w:rPr>
            </w:pPr>
          </w:p>
        </w:tc>
      </w:tr>
      <w:tr>
        <w:trPr>
          <w:trHeight w:val="198"/>
        </w:trPr>
        <w:tc>
          <w:tcPr>
            <w:tcW w:w="7000" w:type="dxa"/>
            <w:vAlign w:val="bottom"/>
            <w:gridSpan w:val="2"/>
          </w:tcPr>
          <w:p>
            <w:pPr>
              <w:ind w:left="120"/>
              <w:spacing w:after="0"/>
              <w:rPr>
                <w:sz w:val="20"/>
                <w:szCs w:val="20"/>
                <w:color w:val="auto"/>
              </w:rPr>
            </w:pPr>
            <w:r>
              <w:rPr>
                <w:rFonts w:ascii="Arial" w:cs="Arial" w:eastAsia="Arial" w:hAnsi="Arial"/>
                <w:sz w:val="15"/>
                <w:szCs w:val="15"/>
                <w:color w:val="auto"/>
              </w:rPr>
              <w:t>Total agency MBS investments and lender liquidity</w:t>
            </w: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111,522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78,237</w:t>
            </w:r>
          </w:p>
        </w:tc>
        <w:tc>
          <w:tcPr>
            <w:tcW w:w="0" w:type="dxa"/>
            <w:vAlign w:val="bottom"/>
          </w:tcPr>
          <w:p>
            <w:pPr>
              <w:spacing w:after="0"/>
              <w:rPr>
                <w:sz w:val="1"/>
                <w:szCs w:val="1"/>
                <w:color w:val="auto"/>
              </w:rPr>
            </w:pPr>
          </w:p>
        </w:tc>
      </w:tr>
      <w:tr>
        <w:trPr>
          <w:trHeight w:val="206"/>
        </w:trPr>
        <w:tc>
          <w:tcPr>
            <w:tcW w:w="7000" w:type="dxa"/>
            <w:vAlign w:val="bottom"/>
            <w:gridSpan w:val="2"/>
          </w:tcPr>
          <w:p>
            <w:pPr>
              <w:ind w:left="20"/>
              <w:spacing w:after="0" w:line="207"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3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51,633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48,594</w:t>
            </w:r>
          </w:p>
        </w:tc>
        <w:tc>
          <w:tcPr>
            <w:tcW w:w="0" w:type="dxa"/>
            <w:vAlign w:val="bottom"/>
          </w:tcPr>
          <w:p>
            <w:pPr>
              <w:spacing w:after="0"/>
              <w:rPr>
                <w:sz w:val="1"/>
                <w:szCs w:val="1"/>
                <w:color w:val="auto"/>
              </w:rPr>
            </w:pPr>
          </w:p>
        </w:tc>
      </w:tr>
      <w:tr>
        <w:trPr>
          <w:trHeight w:val="208"/>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32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2,565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00" w:type="dxa"/>
            <w:vAlign w:val="bottom"/>
            <w:gridSpan w:val="2"/>
          </w:tcPr>
          <w:p>
            <w:pPr>
              <w:ind w:left="220"/>
              <w:spacing w:after="0" w:line="205"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32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2,709</w:t>
            </w:r>
          </w:p>
        </w:tc>
        <w:tc>
          <w:tcPr>
            <w:tcW w:w="0" w:type="dxa"/>
            <w:vAlign w:val="bottom"/>
          </w:tcPr>
          <w:p>
            <w:pPr>
              <w:spacing w:after="0"/>
              <w:rPr>
                <w:sz w:val="1"/>
                <w:szCs w:val="1"/>
                <w:color w:val="auto"/>
              </w:rPr>
            </w:pPr>
          </w:p>
        </w:tc>
      </w:tr>
      <w:tr>
        <w:trPr>
          <w:trHeight w:val="208"/>
        </w:trPr>
        <w:tc>
          <w:tcPr>
            <w:tcW w:w="6880" w:type="dxa"/>
            <w:vAlign w:val="bottom"/>
            <w:tcBorders>
              <w:bottom w:val="single" w:sz="8" w:color="2C6937"/>
            </w:tcBorders>
          </w:tcPr>
          <w:p>
            <w:pPr>
              <w:ind w:left="220"/>
              <w:spacing w:after="0" w:line="20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3,018</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2,921</w:t>
            </w:r>
          </w:p>
        </w:tc>
        <w:tc>
          <w:tcPr>
            <w:tcW w:w="0" w:type="dxa"/>
            <w:vAlign w:val="bottom"/>
          </w:tcPr>
          <w:p>
            <w:pPr>
              <w:spacing w:after="0"/>
              <w:rPr>
                <w:sz w:val="1"/>
                <w:szCs w:val="1"/>
                <w:color w:val="auto"/>
              </w:rPr>
            </w:pPr>
          </w:p>
        </w:tc>
      </w:tr>
      <w:tr>
        <w:trPr>
          <w:trHeight w:val="199"/>
        </w:trPr>
        <w:tc>
          <w:tcPr>
            <w:tcW w:w="68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2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5,583</w:t>
            </w: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5,630</w:t>
            </w:r>
          </w:p>
        </w:tc>
        <w:tc>
          <w:tcPr>
            <w:tcW w:w="0" w:type="dxa"/>
            <w:vAlign w:val="bottom"/>
          </w:tcPr>
          <w:p>
            <w:pPr>
              <w:spacing w:after="0"/>
              <w:rPr>
                <w:sz w:val="1"/>
                <w:szCs w:val="1"/>
                <w:color w:val="auto"/>
              </w:rPr>
            </w:pPr>
          </w:p>
        </w:tc>
      </w:tr>
      <w:tr>
        <w:trPr>
          <w:trHeight w:val="199"/>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Total retained mortgage portfolio</w:t>
            </w: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168,738</w:t>
            </w:r>
          </w:p>
        </w:tc>
        <w:tc>
          <w:tcPr>
            <w:tcW w:w="1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132,461</w:t>
            </w:r>
          </w:p>
        </w:tc>
        <w:tc>
          <w:tcPr>
            <w:tcW w:w="0" w:type="dxa"/>
            <w:vAlign w:val="bottom"/>
          </w:tcPr>
          <w:p>
            <w:pPr>
              <w:spacing w:after="0"/>
              <w:rPr>
                <w:sz w:val="1"/>
                <w:szCs w:val="1"/>
                <w:color w:val="auto"/>
              </w:rPr>
            </w:pPr>
          </w:p>
        </w:tc>
      </w:tr>
      <w:tr>
        <w:trPr>
          <w:trHeight w:val="20"/>
        </w:trPr>
        <w:tc>
          <w:tcPr>
            <w:tcW w:w="6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155,613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3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123,426</w:t>
            </w:r>
          </w:p>
        </w:tc>
        <w:tc>
          <w:tcPr>
            <w:tcW w:w="0" w:type="dxa"/>
            <w:vAlign w:val="bottom"/>
          </w:tcPr>
          <w:p>
            <w:pPr>
              <w:spacing w:after="0"/>
              <w:rPr>
                <w:sz w:val="1"/>
                <w:szCs w:val="1"/>
                <w:color w:val="auto"/>
              </w:rPr>
            </w:pPr>
          </w:p>
        </w:tc>
      </w:tr>
      <w:tr>
        <w:trPr>
          <w:trHeight w:val="214"/>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13,125</w:t>
            </w:r>
          </w:p>
        </w:tc>
        <w:tc>
          <w:tcPr>
            <w:tcW w:w="1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9,035</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60" w:right="200" w:hanging="237"/>
        <w:spacing w:after="0" w:line="275" w:lineRule="auto"/>
        <w:tabs>
          <w:tab w:leader="none" w:pos="253" w:val="left"/>
        </w:tabs>
        <w:numPr>
          <w:ilvl w:val="0"/>
          <w:numId w:val="16"/>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4" w:lineRule="exact"/>
        <w:rPr>
          <w:rFonts w:ascii="Arial" w:cs="Arial" w:eastAsia="Arial" w:hAnsi="Arial"/>
          <w:sz w:val="9"/>
          <w:szCs w:val="9"/>
          <w:color w:val="auto"/>
        </w:rPr>
      </w:pPr>
    </w:p>
    <w:p>
      <w:pPr>
        <w:ind w:left="260" w:right="300" w:hanging="237"/>
        <w:spacing w:after="0" w:line="226" w:lineRule="auto"/>
        <w:tabs>
          <w:tab w:leader="none" w:pos="25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$13.5 billion and $12.7 billion as of March 31, 2026 and December 31, 2025, respectively. Also includes multifamily loans on nonaccrual status of $3.2 billion and $3.0 billion as of March 31, 2026 and December 31, 2025, respectively.</w:t>
      </w:r>
    </w:p>
    <w:p>
      <w:pPr>
        <w:spacing w:after="0" w:line="1" w:lineRule="exact"/>
        <w:rPr>
          <w:rFonts w:ascii="Arial" w:cs="Arial" w:eastAsia="Arial" w:hAnsi="Arial"/>
          <w:sz w:val="18"/>
          <w:szCs w:val="18"/>
          <w:color w:val="auto"/>
          <w:vertAlign w:val="superscript"/>
        </w:rPr>
      </w:pPr>
    </w:p>
    <w:p>
      <w:pPr>
        <w:ind w:left="240" w:hanging="217"/>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w:t>
      </w:r>
    </w:p>
    <w:p>
      <w:pPr>
        <w:spacing w:after="0" w:line="37" w:lineRule="exact"/>
        <w:rPr>
          <w:rFonts w:ascii="Arial" w:cs="Arial" w:eastAsia="Arial" w:hAnsi="Arial"/>
          <w:sz w:val="18"/>
          <w:szCs w:val="18"/>
          <w:color w:val="auto"/>
          <w:vertAlign w:val="superscript"/>
        </w:rPr>
      </w:pPr>
    </w:p>
    <w:p>
      <w:pPr>
        <w:ind w:left="260" w:right="300" w:hanging="237"/>
        <w:spacing w:after="0" w:line="210" w:lineRule="auto"/>
        <w:tabs>
          <w:tab w:leader="none" w:pos="25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single-family loans that are not included in the loss mitigation or agency MBS investments and lender liquidity categories and multifamily loans on accrual status. Other mortgage securities primarily includes private-label securities and mortgage revenue bonds.</w:t>
      </w:r>
    </w:p>
    <w:p>
      <w:pPr>
        <w:spacing w:after="0" w:line="51" w:lineRule="exact"/>
        <w:rPr>
          <w:sz w:val="20"/>
          <w:szCs w:val="20"/>
          <w:color w:val="auto"/>
        </w:rPr>
      </w:pPr>
    </w:p>
    <w:p>
      <w:pPr>
        <w:ind w:left="20" w:right="140"/>
        <w:spacing w:after="0" w:line="266" w:lineRule="auto"/>
        <w:rPr>
          <w:sz w:val="20"/>
          <w:szCs w:val="20"/>
          <w:color w:val="auto"/>
        </w:rPr>
      </w:pPr>
      <w:r>
        <w:rPr>
          <w:rFonts w:ascii="Arial" w:cs="Arial" w:eastAsia="Arial" w:hAnsi="Arial"/>
          <w:sz w:val="16"/>
          <w:szCs w:val="16"/>
          <w:color w:val="auto"/>
        </w:rPr>
        <w:t>The retained mortgage portfolio increased $36.3 billion in the first quarter of 2026 to $168.7 billion as of March 31, 2026, primarily driven by an increase in our acquisition of agency MBS for investment purposes following FHFA’s January 2026 increase to our agency MBS investment limit to allow us to further support the secondary mortgage market, while generating viable economic returns. Our agency MBS investments may fluctuate based on market conditions and other purchases for our retained mortgage portfolio, such as purchases of loans from our MBS trusts for loss mitigation purposes and to facilitate lender liquidity, as well as other factors.</w:t>
      </w:r>
    </w:p>
    <w:p>
      <w:pPr>
        <w:spacing w:after="0" w:line="38" w:lineRule="exact"/>
        <w:rPr>
          <w:sz w:val="20"/>
          <w:szCs w:val="20"/>
          <w:color w:val="auto"/>
        </w:rPr>
      </w:pPr>
    </w:p>
    <w:p>
      <w:pPr>
        <w:ind w:left="20"/>
        <w:spacing w:after="0" w:line="272"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We are also subject to specified limitations on the composition of our retained mortgage portfolio pursuant to FHFA guidance, which are described in “MD&amp;A—Retained Mortgage Portfolio” in our 2025 Form 10-K.</w:t>
      </w:r>
    </w:p>
    <w:p>
      <w:pPr>
        <w:spacing w:after="0" w:line="45" w:lineRule="exact"/>
        <w:rPr>
          <w:sz w:val="20"/>
          <w:szCs w:val="20"/>
          <w:color w:val="auto"/>
        </w:rPr>
      </w:pPr>
    </w:p>
    <w:p>
      <w:pPr>
        <w:ind w:left="20" w:right="20"/>
        <w:spacing w:after="0" w:line="272"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March 31, 2026, 10% of the notional value of our interest-only securities was $2.2 billion, which is not included in the table above.</w:t>
      </w:r>
    </w:p>
    <w:p>
      <w:pPr>
        <w:spacing w:after="0" w:line="32" w:lineRule="exact"/>
        <w:rPr>
          <w:sz w:val="20"/>
          <w:szCs w:val="20"/>
          <w:color w:val="auto"/>
        </w:rPr>
      </w:pPr>
    </w:p>
    <w:p>
      <w:pPr>
        <w:ind w:left="20" w:right="20"/>
        <w:spacing w:after="0" w:line="271"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FHFA has also provided us with instruction on our single-family delinquent loan buyout policy. The purchase price for these loans is the UPB of the loans plus accrued interest. In support of our loss mitigation strategies, we purchased $4.0 billion of loans from our single-family MBS trusts in the first quarter of 2026, the substantial majority of which were delinquent, compared with $3.6 billion of loans in the first quarter of 2025.</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17" w:name="page18"/>
    <w:bookmarkEnd w:id="17"/>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When we securitize mortgage loans originated by lenders into Fannie Mae mortgage-backed securities, we issue guarantees, assuming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 These components are categorized as either conventional or government based on whether the underlying mortgage loans or securities are fully or partially guaranteed or insured by the U.S. government (referred to as “government”) or are not fully or partially guaranteed or insured by the U.S. government (referred to as “conventional”).</w:t>
      </w:r>
    </w:p>
    <w:p>
      <w:pPr>
        <w:spacing w:after="0" w:line="5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the term “Fannie Mae MBS” or “our MBS” to refer to any type of mortgage-backed security that we issue, including Fannie Mae-issued uniform mortgage-backed securities, or “UMBS</w:t>
      </w:r>
      <w:r>
        <w:rPr>
          <w:rFonts w:ascii="Arial" w:cs="Arial" w:eastAsia="Arial" w:hAnsi="Arial"/>
          <w:sz w:val="21"/>
          <w:szCs w:val="21"/>
          <w:color w:val="auto"/>
          <w:vertAlign w:val="superscript"/>
        </w:rPr>
        <w:t>®</w:t>
      </w:r>
      <w:r>
        <w:rPr>
          <w:rFonts w:ascii="Arial" w:cs="Arial" w:eastAsia="Arial" w:hAnsi="Arial"/>
          <w:sz w:val="16"/>
          <w:szCs w:val="16"/>
          <w:color w:val="auto"/>
        </w:rPr>
        <w:t>,” and structured securities such as Supers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Real Estate Mortgage Investment Conduit securities (“REMICs”).</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and Freddie Mac each issue single-family UMBS.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excluded from our “guaranty book of business” because Freddie Mac continues to guarantee the payment of principal and interest on the underlying Freddie Mac securities, but included in “Total Fannie Mae guarantees” as presented in the table below.</w:t>
      </w:r>
    </w:p>
    <w:p>
      <w:pPr>
        <w:spacing w:after="0" w:line="3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present our guaranty book of business in this section and in our Monthly Summary reports available on our website based on the UPB of our MBS outstanding. In the “Single-Family Business” and “Multifamily Business” sections, we present our single-family conventional guaranty book of business and our multifamily guaranty book of business based on the UPB of mortgage loans underlying our MBS. The difference between these two measures, which is generally less than 1%, is primarily the result of payments we receive on underlying loans that have not yet been paid to the MBS holders or instances where we have advanced missed borrower payments on mortgage loans to make required distributions to MBS holders. Using these two presentations allows us to base the disclosure in this section and in our Monthly Summary reports on the MBS measurement, and disclosures about the composition of loans in our guaranty book of business on the loan measurement.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and our total Fannie Mae guarantees based on UPB.</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4"/>
          </w:tcPr>
          <w:p>
            <w:pPr>
              <w:ind w:left="8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w w:val="96"/>
              </w:rPr>
              <w:t>Single-Family</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3,587,514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545,132</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4,132,646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3,592,548</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537,832</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4,130,380</w:t>
            </w:r>
          </w:p>
        </w:tc>
      </w:tr>
      <w:tr>
        <w:trPr>
          <w:trHeight w:val="194"/>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Government guaranty book of business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4,538</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459</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4,997</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4,732</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5,205</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3,592,052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545,591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4,137,643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3,597,280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538,305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4,135,585</w:t>
            </w:r>
          </w:p>
        </w:tc>
      </w:tr>
      <w:tr>
        <w:trPr>
          <w:trHeight w:val="194"/>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8"/>
                <w:szCs w:val="8"/>
                <w:color w:val="auto"/>
              </w:rPr>
              <w:t>(1)</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181,163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181,163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184,345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184,345</w:t>
            </w:r>
          </w:p>
        </w:tc>
      </w:tr>
      <w:tr>
        <w:trPr>
          <w:trHeight w:val="186"/>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3,773,215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545,591</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4,318,806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3,781,625</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538,305</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4,319,930</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100" w:hanging="237"/>
        <w:spacing w:after="0" w:line="252" w:lineRule="auto"/>
        <w:tabs>
          <w:tab w:leader="none" w:pos="233"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Represents the UPB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sheets,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We have two reportable business segments: Single-Family and Multifamily. This section discusses the primary components of net income for our Single-Family Business and Multifamily Business segments. This information complements the discussion of our condensed consolidated financial results in “Consolidated Results of Operations.”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Quarterly 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60" w:type="dxa"/>
            <w:vAlign w:val="bottom"/>
            <w:tcBorders>
              <w:top w:val="single" w:sz="8" w:color="2C6937"/>
              <w:bottom w:val="single" w:sz="8" w:color="2C6937"/>
            </w:tcBorders>
          </w:tcPr>
          <w:p>
            <w:pPr>
              <w:spacing w:after="0"/>
              <w:rPr>
                <w:sz w:val="17"/>
                <w:szCs w:val="17"/>
                <w:color w:val="auto"/>
              </w:rPr>
            </w:pPr>
          </w:p>
        </w:tc>
        <w:tc>
          <w:tcPr>
            <w:tcW w:w="3420" w:type="dxa"/>
            <w:vAlign w:val="bottom"/>
            <w:tcBorders>
              <w:top w:val="single" w:sz="8" w:color="2C6937"/>
              <w:bottom w:val="single" w:sz="8" w:color="2C6937"/>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March 31,</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2026</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2"/>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5,978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1,220</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5,866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80"/>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93"/>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6,039</w:t>
            </w: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1,241</w:t>
            </w:r>
          </w:p>
        </w:tc>
        <w:tc>
          <w:tcPr>
            <w:tcW w:w="100" w:type="dxa"/>
            <w:vAlign w:val="bottom"/>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5,931</w:t>
            </w: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1,154</w:t>
            </w:r>
          </w:p>
        </w:tc>
        <w:tc>
          <w:tcPr>
            <w:tcW w:w="100" w:type="dxa"/>
            <w:vAlign w:val="bottom"/>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8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87</w:t>
            </w:r>
          </w:p>
        </w:tc>
      </w:tr>
      <w:tr>
        <w:trPr>
          <w:trHeight w:val="305"/>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307"/>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Other gains (losses), net</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(103)</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(142)</w:t>
            </w:r>
          </w:p>
        </w:tc>
      </w:tr>
      <w:tr>
        <w:trPr>
          <w:trHeight w:val="193"/>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(174)</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(601)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4"/>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7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(280)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98"/>
        </w:trPr>
        <w:tc>
          <w:tcPr>
            <w:tcW w:w="3960" w:type="dxa"/>
            <w:vAlign w:val="bottom"/>
            <w:gridSpan w:val="2"/>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(1,889)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(294)</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(2,312)</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423</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3,994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(236)</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3,174</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546</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2,918</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743</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256</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(197)</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18"/>
        </w:numPr>
        <w:rPr>
          <w:rFonts w:ascii="Arial" w:cs="Arial" w:eastAsia="Arial" w:hAnsi="Arial"/>
          <w:sz w:val="9"/>
          <w:szCs w:val="9"/>
          <w:color w:val="auto"/>
        </w:rPr>
      </w:pPr>
      <w:r>
        <w:rPr>
          <w:rFonts w:ascii="Arial" w:cs="Arial" w:eastAsia="Arial" w:hAnsi="Arial"/>
          <w:sz w:val="14"/>
          <w:szCs w:val="14"/>
          <w:color w:val="auto"/>
        </w:rPr>
        <w:t>See “Note 10, Segment Reporting” for information about our segment allocation methodology.</w:t>
      </w:r>
    </w:p>
    <w:p>
      <w:pPr>
        <w:spacing w:after="0" w:line="45" w:lineRule="exact"/>
        <w:rPr>
          <w:rFonts w:ascii="Arial" w:cs="Arial" w:eastAsia="Arial" w:hAnsi="Arial"/>
          <w:sz w:val="9"/>
          <w:szCs w:val="9"/>
          <w:color w:val="auto"/>
        </w:rPr>
      </w:pPr>
    </w:p>
    <w:p>
      <w:pPr>
        <w:ind w:left="240" w:right="80" w:hanging="237"/>
        <w:spacing w:after="0" w:line="226"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40" w:right="80" w:hanging="237"/>
        <w:spacing w:after="0" w:line="210"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26" w:lineRule="exact"/>
        <w:rPr>
          <w:rFonts w:ascii="Arial" w:cs="Arial" w:eastAsia="Arial" w:hAnsi="Arial"/>
          <w:sz w:val="18"/>
          <w:szCs w:val="18"/>
          <w:color w:val="auto"/>
          <w:vertAlign w:val="superscript"/>
        </w:rPr>
      </w:pPr>
    </w:p>
    <w:p>
      <w:pPr>
        <w:ind w:left="240" w:right="60" w:hanging="237"/>
        <w:spacing w:after="0" w:line="259" w:lineRule="auto"/>
        <w:tabs>
          <w:tab w:leader="none" w:pos="233" w:val="left"/>
        </w:tabs>
        <w:numPr>
          <w:ilvl w:val="0"/>
          <w:numId w:val="18"/>
        </w:numPr>
        <w:rPr>
          <w:rFonts w:ascii="Arial" w:cs="Arial" w:eastAsia="Arial" w:hAnsi="Arial"/>
          <w:sz w:val="9"/>
          <w:szCs w:val="9"/>
          <w:color w:val="auto"/>
        </w:rPr>
      </w:pPr>
      <w:r>
        <w:rPr>
          <w:rFonts w:ascii="Arial" w:cs="Arial" w:eastAsia="Arial" w:hAnsi="Arial"/>
          <w:sz w:val="14"/>
          <w:szCs w:val="14"/>
          <w:color w:val="auto"/>
        </w:rPr>
        <w:t>Single-family credit enhancement expense consists of costs associated with our freestanding credit enhancements, which primarily include our CAS and CIRT programs, enterprise-paid mortgage insurance programs and certain lender risk-sharing programs. Multifamily credit enhancement expense primarily consists of costs associated with our MCIRT and MCAS programs as well as amortization expense for certain lender risk-sharing programs. Excludes CAS transactions accounted for as debt instruments and credit risk transfer programs accounted for as derivative instruments.</w:t>
      </w:r>
    </w:p>
    <w:p>
      <w:pPr>
        <w:spacing w:after="0" w:line="14" w:lineRule="exact"/>
        <w:rPr>
          <w:rFonts w:ascii="Arial" w:cs="Arial" w:eastAsia="Arial" w:hAnsi="Arial"/>
          <w:sz w:val="9"/>
          <w:szCs w:val="9"/>
          <w:color w:val="auto"/>
        </w:rPr>
      </w:pPr>
    </w:p>
    <w:p>
      <w:pPr>
        <w:ind w:left="240" w:right="580" w:hanging="237"/>
        <w:spacing w:after="0" w:line="218"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51" w:lineRule="exact"/>
        <w:rPr>
          <w:sz w:val="20"/>
          <w:szCs w:val="20"/>
          <w:color w:val="auto"/>
        </w:rPr>
      </w:pPr>
    </w:p>
    <w:p>
      <w:pPr>
        <w:ind w:right="160"/>
        <w:spacing w:after="0" w:line="202" w:lineRule="exact"/>
        <w:rPr>
          <w:sz w:val="20"/>
          <w:szCs w:val="20"/>
          <w:color w:val="auto"/>
        </w:rPr>
      </w:pPr>
      <w:r>
        <w:rPr>
          <w:rFonts w:ascii="Arial" w:cs="Arial" w:eastAsia="Arial" w:hAnsi="Arial"/>
          <w:sz w:val="16"/>
          <w:szCs w:val="16"/>
          <w:color w:val="auto"/>
        </w:rPr>
        <w:t>We highlight below our segment results for net interest income and fair value gains (losses). For discussion of our single-family and multifamily (provision) benefit for credit losses, see “Consolidated Results of Operations—(Provision) Benefit for Credit Losses.” Investment gains (losses), administrative expenses, and credit enhancement expenses within the Single</w:t>
      </w:r>
      <w:r>
        <w:rPr>
          <w:rFonts w:ascii="MS PGothic" w:cs="MS PGothic" w:eastAsia="MS PGothic" w:hAnsi="MS PGothic"/>
          <w:sz w:val="16"/>
          <w:szCs w:val="16"/>
          <w:color w:val="auto"/>
        </w:rPr>
        <w:t>‑</w:t>
      </w:r>
      <w:r>
        <w:rPr>
          <w:rFonts w:ascii="Arial" w:cs="Arial" w:eastAsia="Arial" w:hAnsi="Arial"/>
          <w:sz w:val="16"/>
          <w:szCs w:val="16"/>
          <w:color w:val="auto"/>
        </w:rPr>
        <w:t>Family business represent the substantial majority of our consolidated results. See our “Consolidated Results of Operations” for a discussion of these line items.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4"/>
          <w:szCs w:val="14"/>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Net Interest Income</w:t>
      </w:r>
    </w:p>
    <w:p>
      <w:pPr>
        <w:spacing w:after="0" w:line="16"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105410</wp:posOffset>
            </wp:positionV>
            <wp:extent cx="5460365" cy="1334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0365" cy="133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ind w:right="440"/>
        <w:spacing w:after="0" w:line="310" w:lineRule="auto"/>
        <w:rPr>
          <w:sz w:val="20"/>
          <w:szCs w:val="20"/>
          <w:color w:val="auto"/>
        </w:rPr>
      </w:pPr>
      <w:r>
        <w:rPr>
          <w:rFonts w:ascii="Arial" w:cs="Arial" w:eastAsia="Arial" w:hAnsi="Arial"/>
          <w:sz w:val="16"/>
          <w:szCs w:val="16"/>
          <w:color w:val="auto"/>
        </w:rPr>
        <w:t>Net interest income increased by $112 million in the first quarter of 2026 compared with the first quarter of 2025, primarily driven by higher net interest income from portfolios and higher base guaranty fee income.</w:t>
      </w:r>
    </w:p>
    <w:p>
      <w:pPr>
        <w:spacing w:after="0" w:line="2"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See “Consolidated Results of Operations—Net Interest Income” for more information on the factors that impact our single-family net interest income.</w:t>
      </w:r>
    </w:p>
    <w:p>
      <w:pPr>
        <w:spacing w:after="0" w:line="12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80" w:lineRule="exact"/>
        <w:rPr>
          <w:sz w:val="20"/>
          <w:szCs w:val="20"/>
          <w:color w:val="auto"/>
        </w:rPr>
      </w:pPr>
    </w:p>
    <w:p>
      <w:pPr>
        <w:jc w:val="both"/>
        <w:ind w:right="340"/>
        <w:spacing w:after="0" w:line="272" w:lineRule="auto"/>
        <w:rPr>
          <w:sz w:val="20"/>
          <w:szCs w:val="20"/>
          <w:color w:val="auto"/>
        </w:rPr>
      </w:pPr>
      <w:r>
        <w:rPr>
          <w:rFonts w:ascii="Arial" w:cs="Arial" w:eastAsia="Arial" w:hAnsi="Arial"/>
          <w:sz w:val="16"/>
          <w:szCs w:val="16"/>
          <w:color w:val="auto"/>
        </w:rPr>
        <w:t>Net interest income increased by $85 million in the first quarter of 2026 compared with the first quarter of 2025, primarily driven by higher guaranty fee income as a result of an increase in the size of our multifamily guaranty book of business and higher yield maintenance income, partially offset by lower average charged guaranty fees.</w:t>
      </w:r>
    </w:p>
    <w:p>
      <w:pPr>
        <w:spacing w:after="0" w:line="13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Fair Value Gains (Losses), Net</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64770</wp:posOffset>
            </wp:positionV>
            <wp:extent cx="5460365" cy="1489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0365"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340"/>
        <w:spacing w:after="0" w:line="310" w:lineRule="auto"/>
        <w:rPr>
          <w:sz w:val="20"/>
          <w:szCs w:val="20"/>
          <w:color w:val="auto"/>
        </w:rPr>
      </w:pPr>
      <w:r>
        <w:rPr>
          <w:rFonts w:ascii="Arial" w:cs="Arial" w:eastAsia="Arial" w:hAnsi="Arial"/>
          <w:sz w:val="16"/>
          <w:szCs w:val="16"/>
          <w:color w:val="auto"/>
        </w:rPr>
        <w:t>Fair value gains (losses), net in the first quarter of 2026 was primarily driven by activity within our Single-Family segment. See “Consolidated Results of Operations—Fair Value Gains (Losses), Net” for a discussion of our consolidated fair value gains (losses).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2025 Form 10-K. See “MD&amp;A—Single-Family Business” in our 2025 Form 10-K for additional information regarding the primary business activities, lenders, investors and competition of our Single-Family business.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Total housing activity modestly decreased in the first quarter of 2026 compared with the fourth quarter of 2025. Existing single-family home sales averaged 4.04 million units annualized in the first quarter of 2026, compared with 4.16 million units annualized in the fourth quarter of 2025, as reported by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According to the April forecast from our Economic and Strategic Research Group, new single-family home sales averaged 652,000 units annualized in the first quarter of 2026, compared with 709,000 units annualized in the fourth quarter of 2025, as reported by the U.S. Census Bureau.</w:t>
      </w:r>
    </w:p>
    <w:p>
      <w:pPr>
        <w:spacing w:after="0" w:line="15"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The U.S. weekly average 30-year fixed mortgage rate was 6.38% as of March 26, 2026, compared with 6.15% as of December 31, 2025, and averaged 6.11% in the first quarter of 2026, compared with 6.23% in the fourth quarter of 2025,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Single-family mortgage market originations increased from an estimated $371 billion in the first quarter of 2025 to an estimated $533 billion in the first quarter of 2026. According to the April forecast from our Economic and Strategic Research Group, total originations in the U.S. single-family mortgage market in 2026 are forecasted to increase from 2025 levels by approximately 19%, from an estimated $1.96 trillion in 2025 to $2.34 trillion in 2026, and the amount of refinance originations in the U.S. single-family mortgage market are forecasted to increase from an estimated $573 billion in 2025 to $911 billion in 2026. Our Economic and Strategic Research Group’s April forecast is based on data available as of April 13, 2026. See “Key Market Economic Indicators” in our 2025 Form 10-K and this report for additional discussion of how housing activity can affect our financial results and the uncertainties that may affect our forecasts and expectations.</w:t>
      </w:r>
    </w:p>
    <w:p>
      <w:pPr>
        <w:spacing w:after="0" w:line="8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Our single-family Fannie Mae MBS issuances were $98.2 billion for the first quarter of 2026, compared with $69.0 billion for the first quarter of 2025. The increase in issuances compared to the first quarter of 2025 was primarily driven by an increase in refinancing activity in the first quarter of 2026, reflecting lower mortgage rates.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2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162560</wp:posOffset>
            </wp:positionV>
            <wp:extent cx="4715510" cy="2529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1551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ind w:left="5500"/>
        <w:spacing w:after="0"/>
        <w:rPr>
          <w:sz w:val="20"/>
          <w:szCs w:val="20"/>
          <w:color w:val="auto"/>
        </w:rPr>
      </w:pPr>
      <w:r>
        <w:rPr>
          <w:rFonts w:ascii="Arial" w:cs="Arial" w:eastAsia="Arial" w:hAnsi="Arial"/>
          <w:sz w:val="13"/>
          <w:szCs w:val="13"/>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market share is influenced by various factors, primarily the pricing of single-family loans and the competitive market environment.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under the enterprise regulatory capital framework relative to that of our primary competitor driven primarily by our larger share of U.S. residential mortgage debt outstanding, our housing mission requirements, the UMBS market and the performance of our MBS, see “Business— Conservatorship and Treasury Agreements,” “Business—Legislation and Regulation,” “Risk Factors” and “MD&amp;A—Single-Family Business—Single-Family Competition” in our 2025 Form 10-K.</w:t>
      </w:r>
    </w:p>
    <w:p>
      <w:pPr>
        <w:spacing w:after="0" w:line="8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621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91175" cy="16211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7"/>
          <w:szCs w:val="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220980</wp:posOffset>
            </wp:positionV>
            <wp:extent cx="155575" cy="984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460" w:hanging="236"/>
        <w:spacing w:after="0" w:line="226" w:lineRule="auto"/>
        <w:tabs>
          <w:tab w:leader="none" w:pos="27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UPB of our mortgage loans underlying Fannie Mae MBS outstanding.</w:t>
      </w:r>
    </w:p>
    <w:p>
      <w:pPr>
        <w:spacing w:after="0" w:line="27" w:lineRule="exact"/>
        <w:rPr>
          <w:rFonts w:ascii="Arial" w:cs="Arial" w:eastAsia="Arial" w:hAnsi="Arial"/>
          <w:sz w:val="18"/>
          <w:szCs w:val="18"/>
          <w:color w:val="auto"/>
          <w:vertAlign w:val="superscript"/>
        </w:rPr>
      </w:pPr>
    </w:p>
    <w:p>
      <w:pPr>
        <w:ind w:left="240" w:right="20" w:hanging="237"/>
        <w:spacing w:after="0" w:line="218" w:lineRule="auto"/>
        <w:tabs>
          <w:tab w:leader="none" w:pos="216"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Excludes the impact of a 10 basis point (“bps”) guaranty fee increase implemented pursuant to the TCCA, the incremental revenue from which is paid to Treasury and not retained by us.</w:t>
      </w:r>
    </w:p>
    <w:p>
      <w:pPr>
        <w:spacing w:after="0" w:line="26" w:lineRule="exact"/>
        <w:rPr>
          <w:rFonts w:ascii="Arial" w:cs="Arial" w:eastAsia="Arial" w:hAnsi="Arial"/>
          <w:sz w:val="18"/>
          <w:szCs w:val="18"/>
          <w:color w:val="auto"/>
          <w:vertAlign w:val="superscript"/>
        </w:rPr>
      </w:pPr>
    </w:p>
    <w:p>
      <w:pPr>
        <w:ind w:left="240" w:right="60" w:hanging="237"/>
        <w:spacing w:after="0" w:line="249" w:lineRule="auto"/>
        <w:tabs>
          <w:tab w:leader="none" w:pos="27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spacing w:after="0" w:line="1" w:lineRule="exact"/>
        <w:rPr>
          <w:rFonts w:ascii="Arial" w:cs="Arial" w:eastAsia="Arial" w:hAnsi="Arial"/>
          <w:sz w:val="17"/>
          <w:szCs w:val="17"/>
          <w:color w:val="auto"/>
          <w:vertAlign w:val="superscript"/>
        </w:rPr>
      </w:pPr>
    </w:p>
    <w:p>
      <w:pPr>
        <w:ind w:left="240" w:right="100"/>
        <w:spacing w:after="0" w:line="245" w:lineRule="auto"/>
        <w:rPr>
          <w:rFonts w:ascii="Arial" w:cs="Arial" w:eastAsia="Arial" w:hAnsi="Arial"/>
          <w:sz w:val="17"/>
          <w:szCs w:val="17"/>
          <w:color w:val="auto"/>
          <w:vertAlign w:val="superscript"/>
        </w:rPr>
      </w:pPr>
      <w:r>
        <w:rPr>
          <w:rFonts w:ascii="Arial" w:cs="Arial" w:eastAsia="Arial" w:hAnsi="Arial"/>
          <w:sz w:val="14"/>
          <w:szCs w:val="14"/>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the average of quarter-end balances.</w:t>
      </w:r>
    </w:p>
    <w:p>
      <w:pPr>
        <w:spacing w:after="0" w:line="48"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Our single-family conventional loan acquisition volumes increased in the first quarter of 2026 compared with the first quarter of 2025. Lower mortgage rates drove higher refinance acquisitions in the first quarter of 2026. Purchase acquisitions also increased slightly but remained impacted by housing affordability constraints, limited supply, and market competition.</w:t>
      </w:r>
    </w:p>
    <w:p>
      <w:pPr>
        <w:spacing w:after="0" w:line="4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2" w:name="page23"/>
    <w:bookmarkEnd w:id="22"/>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decreased in the first quarter of 2026 compared with the first quarter of 2025, primarily as a result of a shift in the profile of loans we acquired.</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76"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This section updates our discussion of single-family mortgage credit risk management in our 2025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2025 Form 10-K.</w:t>
      </w:r>
    </w:p>
    <w:p>
      <w:pPr>
        <w:spacing w:after="0" w:line="74" w:lineRule="exact"/>
        <w:rPr>
          <w:sz w:val="20"/>
          <w:szCs w:val="20"/>
          <w:color w:val="auto"/>
        </w:rPr>
      </w:pPr>
    </w:p>
    <w:p>
      <w:pPr>
        <w:ind w:right="2100"/>
        <w:spacing w:after="0" w:line="342"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New Credit Score Models</w:t>
      </w:r>
    </w:p>
    <w:p>
      <w:pPr>
        <w:ind w:right="300"/>
        <w:spacing w:after="0" w:line="243" w:lineRule="auto"/>
        <w:rPr>
          <w:sz w:val="20"/>
          <w:szCs w:val="20"/>
          <w:color w:val="auto"/>
        </w:rPr>
      </w:pPr>
      <w:r>
        <w:rPr>
          <w:rFonts w:ascii="Arial" w:cs="Arial" w:eastAsia="Arial" w:hAnsi="Arial"/>
          <w:sz w:val="16"/>
          <w:szCs w:val="16"/>
          <w:color w:val="auto"/>
        </w:rPr>
        <w:t>Fannie Mae uses credit scores to provide a foundation for risk-based pricing, and support disclosures to investors. In April 2026, we updated our Selling Guide to allow for two new credit score models—VantageScore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and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10T—in addition to the classic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from Fair Isaac Corporation that we already use as a credit score model.</w:t>
      </w:r>
    </w:p>
    <w:p>
      <w:pPr>
        <w:spacing w:after="0" w:line="5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VantageScore 4.0 is currently available for loans delivered to Fannie Mae by a limited number of approved lenders. This limited lender rollout is intended to help ensure operational readiness across our systems and the industry before making it broadly available. We plan to make FICO Score 10T available at a later date, with advance notice and implementation guidance to come before launch. We intend to publish on our website additional historical credit score data for loans acquired during specified periods for VantageScore 4.0 and FICO Score 10T in the summer of 2026.</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67"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2025 Form 10-K.</w:t>
      </w:r>
    </w:p>
    <w:p>
      <w:pPr>
        <w:spacing w:after="0" w:line="3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single-family loans in our quarterly earnings presentations and financial supplements, which we furnish to the Securities and Exchange Commission (the “SEC”) with current reports on Form 8-K and make available on our website. Information in our quarterly earnings presentations and financial supplements is not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Percent of Single-Family Conventional Business Volume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gridSpan w:val="3"/>
          </w:tcPr>
          <w:p>
            <w:pPr>
              <w:jc w:val="center"/>
              <w:ind w:right="560"/>
              <w:spacing w:after="0" w:line="141" w:lineRule="exact"/>
              <w:rPr>
                <w:sz w:val="20"/>
                <w:szCs w:val="20"/>
                <w:color w:val="auto"/>
              </w:rPr>
            </w:pPr>
            <w:r>
              <w:rPr>
                <w:rFonts w:ascii="Arial" w:cs="Arial" w:eastAsia="Arial" w:hAnsi="Arial"/>
                <w:sz w:val="13"/>
                <w:szCs w:val="13"/>
                <w:b w:val="1"/>
                <w:bCs w:val="1"/>
                <w:color w:val="auto"/>
              </w:rPr>
              <w:t>at Acquisition</w:t>
            </w:r>
            <w:r>
              <w:rPr>
                <w:rFonts w:ascii="Arial" w:cs="Arial" w:eastAsia="Arial" w:hAnsi="Arial"/>
                <w:sz w:val="16"/>
                <w:szCs w:val="16"/>
                <w:b w:val="1"/>
                <w:bCs w:val="1"/>
                <w:color w:val="auto"/>
                <w:vertAlign w:val="superscript"/>
              </w:rPr>
              <w:t>(2)</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2C6937"/>
            </w:tcBorders>
          </w:tcPr>
          <w:p>
            <w:pPr>
              <w:spacing w:after="0"/>
              <w:rPr>
                <w:sz w:val="5"/>
                <w:szCs w:val="5"/>
                <w:color w:val="auto"/>
              </w:rPr>
            </w:pPr>
          </w:p>
        </w:tc>
        <w:tc>
          <w:tcPr>
            <w:tcW w:w="640" w:type="dxa"/>
            <w:vAlign w:val="bottom"/>
            <w:tcBorders>
              <w:bottom w:val="single" w:sz="8" w:color="2C6937"/>
            </w:tcBorders>
          </w:tcPr>
          <w:p>
            <w:pPr>
              <w:spacing w:after="0"/>
              <w:rPr>
                <w:sz w:val="5"/>
                <w:szCs w:val="5"/>
                <w:color w:val="auto"/>
              </w:rPr>
            </w:pPr>
          </w:p>
        </w:tc>
        <w:tc>
          <w:tcPr>
            <w:tcW w:w="220" w:type="dxa"/>
            <w:vAlign w:val="bottom"/>
            <w:tcBorders>
              <w:bottom w:val="single" w:sz="8" w:color="2C6937"/>
            </w:tcBorders>
          </w:tcPr>
          <w:p>
            <w:pPr>
              <w:spacing w:after="0"/>
              <w:rPr>
                <w:sz w:val="5"/>
                <w:szCs w:val="5"/>
                <w:color w:val="auto"/>
              </w:rPr>
            </w:pPr>
          </w:p>
        </w:tc>
        <w:tc>
          <w:tcPr>
            <w:tcW w:w="1200" w:type="dxa"/>
            <w:vAlign w:val="bottom"/>
            <w:tcBorders>
              <w:bottom w:val="single" w:sz="8" w:color="2C6937"/>
            </w:tcBorders>
          </w:tcPr>
          <w:p>
            <w:pPr>
              <w:spacing w:after="0"/>
              <w:rPr>
                <w:sz w:val="5"/>
                <w:szCs w:val="5"/>
                <w:color w:val="auto"/>
              </w:rPr>
            </w:pPr>
          </w:p>
        </w:tc>
        <w:tc>
          <w:tcPr>
            <w:tcW w:w="580" w:type="dxa"/>
            <w:vAlign w:val="bottom"/>
            <w:tcBorders>
              <w:bottom w:val="single" w:sz="8" w:color="2C6937"/>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00" w:type="dxa"/>
            <w:vAlign w:val="bottom"/>
            <w:gridSpan w:val="4"/>
            <w:vMerge w:val="restart"/>
          </w:tcPr>
          <w:p>
            <w:pPr>
              <w:jc w:val="center"/>
              <w:spacing w:after="0" w:line="133" w:lineRule="exact"/>
              <w:rPr>
                <w:sz w:val="20"/>
                <w:szCs w:val="20"/>
                <w:color w:val="auto"/>
              </w:rPr>
            </w:pPr>
            <w:r>
              <w:rPr>
                <w:rFonts w:ascii="Arial" w:cs="Arial" w:eastAsia="Arial" w:hAnsi="Arial"/>
                <w:sz w:val="12"/>
                <w:szCs w:val="12"/>
                <w:b w:val="1"/>
                <w:bCs w:val="1"/>
                <w:color w:val="auto"/>
              </w:rPr>
              <w:t>Guaranty Book of Business</w:t>
            </w:r>
            <w:r>
              <w:rPr>
                <w:rFonts w:ascii="Arial" w:cs="Arial" w:eastAsia="Arial" w:hAnsi="Arial"/>
                <w:sz w:val="15"/>
                <w:szCs w:val="15"/>
                <w:b w:val="1"/>
                <w:bCs w:val="1"/>
                <w:color w:val="auto"/>
                <w:vertAlign w:val="superscript"/>
              </w:rPr>
              <w:t>(3)</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gridSpan w:val="4"/>
            <w:vMerge w:val="restart"/>
          </w:tcPr>
          <w:p>
            <w:pPr>
              <w:jc w:val="center"/>
              <w:ind w:left="511"/>
              <w:spacing w:after="0"/>
              <w:rPr>
                <w:sz w:val="20"/>
                <w:szCs w:val="20"/>
                <w:color w:val="auto"/>
              </w:rPr>
            </w:pPr>
            <w:r>
              <w:rPr>
                <w:rFonts w:ascii="Arial" w:cs="Arial" w:eastAsia="Arial" w:hAnsi="Arial"/>
                <w:sz w:val="14"/>
                <w:szCs w:val="14"/>
                <w:b w:val="1"/>
                <w:bCs w:val="1"/>
                <w:color w:val="auto"/>
                <w:w w:val="98"/>
              </w:rPr>
              <w:t>For the Three Months Ended March 31,</w:t>
            </w: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bottom w:val="single" w:sz="8" w:color="2C6937"/>
            </w:tcBorders>
            <w:gridSpan w:val="4"/>
            <w:vMerge w:val="continue"/>
          </w:tcPr>
          <w:p>
            <w:pPr>
              <w:spacing w:after="0"/>
              <w:rPr>
                <w:sz w:val="15"/>
                <w:szCs w:val="15"/>
                <w:color w:val="auto"/>
              </w:rPr>
            </w:pPr>
          </w:p>
        </w:tc>
        <w:tc>
          <w:tcPr>
            <w:tcW w:w="580" w:type="dxa"/>
            <w:vAlign w:val="bottom"/>
            <w:tcBorders>
              <w:bottom w:val="single" w:sz="8" w:color="2C6937"/>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52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b w:val="1"/>
                <w:bCs w:val="1"/>
                <w:color w:val="auto"/>
              </w:rPr>
              <w:t>2026</w:t>
            </w:r>
          </w:p>
        </w:tc>
        <w:tc>
          <w:tcPr>
            <w:tcW w:w="64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9"/>
              </w:rPr>
              <w:t>December 31, 2025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14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2C6937"/>
            </w:tcBorders>
          </w:tcPr>
          <w:p>
            <w:pPr>
              <w:spacing w:after="0"/>
              <w:rPr>
                <w:sz w:val="19"/>
                <w:szCs w:val="19"/>
                <w:color w:val="auto"/>
              </w:rPr>
            </w:pPr>
          </w:p>
        </w:tc>
        <w:tc>
          <w:tcPr>
            <w:tcW w:w="580" w:type="dxa"/>
            <w:vAlign w:val="bottom"/>
            <w:tcBorders>
              <w:top w:val="single" w:sz="8" w:color="2C6937"/>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2C6937"/>
            </w:tcBorders>
          </w:tcPr>
          <w:p>
            <w:pPr>
              <w:spacing w:after="0"/>
              <w:rPr>
                <w:sz w:val="19"/>
                <w:szCs w:val="19"/>
                <w:color w:val="auto"/>
              </w:rPr>
            </w:pPr>
          </w:p>
        </w:tc>
        <w:tc>
          <w:tcPr>
            <w:tcW w:w="1540" w:type="dxa"/>
            <w:vAlign w:val="bottom"/>
            <w:tcBorders>
              <w:top w:val="single" w:sz="8" w:color="2C6937"/>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2C6937"/>
            </w:tcBorders>
          </w:tcPr>
          <w:p>
            <w:pPr>
              <w:spacing w:after="0"/>
              <w:rPr>
                <w:sz w:val="19"/>
                <w:szCs w:val="19"/>
                <w:color w:val="auto"/>
              </w:rPr>
            </w:pPr>
          </w:p>
        </w:tc>
        <w:tc>
          <w:tcPr>
            <w:tcW w:w="152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4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76</w:t>
            </w:r>
          </w:p>
        </w:tc>
        <w:tc>
          <w:tcPr>
            <w:tcW w:w="22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120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77</w:t>
            </w:r>
          </w:p>
        </w:tc>
        <w:tc>
          <w:tcPr>
            <w:tcW w:w="2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74</w:t>
            </w:r>
          </w:p>
        </w:tc>
        <w:tc>
          <w:tcPr>
            <w:tcW w:w="2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322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140" w:type="dxa"/>
            <w:vAlign w:val="bottom"/>
          </w:tcPr>
          <w:p>
            <w:pPr>
              <w:jc w:val="right"/>
              <w:ind w:right="971"/>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358,815</w:t>
            </w:r>
          </w:p>
        </w:tc>
        <w:tc>
          <w:tcPr>
            <w:tcW w:w="142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331,067</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210,891</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210,595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16,902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16,949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6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40" w:type="dxa"/>
            <w:vAlign w:val="bottom"/>
            <w:tcBorders>
              <w:bottom w:val="single" w:sz="8" w:color="CBC8C3"/>
            </w:tcBorders>
          </w:tcPr>
          <w:p>
            <w:pPr>
              <w:spacing w:after="0" w:line="20" w:lineRule="exact"/>
              <w:rPr>
                <w:sz w:val="1"/>
                <w:szCs w:val="1"/>
                <w:color w:val="auto"/>
              </w:rPr>
            </w:pPr>
          </w:p>
        </w:tc>
        <w:tc>
          <w:tcPr>
            <w:tcW w:w="64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1200" w:type="dxa"/>
            <w:vAlign w:val="bottom"/>
            <w:tcBorders>
              <w:bottom w:val="single" w:sz="8" w:color="CBC8C3"/>
            </w:tcBorders>
          </w:tcPr>
          <w:p>
            <w:pPr>
              <w:spacing w:after="0" w:line="20" w:lineRule="exact"/>
              <w:rPr>
                <w:sz w:val="1"/>
                <w:szCs w:val="1"/>
                <w:color w:val="auto"/>
              </w:rPr>
            </w:pPr>
          </w:p>
        </w:tc>
        <w:tc>
          <w:tcPr>
            <w:tcW w:w="58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40" w:type="dxa"/>
            <w:vAlign w:val="bottom"/>
            <w:shd w:val="clear" w:color="auto" w:fill="CBC8C3"/>
          </w:tcPr>
          <w:p>
            <w:pPr>
              <w:spacing w:after="0"/>
              <w:rPr>
                <w:sz w:val="18"/>
                <w:szCs w:val="18"/>
                <w:color w:val="auto"/>
              </w:rPr>
            </w:pPr>
          </w:p>
        </w:tc>
        <w:tc>
          <w:tcPr>
            <w:tcW w:w="6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200" w:type="dxa"/>
            <w:vAlign w:val="bottom"/>
            <w:shd w:val="clear" w:color="auto" w:fill="CBC8C3"/>
          </w:tcPr>
          <w:p>
            <w:pPr>
              <w:spacing w:after="0"/>
              <w:rPr>
                <w:sz w:val="18"/>
                <w:szCs w:val="18"/>
                <w:color w:val="auto"/>
              </w:rPr>
            </w:pPr>
          </w:p>
        </w:tc>
        <w:tc>
          <w:tcPr>
            <w:tcW w:w="58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51</w:t>
            </w:r>
          </w:p>
        </w:tc>
        <w:tc>
          <w:tcPr>
            <w:tcW w:w="2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51</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322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2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w:t>
            </w:r>
          </w:p>
        </w:tc>
        <w:tc>
          <w:tcPr>
            <w:tcW w:w="2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67</w:t>
            </w:r>
          </w:p>
        </w:tc>
        <w:tc>
          <w:tcPr>
            <w:tcW w:w="22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4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757</w:t>
            </w:r>
          </w:p>
        </w:tc>
        <w:tc>
          <w:tcPr>
            <w:tcW w:w="220" w:type="dxa"/>
            <w:vAlign w:val="bottom"/>
            <w:shd w:val="clear" w:color="auto" w:fill="CBC8C3"/>
          </w:tcPr>
          <w:p>
            <w:pPr>
              <w:spacing w:after="0"/>
              <w:rPr>
                <w:sz w:val="18"/>
                <w:szCs w:val="18"/>
                <w:color w:val="auto"/>
              </w:rPr>
            </w:pPr>
          </w:p>
        </w:tc>
        <w:tc>
          <w:tcPr>
            <w:tcW w:w="120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757</w:t>
            </w:r>
          </w:p>
        </w:tc>
        <w:tc>
          <w:tcPr>
            <w:tcW w:w="22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753</w:t>
            </w:r>
          </w:p>
        </w:tc>
        <w:tc>
          <w:tcPr>
            <w:tcW w:w="22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 origination:</w:t>
            </w:r>
            <w:r>
              <w:rPr>
                <w:rFonts w:ascii="Arial" w:cs="Arial" w:eastAsia="Arial" w:hAnsi="Arial"/>
                <w:sz w:val="17"/>
                <w:szCs w:val="17"/>
                <w:b w:val="1"/>
                <w:bCs w:val="1"/>
                <w:color w:val="auto"/>
                <w:vertAlign w:val="superscript"/>
              </w:rPr>
              <w:t>(7)</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73</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4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37</w:t>
            </w:r>
          </w:p>
        </w:tc>
        <w:tc>
          <w:tcPr>
            <w:tcW w:w="22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120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36</w:t>
            </w:r>
          </w:p>
        </w:tc>
        <w:tc>
          <w:tcPr>
            <w:tcW w:w="2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36</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3120" w:type="dxa"/>
            <w:vAlign w:val="bottom"/>
            <w:tcBorders>
              <w:bottom w:val="single" w:sz="8" w:color="CBC8C3"/>
            </w:tcBorders>
            <w:gridSpan w:val="2"/>
          </w:tcPr>
          <w:p>
            <w:pPr>
              <w:spacing w:after="0"/>
              <w:rPr>
                <w:sz w:val="24"/>
                <w:szCs w:val="24"/>
                <w:color w:val="auto"/>
              </w:rPr>
            </w:pPr>
          </w:p>
        </w:tc>
        <w:tc>
          <w:tcPr>
            <w:tcW w:w="1140" w:type="dxa"/>
            <w:vAlign w:val="bottom"/>
            <w:tcBorders>
              <w:bottom w:val="single" w:sz="8" w:color="CBC8C3"/>
            </w:tcBorders>
          </w:tcPr>
          <w:p>
            <w:pPr>
              <w:spacing w:after="0"/>
              <w:rPr>
                <w:sz w:val="24"/>
                <w:szCs w:val="24"/>
                <w:color w:val="auto"/>
              </w:rPr>
            </w:pPr>
          </w:p>
        </w:tc>
        <w:tc>
          <w:tcPr>
            <w:tcW w:w="6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1200" w:type="dxa"/>
            <w:vAlign w:val="bottom"/>
            <w:tcBorders>
              <w:bottom w:val="single" w:sz="8" w:color="CBC8C3"/>
            </w:tcBorders>
          </w:tcPr>
          <w:p>
            <w:pPr>
              <w:spacing w:after="0"/>
              <w:rPr>
                <w:sz w:val="24"/>
                <w:szCs w:val="24"/>
                <w:color w:val="auto"/>
              </w:rPr>
            </w:pPr>
          </w:p>
        </w:tc>
        <w:tc>
          <w:tcPr>
            <w:tcW w:w="58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5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152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3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200"/>
        <w:spacing w:after="0"/>
        <w:rPr>
          <w:sz w:val="20"/>
          <w:szCs w:val="20"/>
          <w:color w:val="auto"/>
        </w:rPr>
      </w:pPr>
      <w:r>
        <w:rPr>
          <w:rFonts w:ascii="Arial" w:cs="Arial" w:eastAsia="Arial" w:hAnsi="Arial"/>
          <w:sz w:val="13"/>
          <w:szCs w:val="13"/>
          <w:b w:val="1"/>
          <w:bCs w:val="1"/>
          <w:color w:val="auto"/>
        </w:rPr>
        <w:t>Percent of Single-Family Conventional Business Volume</w:t>
      </w:r>
    </w:p>
    <w:p>
      <w:pPr>
        <w:spacing w:after="0" w:line="24"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at Acquisition</w:t>
      </w:r>
      <w:r>
        <w:rPr>
          <w:rFonts w:ascii="Arial" w:cs="Arial" w:eastAsia="Arial" w:hAnsi="Arial"/>
          <w:sz w:val="17"/>
          <w:szCs w:val="1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635</wp:posOffset>
            </wp:positionV>
            <wp:extent cx="23983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gridSpan w:val="2"/>
          </w:tcPr>
          <w:p>
            <w:pPr>
              <w:spacing w:after="0"/>
              <w:rPr>
                <w:sz w:val="17"/>
                <w:szCs w:val="17"/>
                <w:color w:val="auto"/>
              </w:rPr>
            </w:pPr>
          </w:p>
        </w:tc>
        <w:tc>
          <w:tcPr>
            <w:tcW w:w="1260" w:type="dxa"/>
            <w:vAlign w:val="bottom"/>
            <w:tcBorders>
              <w:top w:val="single" w:sz="8" w:color="2C6937"/>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2C6937"/>
              <w:bottom w:val="single" w:sz="8" w:color="2C6937"/>
            </w:tcBorders>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1760" w:type="dxa"/>
            <w:vAlign w:val="bottom"/>
            <w:tcBorders>
              <w:top w:val="single" w:sz="8" w:color="2C6937"/>
              <w:bottom w:val="single" w:sz="8" w:color="2C6937"/>
            </w:tcBorders>
          </w:tcPr>
          <w:p>
            <w:pPr>
              <w:jc w:val="right"/>
              <w:ind w:right="651"/>
              <w:spacing w:after="0"/>
              <w:rPr>
                <w:sz w:val="20"/>
                <w:szCs w:val="20"/>
                <w:color w:val="auto"/>
              </w:rPr>
            </w:pPr>
            <w:r>
              <w:rPr>
                <w:rFonts w:ascii="Arial" w:cs="Arial" w:eastAsia="Arial" w:hAnsi="Arial"/>
                <w:sz w:val="14"/>
                <w:szCs w:val="14"/>
                <w:b w:val="1"/>
                <w:bCs w:val="1"/>
                <w:color w:val="auto"/>
              </w:rPr>
              <w:t>2025</w:t>
            </w:r>
          </w:p>
        </w:tc>
      </w:tr>
      <w:tr>
        <w:trPr>
          <w:trHeight w:val="185"/>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52"/>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99"/>
        </w:trPr>
        <w:tc>
          <w:tcPr>
            <w:tcW w:w="444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90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20"/>
        </w:trPr>
        <w:tc>
          <w:tcPr>
            <w:tcW w:w="30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r>
      <w:tr>
        <w:trPr>
          <w:trHeight w:val="212"/>
        </w:trPr>
        <w:tc>
          <w:tcPr>
            <w:tcW w:w="308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r>
      <w:tr>
        <w:trPr>
          <w:trHeight w:val="212"/>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r>
      <w:tr>
        <w:trPr>
          <w:trHeight w:val="213"/>
        </w:trPr>
        <w:tc>
          <w:tcPr>
            <w:tcW w:w="308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0"/>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r>
      <w:tr>
        <w:trPr>
          <w:trHeight w:val="213"/>
        </w:trPr>
        <w:tc>
          <w:tcPr>
            <w:tcW w:w="30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20"/>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r>
      <w:tr>
        <w:trPr>
          <w:trHeight w:val="213"/>
        </w:trPr>
        <w:tc>
          <w:tcPr>
            <w:tcW w:w="30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83"/>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0"/>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r>
      <w:tr>
        <w:trPr>
          <w:trHeight w:val="213"/>
        </w:trPr>
        <w:tc>
          <w:tcPr>
            <w:tcW w:w="30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56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0"/>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r>
      <w:tr>
        <w:trPr>
          <w:trHeight w:val="213"/>
        </w:trPr>
        <w:tc>
          <w:tcPr>
            <w:tcW w:w="30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229"/>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9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9"/>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0"/>
        </w:trPr>
        <w:tc>
          <w:tcPr>
            <w:tcW w:w="30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r>
      <w:tr>
        <w:trPr>
          <w:trHeight w:val="213"/>
        </w:trPr>
        <w:tc>
          <w:tcPr>
            <w:tcW w:w="444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r>
      <w:tr>
        <w:trPr>
          <w:trHeight w:val="196"/>
        </w:trPr>
        <w:tc>
          <w:tcPr>
            <w:tcW w:w="444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0"/>
        </w:trPr>
        <w:tc>
          <w:tcPr>
            <w:tcW w:w="4440" w:type="dxa"/>
            <w:vAlign w:val="bottom"/>
            <w:gridSpan w:val="3"/>
          </w:tcPr>
          <w:p>
            <w:pPr>
              <w:ind w:left="120"/>
              <w:spacing w:after="0"/>
              <w:rPr>
                <w:sz w:val="20"/>
                <w:szCs w:val="20"/>
                <w:color w:val="auto"/>
              </w:rPr>
            </w:pPr>
            <w:r>
              <w:rPr>
                <w:rFonts w:ascii="Arial" w:cs="Arial" w:eastAsia="Arial" w:hAnsi="Arial"/>
                <w:sz w:val="14"/>
                <w:szCs w:val="14"/>
                <w:color w:val="auto"/>
              </w:rPr>
              <w:t>2020 and prior</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6"/>
        </w:trPr>
        <w:tc>
          <w:tcPr>
            <w:tcW w:w="3080" w:type="dxa"/>
            <w:vAlign w:val="bottom"/>
          </w:tcPr>
          <w:p>
            <w:pPr>
              <w:ind w:left="1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2025</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956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956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56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956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Percent of Single-Family Conventional</w:t>
      </w:r>
    </w:p>
    <w:p>
      <w:pPr>
        <w:ind w:left="126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780" w:type="dxa"/>
            <w:vAlign w:val="bottom"/>
            <w:tcBorders>
              <w:top w:val="single" w:sz="8" w:color="2C6937"/>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Borders>
              <w:top w:val="single" w:sz="8" w:color="2C6937"/>
            </w:tcBorders>
          </w:tcPr>
          <w:p>
            <w:pPr>
              <w:spacing w:after="0"/>
              <w:rPr>
                <w:sz w:val="16"/>
                <w:szCs w:val="16"/>
                <w:color w:val="auto"/>
              </w:rPr>
            </w:pPr>
          </w:p>
        </w:tc>
        <w:tc>
          <w:tcPr>
            <w:tcW w:w="17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top w:val="single" w:sz="8" w:color="2C6937"/>
            </w:tcBorders>
          </w:tcPr>
          <w:p>
            <w:pPr>
              <w:spacing w:after="0"/>
              <w:rPr>
                <w:sz w:val="16"/>
                <w:szCs w:val="16"/>
                <w:color w:val="auto"/>
              </w:rPr>
            </w:pPr>
          </w:p>
        </w:tc>
      </w:tr>
      <w:tr>
        <w:trPr>
          <w:trHeight w:val="636"/>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2"/>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92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r>
      <w:tr>
        <w:trPr>
          <w:trHeight w:val="213"/>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960" w:space="60"/>
            <w:col w:w="4220"/>
          </w:cols>
          <w:pgMar w:left="320" w:top="248" w:right="339" w:bottom="1440" w:gutter="0" w:footer="0" w:header="0"/>
          <w:type w:val="continuous"/>
        </w:sectPr>
      </w:pPr>
    </w:p>
    <w:p>
      <w:pPr>
        <w:ind w:left="200" w:hanging="197"/>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19" w:lineRule="exact"/>
        <w:rPr>
          <w:sz w:val="20"/>
          <w:szCs w:val="20"/>
          <w:color w:val="auto"/>
        </w:rPr>
      </w:pPr>
    </w:p>
    <w:p>
      <w:pPr>
        <w:ind w:left="220" w:hanging="217"/>
        <w:spacing w:after="0"/>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5" w:name="page26"/>
    <w:bookmarkEnd w:id="2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single-family loans for each category at time of acquisition.</w:t>
      </w:r>
    </w:p>
    <w:p>
      <w:pPr>
        <w:spacing w:after="0" w:line="37" w:lineRule="exact"/>
        <w:rPr>
          <w:rFonts w:ascii="Arial" w:cs="Arial" w:eastAsia="Arial" w:hAnsi="Arial"/>
          <w:sz w:val="18"/>
          <w:szCs w:val="18"/>
          <w:color w:val="auto"/>
          <w:vertAlign w:val="superscript"/>
        </w:rPr>
      </w:pPr>
    </w:p>
    <w:p>
      <w:pPr>
        <w:ind w:left="240" w:right="120" w:hanging="237"/>
        <w:spacing w:after="0" w:line="219"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single-family loans for each category divided by the aggregate UPB of loans in our single-family conventional guaranty book of business as of the end of each period.</w:t>
      </w:r>
    </w:p>
    <w:p>
      <w:pPr>
        <w:spacing w:after="0" w:line="26" w:lineRule="exact"/>
        <w:rPr>
          <w:rFonts w:ascii="Arial" w:cs="Arial" w:eastAsia="Arial" w:hAnsi="Arial"/>
          <w:sz w:val="18"/>
          <w:szCs w:val="18"/>
          <w:color w:val="auto"/>
          <w:vertAlign w:val="superscript"/>
        </w:rPr>
      </w:pPr>
    </w:p>
    <w:p>
      <w:pPr>
        <w:ind w:left="240" w:right="140" w:hanging="237"/>
        <w:spacing w:after="0" w:line="218"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original LTV ratio generally is based on the original UPB of the loan divided by the appraised property value reported to us at the time of acquisition of the loan. Excludes loans for which this information is not readily available.</w:t>
      </w:r>
    </w:p>
    <w:p>
      <w:pPr>
        <w:spacing w:after="0" w:line="26" w:lineRule="exact"/>
        <w:rPr>
          <w:rFonts w:ascii="Arial" w:cs="Arial" w:eastAsia="Arial" w:hAnsi="Arial"/>
          <w:sz w:val="18"/>
          <w:szCs w:val="18"/>
          <w:color w:val="auto"/>
          <w:vertAlign w:val="superscript"/>
        </w:rPr>
      </w:pPr>
    </w:p>
    <w:p>
      <w:pPr>
        <w:ind w:left="240" w:right="360" w:hanging="237"/>
        <w:spacing w:after="0" w:line="244" w:lineRule="auto"/>
        <w:tabs>
          <w:tab w:leader="none" w:pos="233"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UPB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26"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2"/>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22"/>
        </w:numPr>
        <w:rPr>
          <w:rFonts w:ascii="Arial" w:cs="Arial" w:eastAsia="Arial" w:hAnsi="Arial"/>
          <w:sz w:val="9"/>
          <w:szCs w:val="9"/>
          <w:color w:val="auto"/>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45" w:lineRule="exact"/>
        <w:rPr>
          <w:rFonts w:ascii="Arial" w:cs="Arial" w:eastAsia="Arial" w:hAnsi="Arial"/>
          <w:sz w:val="9"/>
          <w:szCs w:val="9"/>
          <w:color w:val="auto"/>
        </w:rPr>
      </w:pPr>
    </w:p>
    <w:p>
      <w:pPr>
        <w:ind w:left="240" w:right="160" w:hanging="237"/>
        <w:spacing w:after="0" w:line="244" w:lineRule="auto"/>
        <w:tabs>
          <w:tab w:leader="none" w:pos="233"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7"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The share of our single-family loan acquisitions consisting of refinance loans increased to 44% in the first quarter of 2026 compared with 22% in the first quarter of 2025 driven by lower mortgage rates in the first quarter of 2026. Although the weighted average FICO credit score at origination of the single-family loans we acquired in the first quarter of 2026 remained unchanged from the first quarter of 2025 at 757, the percentage of loans we acquired with FICO credit scores less than 620 increased to 2% of our single-family loan acquisitions in the first quarter of 2026, from less than 0.5% of our first quarter 2025 single-family loan acquisitions, due to our removal of the 620 minimum FICO credit score requirement for loans submitted to Desktop Underwriter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w:t>
      </w:r>
      <w:r>
        <w:rPr>
          <w:rFonts w:ascii="Arial" w:cs="Arial" w:eastAsia="Arial" w:hAnsi="Arial"/>
          <w:sz w:val="21"/>
          <w:szCs w:val="21"/>
          <w:color w:val="auto"/>
          <w:vertAlign w:val="superscript"/>
        </w:rPr>
        <w:t>®</w:t>
      </w:r>
      <w:r>
        <w:rPr>
          <w:rFonts w:ascii="Arial" w:cs="Arial" w:eastAsia="Arial" w:hAnsi="Arial"/>
          <w:sz w:val="16"/>
          <w:szCs w:val="16"/>
          <w:color w:val="auto"/>
        </w:rPr>
        <w:t>) effective in November 2025; the minimum credit score requirement was replaced with a minimum credit risk standard based on the credit risk factor evaluation within the DU credit risk assessment.</w:t>
      </w:r>
    </w:p>
    <w:p>
      <w:pPr>
        <w:spacing w:after="0" w:line="5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2025 Form 10-K. In this section of our 2025 Form 10-K, we also provide more information on the credit characteristics of loans in our single-family conventional guaranty book of business, including high-balance loans and adjustable-rate mortgages.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acquisition. We generally achieve this through primary mortgage insurance. We also enter into various other types of transactions in which we transfer mortgage credit risk to third parties. For a discussion of our exposure to and management of the counterparty credit risk associated with the providers of these credit enhancements, see “MD&amp;A—Risk Management—Institutional Counterparty Credit Risk Management,” “Note 14, Concentrations of Credit Risk” and “Risk Factors—Credit Risk” in our 2025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The risk in force of our back-end single-family credit risk transfer transactions, which refers to the maximum amount of losses that could be absorbed by credit risk transfer investors, was approximately $38 billion as of March 31, 2026, compared with approximately $39 billion as of December 31, 2025. Our mortgage insurance risk in force, which refers to our maximum potential loss recovery under the applicable mortgage insurance policies in force, was approximately $200 billion as of March 31, 2026, compared with approximately $201 billion as of December 31, 2025.</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right"/>
              <w:ind w:right="38"/>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480" w:type="dxa"/>
            <w:vAlign w:val="bottom"/>
            <w:tcBorders>
              <w:bottom w:val="single" w:sz="8" w:color="2C6937"/>
            </w:tcBorders>
            <w:gridSpan w:val="3"/>
          </w:tcPr>
          <w:p>
            <w:pPr>
              <w:jc w:val="right"/>
              <w:ind w:right="785"/>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48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78"/>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Single-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Family Conventional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UPB</w:t>
            </w:r>
          </w:p>
        </w:tc>
        <w:tc>
          <w:tcPr>
            <w:tcW w:w="100" w:type="dxa"/>
            <w:vAlign w:val="bottom"/>
            <w:vMerge w:val="restart"/>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Guaranty Book of</w:t>
            </w:r>
          </w:p>
        </w:tc>
        <w:tc>
          <w:tcPr>
            <w:tcW w:w="240" w:type="dxa"/>
            <w:vAlign w:val="bottom"/>
          </w:tcPr>
          <w:p>
            <w:pPr>
              <w:spacing w:after="0"/>
              <w:rPr>
                <w:sz w:val="14"/>
                <w:szCs w:val="14"/>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UPB</w:t>
            </w:r>
          </w:p>
        </w:tc>
        <w:tc>
          <w:tcPr>
            <w:tcW w:w="120" w:type="dxa"/>
            <w:vAlign w:val="bottom"/>
            <w:vMerge w:val="restart"/>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w:t>
            </w:r>
          </w:p>
        </w:tc>
        <w:tc>
          <w:tcPr>
            <w:tcW w:w="240" w:type="dxa"/>
            <w:vAlign w:val="bottom"/>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753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tcPr>
          <w:p>
            <w:pPr>
              <w:spacing w:after="0"/>
              <w:rPr>
                <w:sz w:val="21"/>
                <w:szCs w:val="21"/>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24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861</w:t>
            </w:r>
          </w:p>
        </w:tc>
        <w:tc>
          <w:tcPr>
            <w:tcW w:w="100" w:type="dxa"/>
            <w:vAlign w:val="bottom"/>
          </w:tcPr>
          <w:p>
            <w:pPr>
              <w:spacing w:after="0"/>
              <w:rPr>
                <w:sz w:val="20"/>
                <w:szCs w:val="20"/>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24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406</w:t>
            </w:r>
          </w:p>
        </w:tc>
        <w:tc>
          <w:tcPr>
            <w:tcW w:w="100" w:type="dxa"/>
            <w:vAlign w:val="bottom"/>
          </w:tcPr>
          <w:p>
            <w:pPr>
              <w:spacing w:after="0"/>
              <w:rPr>
                <w:sz w:val="20"/>
                <w:szCs w:val="20"/>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0"/>
                <w:szCs w:val="20"/>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Pr>
          <w:p>
            <w:pPr>
              <w:spacing w:after="0"/>
              <w:rPr>
                <w:sz w:val="20"/>
                <w:szCs w:val="20"/>
                <w:color w:val="auto"/>
              </w:rPr>
            </w:pPr>
          </w:p>
        </w:tc>
        <w:tc>
          <w:tcPr>
            <w:tcW w:w="1560" w:type="dxa"/>
            <w:vAlign w:val="bottom"/>
            <w:tcBorders>
              <w:bottom w:val="single" w:sz="8" w:color="2C6937"/>
            </w:tcBorders>
          </w:tcPr>
          <w:p>
            <w:pPr>
              <w:jc w:val="right"/>
              <w:ind w:right="85"/>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5"/>
        </w:trPr>
        <w:tc>
          <w:tcPr>
            <w:tcW w:w="568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240" w:type="dxa"/>
            <w:vAlign w:val="bottom"/>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1,652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46 %</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See “MD&amp;A—Single-Family Business—Single-Family Credit Enhancement and Transfer of Mortgage Credit Risk" in our 2025 Form 10-K for information about our single-family loans without credit enhancements.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80"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 For a description of our single-family credit risk transfer transactions, see "MD&amp;A—Single-Family Business— Single-Family Mortgage Credit Risk Management—Single-Family Credit Enhancement and Transfer of Mortgage Credit Risk" in our 2025 Form 10-K.</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first quarter of 2026, we transferred a portion of the mortgage credit risk on single-family mortgage loans with a UPB of $36.9 billion at the time of the transactions.</w:t>
      </w:r>
    </w:p>
    <w:p>
      <w:pPr>
        <w:spacing w:after="0" w:line="1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condensed consolidated statements of operations and comprehensive income.</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Overview</w:t>
      </w:r>
    </w:p>
    <w:p>
      <w:pPr>
        <w:spacing w:after="0" w:line="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2025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reasons, including as a result of variations in the loan population covered, timing differences in reporting and other factors.</w:t>
      </w:r>
    </w:p>
    <w:p>
      <w:pPr>
        <w:spacing w:after="0" w:line="126"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80" w:lineRule="exact"/>
        <w:rPr>
          <w:sz w:val="20"/>
          <w:szCs w:val="20"/>
          <w:color w:val="auto"/>
        </w:rPr>
      </w:pPr>
    </w:p>
    <w:p>
      <w:pPr>
        <w:ind w:left="20" w:right="20"/>
        <w:spacing w:after="0" w:line="260"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A higher serious delinquency rate may result in a higher allowance for loan losses. For information on our single-family serious delinquency rate based on UPB, see "Note 11, Concentrations of Credit Risk—Risk Characteristics of our Guaranty Book of Business—Single-Family Credit Risk Characteristics."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2C6937"/>
            </w:tcBorders>
          </w:tcPr>
          <w:p>
            <w:pPr>
              <w:spacing w:after="0"/>
              <w:rPr>
                <w:sz w:val="17"/>
                <w:szCs w:val="17"/>
                <w:color w:val="auto"/>
              </w:rPr>
            </w:pPr>
          </w:p>
        </w:tc>
        <w:tc>
          <w:tcPr>
            <w:tcW w:w="18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6"/>
                <w:szCs w:val="16"/>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December 31, 2025</w:t>
            </w:r>
          </w:p>
        </w:tc>
        <w:tc>
          <w:tcPr>
            <w:tcW w:w="40" w:type="dxa"/>
            <w:vAlign w:val="bottom"/>
          </w:tcPr>
          <w:p>
            <w:pPr>
              <w:spacing w:after="0"/>
              <w:rPr>
                <w:sz w:val="16"/>
                <w:szCs w:val="16"/>
                <w:color w:val="auto"/>
              </w:rPr>
            </w:pPr>
          </w:p>
        </w:tc>
        <w:tc>
          <w:tcPr>
            <w:tcW w:w="1880" w:type="dxa"/>
            <w:vAlign w:val="bottom"/>
          </w:tcPr>
          <w:p>
            <w:pPr>
              <w:jc w:val="right"/>
              <w:ind w:right="387"/>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5"/>
                <w:szCs w:val="15"/>
                <w:b w:val="1"/>
                <w:bCs w:val="1"/>
                <w:color w:val="auto"/>
              </w:rPr>
              <w:t>Delinquency status:</w:t>
            </w:r>
          </w:p>
        </w:tc>
        <w:tc>
          <w:tcPr>
            <w:tcW w:w="19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2C6937"/>
            </w:tcBorders>
          </w:tcPr>
          <w:p>
            <w:pPr>
              <w:spacing w:after="0"/>
              <w:rPr>
                <w:sz w:val="18"/>
                <w:szCs w:val="18"/>
                <w:color w:val="auto"/>
              </w:rPr>
            </w:pPr>
          </w:p>
        </w:tc>
        <w:tc>
          <w:tcPr>
            <w:tcW w:w="182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188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260" w:type="dxa"/>
            <w:vAlign w:val="bottom"/>
          </w:tcPr>
          <w:p>
            <w:pPr>
              <w:ind w:left="160"/>
              <w:spacing w:after="0"/>
              <w:rPr>
                <w:sz w:val="20"/>
                <w:szCs w:val="20"/>
                <w:color w:val="auto"/>
              </w:rPr>
            </w:pPr>
            <w:r>
              <w:rPr>
                <w:rFonts w:ascii="Arial" w:cs="Arial" w:eastAsia="Arial" w:hAnsi="Arial"/>
                <w:sz w:val="15"/>
                <w:szCs w:val="15"/>
                <w:color w:val="auto"/>
              </w:rPr>
              <w:t>30 to 59 days delinquent</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0.94 %</w:t>
            </w:r>
          </w:p>
        </w:tc>
        <w:tc>
          <w:tcPr>
            <w:tcW w:w="10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1.05 %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0.90 %</w:t>
            </w:r>
          </w:p>
        </w:tc>
        <w:tc>
          <w:tcPr>
            <w:tcW w:w="0" w:type="dxa"/>
            <w:vAlign w:val="bottom"/>
          </w:tcPr>
          <w:p>
            <w:pPr>
              <w:spacing w:after="0"/>
              <w:rPr>
                <w:sz w:val="1"/>
                <w:szCs w:val="1"/>
                <w:color w:val="auto"/>
              </w:rPr>
            </w:pPr>
          </w:p>
        </w:tc>
      </w:tr>
      <w:tr>
        <w:trPr>
          <w:trHeight w:val="232"/>
        </w:trPr>
        <w:tc>
          <w:tcPr>
            <w:tcW w:w="5260" w:type="dxa"/>
            <w:vAlign w:val="bottom"/>
          </w:tcPr>
          <w:p>
            <w:pPr>
              <w:ind w:left="160"/>
              <w:spacing w:after="0"/>
              <w:rPr>
                <w:sz w:val="20"/>
                <w:szCs w:val="20"/>
                <w:color w:val="auto"/>
              </w:rPr>
            </w:pPr>
            <w:r>
              <w:rPr>
                <w:rFonts w:ascii="Arial" w:cs="Arial" w:eastAsia="Arial" w:hAnsi="Arial"/>
                <w:sz w:val="15"/>
                <w:szCs w:val="15"/>
                <w:color w:val="auto"/>
              </w:rPr>
              <w:t>60 to 89 days delinquent</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0.25</w:t>
            </w:r>
          </w:p>
        </w:tc>
        <w:tc>
          <w:tcPr>
            <w:tcW w:w="100" w:type="dxa"/>
            <w:vAlign w:val="bottom"/>
          </w:tcPr>
          <w:p>
            <w:pPr>
              <w:spacing w:after="0"/>
              <w:rPr>
                <w:sz w:val="20"/>
                <w:szCs w:val="20"/>
                <w:color w:val="auto"/>
              </w:rPr>
            </w:pPr>
          </w:p>
        </w:tc>
        <w:tc>
          <w:tcPr>
            <w:tcW w:w="1940" w:type="dxa"/>
            <w:vAlign w:val="bottom"/>
            <w:gridSpan w:val="2"/>
          </w:tcPr>
          <w:p>
            <w:pPr>
              <w:jc w:val="right"/>
              <w:ind w:right="128"/>
              <w:spacing w:after="0"/>
              <w:rPr>
                <w:sz w:val="20"/>
                <w:szCs w:val="20"/>
                <w:color w:val="auto"/>
              </w:rPr>
            </w:pPr>
            <w:r>
              <w:rPr>
                <w:rFonts w:ascii="Arial" w:cs="Arial" w:eastAsia="Arial" w:hAnsi="Arial"/>
                <w:sz w:val="15"/>
                <w:szCs w:val="15"/>
                <w:color w:val="auto"/>
              </w:rPr>
              <w:t>0.30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127"/>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232"/>
        </w:trPr>
        <w:tc>
          <w:tcPr>
            <w:tcW w:w="5260" w:type="dxa"/>
            <w:vAlign w:val="bottom"/>
          </w:tcPr>
          <w:p>
            <w:pPr>
              <w:ind w:left="160"/>
              <w:spacing w:after="0"/>
              <w:rPr>
                <w:sz w:val="20"/>
                <w:szCs w:val="20"/>
                <w:color w:val="auto"/>
              </w:rPr>
            </w:pPr>
            <w:r>
              <w:rPr>
                <w:rFonts w:ascii="Arial" w:cs="Arial" w:eastAsia="Arial" w:hAnsi="Arial"/>
                <w:sz w:val="15"/>
                <w:szCs w:val="15"/>
                <w:color w:val="auto"/>
              </w:rPr>
              <w:t>Seriously delinquent (“SDQ”):</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0.58</w:t>
            </w:r>
          </w:p>
        </w:tc>
        <w:tc>
          <w:tcPr>
            <w:tcW w:w="100" w:type="dxa"/>
            <w:vAlign w:val="bottom"/>
          </w:tcPr>
          <w:p>
            <w:pPr>
              <w:spacing w:after="0"/>
              <w:rPr>
                <w:sz w:val="20"/>
                <w:szCs w:val="20"/>
                <w:color w:val="auto"/>
              </w:rPr>
            </w:pPr>
          </w:p>
        </w:tc>
        <w:tc>
          <w:tcPr>
            <w:tcW w:w="1940" w:type="dxa"/>
            <w:vAlign w:val="bottom"/>
            <w:gridSpan w:val="2"/>
          </w:tcPr>
          <w:p>
            <w:pPr>
              <w:jc w:val="right"/>
              <w:ind w:right="128"/>
              <w:spacing w:after="0"/>
              <w:rPr>
                <w:sz w:val="20"/>
                <w:szCs w:val="20"/>
                <w:color w:val="auto"/>
              </w:rPr>
            </w:pPr>
            <w:r>
              <w:rPr>
                <w:rFonts w:ascii="Arial" w:cs="Arial" w:eastAsia="Arial" w:hAnsi="Arial"/>
                <w:sz w:val="15"/>
                <w:szCs w:val="15"/>
                <w:color w:val="auto"/>
              </w:rPr>
              <w:t>0.58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127"/>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1"/>
        </w:trPr>
        <w:tc>
          <w:tcPr>
            <w:tcW w:w="5260" w:type="dxa"/>
            <w:vAlign w:val="bottom"/>
          </w:tcPr>
          <w:p>
            <w:pPr>
              <w:ind w:left="30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460"/>
              <w:spacing w:after="0"/>
              <w:rPr>
                <w:sz w:val="20"/>
                <w:szCs w:val="20"/>
                <w:color w:val="auto"/>
              </w:rPr>
            </w:pPr>
            <w:r>
              <w:rPr>
                <w:rFonts w:ascii="Arial" w:cs="Arial" w:eastAsia="Arial" w:hAnsi="Arial"/>
                <w:sz w:val="15"/>
                <w:szCs w:val="15"/>
                <w:color w:val="auto"/>
              </w:rPr>
              <w:t>180 days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19"/>
                <w:szCs w:val="19"/>
                <w:color w:val="auto"/>
              </w:rPr>
            </w:pPr>
          </w:p>
        </w:tc>
        <w:tc>
          <w:tcPr>
            <w:tcW w:w="1940" w:type="dxa"/>
            <w:vAlign w:val="bottom"/>
            <w:gridSpan w:val="2"/>
          </w:tcPr>
          <w:p>
            <w:pPr>
              <w:jc w:val="right"/>
              <w:ind w:right="128"/>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2"/>
          </w:tcPr>
          <w:p>
            <w:pPr>
              <w:jc w:val="right"/>
              <w:ind w:right="127"/>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1"/>
        </w:trPr>
        <w:tc>
          <w:tcPr>
            <w:tcW w:w="5260" w:type="dxa"/>
            <w:vAlign w:val="bottom"/>
          </w:tcPr>
          <w:p>
            <w:pPr>
              <w:ind w:left="30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460"/>
              <w:spacing w:after="0"/>
              <w:rPr>
                <w:sz w:val="20"/>
                <w:szCs w:val="20"/>
                <w:color w:val="auto"/>
              </w:rPr>
            </w:pPr>
            <w:r>
              <w:rPr>
                <w:rFonts w:ascii="Arial" w:cs="Arial" w:eastAsia="Arial" w:hAnsi="Arial"/>
                <w:sz w:val="15"/>
                <w:szCs w:val="15"/>
                <w:color w:val="auto"/>
              </w:rPr>
              <w:t>years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9"/>
                <w:szCs w:val="19"/>
                <w:color w:val="auto"/>
              </w:rPr>
            </w:pPr>
          </w:p>
        </w:tc>
        <w:tc>
          <w:tcPr>
            <w:tcW w:w="1940" w:type="dxa"/>
            <w:vAlign w:val="bottom"/>
            <w:gridSpan w:val="2"/>
          </w:tcPr>
          <w:p>
            <w:pPr>
              <w:jc w:val="right"/>
              <w:ind w:right="128"/>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2"/>
          </w:tcPr>
          <w:p>
            <w:pPr>
              <w:jc w:val="right"/>
              <w:ind w:right="127"/>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15"/>
        </w:trPr>
        <w:tc>
          <w:tcPr>
            <w:tcW w:w="5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2C6937"/>
            </w:tcBorders>
            <w:gridSpan w:val="5"/>
          </w:tcPr>
          <w:p>
            <w:pPr>
              <w:jc w:val="right"/>
              <w:ind w:right="587"/>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2C6937"/>
            </w:tcBorders>
          </w:tcPr>
          <w:p>
            <w:pPr>
              <w:jc w:val="right"/>
              <w:ind w:right="668"/>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Borders>
              <w:bottom w:val="single" w:sz="8" w:color="2C6937"/>
            </w:tcBorders>
          </w:tcPr>
          <w:p>
            <w:pPr>
              <w:jc w:val="right"/>
              <w:ind w:right="707"/>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97,885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2"/>
          </w:tcPr>
          <w:p>
            <w:pPr>
              <w:jc w:val="right"/>
              <w:ind w:right="7"/>
              <w:spacing w:after="0"/>
              <w:rPr>
                <w:sz w:val="20"/>
                <w:szCs w:val="20"/>
                <w:color w:val="auto"/>
              </w:rPr>
            </w:pPr>
            <w:r>
              <w:rPr>
                <w:rFonts w:ascii="Arial" w:cs="Arial" w:eastAsia="Arial" w:hAnsi="Arial"/>
                <w:sz w:val="15"/>
                <w:szCs w:val="15"/>
                <w:color w:val="auto"/>
              </w:rPr>
              <w:t>97,129</w:t>
            </w:r>
          </w:p>
        </w:tc>
        <w:tc>
          <w:tcPr>
            <w:tcW w:w="0" w:type="dxa"/>
            <w:vAlign w:val="bottom"/>
          </w:tcPr>
          <w:p>
            <w:pPr>
              <w:spacing w:after="0"/>
              <w:rPr>
                <w:sz w:val="1"/>
                <w:szCs w:val="1"/>
                <w:color w:val="auto"/>
              </w:rPr>
            </w:pPr>
          </w:p>
        </w:tc>
      </w:tr>
      <w:tr>
        <w:trPr>
          <w:trHeight w:val="232"/>
        </w:trPr>
        <w:tc>
          <w:tcPr>
            <w:tcW w:w="526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5"/>
                <w:szCs w:val="15"/>
                <w:b w:val="1"/>
                <w:bCs w:val="1"/>
                <w:color w:val="auto"/>
              </w:rPr>
              <w:t>50,495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7"/>
              <w:spacing w:after="0"/>
              <w:rPr>
                <w:sz w:val="20"/>
                <w:szCs w:val="20"/>
                <w:color w:val="auto"/>
              </w:rPr>
            </w:pPr>
            <w:r>
              <w:rPr>
                <w:rFonts w:ascii="Arial" w:cs="Arial" w:eastAsia="Arial" w:hAnsi="Arial"/>
                <w:sz w:val="15"/>
                <w:szCs w:val="15"/>
                <w:color w:val="auto"/>
              </w:rPr>
              <w:t>47,828</w:t>
            </w:r>
          </w:p>
        </w:tc>
        <w:tc>
          <w:tcPr>
            <w:tcW w:w="0" w:type="dxa"/>
            <w:vAlign w:val="bottom"/>
          </w:tcPr>
          <w:p>
            <w:pPr>
              <w:spacing w:after="0"/>
              <w:rPr>
                <w:sz w:val="1"/>
                <w:szCs w:val="1"/>
                <w:color w:val="auto"/>
              </w:rPr>
            </w:pPr>
          </w:p>
        </w:tc>
      </w:tr>
      <w:tr>
        <w:trPr>
          <w:trHeight w:val="211"/>
        </w:trPr>
        <w:tc>
          <w:tcPr>
            <w:tcW w:w="526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(20,388)</w:t>
            </w:r>
          </w:p>
        </w:tc>
        <w:tc>
          <w:tcPr>
            <w:tcW w:w="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(21,265)</w:t>
            </w:r>
          </w:p>
        </w:tc>
        <w:tc>
          <w:tcPr>
            <w:tcW w:w="0" w:type="dxa"/>
            <w:vAlign w:val="bottom"/>
          </w:tcPr>
          <w:p>
            <w:pPr>
              <w:spacing w:after="0"/>
              <w:rPr>
                <w:sz w:val="1"/>
                <w:szCs w:val="1"/>
                <w:color w:val="auto"/>
              </w:rPr>
            </w:pPr>
          </w:p>
        </w:tc>
      </w:tr>
      <w:tr>
        <w:trPr>
          <w:trHeight w:val="232"/>
        </w:trPr>
        <w:tc>
          <w:tcPr>
            <w:tcW w:w="526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(7,153)</w:t>
            </w:r>
          </w:p>
        </w:tc>
        <w:tc>
          <w:tcPr>
            <w:tcW w:w="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(6,519)</w:t>
            </w:r>
          </w:p>
        </w:tc>
        <w:tc>
          <w:tcPr>
            <w:tcW w:w="0" w:type="dxa"/>
            <w:vAlign w:val="bottom"/>
          </w:tcPr>
          <w:p>
            <w:pPr>
              <w:spacing w:after="0"/>
              <w:rPr>
                <w:sz w:val="1"/>
                <w:szCs w:val="1"/>
                <w:color w:val="auto"/>
              </w:rPr>
            </w:pPr>
          </w:p>
        </w:tc>
      </w:tr>
      <w:tr>
        <w:trPr>
          <w:trHeight w:val="226"/>
        </w:trPr>
        <w:tc>
          <w:tcPr>
            <w:tcW w:w="526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b w:val="1"/>
                <w:bCs w:val="1"/>
                <w:color w:val="auto"/>
              </w:rPr>
              <w:t>(23,145)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(21,571)</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b w:val="1"/>
                <w:bCs w:val="1"/>
                <w:color w:val="auto"/>
              </w:rPr>
              <w:t>(50,686)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(49,355)</w:t>
            </w:r>
          </w:p>
        </w:tc>
        <w:tc>
          <w:tcPr>
            <w:tcW w:w="0" w:type="dxa"/>
            <w:vAlign w:val="bottom"/>
          </w:tcPr>
          <w:p>
            <w:pPr>
              <w:spacing w:after="0"/>
              <w:rPr>
                <w:sz w:val="1"/>
                <w:szCs w:val="1"/>
                <w:color w:val="auto"/>
              </w:rPr>
            </w:pPr>
          </w:p>
        </w:tc>
      </w:tr>
      <w:tr>
        <w:trPr>
          <w:trHeight w:val="199"/>
        </w:trPr>
        <w:tc>
          <w:tcPr>
            <w:tcW w:w="526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97,694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2"/>
          </w:tcPr>
          <w:p>
            <w:pPr>
              <w:jc w:val="right"/>
              <w:ind w:right="7"/>
              <w:spacing w:after="0"/>
              <w:rPr>
                <w:sz w:val="20"/>
                <w:szCs w:val="20"/>
                <w:color w:val="auto"/>
              </w:rPr>
            </w:pPr>
            <w:r>
              <w:rPr>
                <w:rFonts w:ascii="Arial" w:cs="Arial" w:eastAsia="Arial" w:hAnsi="Arial"/>
                <w:sz w:val="15"/>
                <w:szCs w:val="15"/>
                <w:color w:val="auto"/>
              </w:rPr>
              <w:t>95,602</w:t>
            </w:r>
          </w:p>
        </w:tc>
        <w:tc>
          <w:tcPr>
            <w:tcW w:w="0" w:type="dxa"/>
            <w:vAlign w:val="bottom"/>
          </w:tcPr>
          <w:p>
            <w:pPr>
              <w:spacing w:after="0"/>
              <w:rPr>
                <w:sz w:val="1"/>
                <w:szCs w:val="1"/>
                <w:color w:val="auto"/>
              </w:rPr>
            </w:pPr>
          </w:p>
        </w:tc>
      </w:tr>
      <w:tr>
        <w:trPr>
          <w:trHeight w:val="20"/>
        </w:trPr>
        <w:tc>
          <w:tcPr>
            <w:tcW w:w="5260" w:type="dxa"/>
            <w:vAlign w:val="bottom"/>
            <w:tcBorders>
              <w:top w:val="single" w:sz="8" w:color="2C6937"/>
              <w:bottom w:val="single" w:sz="8" w:color="2C6937"/>
            </w:tcBorders>
          </w:tcPr>
          <w:p>
            <w:pPr>
              <w:spacing w:after="0" w:line="20" w:lineRule="exact"/>
              <w:rPr>
                <w:sz w:val="1"/>
                <w:szCs w:val="1"/>
                <w:color w:val="auto"/>
              </w:rPr>
            </w:pPr>
          </w:p>
        </w:tc>
        <w:tc>
          <w:tcPr>
            <w:tcW w:w="1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20" w:right="120"/>
        <w:spacing w:after="0" w:line="261" w:lineRule="auto"/>
        <w:rPr>
          <w:sz w:val="20"/>
          <w:szCs w:val="20"/>
          <w:color w:val="auto"/>
        </w:rPr>
      </w:pPr>
      <w:r>
        <w:rPr>
          <w:rFonts w:ascii="Arial" w:cs="Arial" w:eastAsia="Arial" w:hAnsi="Arial"/>
          <w:sz w:val="16"/>
          <w:szCs w:val="16"/>
          <w:color w:val="auto"/>
        </w:rPr>
        <w:t>Our single-family serious delinquency rate remained flat at 0.58% as of March 31, 2026 and December 31, 2025, and continues to remain near historically low levels. Given our expectation of slower home price growth in 2026 and 2027, the credit performance of the loans in our single-family guaranty book of business may decline compared with recent performance, which could lead to higher delinquencies or an increase in our single-family serious delinquency rate. For information about factors that affect our single-family serious delinquency rate, see “MD&amp;A—Single-Family Business—Single-Family Mortgage Credit Risk Management—Single-Family Problem Loan Management” in our 2025 Form 10-K. See “Note 11, Concentrations of Credit Risk” and the table below for additional information on the delinquency status and serious delinquency rates for specified loan categories of our single-family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28" w:name="page29"/>
    <w:bookmarkEnd w:id="28"/>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360" w:type="dxa"/>
            <w:vAlign w:val="bottom"/>
            <w:tcBorders>
              <w:top w:val="single" w:sz="8" w:color="2C6937"/>
            </w:tcBorders>
          </w:tcPr>
          <w:p>
            <w:pPr>
              <w:spacing w:after="0"/>
              <w:rPr>
                <w:sz w:val="18"/>
                <w:szCs w:val="18"/>
                <w:color w:val="auto"/>
              </w:rPr>
            </w:pPr>
          </w:p>
        </w:tc>
        <w:tc>
          <w:tcPr>
            <w:tcW w:w="11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340" w:type="dxa"/>
            <w:vAlign w:val="bottom"/>
            <w:tcBorders>
              <w:bottom w:val="single" w:sz="8" w:color="2C6937"/>
            </w:tcBorders>
            <w:gridSpan w:val="4"/>
          </w:tcPr>
          <w:p>
            <w:pPr>
              <w:ind w:left="1160"/>
              <w:spacing w:after="0"/>
              <w:rPr>
                <w:sz w:val="20"/>
                <w:szCs w:val="20"/>
                <w:color w:val="auto"/>
              </w:rPr>
            </w:pPr>
            <w:r>
              <w:rPr>
                <w:rFonts w:ascii="Arial" w:cs="Arial" w:eastAsia="Arial" w:hAnsi="Arial"/>
                <w:sz w:val="14"/>
                <w:szCs w:val="14"/>
                <w:b w:val="1"/>
                <w:bCs w:val="1"/>
                <w:color w:val="auto"/>
              </w:rPr>
              <w:t>March 31, 2026</w:t>
            </w:r>
          </w:p>
        </w:tc>
        <w:tc>
          <w:tcPr>
            <w:tcW w:w="9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December 31, 2025</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spacing w:after="0"/>
              <w:rPr>
                <w:sz w:val="20"/>
                <w:szCs w:val="20"/>
                <w:color w:val="auto"/>
              </w:rPr>
            </w:pPr>
            <w:r>
              <w:rPr>
                <w:rFonts w:ascii="Arial" w:cs="Arial" w:eastAsia="Arial" w:hAnsi="Arial"/>
                <w:sz w:val="14"/>
                <w:szCs w:val="14"/>
                <w:b w:val="1"/>
                <w:bCs w:val="1"/>
                <w:color w:val="auto"/>
              </w:rPr>
              <w:t>March 31, 2025</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10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Serious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Seriously</w:t>
            </w:r>
          </w:p>
        </w:tc>
        <w:tc>
          <w:tcPr>
            <w:tcW w:w="10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1080" w:type="dxa"/>
            <w:vAlign w:val="bottom"/>
            <w:vMerge w:val="restart"/>
          </w:tcPr>
          <w:p>
            <w:pPr>
              <w:jc w:val="right"/>
              <w:ind w:right="1"/>
              <w:spacing w:after="0"/>
              <w:rPr>
                <w:sz w:val="20"/>
                <w:szCs w:val="20"/>
                <w:color w:val="auto"/>
              </w:rPr>
            </w:pPr>
            <w:r>
              <w:rPr>
                <w:rFonts w:ascii="Arial" w:cs="Arial" w:eastAsia="Arial" w:hAnsi="Arial"/>
                <w:sz w:val="10"/>
                <w:szCs w:val="10"/>
                <w:b w:val="1"/>
                <w:bCs w:val="1"/>
                <w:color w:val="auto"/>
              </w:rPr>
              <w:t>Percentage of Book</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Delinquent</w:t>
            </w:r>
          </w:p>
        </w:tc>
        <w:tc>
          <w:tcPr>
            <w:tcW w:w="10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tcPr>
          <w:p>
            <w:pPr>
              <w:jc w:val="right"/>
              <w:ind w:right="141"/>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53"/>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1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2C6937"/>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36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18 %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0.45 %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0.43 %</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Florida</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0.84</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0.96</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0.72</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0.78</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4</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Texas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0.74</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0.54</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bottom w:val="single" w:sz="8" w:color="2C6937"/>
            </w:tcBorders>
          </w:tcPr>
          <w:p>
            <w:pPr>
              <w:ind w:left="120"/>
              <w:spacing w:after="0"/>
              <w:rPr>
                <w:sz w:val="20"/>
                <w:szCs w:val="20"/>
                <w:color w:val="auto"/>
              </w:rPr>
            </w:pPr>
            <w:r>
              <w:rPr>
                <w:rFonts w:ascii="Arial" w:cs="Arial" w:eastAsia="Arial" w:hAnsi="Arial"/>
                <w:sz w:val="12"/>
                <w:szCs w:val="12"/>
                <w:b w:val="1"/>
                <w:bCs w:val="1"/>
                <w:color w:val="auto"/>
              </w:rPr>
              <w:t>market LTV ratio: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20"/>
              <w:spacing w:after="0"/>
              <w:rPr>
                <w:sz w:val="20"/>
                <w:szCs w:val="20"/>
                <w:color w:val="auto"/>
              </w:rPr>
            </w:pPr>
            <w:r>
              <w:rPr>
                <w:rFonts w:ascii="Arial" w:cs="Arial" w:eastAsia="Arial" w:hAnsi="Arial"/>
                <w:sz w:val="12"/>
                <w:szCs w:val="12"/>
                <w:color w:val="auto"/>
              </w:rPr>
              <w:t>&lt;= 60%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67</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63</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0.46</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69</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0.98</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12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0.88</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0.88</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10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7</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1.09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1.06</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0.98</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3.96</w:t>
            </w:r>
          </w:p>
        </w:tc>
        <w:tc>
          <w:tcPr>
            <w:tcW w:w="10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01"/>
        </w:trPr>
        <w:tc>
          <w:tcPr>
            <w:tcW w:w="136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(3)</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(4)</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1.27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21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(5)</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32</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0.63</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0.59</w:t>
            </w:r>
          </w:p>
        </w:tc>
        <w:tc>
          <w:tcPr>
            <w:tcW w:w="0" w:type="dxa"/>
            <w:vAlign w:val="bottom"/>
          </w:tcPr>
          <w:p>
            <w:pPr>
              <w:spacing w:after="0"/>
              <w:rPr>
                <w:sz w:val="1"/>
                <w:szCs w:val="1"/>
                <w:color w:val="auto"/>
              </w:rPr>
            </w:pPr>
          </w:p>
        </w:tc>
      </w:tr>
      <w:tr>
        <w:trPr>
          <w:trHeight w:val="178"/>
        </w:trPr>
        <w:tc>
          <w:tcPr>
            <w:tcW w:w="136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54</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48</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0.44</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53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hanging="217"/>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40" w:hanging="217"/>
        <w:spacing w:after="0"/>
        <w:tabs>
          <w:tab w:leader="none" w:pos="24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Percentage of book amounts represent the UPB of loans for each category divided by the UPB of our total single-family conventional guaranty book of business.</w:t>
      </w:r>
    </w:p>
    <w:p>
      <w:pPr>
        <w:spacing w:after="0" w:line="37" w:lineRule="exact"/>
        <w:rPr>
          <w:rFonts w:ascii="Arial" w:cs="Arial" w:eastAsia="Arial" w:hAnsi="Arial"/>
          <w:sz w:val="18"/>
          <w:szCs w:val="18"/>
          <w:color w:val="auto"/>
          <w:vertAlign w:val="superscript"/>
        </w:rPr>
      </w:pPr>
    </w:p>
    <w:p>
      <w:pPr>
        <w:ind w:left="260" w:right="320" w:hanging="237"/>
        <w:spacing w:after="0" w:line="219" w:lineRule="auto"/>
        <w:tabs>
          <w:tab w:leader="none" w:pos="25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13" w:lineRule="exact"/>
        <w:rPr>
          <w:rFonts w:ascii="Arial" w:cs="Arial" w:eastAsia="Arial" w:hAnsi="Arial"/>
          <w:sz w:val="18"/>
          <w:szCs w:val="18"/>
          <w:color w:val="auto"/>
          <w:vertAlign w:val="superscript"/>
        </w:rPr>
      </w:pPr>
    </w:p>
    <w:p>
      <w:pPr>
        <w:ind w:left="260" w:right="180" w:hanging="237"/>
        <w:spacing w:after="0" w:line="264" w:lineRule="auto"/>
        <w:tabs>
          <w:tab w:leader="none" w:pos="253"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March 31, 2026 was 46%.</w:t>
      </w:r>
    </w:p>
    <w:p>
      <w:pPr>
        <w:spacing w:after="0" w:line="10" w:lineRule="exact"/>
        <w:rPr>
          <w:rFonts w:ascii="Arial" w:cs="Arial" w:eastAsia="Arial" w:hAnsi="Arial"/>
          <w:sz w:val="9"/>
          <w:szCs w:val="9"/>
          <w:color w:val="auto"/>
        </w:rPr>
      </w:pPr>
    </w:p>
    <w:p>
      <w:pPr>
        <w:ind w:left="260" w:right="140" w:hanging="237"/>
        <w:spacing w:after="0" w:line="228" w:lineRule="auto"/>
        <w:tabs>
          <w:tab w:leader="none" w:pos="25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hanging="237"/>
        <w:spacing w:after="0" w:line="264" w:lineRule="auto"/>
        <w:tabs>
          <w:tab w:leader="none" w:pos="253" w:val="left"/>
        </w:tabs>
        <w:numPr>
          <w:ilvl w:val="0"/>
          <w:numId w:val="24"/>
        </w:numPr>
        <w:rPr>
          <w:rFonts w:ascii="Arial" w:cs="Arial" w:eastAsia="Arial" w:hAnsi="Arial"/>
          <w:sz w:val="9"/>
          <w:szCs w:val="9"/>
          <w:color w:val="auto"/>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UPB of the underlying loans on the single-family mortgage credit book, not the outstanding reference pool, as of the specified date.</w:t>
      </w:r>
    </w:p>
    <w:p>
      <w:pPr>
        <w:spacing w:after="0" w:line="74"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93" w:lineRule="exact"/>
        <w:rPr>
          <w:sz w:val="20"/>
          <w:szCs w:val="20"/>
          <w:color w:val="auto"/>
        </w:rPr>
      </w:pPr>
    </w:p>
    <w:p>
      <w:pPr>
        <w:ind w:left="20" w:right="100"/>
        <w:spacing w:after="0" w:line="271"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33" w:lineRule="exact"/>
        <w:rPr>
          <w:sz w:val="20"/>
          <w:szCs w:val="20"/>
          <w:color w:val="auto"/>
        </w:rPr>
      </w:pPr>
    </w:p>
    <w:p>
      <w:pPr>
        <w:ind w:left="20" w:right="140"/>
        <w:spacing w:after="0" w:line="293" w:lineRule="auto"/>
        <w:rPr>
          <w:sz w:val="20"/>
          <w:szCs w:val="20"/>
          <w:color w:val="auto"/>
        </w:rPr>
      </w:pPr>
      <w:r>
        <w:rPr>
          <w:rFonts w:ascii="Arial" w:cs="Arial" w:eastAsia="Arial" w:hAnsi="Arial"/>
          <w:sz w:val="16"/>
          <w:szCs w:val="16"/>
          <w:color w:val="auto"/>
        </w:rPr>
        <w:t>As of March 31, 2026, the UPB of single-family loans in forbearance was $6.0 billion, or 0.2% of our single-family conventional guaranty book of business, compared with $7.5 billion, or 0.2% of our single-family conventional guaranty book of business, as of December 31, 2025.</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chart below displays the UPB of our completed single-family loan workouts by type, as well as the number of loan workouts. This table does not include loans in an active forbearance arrangement, trial modifications, and repayment plans that have been initiated but not completed.</w:t>
      </w:r>
    </w:p>
    <w:p>
      <w:pPr>
        <w:spacing w:after="0" w:line="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15240</wp:posOffset>
            </wp:positionV>
            <wp:extent cx="5721985" cy="2038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21985"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hanging="217"/>
        <w:spacing w:after="0"/>
        <w:tabs>
          <w:tab w:leader="none" w:pos="220" w:val="left"/>
        </w:tabs>
        <w:numPr>
          <w:ilvl w:val="0"/>
          <w:numId w:val="25"/>
        </w:numPr>
        <w:rPr>
          <w:rFonts w:ascii="Arial" w:cs="Arial" w:eastAsia="Arial" w:hAnsi="Arial"/>
          <w:sz w:val="9"/>
          <w:szCs w:val="9"/>
          <w:color w:val="auto"/>
        </w:rPr>
      </w:pPr>
      <w:r>
        <w:rPr>
          <w:rFonts w:ascii="Arial" w:cs="Arial" w:eastAsia="Arial" w:hAnsi="Arial"/>
          <w:sz w:val="14"/>
          <w:szCs w:val="14"/>
          <w:color w:val="auto"/>
        </w:rPr>
        <w:t>Excludes approximately 22,300 loans and 24,000 loans in a trial modification period that was not yet complete as of March 31, 2026 and 2025, respectively.</w:t>
      </w:r>
    </w:p>
    <w:p>
      <w:pPr>
        <w:spacing w:after="0" w:line="45" w:lineRule="exact"/>
        <w:rPr>
          <w:rFonts w:ascii="Arial" w:cs="Arial" w:eastAsia="Arial" w:hAnsi="Arial"/>
          <w:sz w:val="9"/>
          <w:szCs w:val="9"/>
          <w:color w:val="auto"/>
        </w:rPr>
      </w:pPr>
    </w:p>
    <w:p>
      <w:pPr>
        <w:ind w:left="240" w:right="620" w:hanging="237"/>
        <w:spacing w:after="0" w:line="226" w:lineRule="auto"/>
        <w:tabs>
          <w:tab w:leader="none" w:pos="23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Other was $213 million and $158 million for the first quarter of 2026 and the first quarter of 2025, respectively. Other includes repayment plans and foreclosure alternatives. Repayment plans reflect only those plans associated with loans that were 60 days or more delinquent at the execution of the plan.</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Borders>
              <w:bottom w:val="single" w:sz="8" w:color="2C6937"/>
            </w:tcBorders>
            <w:gridSpan w:val="6"/>
          </w:tcPr>
          <w:p>
            <w:pPr>
              <w:jc w:val="right"/>
              <w:ind w:right="303"/>
              <w:spacing w:after="0"/>
              <w:rPr>
                <w:sz w:val="20"/>
                <w:szCs w:val="20"/>
                <w:color w:val="auto"/>
              </w:rPr>
            </w:pPr>
            <w:r>
              <w:rPr>
                <w:rFonts w:ascii="Arial" w:cs="Arial" w:eastAsia="Arial" w:hAnsi="Arial"/>
                <w:sz w:val="14"/>
                <w:szCs w:val="14"/>
                <w:b w:val="1"/>
                <w:bCs w:val="1"/>
                <w:color w:val="auto"/>
              </w:rPr>
              <w:t>For the Three Months Ended March 31,</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4,519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5,895</w:t>
            </w:r>
          </w:p>
        </w:tc>
        <w:tc>
          <w:tcPr>
            <w:tcW w:w="260" w:type="dxa"/>
            <w:vAlign w:val="bottom"/>
          </w:tcPr>
          <w:p>
            <w:pPr>
              <w:spacing w:after="0"/>
              <w:rPr>
                <w:sz w:val="20"/>
                <w:szCs w:val="20"/>
                <w:color w:val="auto"/>
              </w:rPr>
            </w:pPr>
          </w:p>
        </w:tc>
      </w:tr>
      <w:tr>
        <w:trPr>
          <w:trHeight w:val="24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1120" w:type="dxa"/>
            <w:vAlign w:val="bottom"/>
          </w:tcPr>
          <w:p>
            <w:pPr>
              <w:spacing w:after="0"/>
              <w:rPr>
                <w:sz w:val="19"/>
                <w:szCs w:val="19"/>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294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145</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131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87</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335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167</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339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117</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4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86</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1,250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602</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112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(1,261)</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4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4,826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5,236</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6"/>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1120" w:type="dxa"/>
            <w:vAlign w:val="bottom"/>
          </w:tcPr>
          <w:p>
            <w:pPr>
              <w:jc w:val="right"/>
              <w:ind w:right="928"/>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900</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0.03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UPB</w:t>
            </w:r>
            <w:r>
              <w:rPr>
                <w:rFonts w:ascii="Arial" w:cs="Arial" w:eastAsia="Arial" w:hAnsi="Arial"/>
                <w:sz w:val="20"/>
                <w:szCs w:val="20"/>
                <w:color w:val="auto"/>
                <w:vertAlign w:val="superscript"/>
              </w:rPr>
              <w:t>(4)</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103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UPB and costs to repair</w:t>
            </w:r>
            <w:r>
              <w:rPr>
                <w:rFonts w:ascii="Arial" w:cs="Arial" w:eastAsia="Arial" w:hAnsi="Arial"/>
                <w:sz w:val="20"/>
                <w:szCs w:val="20"/>
                <w:color w:val="auto"/>
                <w:vertAlign w:val="superscript"/>
              </w:rPr>
              <w:t>(5)</w:t>
            </w:r>
          </w:p>
        </w:tc>
        <w:tc>
          <w:tcPr>
            <w:tcW w:w="112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76</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UPB</w:t>
            </w:r>
            <w:r>
              <w:rPr>
                <w:rFonts w:ascii="Arial" w:cs="Arial" w:eastAsia="Arial" w:hAnsi="Arial"/>
                <w:sz w:val="20"/>
                <w:szCs w:val="20"/>
                <w:color w:val="auto"/>
                <w:vertAlign w:val="superscript"/>
              </w:rPr>
              <w:t>(6)</w:t>
            </w:r>
          </w:p>
        </w:tc>
        <w:tc>
          <w:tcPr>
            <w:tcW w:w="1120" w:type="dxa"/>
            <w:vAlign w:val="bottom"/>
          </w:tcPr>
          <w:p>
            <w:pPr>
              <w:spacing w:after="0"/>
              <w:rPr>
                <w:sz w:val="23"/>
                <w:szCs w:val="23"/>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76</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69"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9"/>
          <w:szCs w:val="9"/>
          <w:color w:val="auto"/>
        </w:rPr>
      </w:pPr>
      <w:r>
        <w:rPr>
          <w:rFonts w:ascii="Arial" w:cs="Arial" w:eastAsia="Arial" w:hAnsi="Arial"/>
          <w:sz w:val="14"/>
          <w:szCs w:val="14"/>
          <w:color w:val="auto"/>
        </w:rPr>
        <w:t>Consists of held-for sale and held-for-use properties, which are reported in our condensed consolidated balance sheets as a component of “Other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0" w:name="page31"/>
    <w:bookmarkEnd w:id="30"/>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37" w:lineRule="exact"/>
        <w:rPr>
          <w:rFonts w:ascii="Arial" w:cs="Arial" w:eastAsia="Arial" w:hAnsi="Arial"/>
          <w:sz w:val="17"/>
          <w:szCs w:val="17"/>
          <w:color w:val="auto"/>
          <w:vertAlign w:val="superscript"/>
        </w:rPr>
      </w:pPr>
    </w:p>
    <w:p>
      <w:pPr>
        <w:ind w:left="240" w:right="60" w:hanging="237"/>
        <w:spacing w:after="0" w:line="219"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26" w:lineRule="exact"/>
        <w:rPr>
          <w:rFonts w:ascii="Arial" w:cs="Arial" w:eastAsia="Arial" w:hAnsi="Arial"/>
          <w:sz w:val="18"/>
          <w:szCs w:val="18"/>
          <w:color w:val="auto"/>
          <w:vertAlign w:val="superscript"/>
        </w:rPr>
      </w:pPr>
    </w:p>
    <w:p>
      <w:pPr>
        <w:ind w:left="240" w:right="40" w:hanging="237"/>
        <w:spacing w:after="0" w:line="228"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26" w:lineRule="exact"/>
        <w:rPr>
          <w:rFonts w:ascii="Arial" w:cs="Arial" w:eastAsia="Arial" w:hAnsi="Arial"/>
          <w:sz w:val="18"/>
          <w:szCs w:val="18"/>
          <w:color w:val="auto"/>
          <w:vertAlign w:val="superscript"/>
        </w:rPr>
      </w:pPr>
    </w:p>
    <w:p>
      <w:pPr>
        <w:ind w:left="240" w:right="140" w:hanging="237"/>
        <w:spacing w:after="0" w:line="233"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and costs to repair the property. Net sales price represents the contract sales price less selling costs for the property and other charges paid by the seller at closing.</w:t>
      </w:r>
    </w:p>
    <w:p>
      <w:pPr>
        <w:spacing w:after="0" w:line="15" w:lineRule="exact"/>
        <w:rPr>
          <w:rFonts w:ascii="Arial" w:cs="Arial" w:eastAsia="Arial" w:hAnsi="Arial"/>
          <w:sz w:val="18"/>
          <w:szCs w:val="18"/>
          <w:color w:val="auto"/>
          <w:vertAlign w:val="superscript"/>
        </w:rPr>
      </w:pPr>
    </w:p>
    <w:p>
      <w:pPr>
        <w:ind w:left="240" w:right="260" w:hanging="237"/>
        <w:spacing w:after="0" w:line="278"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properties sold in short sale transactions during the respective periods divided by the aggregate UPB of the related loans. Net sales price includes borrower relocation incentive payments and subordinate lien(s) negotiated payoffs.</w:t>
      </w:r>
    </w:p>
    <w:p>
      <w:pPr>
        <w:spacing w:after="0" w:line="2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decline in single-family REO properties in the first quarter of 2026 compared with the first quarter of 2025 was primarily due to lower overall REO inventory levels, despite higher REO acquisitions during the period. The increase in REO acquisitions was primarily driven by fewer third-party sales at foreclosure. Properties that are sold to third parties at foreclosure do not enter our REO inventory; therefore, when these sales decrease, it contributes to a higher number of properties entering our REO inventory.</w:t>
      </w:r>
    </w:p>
    <w:p>
      <w:pPr>
        <w:spacing w:after="0" w:line="33"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Our REO net sales price to UPB, excluding costs to repair, declined to 103% for the first three months of 2026 compared to 146% for the first three months of 2025, primarily driven by REO properties with higher LTV ratios at foreclosure, resulting in a higher average UPB of the loan relative to the sales price of the REO.</w:t>
      </w:r>
    </w:p>
    <w:p>
      <w:pPr>
        <w:spacing w:after="0" w:line="12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on our credit loss reserves as well as foreclosed property income or expense. Our credit loss reserves consists of our allowance for loan losses, accrued interest receivable and our guaranty loss reserves.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8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3560" w:type="dxa"/>
            <w:vAlign w:val="bottom"/>
            <w:tcBorders>
              <w:top w:val="single" w:sz="8" w:color="2C6937"/>
              <w:bottom w:val="single" w:sz="8" w:color="2C6937"/>
            </w:tcBorders>
            <w:gridSpan w:val="4"/>
          </w:tcPr>
          <w:p>
            <w:pPr>
              <w:jc w:val="right"/>
              <w:ind w:right="23"/>
              <w:spacing w:after="0"/>
              <w:rPr>
                <w:sz w:val="20"/>
                <w:szCs w:val="20"/>
                <w:color w:val="auto"/>
              </w:rPr>
            </w:pPr>
            <w:r>
              <w:rPr>
                <w:rFonts w:ascii="Arial" w:cs="Arial" w:eastAsia="Arial" w:hAnsi="Arial"/>
                <w:sz w:val="15"/>
                <w:szCs w:val="15"/>
                <w:b w:val="1"/>
                <w:bCs w:val="1"/>
                <w:color w:val="auto"/>
              </w:rPr>
              <w:t>For the Three Months Ended March 31,</w:t>
            </w:r>
          </w:p>
        </w:tc>
        <w:tc>
          <w:tcPr>
            <w:tcW w:w="500" w:type="dxa"/>
            <w:vAlign w:val="bottom"/>
            <w:tcBorders>
              <w:top w:val="single" w:sz="8" w:color="2C6937"/>
              <w:bottom w:val="single" w:sz="8" w:color="2C6937"/>
            </w:tcBorders>
          </w:tcPr>
          <w:p>
            <w:pPr>
              <w:spacing w:after="0"/>
              <w:rPr>
                <w:sz w:val="20"/>
                <w:szCs w:val="20"/>
                <w:color w:val="auto"/>
              </w:rPr>
            </w:pPr>
          </w:p>
        </w:tc>
      </w:tr>
      <w:tr>
        <w:trPr>
          <w:trHeight w:val="199"/>
        </w:trPr>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2026</w:t>
            </w:r>
          </w:p>
        </w:tc>
        <w:tc>
          <w:tcPr>
            <w:tcW w:w="7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2C6937"/>
            </w:tcBorders>
          </w:tcPr>
          <w:p>
            <w:pPr>
              <w:spacing w:after="0"/>
              <w:rPr>
                <w:sz w:val="17"/>
                <w:szCs w:val="17"/>
                <w:color w:val="auto"/>
              </w:rPr>
            </w:pPr>
          </w:p>
        </w:tc>
      </w:tr>
      <w:tr>
        <w:trPr>
          <w:trHeight w:val="296"/>
        </w:trPr>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gridSpan w:val="3"/>
          </w:tcPr>
          <w:p>
            <w:pPr>
              <w:jc w:val="right"/>
              <w:ind w:right="743"/>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24"/>
                <w:szCs w:val="24"/>
                <w:color w:val="auto"/>
              </w:rPr>
            </w:pPr>
          </w:p>
        </w:tc>
      </w:tr>
      <w:tr>
        <w:trPr>
          <w:trHeight w:val="322"/>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Write-offs, excluding write-offs on redesignation of mortgage loans from HFI to HFS</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(132)</w:t>
            </w:r>
          </w:p>
        </w:tc>
        <w:tc>
          <w:tcPr>
            <w:tcW w:w="80" w:type="dxa"/>
            <w:vAlign w:val="bottom"/>
          </w:tcPr>
          <w:p>
            <w:pPr>
              <w:spacing w:after="0"/>
              <w:rPr>
                <w:sz w:val="24"/>
                <w:szCs w:val="24"/>
                <w:color w:val="auto"/>
              </w:rPr>
            </w:pPr>
          </w:p>
        </w:tc>
        <w:tc>
          <w:tcPr>
            <w:tcW w:w="1500" w:type="dxa"/>
            <w:vAlign w:val="bottom"/>
          </w:tcPr>
          <w:p>
            <w:pPr>
              <w:jc w:val="right"/>
              <w:ind w:right="132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302"/>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24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43</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8"/>
        </w:trPr>
        <w:tc>
          <w:tcPr>
            <w:tcW w:w="70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w:t>
            </w:r>
          </w:p>
        </w:tc>
        <w:tc>
          <w:tcPr>
            <w:tcW w:w="80" w:type="dxa"/>
            <w:vAlign w:val="bottom"/>
          </w:tcPr>
          <w:p>
            <w:pPr>
              <w:spacing w:after="0"/>
              <w:rPr>
                <w:sz w:val="18"/>
                <w:szCs w:val="18"/>
                <w:color w:val="auto"/>
              </w:rPr>
            </w:pPr>
          </w:p>
        </w:tc>
        <w:tc>
          <w:tcPr>
            <w:tcW w:w="150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r>
      <w:tr>
        <w:trPr>
          <w:trHeight w:val="309"/>
        </w:trPr>
        <w:tc>
          <w:tcPr>
            <w:tcW w:w="718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1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(129)</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(154)</w:t>
            </w:r>
          </w:p>
        </w:tc>
      </w:tr>
      <w:tr>
        <w:trPr>
          <w:trHeight w:val="303"/>
        </w:trPr>
        <w:tc>
          <w:tcPr>
            <w:tcW w:w="70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150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w:t>
            </w:r>
          </w:p>
        </w:tc>
      </w:tr>
      <w:tr>
        <w:trPr>
          <w:trHeight w:val="231"/>
        </w:trPr>
        <w:tc>
          <w:tcPr>
            <w:tcW w:w="718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(129)</w:t>
            </w: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(223)</w:t>
            </w:r>
          </w:p>
        </w:tc>
      </w:tr>
      <w:tr>
        <w:trPr>
          <w:trHeight w:val="303"/>
        </w:trPr>
        <w:tc>
          <w:tcPr>
            <w:tcW w:w="70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24"/>
                <w:szCs w:val="24"/>
                <w:color w:val="auto"/>
              </w:rPr>
            </w:pPr>
          </w:p>
        </w:tc>
        <w:tc>
          <w:tcPr>
            <w:tcW w:w="150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r>
      <w:tr>
        <w:trPr>
          <w:trHeight w:val="187"/>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 other valuation</w:t>
            </w: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1"/>
        </w:trPr>
        <w:tc>
          <w:tcPr>
            <w:tcW w:w="7180" w:type="dxa"/>
            <w:vAlign w:val="bottom"/>
            <w:gridSpan w:val="2"/>
          </w:tcPr>
          <w:p>
            <w:pPr>
              <w:ind w:left="180"/>
              <w:spacing w:after="0"/>
              <w:rPr>
                <w:sz w:val="20"/>
                <w:szCs w:val="20"/>
                <w:color w:val="auto"/>
              </w:rPr>
            </w:pPr>
            <w:r>
              <w:rPr>
                <w:rFonts w:ascii="Arial" w:cs="Arial" w:eastAsia="Arial" w:hAnsi="Arial"/>
                <w:sz w:val="15"/>
                <w:szCs w:val="15"/>
                <w:color w:val="auto"/>
              </w:rPr>
              <w:t>adjustments</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(128)</w:t>
            </w:r>
          </w:p>
        </w:tc>
        <w:tc>
          <w:tcPr>
            <w:tcW w:w="80" w:type="dxa"/>
            <w:vAlign w:val="bottom"/>
          </w:tcPr>
          <w:p>
            <w:pPr>
              <w:spacing w:after="0"/>
              <w:rPr>
                <w:sz w:val="20"/>
                <w:szCs w:val="20"/>
                <w:color w:val="auto"/>
              </w:rPr>
            </w:pPr>
          </w:p>
        </w:tc>
        <w:tc>
          <w:tcPr>
            <w:tcW w:w="1500" w:type="dxa"/>
            <w:vAlign w:val="bottom"/>
          </w:tcPr>
          <w:p>
            <w:pPr>
              <w:jc w:val="right"/>
              <w:ind w:right="132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
        </w:trPr>
        <w:tc>
          <w:tcPr>
            <w:tcW w:w="7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1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 other valuation</w:t>
            </w: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71"/>
        </w:trPr>
        <w:tc>
          <w:tcPr>
            <w:tcW w:w="7180" w:type="dxa"/>
            <w:vAlign w:val="bottom"/>
            <w:gridSpan w:val="2"/>
          </w:tcPr>
          <w:p>
            <w:pPr>
              <w:ind w:left="180"/>
              <w:spacing w:after="0"/>
              <w:rPr>
                <w:sz w:val="20"/>
                <w:szCs w:val="20"/>
                <w:color w:val="auto"/>
              </w:rPr>
            </w:pPr>
            <w:r>
              <w:rPr>
                <w:rFonts w:ascii="Arial" w:cs="Arial" w:eastAsia="Arial" w:hAnsi="Arial"/>
                <w:sz w:val="15"/>
                <w:szCs w:val="15"/>
                <w:color w:val="auto"/>
              </w:rPr>
              <w:t>adjustments ratio (in bps)</w:t>
            </w:r>
            <w:r>
              <w:rPr>
                <w:rFonts w:ascii="Arial" w:cs="Arial" w:eastAsia="Arial" w:hAnsi="Arial"/>
                <w:sz w:val="20"/>
                <w:szCs w:val="20"/>
                <w:color w:val="auto"/>
                <w:vertAlign w:val="superscript"/>
              </w:rPr>
              <w:t>(4)</w:t>
            </w:r>
          </w:p>
        </w:tc>
        <w:tc>
          <w:tcPr>
            <w:tcW w:w="1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w:t>
            </w:r>
          </w:p>
        </w:tc>
      </w:tr>
    </w:tbl>
    <w:p>
      <w:pPr>
        <w:spacing w:after="0" w:line="69" w:lineRule="exact"/>
        <w:rPr>
          <w:sz w:val="20"/>
          <w:szCs w:val="20"/>
          <w:color w:val="auto"/>
        </w:rPr>
      </w:pPr>
    </w:p>
    <w:p>
      <w:pPr>
        <w:ind w:left="220" w:hanging="217"/>
        <w:spacing w:after="0"/>
        <w:tabs>
          <w:tab w:leader="none" w:pos="220" w:val="left"/>
        </w:tabs>
        <w:numPr>
          <w:ilvl w:val="0"/>
          <w:numId w:val="28"/>
        </w:numPr>
        <w:rPr>
          <w:rFonts w:ascii="Arial" w:cs="Arial" w:eastAsia="Arial" w:hAnsi="Arial"/>
          <w:sz w:val="9"/>
          <w:szCs w:val="9"/>
          <w:color w:val="auto"/>
        </w:rPr>
      </w:pPr>
      <w:r>
        <w:rPr>
          <w:rFonts w:ascii="Arial" w:cs="Arial" w:eastAsia="Arial" w:hAnsi="Arial"/>
          <w:sz w:val="14"/>
          <w:szCs w:val="14"/>
          <w:color w:val="auto"/>
        </w:rPr>
        <w:t>Consists of the lower of cost or fair value adjustment at time of redesignation.</w:t>
      </w:r>
    </w:p>
    <w:p>
      <w:pPr>
        <w:spacing w:after="0" w:line="45" w:lineRule="exact"/>
        <w:rPr>
          <w:rFonts w:ascii="Arial" w:cs="Arial" w:eastAsia="Arial" w:hAnsi="Arial"/>
          <w:sz w:val="9"/>
          <w:szCs w:val="9"/>
          <w:color w:val="auto"/>
        </w:rPr>
      </w:pPr>
    </w:p>
    <w:p>
      <w:pPr>
        <w:ind w:left="240" w:right="220" w:hanging="237"/>
        <w:spacing w:after="0" w:line="226"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 of cost or market adjustments on HFS loans, which are recognized in “Investment gains (losses), net” in our condensed consolidated statements of operations and comprehensive income.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0"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5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main driver of the decline in single-family net credit gains (losses), write-offs on redesignations and gains (losses) on sales and other valuation adjustments from $226 million in net losses in the first quarter of 2025 to $128 million in net losses in the first quarter of 2026 was that we did not redesignate any mortgage loans from HFI to HFS in the first quarter of 2026, while such redesignations in the first quarter of 2025 resulted in $69 million in write-offs.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752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2025 Form 10-K. See “MD&amp;A—Multifamily Business” in our 2025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ind w:right="200"/>
        <w:spacing w:after="0" w:line="255" w:lineRule="auto"/>
        <w:rPr>
          <w:sz w:val="20"/>
          <w:szCs w:val="20"/>
          <w:color w:val="auto"/>
        </w:rPr>
      </w:pPr>
      <w:r>
        <w:rPr>
          <w:rFonts w:ascii="Arial" w:cs="Arial" w:eastAsia="Arial" w:hAnsi="Arial"/>
          <w:sz w:val="16"/>
          <w:szCs w:val="16"/>
          <w:color w:val="auto"/>
        </w:rPr>
        <w:t>The multifamily market saw rental demand continue to slow moderately along with continued elevated levels of new supply entering the market in the first quarter of 2026. Continued high interest rates and seasonal trends were associated with a slowdown in multifamily property sales transactions, and multifamily property valuations remained flat year over year.</w:t>
      </w:r>
    </w:p>
    <w:p>
      <w:pPr>
        <w:spacing w:after="0" w:line="31" w:lineRule="exact"/>
        <w:rPr>
          <w:sz w:val="20"/>
          <w:szCs w:val="20"/>
          <w:color w:val="auto"/>
        </w:rPr>
      </w:pPr>
    </w:p>
    <w:p>
      <w:pPr>
        <w:jc w:val="both"/>
        <w:ind w:left="620" w:right="160" w:hanging="307"/>
        <w:spacing w:after="0" w:line="28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data from Moody’s Analytics, the national multifamily vacancy rate for institutional investment-type apartment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to 6.8% as of March 31, 2026, compared with 6.7% as of December 31, 2025, and 6.4% as of March 31, 2025. The estimated average national multifamily vacancy rate over the last 15 years was approximately 5.0%.</w:t>
      </w:r>
    </w:p>
    <w:p>
      <w:pPr>
        <w:spacing w:after="0" w:line="24" w:lineRule="exact"/>
        <w:rPr>
          <w:rFonts w:ascii="Arial" w:cs="Arial" w:eastAsia="Arial" w:hAnsi="Arial"/>
          <w:sz w:val="16"/>
          <w:szCs w:val="16"/>
          <w:color w:val="auto"/>
        </w:rPr>
      </w:pPr>
    </w:p>
    <w:p>
      <w:pPr>
        <w:ind w:left="620" w:right="260" w:hanging="307"/>
        <w:spacing w:after="0" w:line="272"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Moody’s Analytics data, effective rents increased 0.6% during the first quarter of 2026, compared to a decrease of 0.8%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fourth quarter of 2025 and an increase of 0.2% during the first quarter of 2025. Effective rents as of the first quarter of 2026 increased 0.3% from the first quarter of 2025.</w:t>
      </w:r>
    </w:p>
    <w:p>
      <w:pPr>
        <w:spacing w:after="0" w:line="31" w:lineRule="exact"/>
        <w:rPr>
          <w:rFonts w:ascii="Arial" w:cs="Arial" w:eastAsia="Arial" w:hAnsi="Arial"/>
          <w:sz w:val="16"/>
          <w:szCs w:val="16"/>
          <w:color w:val="auto"/>
        </w:rPr>
      </w:pPr>
    </w:p>
    <w:p>
      <w:pPr>
        <w:ind w:left="620" w:right="20" w:hanging="307"/>
        <w:spacing w:after="0" w:line="28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Net absorption</w:t>
      </w:r>
      <w:r>
        <w:rPr>
          <w:rFonts w:ascii="Arial" w:cs="Arial" w:eastAsia="Arial" w:hAnsi="Arial"/>
          <w:sz w:val="16"/>
          <w:szCs w:val="16"/>
          <w:color w:val="auto"/>
        </w:rPr>
        <w:t>. Net absorption, the net change in the total number of occupied multifamily rental units, slowed for the three months ending</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2026, consistent with the increase in vacancy rates. Based on Moody’s Analytics data, net absorption for the December 2025 to February 2026 period declined 59% compared with the comparable period ending February 2025.</w:t>
      </w:r>
    </w:p>
    <w:p>
      <w:pPr>
        <w:spacing w:after="0" w:line="24" w:lineRule="exact"/>
        <w:rPr>
          <w:rFonts w:ascii="Arial" w:cs="Arial" w:eastAsia="Arial" w:hAnsi="Arial"/>
          <w:sz w:val="16"/>
          <w:szCs w:val="16"/>
          <w:color w:val="auto"/>
        </w:rPr>
      </w:pPr>
    </w:p>
    <w:p>
      <w:pPr>
        <w:ind w:left="620" w:right="80" w:hanging="307"/>
        <w:spacing w:after="0" w:line="293"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sales volumes. </w:t>
      </w:r>
      <w:r>
        <w:rPr>
          <w:rFonts w:ascii="Arial" w:cs="Arial" w:eastAsia="Arial" w:hAnsi="Arial"/>
          <w:sz w:val="16"/>
          <w:szCs w:val="16"/>
          <w:color w:val="auto"/>
        </w:rPr>
        <w:t>Based on preliminary MSCI RCA data, multifamily property sales for the first quarter of 2026 were $32.0 billion, roughly in</w:t>
      </w:r>
      <w:r>
        <w:rPr>
          <w:rFonts w:ascii="Arial" w:cs="Arial" w:eastAsia="Arial" w:hAnsi="Arial"/>
          <w:sz w:val="16"/>
          <w:szCs w:val="16"/>
          <w:i w:val="1"/>
          <w:iCs w:val="1"/>
          <w:color w:val="auto"/>
        </w:rPr>
        <w:t xml:space="preserve"> </w:t>
      </w:r>
      <w:r>
        <w:rPr>
          <w:rFonts w:ascii="Arial" w:cs="Arial" w:eastAsia="Arial" w:hAnsi="Arial"/>
          <w:sz w:val="16"/>
          <w:szCs w:val="16"/>
          <w:color w:val="auto"/>
        </w:rPr>
        <w:t>line with the $31.9 billion volume during the first quarter of 2025, but below the 2015 to 2019 quarterly average level of $35.6 billion.</w:t>
      </w:r>
    </w:p>
    <w:p>
      <w:pPr>
        <w:spacing w:after="0" w:line="14" w:lineRule="exact"/>
        <w:rPr>
          <w:rFonts w:ascii="Arial" w:cs="Arial" w:eastAsia="Arial" w:hAnsi="Arial"/>
          <w:sz w:val="16"/>
          <w:szCs w:val="16"/>
          <w:color w:val="auto"/>
        </w:rPr>
      </w:pPr>
    </w:p>
    <w:p>
      <w:pPr>
        <w:ind w:left="620" w:right="260" w:hanging="307"/>
        <w:spacing w:after="0" w:line="243"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values. </w:t>
      </w:r>
      <w:r>
        <w:rPr>
          <w:rFonts w:ascii="Arial" w:cs="Arial" w:eastAsia="Arial" w:hAnsi="Arial"/>
          <w:sz w:val="16"/>
          <w:szCs w:val="16"/>
          <w:color w:val="auto"/>
        </w:rPr>
        <w:t>According to data from the MSCI RCA Commercial Property Price Index (“RCA CPPI</w:t>
      </w:r>
      <w:r>
        <w:rPr>
          <w:rFonts w:ascii="Arial" w:cs="Arial" w:eastAsia="Arial" w:hAnsi="Arial"/>
          <w:sz w:val="21"/>
          <w:szCs w:val="21"/>
          <w:color w:val="auto"/>
          <w:vertAlign w:val="superscript"/>
        </w:rPr>
        <w:t>TM</w:t>
      </w:r>
      <w:r>
        <w:rPr>
          <w:rFonts w:ascii="Arial" w:cs="Arial" w:eastAsia="Arial" w:hAnsi="Arial"/>
          <w:sz w:val="16"/>
          <w:szCs w:val="16"/>
          <w:color w:val="auto"/>
        </w:rPr>
        <w:t>”), multifamily property values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18.1% from their peak in the second quarter of 2022 to the first quarter of 2026 and remained flat year over year from the first quarter of 2025 to the first quarter of 2026.</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estimate that more than 500,000 multifamily rental units were delivered to the U.S. housing market in 2025, which is above the past 10-year average of 424,000 units delivered annually. Additionally, there were approximately 80,000 units delivered or with expected completions in the first quarter of 2026, with approximately 800,000 additional multifamily rental units underway as of February 2026. Of these, approximately 500,000 units are estimated for delivery in 2026, and the remainder in future years. New supply is expected to slow by the end of 2026.</w:t>
      </w:r>
    </w:p>
    <w:p>
      <w:pPr>
        <w:spacing w:after="0" w:line="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We expect vacancy rates will decline slightly by the end of 2026, and we expect cumulative rent growth below 2.0% for the year. We also expect slowing household formation, but elevated single-family housing prices in many places continue to push many new households into the rental market and keep a number of tenants renting longer. If job growth slows substantially, lower demand could push up vacancies and limit rent growth potential. The information we provide above on vacancy rates, rents and other market trends are provided on a national basis. Regional market trends may also be important to loan performance.</w:t>
      </w:r>
    </w:p>
    <w:p>
      <w:pPr>
        <w:spacing w:after="0" w:line="55" w:lineRule="exact"/>
        <w:rPr>
          <w:sz w:val="20"/>
          <w:szCs w:val="20"/>
          <w:color w:val="auto"/>
        </w:rPr>
      </w:pPr>
    </w:p>
    <w:p>
      <w:pPr>
        <w:jc w:val="both"/>
        <w:ind w:right="320"/>
        <w:spacing w:after="0" w:line="272" w:lineRule="auto"/>
        <w:rPr>
          <w:sz w:val="20"/>
          <w:szCs w:val="20"/>
          <w:color w:val="auto"/>
        </w:rPr>
      </w:pPr>
      <w:r>
        <w:rPr>
          <w:rFonts w:ascii="Arial" w:cs="Arial" w:eastAsia="Arial" w:hAnsi="Arial"/>
          <w:sz w:val="16"/>
          <w:szCs w:val="16"/>
          <w:color w:val="auto"/>
        </w:rPr>
        <w:t>Property value is important to credit quality because when a multifamily loan matures, a borrower may be required to make up any value shortfalls if the value estimate has declined below the UPB of the loan and the borrower needs new financing for the property. A borrower may default on its loan if the UPB of the loan is significantly higher than the current property value.</w:t>
      </w:r>
    </w:p>
    <w:p>
      <w:pPr>
        <w:spacing w:after="0" w:line="3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Multifamily property capitalization rates, the indicated rate of return on investment for commercial properties sold during the quarter, were estimated at 5.8% in the first quarter of 2026, up modestly from 5.6% in the fourth quarter of 2025, and the average rate of 5.6% for 2025. Multifamily capitalization rates increased substantially between the first quarter of 2022 and the fourth quarter of 2023 but have averaged around 5.6% since then, with the spread between multifamily capitalization rates and 10-year Treasury rates, an important consideration for commercial real estate investors, remaining significantly narrower than the spread that was observed prior to 2022.</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our new multifamily loan acquisitions by UPB and number of units financed.</w:t>
      </w:r>
    </w:p>
    <w:p>
      <w:pPr>
        <w:spacing w:after="0" w:line="178"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right="140" w:hanging="237"/>
        <w:spacing w:after="0" w:line="228"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Reflects UPB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0"/>
        </w:numPr>
        <w:rPr>
          <w:rFonts w:ascii="Arial" w:cs="Arial" w:eastAsia="Arial" w:hAnsi="Arial"/>
          <w:sz w:val="9"/>
          <w:szCs w:val="9"/>
          <w:color w:val="auto"/>
        </w:rPr>
      </w:pPr>
      <w:r>
        <w:rPr>
          <w:rFonts w:ascii="Arial" w:cs="Arial" w:eastAsia="Arial" w:hAnsi="Arial"/>
          <w:sz w:val="14"/>
          <w:szCs w:val="14"/>
          <w:color w:val="auto"/>
        </w:rPr>
        <w:t>Reflects newly acquired units financed by first liens and excludes manufactured housing rentals.</w:t>
      </w:r>
    </w:p>
    <w:p>
      <w:pPr>
        <w:spacing w:after="0" w:line="70"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Multifamily business volumes increased by 45% in the first quarter of 2026 compared with the first quarter of 2025, reflecting higher market activity in the fourth quarter of 2025, which resulted in some business volume committed in the fourth quarter of 2025 being acquired in the first quarter of 2026. For 2026, FHFA has capped our multifamily loan purchases at $88 billion. FHFA has exempted from the volume cap loans financing workforce housing properties meeting specified criteria that preserve long-term affordability for the properties.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UPB and average charged guaranty fee related to our multifamily guaranty book of business.</w:t>
      </w:r>
    </w:p>
    <w:p>
      <w:pPr>
        <w:spacing w:after="0" w:line="139"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800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40" w:right="100" w:hanging="237"/>
        <w:spacing w:after="0" w:line="264"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4" w:name="page35"/>
    <w:bookmarkEnd w:id="34"/>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multifamily guaranty book of business grew to $542.5 billion as of March 31, 2026, an 8% increase from March 31, 2025. The average charged guaranty fee on our multifamily guaranty book of business decreased 3.0 bps as of March 31, 2026 compared with March 31, 2025, due to lower average charged fees on our acquisitions for the twelve months ended March 31, 2026 compared with the existing loans in our multifamily guaranty book of business. For additional information regarding our average charged guaranty fee, see “MD&amp;A—Multifamily Business—Multifamily Business Metrics— Multifamily Guaranty Book of Business and Average Charged Guaranty Fee” in our 2025 Form 10-K.</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2025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underwriting standards, our multifamily guaranty book diversification and monitoring, and our transfer of multifamily mortgage credit risk, as well as our reliance on representations from lenders and servicers regarding the accuracy of credit information on loans in our guaranty book of business, see the discussion in our 2025 Form 10-K.</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additional information on our multifamily guaranty book diversification and monitoring, see “MD&amp;A—Multifamily Business—Multifamily Mortgage Credit Risk Management—Multifamily Guaranty Book Diversification and Monitoring” in our 2025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left="231"/>
              <w:spacing w:after="0"/>
              <w:rPr>
                <w:sz w:val="20"/>
                <w:szCs w:val="20"/>
                <w:color w:val="auto"/>
              </w:rPr>
            </w:pPr>
            <w:r>
              <w:rPr>
                <w:rFonts w:ascii="Arial" w:cs="Arial" w:eastAsia="Arial" w:hAnsi="Arial"/>
                <w:sz w:val="14"/>
                <w:szCs w:val="14"/>
                <w:b w:val="1"/>
                <w:bCs w:val="1"/>
                <w:color w:val="auto"/>
                <w:w w:val="97"/>
              </w:rPr>
              <w:t>Multifamily Business Volume at Acquisition</w:t>
            </w:r>
            <w:r>
              <w:rPr>
                <w:rFonts w:ascii="Arial" w:cs="Arial" w:eastAsia="Arial" w:hAnsi="Arial"/>
                <w:sz w:val="17"/>
                <w:szCs w:val="17"/>
                <w:b w:val="1"/>
                <w:bCs w:val="1"/>
                <w:color w:val="auto"/>
                <w:w w:val="97"/>
                <w:vertAlign w:val="superscript"/>
              </w:rPr>
              <w:t>(1)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5"/>
          </w:tcPr>
          <w:p>
            <w:pPr>
              <w:jc w:val="center"/>
              <w:ind w:right="171"/>
              <w:spacing w:after="0"/>
              <w:rPr>
                <w:sz w:val="20"/>
                <w:szCs w:val="20"/>
                <w:color w:val="auto"/>
              </w:rPr>
            </w:pPr>
            <w:r>
              <w:rPr>
                <w:rFonts w:ascii="Arial" w:cs="Arial" w:eastAsia="Arial" w:hAnsi="Arial"/>
                <w:sz w:val="14"/>
                <w:szCs w:val="14"/>
                <w:b w:val="1"/>
                <w:bCs w:val="1"/>
                <w:color w:val="auto"/>
                <w:w w:val="98"/>
              </w:rPr>
              <w:t>Multifamily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2C6937"/>
            </w:tcBorders>
          </w:tcPr>
          <w:p>
            <w:pPr>
              <w:spacing w:after="0"/>
              <w:rPr>
                <w:sz w:val="5"/>
                <w:szCs w:val="5"/>
                <w:color w:val="auto"/>
              </w:rPr>
            </w:pPr>
          </w:p>
        </w:tc>
        <w:tc>
          <w:tcPr>
            <w:tcW w:w="480" w:type="dxa"/>
            <w:vAlign w:val="bottom"/>
            <w:tcBorders>
              <w:bottom w:val="single" w:sz="8" w:color="2C6937"/>
            </w:tcBorders>
          </w:tcPr>
          <w:p>
            <w:pPr>
              <w:spacing w:after="0"/>
              <w:rPr>
                <w:sz w:val="5"/>
                <w:szCs w:val="5"/>
                <w:color w:val="auto"/>
              </w:rPr>
            </w:pPr>
          </w:p>
        </w:tc>
        <w:tc>
          <w:tcPr>
            <w:tcW w:w="240" w:type="dxa"/>
            <w:vAlign w:val="bottom"/>
            <w:tcBorders>
              <w:bottom w:val="single" w:sz="8" w:color="2C6937"/>
            </w:tcBorders>
          </w:tcPr>
          <w:p>
            <w:pPr>
              <w:spacing w:after="0"/>
              <w:rPr>
                <w:sz w:val="5"/>
                <w:szCs w:val="5"/>
                <w:color w:val="auto"/>
              </w:rPr>
            </w:pPr>
          </w:p>
        </w:tc>
        <w:tc>
          <w:tcPr>
            <w:tcW w:w="1360" w:type="dxa"/>
            <w:vAlign w:val="bottom"/>
            <w:tcBorders>
              <w:bottom w:val="single" w:sz="8" w:color="2C6937"/>
            </w:tcBorders>
          </w:tcPr>
          <w:p>
            <w:pPr>
              <w:spacing w:after="0"/>
              <w:rPr>
                <w:sz w:val="5"/>
                <w:szCs w:val="5"/>
                <w:color w:val="auto"/>
              </w:rPr>
            </w:pPr>
          </w:p>
        </w:tc>
        <w:tc>
          <w:tcPr>
            <w:tcW w:w="300" w:type="dxa"/>
            <w:vAlign w:val="bottom"/>
            <w:tcBorders>
              <w:bottom w:val="single" w:sz="8" w:color="2C6937"/>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gridSpan w:val="5"/>
            <w:vMerge w:val="restart"/>
          </w:tcPr>
          <w:p>
            <w:pPr>
              <w:jc w:val="center"/>
              <w:ind w:right="151"/>
              <w:spacing w:after="0" w:line="145" w:lineRule="exact"/>
              <w:rPr>
                <w:sz w:val="20"/>
                <w:szCs w:val="20"/>
                <w:color w:val="auto"/>
              </w:rPr>
            </w:pPr>
            <w:r>
              <w:rPr>
                <w:rFonts w:ascii="Arial" w:cs="Arial" w:eastAsia="Arial" w:hAnsi="Arial"/>
                <w:sz w:val="14"/>
                <w:szCs w:val="14"/>
                <w:b w:val="1"/>
                <w:bCs w:val="1"/>
                <w:color w:val="auto"/>
                <w:w w:val="98"/>
              </w:rPr>
              <w:t>Guaranty Book of Business</w:t>
            </w:r>
            <w:r>
              <w:rPr>
                <w:rFonts w:ascii="Arial" w:cs="Arial" w:eastAsia="Arial" w:hAnsi="Arial"/>
                <w:sz w:val="8"/>
                <w:szCs w:val="8"/>
                <w:b w:val="1"/>
                <w:bCs w:val="1"/>
                <w:color w:val="auto"/>
                <w:w w:val="98"/>
              </w:rPr>
              <w:t>(2)</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60" w:type="dxa"/>
            <w:vAlign w:val="bottom"/>
            <w:gridSpan w:val="4"/>
            <w:vMerge w:val="restart"/>
          </w:tcPr>
          <w:p>
            <w:pPr>
              <w:jc w:val="center"/>
              <w:ind w:left="231"/>
              <w:spacing w:after="0"/>
              <w:rPr>
                <w:sz w:val="20"/>
                <w:szCs w:val="20"/>
                <w:color w:val="auto"/>
              </w:rPr>
            </w:pPr>
            <w:r>
              <w:rPr>
                <w:rFonts w:ascii="Arial" w:cs="Arial" w:eastAsia="Arial" w:hAnsi="Arial"/>
                <w:sz w:val="14"/>
                <w:szCs w:val="14"/>
                <w:b w:val="1"/>
                <w:bCs w:val="1"/>
                <w:color w:val="auto"/>
                <w:w w:val="97"/>
              </w:rPr>
              <w:t>For the Three Months Ended March 31,</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2C6937"/>
            </w:tcBorders>
            <w:gridSpan w:val="4"/>
            <w:vMerge w:val="continue"/>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w w:val="97"/>
              </w:rPr>
              <w:t>As of</w:t>
            </w:r>
          </w:p>
        </w:tc>
        <w:tc>
          <w:tcPr>
            <w:tcW w:w="1540" w:type="dxa"/>
            <w:vAlign w:val="bottom"/>
            <w:tcBorders>
              <w:bottom w:val="single" w:sz="8" w:color="2C6937"/>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2026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1180" w:type="dxa"/>
            <w:vAlign w:val="bottom"/>
            <w:tcBorders>
              <w:top w:val="single" w:sz="8" w:color="2C6937"/>
            </w:tcBorders>
          </w:tcPr>
          <w:p>
            <w:pPr>
              <w:spacing w:after="0"/>
              <w:rPr>
                <w:sz w:val="16"/>
                <w:szCs w:val="16"/>
                <w:color w:val="auto"/>
              </w:rPr>
            </w:pPr>
          </w:p>
        </w:tc>
        <w:tc>
          <w:tcPr>
            <w:tcW w:w="48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top w:val="single" w:sz="8" w:color="2C6937"/>
            </w:tcBorders>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4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1540" w:type="dxa"/>
            <w:vAlign w:val="bottom"/>
            <w:tcBorders>
              <w:top w:val="single" w:sz="8" w:color="2C6937"/>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1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63 %</w:t>
            </w:r>
          </w:p>
        </w:tc>
        <w:tc>
          <w:tcPr>
            <w:tcW w:w="1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63 %</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Service Coverage Ratio (“DSCR”):</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4 %</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1180" w:type="dxa"/>
            <w:vAlign w:val="bottom"/>
          </w:tcPr>
          <w:p>
            <w:pPr>
              <w:jc w:val="right"/>
              <w:ind w:right="1011"/>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600" w:type="dxa"/>
            <w:vAlign w:val="bottom"/>
            <w:gridSpan w:val="2"/>
          </w:tcPr>
          <w:p>
            <w:pPr>
              <w:jc w:val="right"/>
              <w:ind w:right="1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669</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w w:val="85"/>
              </w:rPr>
              <w:t>654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30,705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30,593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140"/>
              <w:spacing w:after="0"/>
              <w:rPr>
                <w:sz w:val="20"/>
                <w:szCs w:val="20"/>
                <w:color w:val="auto"/>
              </w:rPr>
            </w:pPr>
            <w:r>
              <w:rPr>
                <w:rFonts w:ascii="Arial" w:cs="Arial" w:eastAsia="Arial" w:hAnsi="Arial"/>
                <w:sz w:val="14"/>
                <w:szCs w:val="14"/>
                <w:color w:val="auto"/>
              </w:rPr>
              <w:t>Fixed-rate</w:t>
            </w:r>
          </w:p>
        </w:tc>
        <w:tc>
          <w:tcPr>
            <w:tcW w:w="1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7"/>
                <w:szCs w:val="17"/>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4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54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58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1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4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95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358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(5)</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 (based on loan count)</w:t>
            </w:r>
            <w:r>
              <w:rPr>
                <w:rFonts w:ascii="Arial" w:cs="Arial" w:eastAsia="Arial" w:hAnsi="Arial"/>
                <w:sz w:val="17"/>
                <w:szCs w:val="17"/>
                <w:color w:val="auto"/>
                <w:vertAlign w:val="superscript"/>
              </w:rPr>
              <w:t>(6)</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37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(7)</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4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16"/>
                <w:szCs w:val="16"/>
                <w:color w:val="auto"/>
              </w:rPr>
            </w:pPr>
          </w:p>
        </w:tc>
        <w:tc>
          <w:tcPr>
            <w:tcW w:w="300" w:type="dxa"/>
            <w:vAlign w:val="bottom"/>
          </w:tcPr>
          <w:p>
            <w:pPr>
              <w:jc w:val="right"/>
              <w:ind w:right="11"/>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60" w:hanging="237"/>
        <w:spacing w:after="0" w:line="22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multifamily loans for each category divided by the aggregate UPB at time of acquisition, excluding small balance loans which is calculated based on loan count rather than UPB.</w:t>
      </w:r>
    </w:p>
    <w:p>
      <w:pPr>
        <w:spacing w:after="0" w:line="27"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 as of the end of each period, excluding small balance loans which is calculated based on loan count rather than UPB.</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33"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4"/>
        </w:numPr>
        <w:rPr>
          <w:rFonts w:ascii="Arial" w:cs="Arial" w:eastAsia="Arial" w:hAnsi="Arial"/>
          <w:sz w:val="9"/>
          <w:szCs w:val="9"/>
          <w:color w:val="auto"/>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45" w:lineRule="exact"/>
        <w:rPr>
          <w:rFonts w:ascii="Arial" w:cs="Arial" w:eastAsia="Arial" w:hAnsi="Arial"/>
          <w:sz w:val="9"/>
          <w:szCs w:val="9"/>
          <w:color w:val="auto"/>
        </w:rPr>
      </w:pPr>
    </w:p>
    <w:p>
      <w:pPr>
        <w:ind w:left="240" w:right="260" w:hanging="237"/>
        <w:spacing w:after="0" w:line="226"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7" w:lineRule="exact"/>
        <w:rPr>
          <w:rFonts w:ascii="Arial" w:cs="Arial" w:eastAsia="Arial" w:hAnsi="Arial"/>
          <w:sz w:val="18"/>
          <w:szCs w:val="18"/>
          <w:color w:val="auto"/>
          <w:vertAlign w:val="superscript"/>
        </w:rPr>
      </w:pPr>
    </w:p>
    <w:p>
      <w:pPr>
        <w:ind w:left="240" w:right="220" w:hanging="237"/>
        <w:spacing w:after="0" w:line="228"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UPB of up to $9 million. Small balance loans are included within the asset class categories referenced above. We present this metric in the table based on loan count rather than UPB. Small balance loans comprised 10% of our multifamily guaranty book of business as of both March 31, 2026 and December 31, 2025, based on UPB of the loans.</w:t>
      </w:r>
    </w:p>
    <w:p>
      <w:pPr>
        <w:spacing w:after="0" w:line="26" w:lineRule="exact"/>
        <w:rPr>
          <w:rFonts w:ascii="Arial" w:cs="Arial" w:eastAsia="Arial" w:hAnsi="Arial"/>
          <w:sz w:val="18"/>
          <w:szCs w:val="18"/>
          <w:color w:val="auto"/>
          <w:vertAlign w:val="superscript"/>
        </w:rPr>
      </w:pPr>
    </w:p>
    <w:p>
      <w:pPr>
        <w:ind w:left="240" w:right="160" w:hanging="237"/>
        <w:spacing w:after="0" w:line="244" w:lineRule="auto"/>
        <w:tabs>
          <w:tab w:leader="none" w:pos="233"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80"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Loans serviced by DUS lenders and their affiliates represented substantially all of our multifamily guaranty book of business as of March 31, 2026 and December 31, 2025. See “MD&amp;A—Multifamily Business—Multifamily Mortgage Credit Risk Management—Multifamily Transfer of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2025 Form 10-K for a description of our DUS program.</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73" w:lineRule="exact"/>
        <w:rPr>
          <w:sz w:val="20"/>
          <w:szCs w:val="20"/>
          <w:color w:val="auto"/>
        </w:rPr>
      </w:pPr>
    </w:p>
    <w:p>
      <w:pPr>
        <w:jc w:val="both"/>
        <w:ind w:right="60"/>
        <w:spacing w:after="0" w:line="219" w:lineRule="auto"/>
        <w:rPr>
          <w:sz w:val="20"/>
          <w:szCs w:val="20"/>
          <w:color w:val="auto"/>
        </w:rPr>
      </w:pPr>
      <w:r>
        <w:rPr>
          <w:rFonts w:ascii="Arial" w:cs="Arial" w:eastAsia="Arial" w:hAnsi="Arial"/>
          <w:sz w:val="16"/>
          <w:szCs w:val="16"/>
          <w:color w:val="auto"/>
        </w:rPr>
        <w:t>To complement our DUS front-end lender-risk sharing program, we also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programs. Our back-end MCIRT and MCAS credit risk transfer programs transfer a portion of the credit risk associated with a reference pool of multifamily mortgage loans to insurers, reinsurers, or investors.</w:t>
      </w:r>
    </w:p>
    <w:p>
      <w:pPr>
        <w:spacing w:after="0" w:line="5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table below displays the total UPB of multifamily loans and the percentage of our multifamily guaranty book of business, based on UPB, that is covered by a back-end credit risk transfer transaction. The table does not reflect front-end lender risk-sharing arrangements, as only a small portion of our multifamily guaranty book of business is not covered by these arrangements.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800" w:type="dxa"/>
            <w:vAlign w:val="bottom"/>
            <w:tcBorders>
              <w:bottom w:val="single" w:sz="8" w:color="2C6937"/>
            </w:tcBorders>
            <w:gridSpan w:val="3"/>
          </w:tcPr>
          <w:p>
            <w:pPr>
              <w:jc w:val="center"/>
              <w:ind w:left="1288"/>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40" w:type="dxa"/>
            <w:vAlign w:val="bottom"/>
            <w:tcBorders>
              <w:bottom w:val="single" w:sz="8" w:color="2C6937"/>
            </w:tcBorders>
          </w:tcPr>
          <w:p>
            <w:pPr>
              <w:spacing w:after="0"/>
              <w:rPr>
                <w:sz w:val="17"/>
                <w:szCs w:val="17"/>
                <w:color w:val="auto"/>
              </w:rPr>
            </w:pPr>
          </w:p>
        </w:tc>
      </w:tr>
      <w:tr>
        <w:trPr>
          <w:trHeight w:val="193"/>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2820" w:type="dxa"/>
            <w:vAlign w:val="bottom"/>
            <w:tcBorders>
              <w:bottom w:val="single" w:sz="8" w:color="2C6937"/>
            </w:tcBorders>
            <w:gridSpan w:val="3"/>
          </w:tcPr>
          <w:p>
            <w:pPr>
              <w:ind w:left="40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20" w:type="dxa"/>
            <w:vAlign w:val="bottom"/>
            <w:tcBorders>
              <w:bottom w:val="single" w:sz="8" w:color="2C6937"/>
            </w:tcBorders>
            <w:gridSpan w:val="3"/>
          </w:tcPr>
          <w:p>
            <w:pPr>
              <w:ind w:left="660"/>
              <w:spacing w:after="0"/>
              <w:rPr>
                <w:sz w:val="20"/>
                <w:szCs w:val="20"/>
                <w:color w:val="auto"/>
              </w:rPr>
            </w:pPr>
            <w:r>
              <w:rPr>
                <w:rFonts w:ascii="Arial" w:cs="Arial" w:eastAsia="Arial" w:hAnsi="Arial"/>
                <w:sz w:val="14"/>
                <w:szCs w:val="14"/>
                <w:b w:val="1"/>
                <w:bCs w:val="1"/>
                <w:color w:val="auto"/>
              </w:rPr>
              <w:t>December 31, 2025</w:t>
            </w:r>
          </w:p>
        </w:tc>
      </w:tr>
      <w:tr>
        <w:trPr>
          <w:trHeight w:val="165"/>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Multifamily</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Multifamily</w:t>
            </w:r>
          </w:p>
        </w:tc>
      </w:tr>
      <w:tr>
        <w:trPr>
          <w:trHeight w:val="209"/>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UPB</w:t>
            </w:r>
          </w:p>
        </w:tc>
        <w:tc>
          <w:tcPr>
            <w:tcW w:w="6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214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Guaranty Book of Business</w:t>
            </w:r>
          </w:p>
        </w:tc>
        <w:tc>
          <w:tcPr>
            <w:tcW w:w="6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UPB</w:t>
            </w:r>
          </w:p>
        </w:tc>
        <w:tc>
          <w:tcPr>
            <w:tcW w:w="20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Guaranty Book of Business</w:t>
            </w:r>
          </w:p>
        </w:tc>
      </w:tr>
      <w:tr>
        <w:trPr>
          <w:trHeight w:val="205"/>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
          </w:tcPr>
          <w:p>
            <w:pPr>
              <w:jc w:val="center"/>
              <w:ind w:left="1288"/>
              <w:spacing w:after="0"/>
              <w:rPr>
                <w:sz w:val="20"/>
                <w:szCs w:val="20"/>
                <w:color w:val="auto"/>
              </w:rPr>
            </w:pPr>
            <w:r>
              <w:rPr>
                <w:rFonts w:ascii="Arial" w:cs="Arial" w:eastAsia="Arial" w:hAnsi="Arial"/>
                <w:sz w:val="14"/>
                <w:szCs w:val="14"/>
                <w:b w:val="1"/>
                <w:bCs w:val="1"/>
                <w:color w:val="auto"/>
                <w:w w:val="98"/>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53"/>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060" w:type="dxa"/>
            <w:vAlign w:val="bottom"/>
          </w:tcPr>
          <w:p>
            <w:pPr>
              <w:jc w:val="right"/>
              <w:ind w:right="886"/>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104,264</w:t>
            </w:r>
          </w:p>
        </w:tc>
        <w:tc>
          <w:tcPr>
            <w:tcW w:w="120" w:type="dxa"/>
            <w:vAlign w:val="bottom"/>
          </w:tcPr>
          <w:p>
            <w:pPr>
              <w:spacing w:after="0"/>
              <w:rPr>
                <w:sz w:val="21"/>
                <w:szCs w:val="21"/>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19 %</w:t>
            </w:r>
          </w:p>
        </w:tc>
        <w:tc>
          <w:tcPr>
            <w:tcW w:w="120" w:type="dxa"/>
            <w:vAlign w:val="bottom"/>
          </w:tcPr>
          <w:p>
            <w:pPr>
              <w:spacing w:after="0"/>
              <w:rPr>
                <w:sz w:val="21"/>
                <w:szCs w:val="21"/>
                <w:color w:val="auto"/>
              </w:rPr>
            </w:pP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105,740</w:t>
            </w:r>
          </w:p>
        </w:tc>
        <w:tc>
          <w:tcPr>
            <w:tcW w:w="100" w:type="dxa"/>
            <w:vAlign w:val="bottom"/>
          </w:tcPr>
          <w:p>
            <w:pPr>
              <w:spacing w:after="0"/>
              <w:rPr>
                <w:sz w:val="21"/>
                <w:szCs w:val="21"/>
                <w:color w:val="auto"/>
              </w:rPr>
            </w:pPr>
          </w:p>
        </w:tc>
        <w:tc>
          <w:tcPr>
            <w:tcW w:w="2040" w:type="dxa"/>
            <w:vAlign w:val="bottom"/>
          </w:tcPr>
          <w:p>
            <w:pPr>
              <w:ind w:left="1680"/>
              <w:spacing w:after="0"/>
              <w:rPr>
                <w:sz w:val="20"/>
                <w:szCs w:val="20"/>
                <w:color w:val="auto"/>
              </w:rPr>
            </w:pPr>
            <w:r>
              <w:rPr>
                <w:rFonts w:ascii="Arial" w:cs="Arial" w:eastAsia="Arial" w:hAnsi="Arial"/>
                <w:sz w:val="15"/>
                <w:szCs w:val="15"/>
                <w:color w:val="auto"/>
                <w:w w:val="99"/>
              </w:rPr>
              <w:t>20 %</w:t>
            </w:r>
          </w:p>
        </w:tc>
      </w:tr>
      <w:tr>
        <w:trPr>
          <w:trHeight w:val="226"/>
        </w:trPr>
        <w:tc>
          <w:tcPr>
            <w:tcW w:w="3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19"/>
                <w:szCs w:val="19"/>
                <w:color w:val="auto"/>
              </w:rPr>
            </w:pPr>
          </w:p>
        </w:tc>
        <w:tc>
          <w:tcPr>
            <w:tcW w:w="10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66,545</w:t>
            </w:r>
          </w:p>
        </w:tc>
        <w:tc>
          <w:tcPr>
            <w:tcW w:w="120" w:type="dxa"/>
            <w:vAlign w:val="bottom"/>
          </w:tcPr>
          <w:p>
            <w:pPr>
              <w:spacing w:after="0"/>
              <w:rPr>
                <w:sz w:val="19"/>
                <w:szCs w:val="19"/>
                <w:color w:val="auto"/>
              </w:rPr>
            </w:pPr>
          </w:p>
        </w:tc>
        <w:tc>
          <w:tcPr>
            <w:tcW w:w="20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12</w:t>
            </w:r>
          </w:p>
        </w:tc>
        <w:tc>
          <w:tcPr>
            <w:tcW w:w="120" w:type="dxa"/>
            <w:vAlign w:val="bottom"/>
          </w:tcPr>
          <w:p>
            <w:pPr>
              <w:spacing w:after="0"/>
              <w:rPr>
                <w:sz w:val="19"/>
                <w:szCs w:val="19"/>
                <w:color w:val="auto"/>
              </w:rPr>
            </w:pPr>
          </w:p>
        </w:tc>
        <w:tc>
          <w:tcPr>
            <w:tcW w:w="66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67,040</w:t>
            </w:r>
          </w:p>
        </w:tc>
        <w:tc>
          <w:tcPr>
            <w:tcW w:w="100" w:type="dxa"/>
            <w:vAlign w:val="bottom"/>
          </w:tcPr>
          <w:p>
            <w:pPr>
              <w:spacing w:after="0"/>
              <w:rPr>
                <w:sz w:val="19"/>
                <w:szCs w:val="19"/>
                <w:color w:val="auto"/>
              </w:rPr>
            </w:pPr>
          </w:p>
        </w:tc>
        <w:tc>
          <w:tcPr>
            <w:tcW w:w="2040" w:type="dxa"/>
            <w:vAlign w:val="bottom"/>
            <w:tcBorders>
              <w:bottom w:val="single" w:sz="8" w:color="2C6937"/>
            </w:tcBorders>
          </w:tcPr>
          <w:p>
            <w:pPr>
              <w:ind w:left="1680"/>
              <w:spacing w:after="0"/>
              <w:rPr>
                <w:sz w:val="20"/>
                <w:szCs w:val="20"/>
                <w:color w:val="auto"/>
              </w:rPr>
            </w:pPr>
            <w:r>
              <w:rPr>
                <w:rFonts w:ascii="Arial" w:cs="Arial" w:eastAsia="Arial" w:hAnsi="Arial"/>
                <w:sz w:val="15"/>
                <w:szCs w:val="15"/>
                <w:color w:val="auto"/>
              </w:rPr>
              <w:t>12</w:t>
            </w:r>
          </w:p>
        </w:tc>
      </w:tr>
      <w:tr>
        <w:trPr>
          <w:trHeight w:val="225"/>
        </w:trPr>
        <w:tc>
          <w:tcPr>
            <w:tcW w:w="336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060" w:type="dxa"/>
            <w:vAlign w:val="bottom"/>
          </w:tcPr>
          <w:p>
            <w:pPr>
              <w:jc w:val="right"/>
              <w:ind w:right="886"/>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170,809</w:t>
            </w:r>
          </w:p>
        </w:tc>
        <w:tc>
          <w:tcPr>
            <w:tcW w:w="120" w:type="dxa"/>
            <w:vAlign w:val="bottom"/>
          </w:tcPr>
          <w:p>
            <w:pPr>
              <w:spacing w:after="0"/>
              <w:rPr>
                <w:sz w:val="19"/>
                <w:szCs w:val="19"/>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31 %</w:t>
            </w:r>
          </w:p>
        </w:tc>
        <w:tc>
          <w:tcPr>
            <w:tcW w:w="120" w:type="dxa"/>
            <w:vAlign w:val="bottom"/>
          </w:tcPr>
          <w:p>
            <w:pPr>
              <w:spacing w:after="0"/>
              <w:rPr>
                <w:sz w:val="19"/>
                <w:szCs w:val="19"/>
                <w:color w:val="auto"/>
              </w:rPr>
            </w:pP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172,780</w:t>
            </w:r>
          </w:p>
        </w:tc>
        <w:tc>
          <w:tcPr>
            <w:tcW w:w="100" w:type="dxa"/>
            <w:vAlign w:val="bottom"/>
          </w:tcPr>
          <w:p>
            <w:pPr>
              <w:spacing w:after="0"/>
              <w:rPr>
                <w:sz w:val="19"/>
                <w:szCs w:val="19"/>
                <w:color w:val="auto"/>
              </w:rPr>
            </w:pPr>
          </w:p>
        </w:tc>
        <w:tc>
          <w:tcPr>
            <w:tcW w:w="2040" w:type="dxa"/>
            <w:vAlign w:val="bottom"/>
          </w:tcPr>
          <w:p>
            <w:pPr>
              <w:ind w:left="1680"/>
              <w:spacing w:after="0"/>
              <w:rPr>
                <w:sz w:val="20"/>
                <w:szCs w:val="20"/>
                <w:color w:val="auto"/>
              </w:rPr>
            </w:pPr>
            <w:r>
              <w:rPr>
                <w:rFonts w:ascii="Arial" w:cs="Arial" w:eastAsia="Arial" w:hAnsi="Arial"/>
                <w:sz w:val="15"/>
                <w:szCs w:val="15"/>
                <w:color w:val="auto"/>
                <w:w w:val="99"/>
              </w:rPr>
              <w:t>32 %</w:t>
            </w: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percentage of loans in our multifamily guaranty book of business that were criticized was 6% as of both March 31, 2026 and December 31, 2025.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3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multifamily serious delinquency rate increased to 0.78% as of March 31, 2026, compared with 0.74% as of December 31, 2025, as additional loans became seriously delinquent as a result of sustained market challenges in recent periods. A recent loan modification is expected to result in a decrease in our multifamily serious delinquency rate in April 2026; however, the rate may increase further later in 2026 as market challenges are expected to persist. Our multifamily serious delinquency rate consists of multifamily loans that were 60 days or more past due based on UPB, expressed as a percentage of our multifamily guaranty book of business.</w:t>
      </w:r>
    </w:p>
    <w:p>
      <w:pPr>
        <w:spacing w:after="0" w:line="3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A higher serious delinquency rate may result in a higher allowance for loan losses. The percentage of loans in our multifamily guaranty book of business that were 180 days or more delinquent was 0.56% as of both March 31, 2026 and December 31, 2025.</w:t>
      </w:r>
    </w:p>
    <w:p>
      <w:pPr>
        <w:spacing w:after="0" w:line="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As of March 31, 2026, we held 201 multifamily REO properties with a carrying value of $1.2 billion, compared with 181 properties with a carrying value of $1.0 billion as of December 31, 2025. The increase in foreclosure activity was primarily driven by recent periods of rising delinquencies, which we expect to continue to drive elevated foreclosure activity. The foreclosure process could take longer for properties that are located in certain judicial foreclosure states with historically long foreclosure timelines.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on our credit loss reserves as well as foreclosed property income or expense. Our credit loss reserves consists of our allowance for loan losses, accrued interest receivable and our guaranty loss reserves.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0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3640" w:type="dxa"/>
            <w:vAlign w:val="bottom"/>
            <w:tcBorders>
              <w:top w:val="single" w:sz="8" w:color="2C6937"/>
              <w:bottom w:val="single" w:sz="8" w:color="2C6937"/>
            </w:tcBorders>
            <w:gridSpan w:val="4"/>
          </w:tcPr>
          <w:p>
            <w:pPr>
              <w:jc w:val="right"/>
              <w:ind w:right="63"/>
              <w:spacing w:after="0"/>
              <w:rPr>
                <w:sz w:val="20"/>
                <w:szCs w:val="20"/>
                <w:color w:val="auto"/>
              </w:rPr>
            </w:pPr>
            <w:r>
              <w:rPr>
                <w:rFonts w:ascii="Arial" w:cs="Arial" w:eastAsia="Arial" w:hAnsi="Arial"/>
                <w:sz w:val="15"/>
                <w:szCs w:val="15"/>
                <w:b w:val="1"/>
                <w:bCs w:val="1"/>
                <w:color w:val="auto"/>
              </w:rPr>
              <w:t>For the Three Months Ended March 31,</w:t>
            </w:r>
          </w:p>
        </w:tc>
        <w:tc>
          <w:tcPr>
            <w:tcW w:w="500" w:type="dxa"/>
            <w:vAlign w:val="bottom"/>
            <w:tcBorders>
              <w:top w:val="single" w:sz="8" w:color="2C6937"/>
              <w:bottom w:val="single" w:sz="8" w:color="2C6937"/>
            </w:tcBorders>
          </w:tcPr>
          <w:p>
            <w:pPr>
              <w:spacing w:after="0"/>
              <w:rPr>
                <w:sz w:val="20"/>
                <w:szCs w:val="20"/>
                <w:color w:val="auto"/>
              </w:rPr>
            </w:pPr>
          </w:p>
        </w:tc>
        <w:tc>
          <w:tcPr>
            <w:tcW w:w="300" w:type="dxa"/>
            <w:vAlign w:val="bottom"/>
            <w:tcBorders>
              <w:top w:val="single" w:sz="8" w:color="2C6937"/>
              <w:bottom w:val="single" w:sz="8" w:color="2C6937"/>
            </w:tcBorders>
          </w:tcPr>
          <w:p>
            <w:pPr>
              <w:spacing w:after="0"/>
              <w:rPr>
                <w:sz w:val="20"/>
                <w:szCs w:val="20"/>
                <w:color w:val="auto"/>
              </w:rPr>
            </w:pPr>
          </w:p>
        </w:tc>
      </w:tr>
      <w:tr>
        <w:trPr>
          <w:trHeight w:val="199"/>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138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r>
      <w:tr>
        <w:trPr>
          <w:trHeight w:val="296"/>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gridSpan w:val="3"/>
          </w:tcPr>
          <w:p>
            <w:pPr>
              <w:jc w:val="right"/>
              <w:ind w:right="623"/>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8"/>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tc>
        <w:tc>
          <w:tcPr>
            <w:tcW w:w="1360" w:type="dxa"/>
            <w:vAlign w:val="bottom"/>
          </w:tcPr>
          <w:p>
            <w:pPr>
              <w:jc w:val="right"/>
              <w:ind w:right="118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(243)</w:t>
            </w:r>
          </w:p>
        </w:tc>
        <w:tc>
          <w:tcPr>
            <w:tcW w:w="360" w:type="dxa"/>
            <w:vAlign w:val="bottom"/>
          </w:tcPr>
          <w:p>
            <w:pPr>
              <w:spacing w:after="0"/>
              <w:rPr>
                <w:sz w:val="24"/>
                <w:szCs w:val="24"/>
                <w:color w:val="auto"/>
              </w:rPr>
            </w:pPr>
          </w:p>
        </w:tc>
        <w:tc>
          <w:tcPr>
            <w:tcW w:w="1380" w:type="dxa"/>
            <w:vAlign w:val="bottom"/>
          </w:tcPr>
          <w:p>
            <w:pPr>
              <w:jc w:val="right"/>
              <w:ind w:right="120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(61)</w:t>
            </w:r>
          </w:p>
        </w:tc>
        <w:tc>
          <w:tcPr>
            <w:tcW w:w="300" w:type="dxa"/>
            <w:vAlign w:val="bottom"/>
          </w:tcPr>
          <w:p>
            <w:pPr>
              <w:spacing w:after="0"/>
              <w:rPr>
                <w:sz w:val="24"/>
                <w:szCs w:val="24"/>
                <w:color w:val="auto"/>
              </w:rPr>
            </w:pPr>
          </w:p>
        </w:tc>
      </w:tr>
      <w:tr>
        <w:trPr>
          <w:trHeight w:val="263"/>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36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55</w:t>
            </w: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w:t>
            </w:r>
          </w:p>
        </w:tc>
        <w:tc>
          <w:tcPr>
            <w:tcW w:w="300" w:type="dxa"/>
            <w:vAlign w:val="bottom"/>
          </w:tcPr>
          <w:p>
            <w:pPr>
              <w:spacing w:after="0"/>
              <w:rPr>
                <w:sz w:val="22"/>
                <w:szCs w:val="22"/>
                <w:color w:val="auto"/>
              </w:rPr>
            </w:pPr>
          </w:p>
        </w:tc>
      </w:tr>
      <w:tr>
        <w:trPr>
          <w:trHeight w:val="303"/>
        </w:trPr>
        <w:tc>
          <w:tcPr>
            <w:tcW w:w="6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(113)</w:t>
            </w:r>
          </w:p>
        </w:tc>
        <w:tc>
          <w:tcPr>
            <w:tcW w:w="360" w:type="dxa"/>
            <w:vAlign w:val="bottom"/>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w:t>
            </w:r>
          </w:p>
        </w:tc>
        <w:tc>
          <w:tcPr>
            <w:tcW w:w="300" w:type="dxa"/>
            <w:vAlign w:val="bottom"/>
          </w:tcPr>
          <w:p>
            <w:pPr>
              <w:spacing w:after="0"/>
              <w:rPr>
                <w:sz w:val="24"/>
                <w:szCs w:val="24"/>
                <w:color w:val="auto"/>
              </w:rPr>
            </w:pPr>
          </w:p>
        </w:tc>
      </w:tr>
      <w:tr>
        <w:trPr>
          <w:trHeight w:val="309"/>
        </w:trPr>
        <w:tc>
          <w:tcPr>
            <w:tcW w:w="680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1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(301)</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(76)</w:t>
            </w:r>
          </w:p>
        </w:tc>
        <w:tc>
          <w:tcPr>
            <w:tcW w:w="300" w:type="dxa"/>
            <w:vAlign w:val="bottom"/>
          </w:tcPr>
          <w:p>
            <w:pPr>
              <w:spacing w:after="0"/>
              <w:rPr>
                <w:sz w:val="24"/>
                <w:szCs w:val="24"/>
                <w:color w:val="auto"/>
              </w:rPr>
            </w:pPr>
          </w:p>
        </w:tc>
      </w:tr>
      <w:tr>
        <w:trPr>
          <w:trHeight w:val="303"/>
        </w:trPr>
        <w:tc>
          <w:tcPr>
            <w:tcW w:w="6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64</w:t>
            </w:r>
          </w:p>
        </w:tc>
        <w:tc>
          <w:tcPr>
            <w:tcW w:w="360" w:type="dxa"/>
            <w:vAlign w:val="bottom"/>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300" w:type="dxa"/>
            <w:vAlign w:val="bottom"/>
          </w:tcPr>
          <w:p>
            <w:pPr>
              <w:spacing w:after="0"/>
              <w:rPr>
                <w:sz w:val="24"/>
                <w:szCs w:val="24"/>
                <w:color w:val="auto"/>
              </w:rPr>
            </w:pPr>
          </w:p>
        </w:tc>
      </w:tr>
      <w:tr>
        <w:trPr>
          <w:trHeight w:val="302"/>
        </w:trPr>
        <w:tc>
          <w:tcPr>
            <w:tcW w:w="6800" w:type="dxa"/>
            <w:vAlign w:val="bottom"/>
            <w:gridSpan w:val="2"/>
          </w:tcPr>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tc>
        <w:tc>
          <w:tcPr>
            <w:tcW w:w="1360" w:type="dxa"/>
            <w:vAlign w:val="bottom"/>
          </w:tcPr>
          <w:p>
            <w:pPr>
              <w:jc w:val="right"/>
              <w:ind w:right="118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(237)</w:t>
            </w:r>
          </w:p>
        </w:tc>
        <w:tc>
          <w:tcPr>
            <w:tcW w:w="360" w:type="dxa"/>
            <w:vAlign w:val="bottom"/>
          </w:tcPr>
          <w:p>
            <w:pPr>
              <w:spacing w:after="0"/>
              <w:rPr>
                <w:sz w:val="24"/>
                <w:szCs w:val="24"/>
                <w:color w:val="auto"/>
              </w:rPr>
            </w:pPr>
          </w:p>
        </w:tc>
        <w:tc>
          <w:tcPr>
            <w:tcW w:w="1380" w:type="dxa"/>
            <w:vAlign w:val="bottom"/>
          </w:tcPr>
          <w:p>
            <w:pPr>
              <w:jc w:val="right"/>
              <w:ind w:right="120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(46)</w:t>
            </w:r>
          </w:p>
        </w:tc>
        <w:tc>
          <w:tcPr>
            <w:tcW w:w="300" w:type="dxa"/>
            <w:vAlign w:val="bottom"/>
          </w:tcPr>
          <w:p>
            <w:pPr>
              <w:spacing w:after="0"/>
              <w:rPr>
                <w:sz w:val="24"/>
                <w:szCs w:val="24"/>
                <w:color w:val="auto"/>
              </w:rPr>
            </w:pPr>
          </w:p>
        </w:tc>
      </w:tr>
      <w:tr>
        <w:trPr>
          <w:trHeight w:val="20"/>
        </w:trPr>
        <w:tc>
          <w:tcPr>
            <w:tcW w:w="6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86"/>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1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(22.4)</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(6.1)</w:t>
            </w:r>
          </w:p>
        </w:tc>
        <w:tc>
          <w:tcPr>
            <w:tcW w:w="300" w:type="dxa"/>
            <w:vAlign w:val="bottom"/>
          </w:tcPr>
          <w:p>
            <w:pPr>
              <w:spacing w:after="0"/>
              <w:rPr>
                <w:sz w:val="24"/>
                <w:szCs w:val="24"/>
                <w:color w:val="auto"/>
              </w:rPr>
            </w:pPr>
          </w:p>
        </w:tc>
      </w:tr>
      <w:tr>
        <w:trPr>
          <w:trHeight w:val="309"/>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(2)(3)</w:t>
            </w:r>
          </w:p>
        </w:tc>
        <w:tc>
          <w:tcPr>
            <w:tcW w:w="1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(3.7)</w:t>
            </w:r>
          </w:p>
        </w:tc>
        <w:tc>
          <w:tcPr>
            <w:tcW w:w="300" w:type="dxa"/>
            <w:vAlign w:val="bottom"/>
          </w:tcPr>
          <w:p>
            <w:pPr>
              <w:spacing w:after="0"/>
              <w:rPr>
                <w:sz w:val="24"/>
                <w:szCs w:val="24"/>
                <w:color w:val="auto"/>
              </w:rPr>
            </w:pPr>
          </w:p>
        </w:tc>
      </w:tr>
      <w:tr>
        <w:trPr>
          <w:trHeight w:val="309"/>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w:t>
            </w:r>
          </w:p>
        </w:tc>
        <w:tc>
          <w:tcPr>
            <w:tcW w:w="13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18.8 %</w:t>
            </w:r>
          </w:p>
        </w:tc>
        <w:tc>
          <w:tcPr>
            <w:tcW w:w="13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10.4 %</w:t>
            </w:r>
          </w:p>
        </w:tc>
      </w:tr>
      <w:tr>
        <w:trPr>
          <w:trHeight w:val="309"/>
        </w:trPr>
        <w:tc>
          <w:tcPr>
            <w:tcW w:w="6800" w:type="dxa"/>
            <w:vAlign w:val="bottom"/>
            <w:gridSpan w:val="2"/>
          </w:tcPr>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(5)</w:t>
            </w:r>
          </w:p>
        </w:tc>
        <w:tc>
          <w:tcPr>
            <w:tcW w:w="1360" w:type="dxa"/>
            <w:vAlign w:val="bottom"/>
          </w:tcPr>
          <w:p>
            <w:pPr>
              <w:spacing w:after="0"/>
              <w:rPr>
                <w:sz w:val="24"/>
                <w:szCs w:val="24"/>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27</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c>
          <w:tcPr>
            <w:tcW w:w="300" w:type="dxa"/>
            <w:vAlign w:val="bottom"/>
          </w:tcPr>
          <w:p>
            <w:pPr>
              <w:spacing w:after="0"/>
              <w:rPr>
                <w:sz w:val="24"/>
                <w:szCs w:val="24"/>
                <w:color w:val="auto"/>
              </w:rPr>
            </w:pPr>
          </w:p>
        </w:tc>
      </w:tr>
    </w:tbl>
    <w:p>
      <w:pPr>
        <w:spacing w:after="0" w:line="69" w:lineRule="exact"/>
        <w:rPr>
          <w:sz w:val="20"/>
          <w:szCs w:val="20"/>
          <w:color w:val="auto"/>
        </w:rPr>
      </w:pPr>
    </w:p>
    <w:p>
      <w:pPr>
        <w:ind w:left="240" w:right="380" w:hanging="237"/>
        <w:spacing w:after="0" w:line="226"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write-offs at a liquidation event, which includes a foreclosure, a deed-in-lieu of foreclosure or a short-sale, as well as write-offs prior to a liquidation event.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180" w:hanging="237"/>
        <w:spacing w:after="0" w:line="228"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27" w:lineRule="exact"/>
        <w:rPr>
          <w:rFonts w:ascii="Arial" w:cs="Arial" w:eastAsia="Arial" w:hAnsi="Arial"/>
          <w:sz w:val="18"/>
          <w:szCs w:val="18"/>
          <w:color w:val="auto"/>
          <w:vertAlign w:val="superscript"/>
        </w:rPr>
      </w:pPr>
    </w:p>
    <w:p>
      <w:pPr>
        <w:ind w:left="240" w:hanging="237"/>
        <w:spacing w:after="0" w:line="228"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UPB of the loans written off and is 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5"/>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multifamily credit losses increased in the first quarter of 2026 compared with the first quarter of 2025, primarily driven by weakened multifamily property valuations in the first quarter of 2026, which resulted in increased write-offs and foreclosed property expense.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 For purposes of calculating our consolidated credit ratios and the credit loss reserves and write-offs, net of recoveries, the ratios are inclusive of our allowance for loan losses, allowance for accrued interest receivable, and reserve for guaranty losses. These amounts exclude reserves for advances of pre-foreclosure costs and the allowance for AFS securities.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 loss reserves as a percentage of:</w:t>
      </w:r>
    </w:p>
    <w:p>
      <w:pPr>
        <w:spacing w:after="0" w:line="45" w:lineRule="exact"/>
        <w:rPr>
          <w:sz w:val="20"/>
          <w:szCs w:val="20"/>
          <w:color w:val="auto"/>
        </w:rPr>
      </w:pPr>
    </w:p>
    <w:p>
      <w:pPr>
        <w:ind w:left="180" w:right="320"/>
        <w:spacing w:after="0" w:line="392" w:lineRule="auto"/>
        <w:rPr>
          <w:sz w:val="20"/>
          <w:szCs w:val="20"/>
          <w:color w:val="auto"/>
        </w:rPr>
      </w:pPr>
      <w:r>
        <w:rPr>
          <w:rFonts w:ascii="Arial" w:cs="Arial" w:eastAsia="Arial" w:hAnsi="Arial"/>
          <w:sz w:val="14"/>
          <w:szCs w:val="14"/>
          <w:color w:val="auto"/>
        </w:rPr>
        <w:t>Guaranty book of business Nonaccrual loans at amortized cost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Nonaccrual loans as a percentage of:</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Guaranty book of business</w:t>
      </w:r>
    </w:p>
    <w:p>
      <w:pPr>
        <w:spacing w:after="0" w:line="292" w:lineRule="exact"/>
        <w:rPr>
          <w:sz w:val="20"/>
          <w:szCs w:val="20"/>
          <w:color w:val="auto"/>
        </w:rPr>
      </w:pPr>
    </w:p>
    <w:p>
      <w:pPr>
        <w:ind w:left="180" w:right="30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40" w:type="dxa"/>
            <w:vAlign w:val="bottom"/>
            <w:tcBorders>
              <w:top w:val="single" w:sz="8" w:color="216C2B"/>
              <w:bottom w:val="single" w:sz="8" w:color="2C6937"/>
            </w:tcBorders>
          </w:tcPr>
          <w:p>
            <w:pPr>
              <w:spacing w:after="0"/>
              <w:rPr>
                <w:sz w:val="17"/>
                <w:szCs w:val="17"/>
                <w:color w:val="auto"/>
              </w:rPr>
            </w:pPr>
          </w:p>
        </w:tc>
        <w:tc>
          <w:tcPr>
            <w:tcW w:w="340" w:type="dxa"/>
            <w:vAlign w:val="bottom"/>
            <w:tcBorders>
              <w:top w:val="single" w:sz="8" w:color="216C2B"/>
              <w:bottom w:val="single" w:sz="8" w:color="2C6937"/>
            </w:tcBorders>
          </w:tcPr>
          <w:p>
            <w:pPr>
              <w:spacing w:after="0"/>
              <w:rPr>
                <w:sz w:val="17"/>
                <w:szCs w:val="17"/>
                <w:color w:val="auto"/>
              </w:rPr>
            </w:pPr>
          </w:p>
        </w:tc>
        <w:tc>
          <w:tcPr>
            <w:tcW w:w="1320" w:type="dxa"/>
            <w:vAlign w:val="bottom"/>
            <w:tcBorders>
              <w:top w:val="single" w:sz="8" w:color="216C2B"/>
              <w:bottom w:val="single" w:sz="8" w:color="2C6937"/>
            </w:tcBorders>
            <w:gridSpan w:val="2"/>
          </w:tcPr>
          <w:p>
            <w:pPr>
              <w:jc w:val="right"/>
              <w:ind w:right="7"/>
              <w:spacing w:after="0"/>
              <w:rPr>
                <w:sz w:val="20"/>
                <w:szCs w:val="20"/>
                <w:color w:val="auto"/>
              </w:rPr>
            </w:pPr>
            <w:r>
              <w:rPr>
                <w:rFonts w:ascii="Arial" w:cs="Arial" w:eastAsia="Arial" w:hAnsi="Arial"/>
                <w:sz w:val="15"/>
                <w:szCs w:val="15"/>
                <w:b w:val="1"/>
                <w:bCs w:val="1"/>
                <w:color w:val="auto"/>
              </w:rPr>
              <w:t>March 31, 2026</w:t>
            </w:r>
          </w:p>
        </w:tc>
        <w:tc>
          <w:tcPr>
            <w:tcW w:w="1100" w:type="dxa"/>
            <w:vAlign w:val="bottom"/>
            <w:tcBorders>
              <w:top w:val="single" w:sz="8" w:color="216C2B"/>
              <w:bottom w:val="single" w:sz="8" w:color="2C6937"/>
            </w:tcBorders>
          </w:tcPr>
          <w:p>
            <w:pPr>
              <w:spacing w:after="0"/>
              <w:rPr>
                <w:sz w:val="17"/>
                <w:szCs w:val="17"/>
                <w:color w:val="auto"/>
              </w:rPr>
            </w:pPr>
          </w:p>
        </w:tc>
        <w:tc>
          <w:tcPr>
            <w:tcW w:w="30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940" w:type="dxa"/>
            <w:vAlign w:val="bottom"/>
            <w:tcBorders>
              <w:top w:val="single" w:sz="8" w:color="216C2B"/>
              <w:bottom w:val="single" w:sz="8" w:color="2C6937"/>
            </w:tcBorders>
          </w:tcPr>
          <w:p>
            <w:pPr>
              <w:spacing w:after="0"/>
              <w:rPr>
                <w:sz w:val="17"/>
                <w:szCs w:val="17"/>
                <w:color w:val="auto"/>
              </w:rPr>
            </w:pPr>
          </w:p>
        </w:tc>
        <w:tc>
          <w:tcPr>
            <w:tcW w:w="300" w:type="dxa"/>
            <w:vAlign w:val="bottom"/>
            <w:tcBorders>
              <w:top w:val="single" w:sz="8" w:color="216C2B"/>
              <w:bottom w:val="single" w:sz="8" w:color="2C6937"/>
            </w:tcBorders>
          </w:tcPr>
          <w:p>
            <w:pPr>
              <w:spacing w:after="0"/>
              <w:rPr>
                <w:sz w:val="17"/>
                <w:szCs w:val="17"/>
                <w:color w:val="auto"/>
              </w:rPr>
            </w:pPr>
          </w:p>
        </w:tc>
        <w:tc>
          <w:tcPr>
            <w:tcW w:w="1440" w:type="dxa"/>
            <w:vAlign w:val="bottom"/>
            <w:tcBorders>
              <w:top w:val="single" w:sz="8" w:color="216C2B"/>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December 31, 2025</w:t>
            </w:r>
          </w:p>
        </w:tc>
        <w:tc>
          <w:tcPr>
            <w:tcW w:w="1100" w:type="dxa"/>
            <w:vAlign w:val="bottom"/>
            <w:tcBorders>
              <w:top w:val="single" w:sz="8" w:color="216C2B"/>
              <w:bottom w:val="single" w:sz="8" w:color="2C6937"/>
            </w:tcBorders>
          </w:tcPr>
          <w:p>
            <w:pPr>
              <w:spacing w:after="0"/>
              <w:rPr>
                <w:sz w:val="17"/>
                <w:szCs w:val="17"/>
                <w:color w:val="auto"/>
              </w:rPr>
            </w:pPr>
          </w:p>
        </w:tc>
        <w:tc>
          <w:tcPr>
            <w:tcW w:w="240" w:type="dxa"/>
            <w:vAlign w:val="bottom"/>
            <w:tcBorders>
              <w:top w:val="single" w:sz="8" w:color="216C2B"/>
              <w:bottom w:val="single" w:sz="8" w:color="2C6937"/>
            </w:tcBorders>
          </w:tcPr>
          <w:p>
            <w:pPr>
              <w:spacing w:after="0"/>
              <w:rPr>
                <w:sz w:val="17"/>
                <w:szCs w:val="17"/>
                <w:color w:val="auto"/>
              </w:rPr>
            </w:pPr>
          </w:p>
        </w:tc>
      </w:tr>
      <w:tr>
        <w:trPr>
          <w:trHeight w:val="264"/>
        </w:trPr>
        <w:tc>
          <w:tcPr>
            <w:tcW w:w="1280" w:type="dxa"/>
            <w:vAlign w:val="bottom"/>
            <w:tcBorders>
              <w:bottom w:val="single" w:sz="8" w:color="2C6937"/>
            </w:tcBorders>
            <w:gridSpan w:val="2"/>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gridSpan w:val="2"/>
          </w:tcPr>
          <w:p>
            <w:pPr>
              <w:jc w:val="right"/>
              <w:ind w:right="207"/>
              <w:spacing w:after="0"/>
              <w:rPr>
                <w:sz w:val="20"/>
                <w:szCs w:val="20"/>
                <w:color w:val="auto"/>
              </w:rPr>
            </w:pPr>
            <w:r>
              <w:rPr>
                <w:rFonts w:ascii="Arial" w:cs="Arial" w:eastAsia="Arial" w:hAnsi="Arial"/>
                <w:sz w:val="15"/>
                <w:szCs w:val="15"/>
                <w:b w:val="1"/>
                <w:bCs w:val="1"/>
                <w:color w:val="auto"/>
              </w:rPr>
              <w:t>Multifamily</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Consolidated Total</w:t>
            </w:r>
          </w:p>
        </w:tc>
        <w:tc>
          <w:tcPr>
            <w:tcW w:w="1240" w:type="dxa"/>
            <w:vAlign w:val="bottom"/>
            <w:tcBorders>
              <w:bottom w:val="single" w:sz="8" w:color="2C6937"/>
            </w:tcBorders>
            <w:gridSpan w:val="2"/>
          </w:tcPr>
          <w:p>
            <w:pPr>
              <w:jc w:val="right"/>
              <w:ind w:right="67"/>
              <w:spacing w:after="0"/>
              <w:rPr>
                <w:sz w:val="20"/>
                <w:szCs w:val="20"/>
                <w:color w:val="auto"/>
              </w:rPr>
            </w:pPr>
            <w:r>
              <w:rPr>
                <w:rFonts w:ascii="Arial" w:cs="Arial" w:eastAsia="Arial" w:hAnsi="Arial"/>
                <w:sz w:val="15"/>
                <w:szCs w:val="15"/>
                <w:b w:val="1"/>
                <w:bCs w:val="1"/>
                <w:color w:val="auto"/>
              </w:rPr>
              <w:t>Single-Family</w:t>
            </w:r>
          </w:p>
        </w:tc>
        <w:tc>
          <w:tcPr>
            <w:tcW w:w="1440" w:type="dxa"/>
            <w:vAlign w:val="bottom"/>
            <w:tcBorders>
              <w:bottom w:val="single" w:sz="8" w:color="2C6937"/>
            </w:tcBorders>
            <w:gridSpan w:val="2"/>
          </w:tcPr>
          <w:p>
            <w:pPr>
              <w:jc w:val="right"/>
              <w:ind w:right="267"/>
              <w:spacing w:after="0"/>
              <w:rPr>
                <w:sz w:val="20"/>
                <w:szCs w:val="20"/>
                <w:color w:val="auto"/>
              </w:rPr>
            </w:pPr>
            <w:r>
              <w:rPr>
                <w:rFonts w:ascii="Arial" w:cs="Arial" w:eastAsia="Arial" w:hAnsi="Arial"/>
                <w:sz w:val="15"/>
                <w:szCs w:val="15"/>
                <w:b w:val="1"/>
                <w:bCs w:val="1"/>
                <w:color w:val="auto"/>
              </w:rPr>
              <w:t>Multifamily</w:t>
            </w:r>
          </w:p>
        </w:tc>
        <w:tc>
          <w:tcPr>
            <w:tcW w:w="13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w w:val="96"/>
              </w:rPr>
              <w:t>Consolidated Total</w:t>
            </w:r>
          </w:p>
        </w:tc>
      </w:tr>
      <w:tr>
        <w:trPr>
          <w:trHeight w:val="193"/>
        </w:trPr>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4"/>
          </w:tcPr>
          <w:p>
            <w:pPr>
              <w:jc w:val="right"/>
              <w:ind w:right="227"/>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21"/>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0.17</w:t>
            </w:r>
          </w:p>
        </w:tc>
        <w:tc>
          <w:tcPr>
            <w:tcW w:w="340" w:type="dxa"/>
            <w:vAlign w:val="bottom"/>
          </w:tcPr>
          <w:p>
            <w:pPr>
              <w:jc w:val="right"/>
              <w:ind w:right="10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0.42</w:t>
            </w:r>
          </w:p>
        </w:tc>
        <w:tc>
          <w:tcPr>
            <w:tcW w:w="34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0.17</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0.43</w:t>
            </w:r>
          </w:p>
        </w:tc>
        <w:tc>
          <w:tcPr>
            <w:tcW w:w="4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0.20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21.34</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68.30</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26.32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22.03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70.02</w:t>
            </w:r>
          </w:p>
        </w:tc>
        <w:tc>
          <w:tcPr>
            <w:tcW w:w="400" w:type="dxa"/>
            <w:vAlign w:val="bottom"/>
          </w:tcPr>
          <w:p>
            <w:pPr>
              <w:spacing w:after="0"/>
              <w:rPr>
                <w:sz w:val="20"/>
                <w:szCs w:val="20"/>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27.19</w:t>
            </w:r>
          </w:p>
        </w:tc>
        <w:tc>
          <w:tcPr>
            <w:tcW w:w="240" w:type="dxa"/>
            <w:vAlign w:val="bottom"/>
          </w:tcPr>
          <w:p>
            <w:pPr>
              <w:spacing w:after="0"/>
              <w:rPr>
                <w:sz w:val="20"/>
                <w:szCs w:val="20"/>
                <w:color w:val="auto"/>
              </w:rPr>
            </w:pPr>
          </w:p>
        </w:tc>
      </w:tr>
      <w:tr>
        <w:trPr>
          <w:trHeight w:val="567"/>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0.80</w:t>
            </w:r>
          </w:p>
        </w:tc>
        <w:tc>
          <w:tcPr>
            <w:tcW w:w="340" w:type="dxa"/>
            <w:vAlign w:val="bottom"/>
          </w:tcPr>
          <w:p>
            <w:pPr>
              <w:jc w:val="right"/>
              <w:ind w:right="10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0.62</w:t>
            </w:r>
          </w:p>
        </w:tc>
        <w:tc>
          <w:tcPr>
            <w:tcW w:w="34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0.78</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0.77</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0.62</w:t>
            </w:r>
          </w:p>
        </w:tc>
        <w:tc>
          <w:tcPr>
            <w:tcW w:w="4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0.75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598" w:lineRule="exact"/>
        <w:rPr>
          <w:sz w:val="20"/>
          <w:szCs w:val="20"/>
          <w:color w:val="auto"/>
        </w:rPr>
      </w:pPr>
    </w:p>
    <w:p>
      <w:pPr>
        <w:sectPr>
          <w:pgSz w:w="11900" w:h="16838" w:orient="portrait"/>
          <w:cols w:equalWidth="0" w:num="2">
            <w:col w:w="2780" w:space="340"/>
            <w:col w:w="8120"/>
          </w:cols>
          <w:pgMar w:left="320" w:top="248" w:right="339" w:bottom="1440" w:gutter="0" w:footer="0" w:header="0"/>
          <w:type w:val="continuous"/>
        </w:sectPr>
      </w:pPr>
    </w:p>
    <w:tbl>
      <w:tblPr>
        <w:tblLayout w:type="fixed"/>
        <w:tblInd w:w="180" w:type="dxa"/>
        <w:tblCellMar>
          <w:top w:w="0" w:type="dxa"/>
          <w:left w:w="0" w:type="dxa"/>
          <w:bottom w:w="0" w:type="dxa"/>
          <w:right w:w="0" w:type="dxa"/>
        </w:tblCellMar>
      </w:tblPr>
      <w:tr>
        <w:trPr>
          <w:trHeight w:val="226"/>
        </w:trPr>
        <w:tc>
          <w:tcPr>
            <w:tcW w:w="2620" w:type="dxa"/>
            <w:vAlign w:val="bottom"/>
          </w:tcPr>
          <w:p>
            <w:pPr>
              <w:spacing w:after="0"/>
              <w:rPr>
                <w:sz w:val="20"/>
                <w:szCs w:val="20"/>
                <w:color w:val="auto"/>
              </w:rPr>
            </w:pPr>
            <w:r>
              <w:rPr>
                <w:rFonts w:ascii="Arial" w:cs="Arial" w:eastAsia="Arial" w:hAnsi="Arial"/>
                <w:sz w:val="15"/>
                <w:szCs w:val="15"/>
                <w:color w:val="auto"/>
              </w:rPr>
              <w:t>Credit loss reserves</w:t>
            </w:r>
          </w:p>
        </w:tc>
        <w:tc>
          <w:tcPr>
            <w:tcW w:w="48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7"/>
              <w:spacing w:after="0"/>
              <w:rPr>
                <w:sz w:val="20"/>
                <w:szCs w:val="20"/>
                <w:color w:val="auto"/>
              </w:rPr>
            </w:pPr>
            <w:r>
              <w:rPr>
                <w:rFonts w:ascii="Arial" w:cs="Arial" w:eastAsia="Arial" w:hAnsi="Arial"/>
                <w:sz w:val="15"/>
                <w:szCs w:val="15"/>
                <w:b w:val="1"/>
                <w:bCs w:val="1"/>
                <w:color w:val="auto"/>
              </w:rPr>
              <w:t>(6,069)</w:t>
            </w:r>
          </w:p>
        </w:tc>
        <w:tc>
          <w:tcPr>
            <w:tcW w:w="42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(2,305)</w:t>
            </w:r>
          </w:p>
        </w:tc>
        <w:tc>
          <w:tcPr>
            <w:tcW w:w="42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147"/>
              <w:spacing w:after="0"/>
              <w:rPr>
                <w:sz w:val="20"/>
                <w:szCs w:val="20"/>
                <w:color w:val="auto"/>
              </w:rPr>
            </w:pPr>
            <w:r>
              <w:rPr>
                <w:rFonts w:ascii="Arial" w:cs="Arial" w:eastAsia="Arial" w:hAnsi="Arial"/>
                <w:sz w:val="15"/>
                <w:szCs w:val="15"/>
                <w:b w:val="1"/>
                <w:bCs w:val="1"/>
                <w:color w:val="auto"/>
              </w:rPr>
              <w:t>(8,374)</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(6,066)</w:t>
            </w:r>
          </w:p>
        </w:tc>
        <w:tc>
          <w:tcPr>
            <w:tcW w:w="4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(2,319)</w:t>
            </w:r>
          </w:p>
        </w:tc>
        <w:tc>
          <w:tcPr>
            <w:tcW w:w="4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(8,385)</w:t>
            </w:r>
          </w:p>
        </w:tc>
      </w:tr>
      <w:tr>
        <w:trPr>
          <w:trHeight w:val="238"/>
        </w:trPr>
        <w:tc>
          <w:tcPr>
            <w:tcW w:w="2620" w:type="dxa"/>
            <w:vAlign w:val="bottom"/>
          </w:tcPr>
          <w:p>
            <w:pPr>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(1)</w:t>
            </w:r>
          </w:p>
        </w:tc>
        <w:tc>
          <w:tcPr>
            <w:tcW w:w="480" w:type="dxa"/>
            <w:vAlign w:val="bottom"/>
          </w:tcPr>
          <w:p>
            <w:pPr>
              <w:spacing w:after="0"/>
              <w:rPr>
                <w:sz w:val="20"/>
                <w:szCs w:val="20"/>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b w:val="1"/>
                <w:bCs w:val="1"/>
                <w:color w:val="auto"/>
              </w:rPr>
              <w:t>3,559,146</w:t>
            </w:r>
          </w:p>
        </w:tc>
        <w:tc>
          <w:tcPr>
            <w:tcW w:w="420" w:type="dxa"/>
            <w:vAlign w:val="bottom"/>
          </w:tcPr>
          <w:p>
            <w:pPr>
              <w:spacing w:after="0"/>
              <w:rPr>
                <w:sz w:val="20"/>
                <w:szCs w:val="20"/>
                <w:color w:val="auto"/>
              </w:rPr>
            </w:pPr>
          </w:p>
        </w:tc>
        <w:tc>
          <w:tcPr>
            <w:tcW w:w="900" w:type="dxa"/>
            <w:vAlign w:val="bottom"/>
          </w:tcPr>
          <w:p>
            <w:pPr>
              <w:jc w:val="right"/>
              <w:ind w:right="167"/>
              <w:spacing w:after="0"/>
              <w:rPr>
                <w:sz w:val="20"/>
                <w:szCs w:val="20"/>
                <w:color w:val="auto"/>
              </w:rPr>
            </w:pPr>
            <w:r>
              <w:rPr>
                <w:rFonts w:ascii="Arial" w:cs="Arial" w:eastAsia="Arial" w:hAnsi="Arial"/>
                <w:sz w:val="15"/>
                <w:szCs w:val="15"/>
                <w:b w:val="1"/>
                <w:bCs w:val="1"/>
                <w:color w:val="auto"/>
              </w:rPr>
              <w:t>542,479</w:t>
            </w:r>
          </w:p>
        </w:tc>
        <w:tc>
          <w:tcPr>
            <w:tcW w:w="420" w:type="dxa"/>
            <w:vAlign w:val="bottom"/>
          </w:tcPr>
          <w:p>
            <w:pPr>
              <w:spacing w:after="0"/>
              <w:rPr>
                <w:sz w:val="20"/>
                <w:szCs w:val="20"/>
                <w:color w:val="auto"/>
              </w:rPr>
            </w:pPr>
          </w:p>
        </w:tc>
        <w:tc>
          <w:tcPr>
            <w:tcW w:w="1040" w:type="dxa"/>
            <w:vAlign w:val="bottom"/>
          </w:tcPr>
          <w:p>
            <w:pPr>
              <w:jc w:val="right"/>
              <w:ind w:right="187"/>
              <w:spacing w:after="0"/>
              <w:rPr>
                <w:sz w:val="20"/>
                <w:szCs w:val="20"/>
                <w:color w:val="auto"/>
              </w:rPr>
            </w:pPr>
            <w:r>
              <w:rPr>
                <w:rFonts w:ascii="Arial" w:cs="Arial" w:eastAsia="Arial" w:hAnsi="Arial"/>
                <w:sz w:val="15"/>
                <w:szCs w:val="15"/>
                <w:b w:val="1"/>
                <w:bCs w:val="1"/>
                <w:color w:val="auto"/>
              </w:rPr>
              <w:t>4,101,625</w:t>
            </w:r>
          </w:p>
        </w:tc>
        <w:tc>
          <w:tcPr>
            <w:tcW w:w="360" w:type="dxa"/>
            <w:vAlign w:val="bottom"/>
          </w:tcPr>
          <w:p>
            <w:pPr>
              <w:spacing w:after="0"/>
              <w:rPr>
                <w:sz w:val="20"/>
                <w:szCs w:val="20"/>
                <w:color w:val="auto"/>
              </w:rPr>
            </w:pPr>
          </w:p>
        </w:tc>
        <w:tc>
          <w:tcPr>
            <w:tcW w:w="980" w:type="dxa"/>
            <w:vAlign w:val="bottom"/>
          </w:tcPr>
          <w:p>
            <w:pPr>
              <w:jc w:val="right"/>
              <w:ind w:right="187"/>
              <w:spacing w:after="0"/>
              <w:rPr>
                <w:sz w:val="20"/>
                <w:szCs w:val="20"/>
                <w:color w:val="auto"/>
              </w:rPr>
            </w:pPr>
            <w:r>
              <w:rPr>
                <w:rFonts w:ascii="Arial" w:cs="Arial" w:eastAsia="Arial" w:hAnsi="Arial"/>
                <w:sz w:val="15"/>
                <w:szCs w:val="15"/>
                <w:color w:val="auto"/>
              </w:rPr>
              <w:t>3,569,324</w:t>
            </w:r>
          </w:p>
        </w:tc>
        <w:tc>
          <w:tcPr>
            <w:tcW w:w="420" w:type="dxa"/>
            <w:vAlign w:val="bottom"/>
          </w:tcPr>
          <w:p>
            <w:pPr>
              <w:spacing w:after="0"/>
              <w:rPr>
                <w:sz w:val="20"/>
                <w:szCs w:val="20"/>
                <w:color w:val="auto"/>
              </w:rPr>
            </w:pPr>
          </w:p>
        </w:tc>
        <w:tc>
          <w:tcPr>
            <w:tcW w:w="920" w:type="dxa"/>
            <w:vAlign w:val="bottom"/>
          </w:tcPr>
          <w:p>
            <w:pPr>
              <w:jc w:val="right"/>
              <w:ind w:right="187"/>
              <w:spacing w:after="0"/>
              <w:rPr>
                <w:sz w:val="20"/>
                <w:szCs w:val="20"/>
                <w:color w:val="auto"/>
              </w:rPr>
            </w:pPr>
            <w:r>
              <w:rPr>
                <w:rFonts w:ascii="Arial" w:cs="Arial" w:eastAsia="Arial" w:hAnsi="Arial"/>
                <w:sz w:val="15"/>
                <w:szCs w:val="15"/>
                <w:color w:val="auto"/>
              </w:rPr>
              <w:t>534,715</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4,104,039</w:t>
            </w:r>
          </w:p>
        </w:tc>
      </w:tr>
      <w:tr>
        <w:trPr>
          <w:trHeight w:val="226"/>
        </w:trPr>
        <w:tc>
          <w:tcPr>
            <w:tcW w:w="2620" w:type="dxa"/>
            <w:vAlign w:val="bottom"/>
          </w:tcPr>
          <w:p>
            <w:pPr>
              <w:spacing w:after="0"/>
              <w:rPr>
                <w:sz w:val="20"/>
                <w:szCs w:val="20"/>
                <w:color w:val="auto"/>
              </w:rPr>
            </w:pPr>
            <w:r>
              <w:rPr>
                <w:rFonts w:ascii="Arial" w:cs="Arial" w:eastAsia="Arial" w:hAnsi="Arial"/>
                <w:sz w:val="15"/>
                <w:szCs w:val="15"/>
                <w:color w:val="auto"/>
              </w:rPr>
              <w:t>Nonaccrual loans at amortized cost</w:t>
            </w:r>
          </w:p>
        </w:tc>
        <w:tc>
          <w:tcPr>
            <w:tcW w:w="480" w:type="dxa"/>
            <w:vAlign w:val="bottom"/>
          </w:tcPr>
          <w:p>
            <w:pPr>
              <w:spacing w:after="0"/>
              <w:rPr>
                <w:sz w:val="19"/>
                <w:szCs w:val="19"/>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b w:val="1"/>
                <w:bCs w:val="1"/>
                <w:color w:val="auto"/>
              </w:rPr>
              <w:t>28,436</w:t>
            </w:r>
          </w:p>
        </w:tc>
        <w:tc>
          <w:tcPr>
            <w:tcW w:w="420" w:type="dxa"/>
            <w:vAlign w:val="bottom"/>
          </w:tcPr>
          <w:p>
            <w:pPr>
              <w:spacing w:after="0"/>
              <w:rPr>
                <w:sz w:val="19"/>
                <w:szCs w:val="19"/>
                <w:color w:val="auto"/>
              </w:rPr>
            </w:pPr>
          </w:p>
        </w:tc>
        <w:tc>
          <w:tcPr>
            <w:tcW w:w="900" w:type="dxa"/>
            <w:vAlign w:val="bottom"/>
          </w:tcPr>
          <w:p>
            <w:pPr>
              <w:jc w:val="right"/>
              <w:ind w:right="167"/>
              <w:spacing w:after="0"/>
              <w:rPr>
                <w:sz w:val="20"/>
                <w:szCs w:val="20"/>
                <w:color w:val="auto"/>
              </w:rPr>
            </w:pPr>
            <w:r>
              <w:rPr>
                <w:rFonts w:ascii="Arial" w:cs="Arial" w:eastAsia="Arial" w:hAnsi="Arial"/>
                <w:sz w:val="15"/>
                <w:szCs w:val="15"/>
                <w:b w:val="1"/>
                <w:bCs w:val="1"/>
                <w:color w:val="auto"/>
              </w:rPr>
              <w:t>3,375</w:t>
            </w:r>
          </w:p>
        </w:tc>
        <w:tc>
          <w:tcPr>
            <w:tcW w:w="420" w:type="dxa"/>
            <w:vAlign w:val="bottom"/>
          </w:tcPr>
          <w:p>
            <w:pPr>
              <w:spacing w:after="0"/>
              <w:rPr>
                <w:sz w:val="19"/>
                <w:szCs w:val="19"/>
                <w:color w:val="auto"/>
              </w:rPr>
            </w:pPr>
          </w:p>
        </w:tc>
        <w:tc>
          <w:tcPr>
            <w:tcW w:w="1040" w:type="dxa"/>
            <w:vAlign w:val="bottom"/>
          </w:tcPr>
          <w:p>
            <w:pPr>
              <w:jc w:val="right"/>
              <w:ind w:right="187"/>
              <w:spacing w:after="0"/>
              <w:rPr>
                <w:sz w:val="20"/>
                <w:szCs w:val="20"/>
                <w:color w:val="auto"/>
              </w:rPr>
            </w:pPr>
            <w:r>
              <w:rPr>
                <w:rFonts w:ascii="Arial" w:cs="Arial" w:eastAsia="Arial" w:hAnsi="Arial"/>
                <w:sz w:val="15"/>
                <w:szCs w:val="15"/>
                <w:b w:val="1"/>
                <w:bCs w:val="1"/>
                <w:color w:val="auto"/>
              </w:rPr>
              <w:t>31,811</w:t>
            </w:r>
          </w:p>
        </w:tc>
        <w:tc>
          <w:tcPr>
            <w:tcW w:w="360" w:type="dxa"/>
            <w:vAlign w:val="bottom"/>
          </w:tcPr>
          <w:p>
            <w:pPr>
              <w:spacing w:after="0"/>
              <w:rPr>
                <w:sz w:val="19"/>
                <w:szCs w:val="19"/>
                <w:color w:val="auto"/>
              </w:rPr>
            </w:pPr>
          </w:p>
        </w:tc>
        <w:tc>
          <w:tcPr>
            <w:tcW w:w="980" w:type="dxa"/>
            <w:vAlign w:val="bottom"/>
          </w:tcPr>
          <w:p>
            <w:pPr>
              <w:jc w:val="right"/>
              <w:ind w:right="187"/>
              <w:spacing w:after="0"/>
              <w:rPr>
                <w:sz w:val="20"/>
                <w:szCs w:val="20"/>
                <w:color w:val="auto"/>
              </w:rPr>
            </w:pPr>
            <w:r>
              <w:rPr>
                <w:rFonts w:ascii="Arial" w:cs="Arial" w:eastAsia="Arial" w:hAnsi="Arial"/>
                <w:sz w:val="15"/>
                <w:szCs w:val="15"/>
                <w:color w:val="auto"/>
              </w:rPr>
              <w:t>27,532</w:t>
            </w:r>
          </w:p>
        </w:tc>
        <w:tc>
          <w:tcPr>
            <w:tcW w:w="420" w:type="dxa"/>
            <w:vAlign w:val="bottom"/>
          </w:tcPr>
          <w:p>
            <w:pPr>
              <w:spacing w:after="0"/>
              <w:rPr>
                <w:sz w:val="19"/>
                <w:szCs w:val="19"/>
                <w:color w:val="auto"/>
              </w:rPr>
            </w:pPr>
          </w:p>
        </w:tc>
        <w:tc>
          <w:tcPr>
            <w:tcW w:w="920" w:type="dxa"/>
            <w:vAlign w:val="bottom"/>
          </w:tcPr>
          <w:p>
            <w:pPr>
              <w:jc w:val="right"/>
              <w:ind w:right="187"/>
              <w:spacing w:after="0"/>
              <w:rPr>
                <w:sz w:val="20"/>
                <w:szCs w:val="20"/>
                <w:color w:val="auto"/>
              </w:rPr>
            </w:pPr>
            <w:r>
              <w:rPr>
                <w:rFonts w:ascii="Arial" w:cs="Arial" w:eastAsia="Arial" w:hAnsi="Arial"/>
                <w:sz w:val="15"/>
                <w:szCs w:val="15"/>
                <w:color w:val="auto"/>
              </w:rPr>
              <w:t>3,312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30,844</w:t>
            </w:r>
          </w:p>
        </w:tc>
      </w:tr>
    </w:tbl>
    <w:p>
      <w:pPr>
        <w:spacing w:after="0" w:line="92" w:lineRule="exact"/>
        <w:rPr>
          <w:sz w:val="20"/>
          <w:szCs w:val="20"/>
          <w:color w:val="auto"/>
        </w:rPr>
      </w:pPr>
    </w:p>
    <w:p>
      <w:pPr>
        <w:ind w:left="220" w:hanging="217"/>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60" w:type="dxa"/>
            <w:vAlign w:val="bottom"/>
            <w:gridSpan w:val="9"/>
          </w:tcPr>
          <w:p>
            <w:pPr>
              <w:jc w:val="center"/>
              <w:spacing w:after="0"/>
              <w:rPr>
                <w:sz w:val="20"/>
                <w:szCs w:val="20"/>
                <w:color w:val="auto"/>
              </w:rPr>
            </w:pPr>
            <w:r>
              <w:rPr>
                <w:rFonts w:ascii="Arial" w:cs="Arial" w:eastAsia="Arial" w:hAnsi="Arial"/>
                <w:sz w:val="15"/>
                <w:szCs w:val="15"/>
                <w:b w:val="1"/>
                <w:bCs w:val="1"/>
                <w:color w:val="auto"/>
                <w:w w:val="97"/>
              </w:rPr>
              <w:t>For the Three Months Ended March 31,</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20" w:type="dxa"/>
            <w:vAlign w:val="bottom"/>
            <w:tcBorders>
              <w:bottom w:val="single" w:sz="8" w:color="216C2B"/>
            </w:tcBorders>
          </w:tcPr>
          <w:p>
            <w:pPr>
              <w:spacing w:after="0"/>
              <w:rPr>
                <w:sz w:val="2"/>
                <w:szCs w:val="2"/>
                <w:color w:val="auto"/>
              </w:rPr>
            </w:pPr>
          </w:p>
        </w:tc>
        <w:tc>
          <w:tcPr>
            <w:tcW w:w="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247"/>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ind w:right="47"/>
              <w:spacing w:after="0"/>
              <w:rPr>
                <w:sz w:val="20"/>
                <w:szCs w:val="20"/>
                <w:color w:val="auto"/>
              </w:rPr>
            </w:pPr>
            <w:r>
              <w:rPr>
                <w:rFonts w:ascii="Arial" w:cs="Arial" w:eastAsia="Arial" w:hAnsi="Arial"/>
                <w:sz w:val="15"/>
                <w:szCs w:val="15"/>
                <w:b w:val="1"/>
                <w:bCs w:val="1"/>
                <w:color w:val="auto"/>
                <w:w w:val="99"/>
              </w:rPr>
              <w:t>Multifamily</w:t>
            </w: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24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90"/>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02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132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243</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375</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252</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(55)</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89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188</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277</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191</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3,564,235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538,597</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4,102,832</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3,609,883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502,090</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4,111,973</w:t>
            </w:r>
          </w:p>
        </w:tc>
      </w:tr>
    </w:tbl>
    <w:p>
      <w:pPr>
        <w:spacing w:after="0" w:line="65"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 For single-family, represents the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0" w:name="page41"/>
    <w:bookmarkEnd w:id="4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2025 Form 10-K. See “MD&amp;A—Liquidity and Capital Management —Liquidity Management” in our 2025 Form 10-K for additional information, including discussions of our primary sources and uses of funds, our liquidity risk management practices and contingency planning, our liquidity requirements, factors that influence our debt funding activity, factors that may impact our access to or the cost of our debt funding and factors that could adversely affect our liquidity and funding. As of March 31, 2026, we were in compliance with all four components of the liquidity requirements outlined in our 2025 Form 10-K. Also see “Risk Factors—Liquidity Risk” in our 2025 Form 10-K for a discussion of liquidity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UPB of our aggregate indebtedness was $153.1 billion as of March 31, 2026. Pursuant to the terms of the senior preferred stock purchase agreement with Treasury, we are prohibited from issuing debt without the prior consent of Treasury if it would result in our aggregate indebtedness exceeding our outstanding debt limit, which is set to $270 billion. The calculation of our indebtedness for purposes of complying with our debt limit reflects the UPB and excludes debt basis adjustments and debt of consolidated trusts.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6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24"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 Our outstanding debt increased in the first quarter of 2026. We increased long-term debt issuance during the quarter to replace debt scheduled to mature later in the year and to further enhance our liquidity position by taking advantage of favorable market conditions.</w:t>
      </w:r>
    </w:p>
    <w:p>
      <w:pPr>
        <w:spacing w:after="0" w:line="33"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15875</wp:posOffset>
            </wp:positionV>
            <wp:extent cx="4886960" cy="2160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8696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55" w:lineRule="exact"/>
        <w:rPr>
          <w:sz w:val="20"/>
          <w:szCs w:val="20"/>
          <w:color w:val="auto"/>
        </w:rPr>
      </w:pPr>
    </w:p>
    <w:p>
      <w:pPr>
        <w:ind w:left="240" w:right="480" w:hanging="237"/>
        <w:spacing w:after="0" w:line="226" w:lineRule="auto"/>
        <w:tabs>
          <w:tab w:leader="none" w:pos="23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UPB, premiums and discounts, fair value adjustments, hedge-related basis adjustments and other cost basis adjustments. Reported amounts include net discount unamortized cost basis adjustments and fair value adjustments of $2.6 billion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1460" w:type="dxa"/>
            <w:vAlign w:val="bottom"/>
            <w:tcBorders>
              <w:top w:val="single" w:sz="8" w:color="2C6937"/>
              <w:bottom w:val="single" w:sz="8" w:color="2C6937"/>
            </w:tcBorders>
          </w:tcPr>
          <w:p>
            <w:pPr>
              <w:spacing w:after="0"/>
              <w:rPr>
                <w:sz w:val="18"/>
                <w:szCs w:val="18"/>
                <w:color w:val="auto"/>
              </w:rPr>
            </w:pPr>
          </w:p>
        </w:tc>
        <w:tc>
          <w:tcPr>
            <w:tcW w:w="46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March 31, 2026</w:t>
            </w:r>
          </w:p>
        </w:tc>
        <w:tc>
          <w:tcPr>
            <w:tcW w:w="4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2025</w:t>
            </w:r>
          </w:p>
        </w:tc>
      </w:tr>
      <w:tr>
        <w:trPr>
          <w:trHeight w:val="188"/>
        </w:trPr>
        <w:tc>
          <w:tcPr>
            <w:tcW w:w="7200" w:type="dxa"/>
            <w:vAlign w:val="bottom"/>
            <w:tcBorders>
              <w:bottom w:val="single" w:sz="8" w:color="2C6937"/>
            </w:tcBorders>
          </w:tcPr>
          <w:p>
            <w:pPr>
              <w:ind w:left="20"/>
              <w:spacing w:after="0" w:line="188"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3.40 %</w:t>
            </w:r>
          </w:p>
        </w:tc>
        <w:tc>
          <w:tcPr>
            <w:tcW w:w="1640" w:type="dxa"/>
            <w:vAlign w:val="bottom"/>
          </w:tcPr>
          <w:p>
            <w:pPr>
              <w:jc w:val="right"/>
              <w:spacing w:after="0"/>
              <w:rPr>
                <w:sz w:val="20"/>
                <w:szCs w:val="20"/>
                <w:color w:val="auto"/>
              </w:rPr>
            </w:pPr>
            <w:r>
              <w:rPr>
                <w:rFonts w:ascii="Arial" w:cs="Arial" w:eastAsia="Arial" w:hAnsi="Arial"/>
                <w:sz w:val="15"/>
                <w:szCs w:val="15"/>
                <w:color w:val="auto"/>
              </w:rPr>
              <w:t>3.66 %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3.78</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3.89</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3.39</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3.45</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137</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189</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49</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5"/>
        </w:trPr>
        <w:tc>
          <w:tcPr>
            <w:tcW w:w="7200" w:type="dxa"/>
            <w:vAlign w:val="bottom"/>
          </w:tcPr>
          <w:p>
            <w:pPr>
              <w:ind w:left="180"/>
              <w:spacing w:after="0"/>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47.7</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35.4</w:t>
            </w:r>
          </w:p>
        </w:tc>
      </w:tr>
    </w:tbl>
    <w:p>
      <w:pPr>
        <w:spacing w:after="0" w:line="29" w:lineRule="exact"/>
        <w:rPr>
          <w:sz w:val="20"/>
          <w:szCs w:val="20"/>
          <w:color w:val="auto"/>
        </w:rPr>
      </w:pPr>
    </w:p>
    <w:p>
      <w:pPr>
        <w:ind w:left="220" w:hanging="217"/>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$310 million and $40 million as of March 31, 2026 and December 31, 2025, respectively.</w:t>
      </w:r>
    </w:p>
    <w:p>
      <w:pPr>
        <w:spacing w:after="0" w:line="5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the issuance of additional debt securities, the sale of assets in our corporate liquidity portfolio, and cash from business operations.</w:t>
      </w:r>
    </w:p>
    <w:p>
      <w:pPr>
        <w:spacing w:after="0" w:line="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2025 Form 10-K.</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780" w:type="dxa"/>
            <w:vAlign w:val="bottom"/>
            <w:tcBorders>
              <w:bottom w:val="single" w:sz="8" w:color="2C6937"/>
            </w:tcBorders>
            <w:gridSpan w:val="4"/>
          </w:tcPr>
          <w:p>
            <w:pPr>
              <w:jc w:val="right"/>
              <w:ind w:right="123"/>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5"/>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w w:val="89"/>
              </w:rPr>
              <w:t>2025</w:t>
            </w:r>
          </w:p>
        </w:tc>
      </w:tr>
      <w:tr>
        <w:trPr>
          <w:trHeight w:val="188"/>
        </w:trPr>
        <w:tc>
          <w:tcPr>
            <w:tcW w:w="8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6"/>
                <w:szCs w:val="16"/>
                <w:color w:val="auto"/>
              </w:rPr>
            </w:pPr>
          </w:p>
        </w:tc>
      </w:tr>
      <w:tr>
        <w:trPr>
          <w:trHeight w:val="198"/>
        </w:trPr>
        <w:tc>
          <w:tcPr>
            <w:tcW w:w="820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63,220</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84,128</w:t>
            </w:r>
          </w:p>
        </w:tc>
      </w:tr>
      <w:tr>
        <w:trPr>
          <w:trHeight w:val="208"/>
        </w:trPr>
        <w:tc>
          <w:tcPr>
            <w:tcW w:w="82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3.57 %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4.28 %</w:t>
            </w:r>
          </w:p>
        </w:tc>
      </w:tr>
      <w:tr>
        <w:trPr>
          <w:trHeight w:val="204"/>
        </w:trPr>
        <w:tc>
          <w:tcPr>
            <w:tcW w:w="8200" w:type="dxa"/>
            <w:vAlign w:val="bottom"/>
          </w:tcPr>
          <w:p>
            <w:pPr>
              <w:ind w:left="180"/>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32,570</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5,804</w:t>
            </w:r>
          </w:p>
        </w:tc>
      </w:tr>
      <w:tr>
        <w:trPr>
          <w:trHeight w:val="208"/>
        </w:trPr>
        <w:tc>
          <w:tcPr>
            <w:tcW w:w="82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3.76 %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4.96 %</w:t>
            </w:r>
          </w:p>
        </w:tc>
      </w:tr>
      <w:tr>
        <w:trPr>
          <w:trHeight w:val="204"/>
        </w:trPr>
        <w:tc>
          <w:tcPr>
            <w:tcW w:w="8200" w:type="dxa"/>
            <w:vAlign w:val="bottom"/>
          </w:tcPr>
          <w:p>
            <w:pPr>
              <w:ind w:left="180"/>
              <w:spacing w:after="0"/>
              <w:rPr>
                <w:sz w:val="20"/>
                <w:szCs w:val="20"/>
                <w:color w:val="auto"/>
              </w:rPr>
            </w:pPr>
            <w:r>
              <w:rPr>
                <w:rFonts w:ascii="Arial" w:cs="Arial" w:eastAsia="Arial" w:hAnsi="Arial"/>
                <w:sz w:val="15"/>
                <w:szCs w:val="15"/>
                <w:color w:val="auto"/>
              </w:rPr>
              <w:t>Total issued: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95,790</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89,932</w:t>
            </w:r>
          </w:p>
        </w:tc>
      </w:tr>
      <w:tr>
        <w:trPr>
          <w:trHeight w:val="206"/>
        </w:trPr>
        <w:tc>
          <w:tcPr>
            <w:tcW w:w="82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3.64 %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4.32 %</w:t>
            </w:r>
          </w:p>
        </w:tc>
      </w:tr>
      <w:tr>
        <w:trPr>
          <w:trHeight w:val="208"/>
        </w:trPr>
        <w:tc>
          <w:tcPr>
            <w:tcW w:w="8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8"/>
        </w:trPr>
        <w:tc>
          <w:tcPr>
            <w:tcW w:w="820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67,116</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84,271</w:t>
            </w:r>
          </w:p>
        </w:tc>
      </w:tr>
      <w:tr>
        <w:trPr>
          <w:trHeight w:val="208"/>
        </w:trPr>
        <w:tc>
          <w:tcPr>
            <w:tcW w:w="8200" w:type="dxa"/>
            <w:vAlign w:val="bottom"/>
          </w:tcPr>
          <w:p>
            <w:pPr>
              <w:ind w:left="320"/>
              <w:spacing w:after="0" w:line="208" w:lineRule="exact"/>
              <w:rPr>
                <w:sz w:val="20"/>
                <w:szCs w:val="20"/>
                <w:color w:val="auto"/>
              </w:rPr>
            </w:pPr>
            <w:r>
              <w:rPr>
                <w:rFonts w:ascii="Arial" w:cs="Arial" w:eastAsia="Arial" w:hAnsi="Arial"/>
                <w:sz w:val="15"/>
                <w:szCs w:val="15"/>
                <w:color w:val="auto"/>
              </w:rPr>
              <w:t>Weighted-average interest rate</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3.68 %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4.29 %</w:t>
            </w:r>
          </w:p>
        </w:tc>
      </w:tr>
      <w:tr>
        <w:trPr>
          <w:trHeight w:val="204"/>
        </w:trPr>
        <w:tc>
          <w:tcPr>
            <w:tcW w:w="8200" w:type="dxa"/>
            <w:vAlign w:val="bottom"/>
          </w:tcPr>
          <w:p>
            <w:pPr>
              <w:ind w:left="180"/>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5,536</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8,732</w:t>
            </w:r>
          </w:p>
        </w:tc>
      </w:tr>
      <w:tr>
        <w:trPr>
          <w:trHeight w:val="208"/>
        </w:trPr>
        <w:tc>
          <w:tcPr>
            <w:tcW w:w="82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4.73 %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2.96 %</w:t>
            </w:r>
          </w:p>
        </w:tc>
      </w:tr>
      <w:tr>
        <w:trPr>
          <w:trHeight w:val="204"/>
        </w:trPr>
        <w:tc>
          <w:tcPr>
            <w:tcW w:w="8200" w:type="dxa"/>
            <w:vAlign w:val="bottom"/>
          </w:tcPr>
          <w:p>
            <w:pPr>
              <w:ind w:left="180"/>
              <w:spacing w:after="0"/>
              <w:rPr>
                <w:sz w:val="20"/>
                <w:szCs w:val="20"/>
                <w:color w:val="auto"/>
              </w:rPr>
            </w:pPr>
            <w:r>
              <w:rPr>
                <w:rFonts w:ascii="Arial" w:cs="Arial" w:eastAsia="Arial" w:hAnsi="Arial"/>
                <w:sz w:val="15"/>
                <w:szCs w:val="15"/>
                <w:color w:val="auto"/>
              </w:rPr>
              <w:t>Total paid off: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820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72,652</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93,003</w:t>
            </w:r>
          </w:p>
        </w:tc>
      </w:tr>
      <w:tr>
        <w:trPr>
          <w:trHeight w:val="214"/>
        </w:trPr>
        <w:tc>
          <w:tcPr>
            <w:tcW w:w="82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3.76 %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4.17 %</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60" w:hanging="237"/>
        <w:spacing w:after="0" w:line="226"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Includes interest generated from negative interest rates on certain repurchase agreements, which offset our short-term funding costs.</w:t>
      </w:r>
    </w:p>
    <w:p>
      <w:pPr>
        <w:spacing w:after="0" w:line="7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factors such as changes in our cash flows, liquidity in the fixed-income markets, our investment strategy, and our liquidity risk management framework and practices. Our corporate liquidity portfolio decreased in the first quarter of 2026, as we redeployed a portion of the funds from maturities of securities purchased under agreements to resell into investments in agency MBS held in our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-13970</wp:posOffset>
            </wp:positionV>
            <wp:extent cx="4911725" cy="2439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11725"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08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08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Cash</w:t>
      </w:r>
    </w:p>
    <w:p>
      <w:pPr>
        <w:spacing w:after="0" w:line="27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$192.4 billion as of March 31, 2026 and $195.7 billion as of December 31, 2025.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$3.6 billion as of March 31, 2026 and December 31, 2025. These commitments require us to advance funds to third parties that enable them to repurchase tendered bonds or securities that are unable to be remarketed.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 Unconsolidated VIEs” for information regarding our investments in limited partnerships and similar legal entities.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u w:val="single" w:color="auto"/>
          <w:color w:val="auto"/>
        </w:rPr>
        <w:t>Three Months Ended March 31, 2026</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increased from $42.6 billion as of December 31, 2025 to $45.3 billion as of March 31, 2026.</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was primarily driven by cash inflows from (1) proceeds from repayments of loans,(2) the sale of Fannie Mae MBS to third parties, (3) proceeds from issuance of debt of Fannie Mae,(4) maturity of investments in securities purchased under agreements to resell, and (5) proceeds from sales of available-for-sale securities.</w:t>
      </w:r>
    </w:p>
    <w:p>
      <w:pPr>
        <w:spacing w:after="0" w:line="3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Largely offsetting these cash inflows were cash outflows primarily from (1) payments on outstanding debt of consolidated trusts and the purchase of Fannie Mae MBS from third parties, (2) purchases of loans acquired as held for investment, (3) advances to lenders, (4) purchases of available-for-sale securities, and (5) repayments of short-term borrowings.</w:t>
      </w:r>
    </w:p>
    <w:p>
      <w:pPr>
        <w:spacing w:after="0" w:line="4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u w:val="single" w:color="auto"/>
          <w:color w:val="auto"/>
        </w:rPr>
        <w:t>Three Months Ended March 31, 2025</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decreased from $38.5 billion as of December 31, 2024 to $38.1 billion as of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2025. The decrease was primarily driven by cash outflows from (1) payments on outstanding debt of consolidated trusts, (2) purchases of loans acquired as held for investment, (3) advances to lenders, and (4) investments in securities purchased under agreements to resell.</w:t>
      </w:r>
    </w:p>
    <w:p>
      <w:pPr>
        <w:spacing w:after="0" w:line="3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Partially offsetting these cash inflows were cash inflows primarily from (1) proceeds from repayments of loans and (2) the sale of Fannie Mae MBS to third parties.</w:t>
      </w:r>
    </w:p>
    <w:p>
      <w:pPr>
        <w:spacing w:after="0" w:line="6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6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March 31, 2026, our credit ratings issued by the three major credit rating agencies have not changed since December 31, 2025. For information on these credit ratings, see “MD&amp;A—Liquidity and Capital Management—Liquidity Management—Credit Ratings” in our 2025 Form 10-K.</w:t>
      </w:r>
    </w:p>
    <w:p>
      <w:pPr>
        <w:spacing w:after="0" w:line="12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6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For a description of our capital requirements under the enterprise regulatory capital framework, see “Business—Legislation and Regulation—Capital Requirements” in our 2025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As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March 31, 2026, we had a deficit in available capital for purposes of our risk-based adjusted total capital requirement under the enterprise regulatory capital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framework even though we had positive net worth under U.S. generally accepted accounting principles (“GAAP”) of $112.7 billion primarily because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$120.8 billion stated value of the senior preferred stock does not qualify as regulatory capital. Our deficit in available capital for purposes of our risk-based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adjusted total capital requirement declined $4 billion in the first quarter of 2026 from $22 billion as of December 31, 2025 to $18 billion as of March 31,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2026.</w:t>
      </w:r>
    </w:p>
    <w:p>
      <w:pPr>
        <w:spacing w:after="0" w:line="7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As of March 31, 2026, we had a $211 billion shortfall to our risk-based adjusted total capital requirement including buffers, and a $134 billion shortfall to our minimum risk-based adjusted total capital requirement excluding buffers. From December 31, 2025 to March 31, 2026, our capital shortfall including buffers declined by $4 billion and our shortfall excluding buffers declined by $1 billion. The decline in the capital shortfall with and without buffers was primarily driven by the $3.7 billion increase in retained earnings, which more than offset the $3 billion rise in minimum capital requirements associated with higher risk-weighted assets during the first quarter of 2026. Our capital shortfall with buffers also declined due to a $3 billion decrease in the stability capital buffer, as a result of us having a lower total share of U.S. residential mortgage debt outstanding in 2025 than in 2024, which is used to determine the 2026 buffer under the enterprise regulatory capital framework.</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increase in risk-weighted assets during the first quarter of 2026 was largely driven by market risk associated with the increase in retained mortgage portfolio assets and loans we acquired during the period that carried higher credit risk-weights compared to seasoned loans that liquidated, as well as less relief from credit risk transfer transactions. Under the enterprise regulatory capital framework, we are required to hold capital associated with the market risk of the mortgage assets held in our retained mortgage portfolio. As a result, increases in the amount of agency MBS we hold in</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our retained mortgage portfolio generally result in an increase in the amount of market risk capital we are required to hold.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March 31, 2026</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4,419</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1,450</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7"/>
        </w:trPr>
        <w:tc>
          <w:tcPr>
            <w:tcW w:w="4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Countercyclical capital buffer</w:t>
            </w:r>
          </w:p>
        </w:tc>
        <w:tc>
          <w:tcPr>
            <w:tcW w:w="140" w:type="dxa"/>
            <w:vAlign w:val="bottom"/>
          </w:tcPr>
          <w:p>
            <w:pPr>
              <w:spacing w:after="0"/>
              <w:rPr>
                <w:sz w:val="18"/>
                <w:szCs w:val="18"/>
                <w:color w:val="auto"/>
              </w:rPr>
            </w:pPr>
          </w:p>
        </w:tc>
        <w:tc>
          <w:tcPr>
            <w:tcW w:w="6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0"/>
        </w:trPr>
        <w:tc>
          <w:tcPr>
            <w:tcW w:w="4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5"/>
        </w:trPr>
        <w:tc>
          <w:tcPr>
            <w:tcW w:w="2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right="380"/>
              <w:spacing w:after="0" w:line="155" w:lineRule="exact"/>
              <w:rPr>
                <w:sz w:val="20"/>
                <w:szCs w:val="20"/>
                <w:color w:val="auto"/>
              </w:rPr>
            </w:pPr>
            <w:r>
              <w:rPr>
                <w:rFonts w:ascii="Arial" w:cs="Arial" w:eastAsia="Arial" w:hAnsi="Arial"/>
                <w:sz w:val="14"/>
                <w:szCs w:val="14"/>
                <w:b w:val="1"/>
                <w:bCs w:val="1"/>
                <w:color w:val="auto"/>
                <w:w w:val="97"/>
              </w:rPr>
              <w:t>Available</w:t>
            </w:r>
          </w:p>
        </w:tc>
        <w:tc>
          <w:tcPr>
            <w:tcW w:w="9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Total Capital</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6"/>
        </w:trPr>
        <w:tc>
          <w:tcPr>
            <w:tcW w:w="27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Capital Shortfall</w:t>
            </w:r>
          </w:p>
        </w:tc>
      </w:tr>
      <w:tr>
        <w:trPr>
          <w:trHeight w:val="205"/>
        </w:trPr>
        <w:tc>
          <w:tcPr>
            <w:tcW w:w="27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(Deficit)</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14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Buffers</w:t>
            </w:r>
            <w:r>
              <w:rPr>
                <w:rFonts w:ascii="Arial" w:cs="Arial" w:eastAsia="Arial" w:hAnsi="Arial"/>
                <w:sz w:val="17"/>
                <w:szCs w:val="17"/>
                <w:b w:val="1"/>
                <w:bCs w:val="1"/>
                <w:color w:val="auto"/>
                <w:w w:val="92"/>
                <w:vertAlign w:val="superscript"/>
              </w:rPr>
              <w:t>(3)</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(with Buffers)</w:t>
            </w:r>
            <w:r>
              <w:rPr>
                <w:rFonts w:ascii="Arial" w:cs="Arial" w:eastAsia="Arial" w:hAnsi="Arial"/>
                <w:sz w:val="17"/>
                <w:szCs w:val="17"/>
                <w:b w:val="1"/>
                <w:bCs w:val="1"/>
                <w:color w:val="auto"/>
                <w:w w:val="97"/>
                <w:vertAlign w:val="superscript"/>
              </w:rPr>
              <w:t>(2)</w:t>
            </w:r>
          </w:p>
        </w:tc>
      </w:tr>
      <w:tr>
        <w:trPr>
          <w:trHeight w:val="187"/>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r>
      <w:tr>
        <w:trPr>
          <w:trHeight w:val="206"/>
        </w:trPr>
        <w:tc>
          <w:tcPr>
            <w:tcW w:w="2760" w:type="dxa"/>
            <w:vAlign w:val="bottom"/>
          </w:tcPr>
          <w:p>
            <w:pPr>
              <w:ind w:left="20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5"/>
                <w:szCs w:val="15"/>
                <w:color w:val="auto"/>
              </w:rPr>
              <w:t>*  $</w:t>
            </w:r>
          </w:p>
        </w:tc>
        <w:tc>
          <w:tcPr>
            <w:tcW w:w="860" w:type="dxa"/>
            <w:vAlign w:val="bottom"/>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04"/>
        </w:trPr>
        <w:tc>
          <w:tcPr>
            <w:tcW w:w="2760" w:type="dxa"/>
            <w:vAlign w:val="bottom"/>
          </w:tcPr>
          <w:p>
            <w:pPr>
              <w:ind w:left="20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(179)</w:t>
            </w:r>
          </w:p>
        </w:tc>
      </w:tr>
      <w:tr>
        <w:trPr>
          <w:trHeight w:val="206"/>
        </w:trPr>
        <w:tc>
          <w:tcPr>
            <w:tcW w:w="2760" w:type="dxa"/>
            <w:vAlign w:val="bottom"/>
          </w:tcPr>
          <w:p>
            <w:pPr>
              <w:ind w:left="20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206"/>
        </w:trPr>
        <w:tc>
          <w:tcPr>
            <w:tcW w:w="2760" w:type="dxa"/>
            <w:vAlign w:val="bottom"/>
          </w:tcPr>
          <w:p>
            <w:pPr>
              <w:ind w:left="20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(211)</w:t>
            </w: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6"/>
        </w:trPr>
        <w:tc>
          <w:tcPr>
            <w:tcW w:w="2760" w:type="dxa"/>
            <w:vAlign w:val="bottom"/>
          </w:tcPr>
          <w:p>
            <w:pPr>
              <w:ind w:left="20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04"/>
        </w:trPr>
        <w:tc>
          <w:tcPr>
            <w:tcW w:w="2760" w:type="dxa"/>
            <w:vAlign w:val="bottom"/>
          </w:tcPr>
          <w:p>
            <w:pPr>
              <w:ind w:left="20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w:t>
            </w: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4,423</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1,411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7"/>
        </w:trPr>
        <w:tc>
          <w:tcPr>
            <w:tcW w:w="4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Countercyclical capital buffer</w:t>
            </w:r>
          </w:p>
        </w:tc>
        <w:tc>
          <w:tcPr>
            <w:tcW w:w="140" w:type="dxa"/>
            <w:vAlign w:val="bottom"/>
          </w:tcPr>
          <w:p>
            <w:pPr>
              <w:spacing w:after="0"/>
              <w:rPr>
                <w:sz w:val="18"/>
                <w:szCs w:val="18"/>
                <w:color w:val="auto"/>
              </w:rPr>
            </w:pPr>
          </w:p>
        </w:tc>
        <w:tc>
          <w:tcPr>
            <w:tcW w:w="6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
        </w:trPr>
        <w:tc>
          <w:tcPr>
            <w:tcW w:w="4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Capital Shortfall</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Buffers</w:t>
            </w:r>
            <w:r>
              <w:rPr>
                <w:rFonts w:ascii="Arial" w:cs="Arial" w:eastAsia="Arial" w:hAnsi="Arial"/>
                <w:sz w:val="17"/>
                <w:szCs w:val="17"/>
                <w:b w:val="1"/>
                <w:bCs w:val="1"/>
                <w:color w:val="auto"/>
                <w:w w:val="92"/>
                <w:vertAlign w:val="superscript"/>
              </w:rPr>
              <w:t>(3)</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(with Buffers)</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87"/>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4"/>
        </w:trPr>
        <w:tc>
          <w:tcPr>
            <w:tcW w:w="2760" w:type="dxa"/>
            <w:vAlign w:val="bottom"/>
          </w:tcPr>
          <w:p>
            <w:pPr>
              <w:ind w:left="20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4"/>
        </w:trPr>
        <w:tc>
          <w:tcPr>
            <w:tcW w:w="2760" w:type="dxa"/>
            <w:vAlign w:val="bottom"/>
          </w:tcPr>
          <w:p>
            <w:pPr>
              <w:ind w:left="20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less than $500 million.</w:t>
      </w:r>
    </w:p>
    <w:p>
      <w:pPr>
        <w:spacing w:after="0" w:line="19"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capital shortfall in these columns represents the difference between the applicable capital requirement (without or with buffers, as applicable) and the available capital deficit.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5" w:name="page46"/>
    <w:bookmarkEnd w:id="4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38" w:lineRule="exact"/>
        <w:rPr>
          <w:rFonts w:ascii="Arial" w:cs="Arial" w:eastAsia="Arial" w:hAnsi="Arial"/>
          <w:sz w:val="18"/>
          <w:szCs w:val="18"/>
          <w:color w:val="auto"/>
          <w:vertAlign w:val="superscript"/>
        </w:rPr>
      </w:pPr>
    </w:p>
    <w:p>
      <w:pPr>
        <w:ind w:left="240" w:right="300" w:hanging="237"/>
        <w:spacing w:after="0" w:line="219" w:lineRule="auto"/>
        <w:tabs>
          <w:tab w:leader="none" w:pos="23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6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As of March 31, 2026, our maximum payout ratio under the enterprise regulatory capital framework was 0%. See “Note 15, Regulatory Capital Requirements” for information on our capital ratios as of March 31, 2026 and December 31, 2025 under the enterprise regulatory capital framework.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84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64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4"/>
          </w:tcPr>
          <w:p>
            <w:pPr>
              <w:jc w:val="right"/>
              <w:ind w:right="112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112,667</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109,012</w:t>
            </w:r>
          </w:p>
        </w:tc>
        <w:tc>
          <w:tcPr>
            <w:tcW w:w="0" w:type="dxa"/>
            <w:vAlign w:val="bottom"/>
          </w:tcPr>
          <w:p>
            <w:pPr>
              <w:spacing w:after="0"/>
              <w:rPr>
                <w:sz w:val="1"/>
                <w:szCs w:val="1"/>
                <w:color w:val="auto"/>
              </w:rPr>
            </w:pPr>
          </w:p>
        </w:tc>
      </w:tr>
      <w:tr>
        <w:trPr>
          <w:trHeight w:val="204"/>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(27,299)</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(30,954)</w:t>
            </w:r>
          </w:p>
        </w:tc>
        <w:tc>
          <w:tcPr>
            <w:tcW w:w="0" w:type="dxa"/>
            <w:vAlign w:val="bottom"/>
          </w:tcPr>
          <w:p>
            <w:pPr>
              <w:spacing w:after="0"/>
              <w:rPr>
                <w:sz w:val="1"/>
                <w:szCs w:val="1"/>
                <w:color w:val="auto"/>
              </w:rPr>
            </w:pPr>
          </w:p>
        </w:tc>
      </w:tr>
      <w:tr>
        <w:trPr>
          <w:trHeight w:val="148"/>
        </w:trPr>
        <w:tc>
          <w:tcPr>
            <w:tcW w:w="754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26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9,430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9,828</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(36,729)</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(40,782)</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(17,599)</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(21,652)</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(17,599)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(21,652)</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r>
      <w:tr>
        <w:trPr>
          <w:trHeight w:val="186"/>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2025</w:t>
            </w:r>
          </w:p>
        </w:tc>
      </w:tr>
      <w:tr>
        <w:trPr>
          <w:trHeight w:val="185"/>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ind w:right="6"/>
              <w:spacing w:after="0"/>
              <w:rPr>
                <w:sz w:val="20"/>
                <w:szCs w:val="20"/>
                <w:color w:val="auto"/>
              </w:rPr>
            </w:pPr>
            <w:r>
              <w:rPr>
                <w:rFonts w:ascii="Arial" w:cs="Arial" w:eastAsia="Arial" w:hAnsi="Arial"/>
                <w:sz w:val="15"/>
                <w:szCs w:val="15"/>
                <w:b w:val="1"/>
                <w:bCs w:val="1"/>
                <w:color w:val="auto"/>
              </w:rPr>
              <w:t>112,667</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109,012</w:t>
            </w:r>
          </w:p>
        </w:tc>
      </w:tr>
      <w:tr>
        <w:trPr>
          <w:trHeight w:val="20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56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r>
      <w:tr>
        <w:trPr>
          <w:trHeight w:val="199"/>
        </w:trPr>
        <w:tc>
          <w:tcPr>
            <w:tcW w:w="74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(8,124)</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(11,844)</w:t>
            </w:r>
          </w:p>
        </w:tc>
      </w:tr>
      <w:tr>
        <w:trPr>
          <w:trHeight w:val="199"/>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(8,585)</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(8,581)</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statutory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ind w:right="6"/>
              <w:spacing w:after="0"/>
              <w:rPr>
                <w:sz w:val="20"/>
                <w:szCs w:val="20"/>
                <w:color w:val="auto"/>
              </w:rPr>
            </w:pPr>
            <w:r>
              <w:rPr>
                <w:rFonts w:ascii="Arial" w:cs="Arial" w:eastAsia="Arial" w:hAnsi="Arial"/>
                <w:sz w:val="15"/>
                <w:szCs w:val="15"/>
                <w:b w:val="1"/>
                <w:bCs w:val="1"/>
                <w:color w:val="auto"/>
              </w:rPr>
              <w:t>461</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(3,263)</w:t>
            </w:r>
          </w:p>
        </w:tc>
      </w:tr>
      <w:tr>
        <w:trPr>
          <w:trHeight w:val="20"/>
        </w:trPr>
        <w:tc>
          <w:tcPr>
            <w:tcW w:w="7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67"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first quarter of 2026 and none are payable for the second quarter of 2026.</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$230.5 billion as of March 31, 2026 from $227.0 billion as of December 31, 2025, due to the increase in our net worth in the fourth quarter of 2025. The aggregate liquidation preference of the senior preferred stock will further increase to $234.2 billion as of June 30, 2026, due to the increase in our net worth in the first quarter of 2026. See “Business—Conservatorship and Treasury Agreements—Treasury Agreements” in our 2025 Form 10-K for more information on the terms of our senior preferred stock, including how the aggregate liquidation preference is determined.</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March 31, 2026, the remaining amount of Treasury’s funding commitment to us was $113.9 billion. See “Note 2, Conservatorship, Senior Preferred Stock Purchase Agreement and Related Matters” in our 2025 Form 10-K for more information on Treasury’s funding commitment under the senior preferred stock purchase agreement.</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exposed to the following principal risk categories: credit risk (including mortgage credit risk and institutional counterparty credit risk), market risk (including interest-rate risk), liquidity risk, operational risk (including cyber and other information security risk), model risk, strategic risk, compliance risk and reputational risk. See “MD&amp;A—Risk Management,” “MD&amp;A—Single-Family Business—Single-Family Mortgage Credit Risk Management,” “MD&amp;A— Multifamily Business—Multifamily Mortgage Credit Risk Management” and “MD&amp;A—Liquidity and Capital Management” in our 2025 Form 10-K for a discussion of our management of the categories of risk we have determined present the most significant exposure. This section, “Single-Family Business— Single-Family Mortgage Credit Risk Management,” “Multifamily Business—Multifamily Mortgage Credit Risk Management” and “Liquidity and Capital Management” in this report supplement and update that discussion, but do not address all of these risk management categories.</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are subject to market risk, which includes interest-rate risk and spread risk.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Spread risk is intrinsic to our business model. While we monitor our spread risk exposure and manage the risk where feasible and appropriate, we do not seek to fully mitigate this risk and accept some level of it. See “MD&amp;A—Risk Management—Market Risk Management, including Interest-Rate Risk Management” and “Risk Factors—Market and Industry Risk” in our 2025 Form 10-K for additional information, including our sources of interest-rate risk and spread risk exposure, business risks posed by changes in interest rates, and our strategy for managing market risk, including interest-rate risk.</w:t>
      </w:r>
    </w:p>
    <w:p>
      <w:pPr>
        <w:spacing w:after="0" w:line="43"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Historically, our interest-rate risk management strategy focused primarily on maintaining an asset duration closely matched to our liability duration, net of derivatives, to minimize exposure to interest-rate movements. Beginning in the fourth quarter of 2025, we adjusted our interest-rate risk management strategy to balance this objective with the goal of managing the volatility of our earnings associated with short-term interest rate changes. As a result, pursuant to this new strategy, we are accepting additional interest rate risk associated with duration by increasing our exposure to longer-term rate positions, which reduces the sensitivity of our earnings to short-term interest rate movements and helps manage interest-rate related volatility associated with our retained mortgage portfolio and corporate liquidity portfolio investments.</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Market Value Sensitivity</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goal for managing the interest-rate risk of our net portfolio is to manage to a low level of exposure to movements in interest rates and volatility. We collectively define our net portfolio as: our retained mortgage portfolio assets; our corporate liquidity portfolio; outstanding debt of Fannie Mae; mortgage commitments; and risk management derivatives. This involves asset selection and structuring of our liabilities to match and offset the interest-rate characteristics of our retained mortgage portfolio and our investments in non-mortgage securities. We actively manage the interest-rate risk of our net portfolio through a strategy incorporating debt instruments, derivative instruments, and portfolio rebalancing, as described in “MD&amp;A—Risk Management— Market Risk Management, including Interest-Rate Risk Management—Interest-Rate Risk Management” in our 2025 Form 10-K.</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Earnings Sensitivity</w:t>
      </w:r>
    </w:p>
    <w:p>
      <w:pPr>
        <w:spacing w:after="0" w:line="8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also manage the earnings sensitivity of our consolidated balance sheet arising from interest rate movements. The risk management approach utilizes financial instruments, such as U.S. Treasuries, agency mortgage-backed securities and interest rate derivatives, to mitigate earnings volatility driven by interest rate movements. While this strategy reduces downside risk to our earnings when interest rates drop, it may limit potential upside benefits of our earnings when interest rates rise.</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utilize fair value hedge accounting to align the timing of when we recognize the interest-rate driven fair value changes in hedged mortgage loans and funding debt with derivative hedging instruments to mitigate GAAP earnings exposure to interest-rate changes, including any short-term earnings volatility that might result from economic hedging. Our hedge accounting program is specifically designed to address the volatility of our financial results associated with changes in fair value related to changes in benchmark interest rates. As such, earnings variability driven by other factors, such as spreads or changes in cost basis amortization recognized in net interest income, remains. In addition, our ability to effectively reduce earnings volatility is impacted by the volume and type of interest-rate swaps available for hedging, which is driven by our interest-rate risk management strategy discussed above.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typically establish new hedging relationships each business day to provide flexibility in our overall risk management strategy.</w:t>
      </w:r>
    </w:p>
    <w:p>
      <w:pPr>
        <w:spacing w:after="0" w:line="43" w:lineRule="exact"/>
        <w:rPr>
          <w:sz w:val="20"/>
          <w:szCs w:val="20"/>
          <w:color w:val="auto"/>
        </w:rPr>
      </w:pPr>
    </w:p>
    <w:p>
      <w:pPr>
        <w:ind w:right="820"/>
        <w:spacing w:after="0" w:line="293" w:lineRule="auto"/>
        <w:rPr>
          <w:sz w:val="20"/>
          <w:szCs w:val="20"/>
          <w:color w:val="auto"/>
        </w:rPr>
      </w:pPr>
      <w:r>
        <w:rPr>
          <w:rFonts w:ascii="Arial" w:cs="Arial" w:eastAsia="Arial" w:hAnsi="Arial"/>
          <w:sz w:val="16"/>
          <w:szCs w:val="16"/>
          <w:color w:val="auto"/>
        </w:rPr>
        <w:t>See “Note 1, Summary of Significant Accounting Policies” in our 2025 Form 10-K and “Note 9, Derivative Instruments” in this report for additional information on our fair value hedge accounting policy and related disclosures.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8" w:name="page49"/>
    <w:bookmarkEnd w:id="48"/>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Market Value Sensitivity of our Net Portfolio</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March 31, 2026 and 2025. Our practice is to allow interest rates to go below zero in the downward shock models unless otherwise prevented through contractual floors.</w:t>
      </w:r>
    </w:p>
    <w:p>
      <w:pPr>
        <w:spacing w:after="0" w:line="5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2025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Market Value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60" w:type="dxa"/>
            <w:vAlign w:val="bottom"/>
            <w:tcBorders>
              <w:top w:val="single" w:sz="8" w:color="2C6937"/>
            </w:tcBorders>
          </w:tcPr>
          <w:p>
            <w:pPr>
              <w:spacing w:after="0"/>
              <w:rPr>
                <w:sz w:val="19"/>
                <w:szCs w:val="19"/>
                <w:color w:val="auto"/>
              </w:rPr>
            </w:pPr>
          </w:p>
        </w:tc>
        <w:tc>
          <w:tcPr>
            <w:tcW w:w="740" w:type="dxa"/>
            <w:vAlign w:val="bottom"/>
            <w:tcBorders>
              <w:top w:val="single" w:sz="8" w:color="2C6937"/>
              <w:bottom w:val="single" w:sz="8" w:color="2C6937"/>
            </w:tcBorders>
          </w:tcPr>
          <w:p>
            <w:pPr>
              <w:spacing w:after="0"/>
              <w:rPr>
                <w:sz w:val="19"/>
                <w:szCs w:val="19"/>
                <w:color w:val="auto"/>
              </w:rPr>
            </w:pPr>
          </w:p>
        </w:tc>
        <w:tc>
          <w:tcPr>
            <w:tcW w:w="800" w:type="dxa"/>
            <w:vAlign w:val="bottom"/>
            <w:tcBorders>
              <w:top w:val="single" w:sz="8" w:color="2C6937"/>
              <w:bottom w:val="single" w:sz="8" w:color="2C6937"/>
            </w:tcBorders>
          </w:tcPr>
          <w:p>
            <w:pPr>
              <w:spacing w:after="0"/>
              <w:rPr>
                <w:sz w:val="19"/>
                <w:szCs w:val="19"/>
                <w:color w:val="auto"/>
              </w:rPr>
            </w:pPr>
          </w:p>
        </w:tc>
        <w:tc>
          <w:tcPr>
            <w:tcW w:w="1280" w:type="dxa"/>
            <w:vAlign w:val="bottom"/>
            <w:tcBorders>
              <w:top w:val="single" w:sz="8" w:color="2C6937"/>
              <w:bottom w:val="single" w:sz="8" w:color="2C6937"/>
            </w:tcBorders>
          </w:tcPr>
          <w:p>
            <w:pPr>
              <w:jc w:val="center"/>
              <w:ind w:right="417"/>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1060" w:type="dxa"/>
            <w:vAlign w:val="bottom"/>
            <w:tcBorders>
              <w:top w:val="single" w:sz="8" w:color="2C6937"/>
              <w:bottom w:val="single" w:sz="8" w:color="2C6937"/>
            </w:tcBorders>
          </w:tcPr>
          <w:p>
            <w:pPr>
              <w:spacing w:after="0"/>
              <w:rPr>
                <w:sz w:val="19"/>
                <w:szCs w:val="19"/>
                <w:color w:val="auto"/>
              </w:rPr>
            </w:pPr>
          </w:p>
        </w:tc>
      </w:tr>
      <w:tr>
        <w:trPr>
          <w:trHeight w:val="185"/>
        </w:trPr>
        <w:tc>
          <w:tcPr>
            <w:tcW w:w="7360" w:type="dxa"/>
            <w:vAlign w:val="bottom"/>
          </w:tcPr>
          <w:p>
            <w:pPr>
              <w:spacing w:after="0"/>
              <w:rPr>
                <w:sz w:val="16"/>
                <w:szCs w:val="16"/>
                <w:color w:val="auto"/>
              </w:rPr>
            </w:pPr>
          </w:p>
        </w:tc>
        <w:tc>
          <w:tcPr>
            <w:tcW w:w="1540" w:type="dxa"/>
            <w:vAlign w:val="bottom"/>
            <w:tcBorders>
              <w:bottom w:val="single" w:sz="8" w:color="2C6937"/>
            </w:tcBorders>
            <w:gridSpan w:val="2"/>
          </w:tcPr>
          <w:p>
            <w:pPr>
              <w:jc w:val="right"/>
              <w:ind w:right="44"/>
              <w:spacing w:after="0"/>
              <w:rPr>
                <w:sz w:val="20"/>
                <w:szCs w:val="20"/>
                <w:color w:val="auto"/>
              </w:rPr>
            </w:pPr>
            <w:r>
              <w:rPr>
                <w:rFonts w:ascii="Arial" w:cs="Arial" w:eastAsia="Arial" w:hAnsi="Arial"/>
                <w:sz w:val="14"/>
                <w:szCs w:val="14"/>
                <w:b w:val="1"/>
                <w:bCs w:val="1"/>
                <w:color w:val="auto"/>
              </w:rPr>
              <w:t>March 31, 2026</w:t>
            </w:r>
          </w:p>
        </w:tc>
        <w:tc>
          <w:tcPr>
            <w:tcW w:w="234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rPr>
              <w:t>December 31, 2025</w:t>
            </w:r>
          </w:p>
        </w:tc>
      </w:tr>
      <w:tr>
        <w:trPr>
          <w:trHeight w:val="186"/>
        </w:trPr>
        <w:tc>
          <w:tcPr>
            <w:tcW w:w="7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740" w:type="dxa"/>
            <w:vAlign w:val="bottom"/>
          </w:tcPr>
          <w:p>
            <w:pPr>
              <w:spacing w:after="0"/>
              <w:rPr>
                <w:sz w:val="16"/>
                <w:szCs w:val="16"/>
                <w:color w:val="auto"/>
              </w:rPr>
            </w:pPr>
          </w:p>
        </w:tc>
        <w:tc>
          <w:tcPr>
            <w:tcW w:w="2080" w:type="dxa"/>
            <w:vAlign w:val="bottom"/>
            <w:gridSpan w:val="2"/>
          </w:tcPr>
          <w:p>
            <w:pPr>
              <w:jc w:val="center"/>
              <w:ind w:left="244"/>
              <w:spacing w:after="0"/>
              <w:rPr>
                <w:sz w:val="20"/>
                <w:szCs w:val="20"/>
                <w:color w:val="auto"/>
              </w:rPr>
            </w:pPr>
            <w:r>
              <w:rPr>
                <w:rFonts w:ascii="Arial" w:cs="Arial" w:eastAsia="Arial" w:hAnsi="Arial"/>
                <w:sz w:val="14"/>
                <w:szCs w:val="14"/>
                <w:b w:val="1"/>
                <w:bCs w:val="1"/>
                <w:color w:val="auto"/>
                <w:w w:val="98"/>
              </w:rPr>
              <w:t>(Dollars in millions)</w:t>
            </w:r>
          </w:p>
        </w:tc>
        <w:tc>
          <w:tcPr>
            <w:tcW w:w="1060" w:type="dxa"/>
            <w:vAlign w:val="bottom"/>
          </w:tcPr>
          <w:p>
            <w:pPr>
              <w:spacing w:after="0"/>
              <w:rPr>
                <w:sz w:val="16"/>
                <w:szCs w:val="16"/>
                <w:color w:val="auto"/>
              </w:rPr>
            </w:pPr>
          </w:p>
        </w:tc>
      </w:tr>
      <w:tr>
        <w:trPr>
          <w:trHeight w:val="199"/>
        </w:trPr>
        <w:tc>
          <w:tcPr>
            <w:tcW w:w="73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740" w:type="dxa"/>
            <w:vAlign w:val="bottom"/>
          </w:tcPr>
          <w:p>
            <w:pPr>
              <w:jc w:val="right"/>
              <w:ind w:right="107"/>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104"/>
              <w:spacing w:after="0"/>
              <w:rPr>
                <w:sz w:val="20"/>
                <w:szCs w:val="20"/>
                <w:color w:val="auto"/>
              </w:rPr>
            </w:pPr>
            <w:r>
              <w:rPr>
                <w:rFonts w:ascii="Arial" w:cs="Arial" w:eastAsia="Arial" w:hAnsi="Arial"/>
                <w:sz w:val="15"/>
                <w:szCs w:val="15"/>
                <w:b w:val="1"/>
                <w:bCs w:val="1"/>
                <w:color w:val="auto"/>
              </w:rPr>
              <w:t>2,062</w:t>
            </w:r>
          </w:p>
        </w:tc>
        <w:tc>
          <w:tcPr>
            <w:tcW w:w="1280" w:type="dxa"/>
            <w:vAlign w:val="bottom"/>
          </w:tcPr>
          <w:p>
            <w:pPr>
              <w:jc w:val="right"/>
              <w:ind w:right="197"/>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3"/>
              <w:spacing w:after="0"/>
              <w:rPr>
                <w:sz w:val="20"/>
                <w:szCs w:val="20"/>
                <w:color w:val="auto"/>
              </w:rPr>
            </w:pPr>
            <w:r>
              <w:rPr>
                <w:rFonts w:ascii="Arial" w:cs="Arial" w:eastAsia="Arial" w:hAnsi="Arial"/>
                <w:sz w:val="15"/>
                <w:szCs w:val="15"/>
                <w:color w:val="auto"/>
              </w:rPr>
              <w:t>429</w:t>
            </w:r>
          </w:p>
        </w:tc>
      </w:tr>
      <w:tr>
        <w:trPr>
          <w:trHeight w:val="206"/>
        </w:trPr>
        <w:tc>
          <w:tcPr>
            <w:tcW w:w="73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740" w:type="dxa"/>
            <w:vAlign w:val="bottom"/>
          </w:tcPr>
          <w:p>
            <w:pPr>
              <w:spacing w:after="0"/>
              <w:rPr>
                <w:sz w:val="17"/>
                <w:szCs w:val="17"/>
                <w:color w:val="auto"/>
              </w:rPr>
            </w:pPr>
          </w:p>
        </w:tc>
        <w:tc>
          <w:tcPr>
            <w:tcW w:w="800" w:type="dxa"/>
            <w:vAlign w:val="bottom"/>
          </w:tcPr>
          <w:p>
            <w:pPr>
              <w:jc w:val="right"/>
              <w:ind w:right="104"/>
              <w:spacing w:after="0"/>
              <w:rPr>
                <w:sz w:val="20"/>
                <w:szCs w:val="20"/>
                <w:color w:val="auto"/>
              </w:rPr>
            </w:pPr>
            <w:r>
              <w:rPr>
                <w:rFonts w:ascii="Arial" w:cs="Arial" w:eastAsia="Arial" w:hAnsi="Arial"/>
                <w:sz w:val="15"/>
                <w:szCs w:val="15"/>
                <w:b w:val="1"/>
                <w:bCs w:val="1"/>
                <w:color w:val="auto"/>
              </w:rPr>
              <w:t>1,111</w:t>
            </w:r>
          </w:p>
        </w:tc>
        <w:tc>
          <w:tcPr>
            <w:tcW w:w="1280" w:type="dxa"/>
            <w:vAlign w:val="bottom"/>
          </w:tcPr>
          <w:p>
            <w:pPr>
              <w:spacing w:after="0"/>
              <w:rPr>
                <w:sz w:val="17"/>
                <w:szCs w:val="17"/>
                <w:color w:val="auto"/>
              </w:rPr>
            </w:pPr>
          </w:p>
        </w:tc>
        <w:tc>
          <w:tcPr>
            <w:tcW w:w="1060" w:type="dxa"/>
            <w:vAlign w:val="bottom"/>
          </w:tcPr>
          <w:p>
            <w:pPr>
              <w:jc w:val="right"/>
              <w:ind w:right="443"/>
              <w:spacing w:after="0"/>
              <w:rPr>
                <w:sz w:val="20"/>
                <w:szCs w:val="20"/>
                <w:color w:val="auto"/>
              </w:rPr>
            </w:pPr>
            <w:r>
              <w:rPr>
                <w:rFonts w:ascii="Arial" w:cs="Arial" w:eastAsia="Arial" w:hAnsi="Arial"/>
                <w:sz w:val="15"/>
                <w:szCs w:val="15"/>
                <w:color w:val="auto"/>
              </w:rPr>
              <w:t>219</w:t>
            </w:r>
          </w:p>
        </w:tc>
      </w:tr>
      <w:tr>
        <w:trPr>
          <w:trHeight w:val="206"/>
        </w:trPr>
        <w:tc>
          <w:tcPr>
            <w:tcW w:w="73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74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b w:val="1"/>
                <w:bCs w:val="1"/>
                <w:color w:val="auto"/>
              </w:rPr>
              <w:t>(1,244)</w:t>
            </w:r>
          </w:p>
        </w:tc>
        <w:tc>
          <w:tcPr>
            <w:tcW w:w="1280" w:type="dxa"/>
            <w:vAlign w:val="bottom"/>
          </w:tcPr>
          <w:p>
            <w:pPr>
              <w:spacing w:after="0"/>
              <w:rPr>
                <w:sz w:val="17"/>
                <w:szCs w:val="17"/>
                <w:color w:val="auto"/>
              </w:rPr>
            </w:pPr>
          </w:p>
        </w:tc>
        <w:tc>
          <w:tcPr>
            <w:tcW w:w="1060" w:type="dxa"/>
            <w:vAlign w:val="bottom"/>
          </w:tcPr>
          <w:p>
            <w:pPr>
              <w:jc w:val="right"/>
              <w:ind w:right="403"/>
              <w:spacing w:after="0"/>
              <w:rPr>
                <w:sz w:val="20"/>
                <w:szCs w:val="20"/>
                <w:color w:val="auto"/>
              </w:rPr>
            </w:pPr>
            <w:r>
              <w:rPr>
                <w:rFonts w:ascii="Arial" w:cs="Arial" w:eastAsia="Arial" w:hAnsi="Arial"/>
                <w:sz w:val="15"/>
                <w:szCs w:val="15"/>
                <w:color w:val="auto"/>
              </w:rPr>
              <w:t>(223)</w:t>
            </w:r>
          </w:p>
        </w:tc>
      </w:tr>
      <w:tr>
        <w:trPr>
          <w:trHeight w:val="208"/>
        </w:trPr>
        <w:tc>
          <w:tcPr>
            <w:tcW w:w="73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7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b w:val="1"/>
                <w:bCs w:val="1"/>
                <w:color w:val="auto"/>
              </w:rPr>
              <w:t>(2,564)</w:t>
            </w:r>
          </w:p>
        </w:tc>
        <w:tc>
          <w:tcPr>
            <w:tcW w:w="1280" w:type="dxa"/>
            <w:vAlign w:val="bottom"/>
          </w:tcPr>
          <w:p>
            <w:pPr>
              <w:spacing w:after="0"/>
              <w:rPr>
                <w:sz w:val="18"/>
                <w:szCs w:val="18"/>
                <w:color w:val="auto"/>
              </w:rPr>
            </w:pPr>
          </w:p>
        </w:tc>
        <w:tc>
          <w:tcPr>
            <w:tcW w:w="1060" w:type="dxa"/>
            <w:vAlign w:val="bottom"/>
          </w:tcPr>
          <w:p>
            <w:pPr>
              <w:jc w:val="right"/>
              <w:ind w:right="403"/>
              <w:spacing w:after="0"/>
              <w:rPr>
                <w:sz w:val="20"/>
                <w:szCs w:val="20"/>
                <w:color w:val="auto"/>
              </w:rPr>
            </w:pPr>
            <w:r>
              <w:rPr>
                <w:rFonts w:ascii="Arial" w:cs="Arial" w:eastAsia="Arial" w:hAnsi="Arial"/>
                <w:sz w:val="15"/>
                <w:szCs w:val="15"/>
                <w:color w:val="auto"/>
              </w:rPr>
              <w:t>(443)</w:t>
            </w:r>
          </w:p>
        </w:tc>
      </w:tr>
      <w:tr>
        <w:trPr>
          <w:trHeight w:val="204"/>
        </w:trPr>
        <w:tc>
          <w:tcPr>
            <w:tcW w:w="7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73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74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b w:val="1"/>
                <w:bCs w:val="1"/>
                <w:color w:val="auto"/>
              </w:rPr>
              <w:t>(94)</w:t>
            </w:r>
          </w:p>
        </w:tc>
        <w:tc>
          <w:tcPr>
            <w:tcW w:w="1280" w:type="dxa"/>
            <w:vAlign w:val="bottom"/>
          </w:tcPr>
          <w:p>
            <w:pPr>
              <w:spacing w:after="0"/>
              <w:rPr>
                <w:sz w:val="17"/>
                <w:szCs w:val="17"/>
                <w:color w:val="auto"/>
              </w:rPr>
            </w:pPr>
          </w:p>
        </w:tc>
        <w:tc>
          <w:tcPr>
            <w:tcW w:w="1060" w:type="dxa"/>
            <w:vAlign w:val="bottom"/>
          </w:tcPr>
          <w:p>
            <w:pPr>
              <w:jc w:val="right"/>
              <w:ind w:right="403"/>
              <w:spacing w:after="0"/>
              <w:rPr>
                <w:sz w:val="20"/>
                <w:szCs w:val="20"/>
                <w:color w:val="auto"/>
              </w:rPr>
            </w:pPr>
            <w:r>
              <w:rPr>
                <w:rFonts w:ascii="Arial" w:cs="Arial" w:eastAsia="Arial" w:hAnsi="Arial"/>
                <w:sz w:val="15"/>
                <w:szCs w:val="15"/>
                <w:color w:val="auto"/>
              </w:rPr>
              <w:t>(3)</w:t>
            </w:r>
          </w:p>
        </w:tc>
      </w:tr>
      <w:tr>
        <w:trPr>
          <w:trHeight w:val="214"/>
        </w:trPr>
        <w:tc>
          <w:tcPr>
            <w:tcW w:w="73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740" w:type="dxa"/>
            <w:vAlign w:val="bottom"/>
          </w:tcPr>
          <w:p>
            <w:pPr>
              <w:spacing w:after="0"/>
              <w:rPr>
                <w:sz w:val="18"/>
                <w:szCs w:val="18"/>
                <w:color w:val="auto"/>
              </w:rPr>
            </w:pPr>
          </w:p>
        </w:tc>
        <w:tc>
          <w:tcPr>
            <w:tcW w:w="800" w:type="dxa"/>
            <w:vAlign w:val="bottom"/>
          </w:tcPr>
          <w:p>
            <w:pPr>
              <w:jc w:val="right"/>
              <w:ind w:right="104"/>
              <w:spacing w:after="0"/>
              <w:rPr>
                <w:sz w:val="20"/>
                <w:szCs w:val="20"/>
                <w:color w:val="auto"/>
              </w:rPr>
            </w:pPr>
            <w:r>
              <w:rPr>
                <w:rFonts w:ascii="Arial" w:cs="Arial" w:eastAsia="Arial" w:hAnsi="Arial"/>
                <w:sz w:val="15"/>
                <w:szCs w:val="15"/>
                <w:b w:val="1"/>
                <w:bCs w:val="1"/>
                <w:color w:val="auto"/>
              </w:rPr>
              <w:t>78</w:t>
            </w:r>
          </w:p>
        </w:tc>
        <w:tc>
          <w:tcPr>
            <w:tcW w:w="1280" w:type="dxa"/>
            <w:vAlign w:val="bottom"/>
          </w:tcPr>
          <w:p>
            <w:pPr>
              <w:spacing w:after="0"/>
              <w:rPr>
                <w:sz w:val="18"/>
                <w:szCs w:val="18"/>
                <w:color w:val="auto"/>
              </w:rPr>
            </w:pPr>
          </w:p>
        </w:tc>
        <w:tc>
          <w:tcPr>
            <w:tcW w:w="1060" w:type="dxa"/>
            <w:vAlign w:val="bottom"/>
          </w:tcPr>
          <w:p>
            <w:pPr>
              <w:jc w:val="right"/>
              <w:ind w:right="403"/>
              <w:spacing w:after="0"/>
              <w:rPr>
                <w:sz w:val="20"/>
                <w:szCs w:val="20"/>
                <w:color w:val="auto"/>
              </w:rPr>
            </w:pPr>
            <w:r>
              <w:rPr>
                <w:rFonts w:ascii="Arial" w:cs="Arial" w:eastAsia="Arial" w:hAnsi="Arial"/>
                <w:sz w:val="15"/>
                <w:szCs w:val="15"/>
                <w:color w:val="auto"/>
              </w:rPr>
              <w:t>(5)</w:t>
            </w:r>
          </w:p>
        </w:tc>
      </w:tr>
    </w:tbl>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2940" w:type="dxa"/>
            <w:vAlign w:val="bottom"/>
            <w:tcBorders>
              <w:bottom w:val="single" w:sz="8" w:color="2C6937"/>
            </w:tcBorders>
            <w:gridSpan w:val="5"/>
          </w:tcPr>
          <w:p>
            <w:pPr>
              <w:ind w:left="180"/>
              <w:spacing w:after="0"/>
              <w:rPr>
                <w:sz w:val="20"/>
                <w:szCs w:val="20"/>
                <w:color w:val="auto"/>
              </w:rPr>
            </w:pPr>
            <w:r>
              <w:rPr>
                <w:rFonts w:ascii="Arial" w:cs="Arial" w:eastAsia="Arial" w:hAnsi="Arial"/>
                <w:sz w:val="14"/>
                <w:szCs w:val="14"/>
                <w:b w:val="1"/>
                <w:bCs w:val="1"/>
                <w:color w:val="auto"/>
                <w:w w:val="95"/>
              </w:rPr>
              <w:t>For the Three Months Ended March 31,</w:t>
            </w:r>
            <w:r>
              <w:rPr>
                <w:rFonts w:ascii="Arial" w:cs="Arial" w:eastAsia="Arial" w:hAnsi="Arial"/>
                <w:sz w:val="17"/>
                <w:szCs w:val="17"/>
                <w:b w:val="1"/>
                <w:bCs w:val="1"/>
                <w:color w:val="auto"/>
                <w:w w:val="95"/>
                <w:vertAlign w:val="superscript"/>
              </w:rPr>
              <w:t>(1)(3)</w:t>
            </w:r>
          </w:p>
        </w:tc>
        <w:tc>
          <w:tcPr>
            <w:tcW w:w="38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27"/>
              <w:spacing w:after="0"/>
              <w:rPr>
                <w:sz w:val="20"/>
                <w:szCs w:val="20"/>
                <w:color w:val="auto"/>
              </w:rPr>
            </w:pPr>
            <w:r>
              <w:rPr>
                <w:rFonts w:ascii="Arial" w:cs="Arial" w:eastAsia="Arial" w:hAnsi="Arial"/>
                <w:sz w:val="14"/>
                <w:szCs w:val="14"/>
                <w:b w:val="1"/>
                <w:bCs w:val="1"/>
                <w:color w:val="auto"/>
              </w:rPr>
              <w:t>2026</w:t>
            </w:r>
          </w:p>
        </w:tc>
        <w:tc>
          <w:tcPr>
            <w:tcW w:w="150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Duration Gap</w:t>
            </w:r>
          </w:p>
        </w:tc>
        <w:tc>
          <w:tcPr>
            <w:tcW w:w="1380" w:type="dxa"/>
            <w:vAlign w:val="bottom"/>
            <w:gridSpan w:val="2"/>
          </w:tcPr>
          <w:p>
            <w:pPr>
              <w:jc w:val="right"/>
              <w:ind w:right="47"/>
              <w:spacing w:after="0" w:line="135" w:lineRule="exact"/>
              <w:rPr>
                <w:sz w:val="20"/>
                <w:szCs w:val="20"/>
                <w:color w:val="auto"/>
              </w:rPr>
            </w:pPr>
            <w:r>
              <w:rPr>
                <w:rFonts w:ascii="Arial" w:cs="Arial" w:eastAsia="Arial" w:hAnsi="Arial"/>
                <w:sz w:val="14"/>
                <w:szCs w:val="14"/>
                <w:b w:val="1"/>
                <w:bCs w:val="1"/>
                <w:color w:val="auto"/>
              </w:rPr>
              <w:t>Rate Slope Shock</w:t>
            </w:r>
          </w:p>
        </w:tc>
        <w:tc>
          <w:tcPr>
            <w:tcW w:w="1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1"/>
                <w:szCs w:val="11"/>
                <w:color w:val="auto"/>
              </w:rPr>
            </w:pPr>
          </w:p>
        </w:tc>
        <w:tc>
          <w:tcPr>
            <w:tcW w:w="13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9"/>
              </w:rPr>
              <w:t>Duration Gap</w:t>
            </w:r>
          </w:p>
        </w:tc>
        <w:tc>
          <w:tcPr>
            <w:tcW w:w="1300" w:type="dxa"/>
            <w:vAlign w:val="bottom"/>
            <w:gridSpan w:val="2"/>
          </w:tcPr>
          <w:p>
            <w:pPr>
              <w:jc w:val="center"/>
              <w:ind w:right="27"/>
              <w:spacing w:after="0" w:line="135" w:lineRule="exact"/>
              <w:rPr>
                <w:sz w:val="20"/>
                <w:szCs w:val="20"/>
                <w:color w:val="auto"/>
              </w:rPr>
            </w:pPr>
            <w:r>
              <w:rPr>
                <w:rFonts w:ascii="Arial" w:cs="Arial" w:eastAsia="Arial" w:hAnsi="Arial"/>
                <w:sz w:val="14"/>
                <w:szCs w:val="14"/>
                <w:b w:val="1"/>
                <w:bCs w:val="1"/>
                <w:color w:val="auto"/>
                <w:w w:val="98"/>
              </w:rPr>
              <w:t>Rate Slope Shock</w:t>
            </w:r>
          </w:p>
        </w:tc>
        <w:tc>
          <w:tcPr>
            <w:tcW w:w="14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1500" w:type="dxa"/>
            <w:vAlign w:val="bottom"/>
          </w:tcPr>
          <w:p>
            <w:pPr>
              <w:jc w:val="right"/>
              <w:ind w:right="506"/>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center"/>
              <w:ind w:right="407"/>
              <w:spacing w:after="0"/>
              <w:rPr>
                <w:sz w:val="20"/>
                <w:szCs w:val="20"/>
                <w:color w:val="auto"/>
              </w:rPr>
            </w:pPr>
            <w:r>
              <w:rPr>
                <w:rFonts w:ascii="Arial" w:cs="Arial" w:eastAsia="Arial" w:hAnsi="Arial"/>
                <w:sz w:val="14"/>
                <w:szCs w:val="14"/>
                <w:b w:val="1"/>
                <w:bCs w:val="1"/>
                <w:color w:val="auto"/>
                <w:w w:val="99"/>
              </w:rPr>
              <w:t>25 bps</w:t>
            </w:r>
          </w:p>
        </w:tc>
        <w:tc>
          <w:tcPr>
            <w:tcW w:w="600" w:type="dxa"/>
            <w:vAlign w:val="bottom"/>
          </w:tcPr>
          <w:p>
            <w:pPr>
              <w:spacing w:after="0"/>
              <w:rPr>
                <w:sz w:val="15"/>
                <w:szCs w:val="15"/>
                <w:color w:val="auto"/>
              </w:rPr>
            </w:pPr>
          </w:p>
        </w:tc>
        <w:tc>
          <w:tcPr>
            <w:tcW w:w="860" w:type="dxa"/>
            <w:vAlign w:val="bottom"/>
          </w:tcPr>
          <w:p>
            <w:pPr>
              <w:jc w:val="right"/>
              <w:ind w:right="484"/>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2420" w:type="dxa"/>
            <w:vAlign w:val="bottom"/>
            <w:tcBorders>
              <w:top w:val="single" w:sz="8" w:color="2C6937"/>
              <w:bottom w:val="single" w:sz="8" w:color="2C6937"/>
            </w:tcBorders>
            <w:gridSpan w:val="2"/>
          </w:tcPr>
          <w:p>
            <w:pPr>
              <w:jc w:val="right"/>
              <w:ind w:right="586"/>
              <w:spacing w:after="0"/>
              <w:rPr>
                <w:sz w:val="20"/>
                <w:szCs w:val="20"/>
                <w:color w:val="auto"/>
              </w:rPr>
            </w:pPr>
            <w:r>
              <w:rPr>
                <w:rFonts w:ascii="Arial" w:cs="Arial" w:eastAsia="Arial" w:hAnsi="Arial"/>
                <w:sz w:val="14"/>
                <w:szCs w:val="14"/>
                <w:b w:val="1"/>
                <w:bCs w:val="1"/>
                <w:color w:val="auto"/>
              </w:rPr>
              <w:t>Market Value Sensitivity</w:t>
            </w:r>
          </w:p>
        </w:tc>
        <w:tc>
          <w:tcPr>
            <w:tcW w:w="140" w:type="dxa"/>
            <w:vAlign w:val="bottom"/>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38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4"/>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460" w:type="dxa"/>
            <w:vAlign w:val="bottom"/>
          </w:tcPr>
          <w:p>
            <w:pPr>
              <w:spacing w:after="0"/>
              <w:rPr>
                <w:sz w:val="16"/>
                <w:szCs w:val="16"/>
                <w:color w:val="auto"/>
              </w:rPr>
            </w:pPr>
          </w:p>
        </w:tc>
        <w:tc>
          <w:tcPr>
            <w:tcW w:w="2420" w:type="dxa"/>
            <w:vAlign w:val="bottom"/>
            <w:gridSpan w:val="2"/>
          </w:tcPr>
          <w:p>
            <w:pPr>
              <w:jc w:val="right"/>
              <w:ind w:right="726"/>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(In years)</w:t>
            </w:r>
          </w:p>
        </w:tc>
        <w:tc>
          <w:tcPr>
            <w:tcW w:w="380" w:type="dxa"/>
            <w:vAlign w:val="bottom"/>
          </w:tcPr>
          <w:p>
            <w:pPr>
              <w:spacing w:after="0"/>
              <w:rPr>
                <w:sz w:val="16"/>
                <w:szCs w:val="16"/>
                <w:color w:val="auto"/>
              </w:rPr>
            </w:pPr>
          </w:p>
        </w:tc>
        <w:tc>
          <w:tcPr>
            <w:tcW w:w="2380" w:type="dxa"/>
            <w:vAlign w:val="bottom"/>
            <w:gridSpan w:val="3"/>
          </w:tcPr>
          <w:p>
            <w:pPr>
              <w:jc w:val="right"/>
              <w:ind w:right="704"/>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20" w:type="dxa"/>
            <w:vAlign w:val="bottom"/>
          </w:tcPr>
          <w:p>
            <w:pPr>
              <w:spacing w:after="0"/>
              <w:rPr>
                <w:sz w:val="20"/>
                <w:szCs w:val="20"/>
                <w:color w:val="auto"/>
              </w:rPr>
            </w:pPr>
            <w:r>
              <w:rPr>
                <w:rFonts w:ascii="Arial" w:cs="Arial" w:eastAsia="Arial" w:hAnsi="Arial"/>
                <w:sz w:val="15"/>
                <w:szCs w:val="15"/>
                <w:color w:val="auto"/>
              </w:rPr>
              <w:t>Average</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0.68</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(42)</w:t>
            </w:r>
          </w:p>
        </w:tc>
        <w:tc>
          <w:tcPr>
            <w:tcW w:w="1500" w:type="dxa"/>
            <w:vAlign w:val="bottom"/>
          </w:tcPr>
          <w:p>
            <w:pPr>
              <w:jc w:val="right"/>
              <w:ind w:right="306"/>
              <w:spacing w:after="0"/>
              <w:rPr>
                <w:sz w:val="20"/>
                <w:szCs w:val="20"/>
                <w:color w:val="auto"/>
              </w:rPr>
            </w:pPr>
            <w:r>
              <w:rPr>
                <w:rFonts w:ascii="Arial" w:cs="Arial" w:eastAsia="Arial" w:hAnsi="Arial"/>
                <w:sz w:val="15"/>
                <w:szCs w:val="15"/>
                <w:b w:val="1"/>
                <w:bCs w:val="1"/>
                <w:color w:val="auto"/>
              </w:rPr>
              <w:t>$  (719)</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5"/>
                <w:szCs w:val="15"/>
                <w:color w:val="auto"/>
              </w:rPr>
              <w:t>Minimum</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(95)</w:t>
            </w:r>
          </w:p>
        </w:tc>
        <w:tc>
          <w:tcPr>
            <w:tcW w:w="1500" w:type="dxa"/>
            <w:vAlign w:val="bottom"/>
          </w:tcPr>
          <w:p>
            <w:pPr>
              <w:jc w:val="right"/>
              <w:ind w:right="306"/>
              <w:spacing w:after="0"/>
              <w:rPr>
                <w:sz w:val="20"/>
                <w:szCs w:val="20"/>
                <w:color w:val="auto"/>
              </w:rPr>
            </w:pPr>
            <w:r>
              <w:rPr>
                <w:rFonts w:ascii="Arial" w:cs="Arial" w:eastAsia="Arial" w:hAnsi="Arial"/>
                <w:sz w:val="15"/>
                <w:szCs w:val="15"/>
                <w:b w:val="1"/>
                <w:bCs w:val="1"/>
                <w:color w:val="auto"/>
              </w:rPr>
              <w:t>(1,259)</w:t>
            </w:r>
          </w:p>
        </w:tc>
        <w:tc>
          <w:tcPr>
            <w:tcW w:w="1260" w:type="dxa"/>
            <w:vAlign w:val="bottom"/>
            <w:gridSpan w:val="2"/>
          </w:tcPr>
          <w:p>
            <w:pPr>
              <w:jc w:val="right"/>
              <w:ind w:right="291"/>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7"/>
              </w:rPr>
              <w:t>(9)</w:t>
            </w:r>
          </w:p>
        </w:tc>
        <w:tc>
          <w:tcPr>
            <w:tcW w:w="60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5"/>
                <w:szCs w:val="15"/>
                <w:color w:val="auto"/>
              </w:rPr>
              <w:t>Maximum</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(4)</w:t>
            </w:r>
          </w:p>
        </w:tc>
        <w:tc>
          <w:tcPr>
            <w:tcW w:w="1500" w:type="dxa"/>
            <w:vAlign w:val="bottom"/>
          </w:tcPr>
          <w:p>
            <w:pPr>
              <w:jc w:val="right"/>
              <w:ind w:right="306"/>
              <w:spacing w:after="0"/>
              <w:rPr>
                <w:sz w:val="20"/>
                <w:szCs w:val="20"/>
                <w:color w:val="auto"/>
              </w:rPr>
            </w:pPr>
            <w:r>
              <w:rPr>
                <w:rFonts w:ascii="Arial" w:cs="Arial" w:eastAsia="Arial" w:hAnsi="Arial"/>
                <w:sz w:val="15"/>
                <w:szCs w:val="15"/>
                <w:b w:val="1"/>
                <w:bCs w:val="1"/>
                <w:color w:val="auto"/>
              </w:rPr>
              <w:t>(230)</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60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5"/>
                <w:szCs w:val="15"/>
                <w:color w:val="auto"/>
              </w:rPr>
              <w:t>Standard deviation</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0.31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31</w:t>
            </w:r>
          </w:p>
        </w:tc>
        <w:tc>
          <w:tcPr>
            <w:tcW w:w="1500" w:type="dxa"/>
            <w:vAlign w:val="bottom"/>
          </w:tcPr>
          <w:p>
            <w:pPr>
              <w:jc w:val="right"/>
              <w:ind w:right="346"/>
              <w:spacing w:after="0"/>
              <w:rPr>
                <w:sz w:val="20"/>
                <w:szCs w:val="20"/>
                <w:color w:val="auto"/>
              </w:rPr>
            </w:pPr>
            <w:r>
              <w:rPr>
                <w:rFonts w:ascii="Arial" w:cs="Arial" w:eastAsia="Arial" w:hAnsi="Arial"/>
                <w:sz w:val="15"/>
                <w:szCs w:val="15"/>
                <w:b w:val="1"/>
                <w:bCs w:val="1"/>
                <w:color w:val="auto"/>
              </w:rPr>
              <w:t>291</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600" w:type="dxa"/>
            <w:vAlign w:val="bottom"/>
          </w:tcPr>
          <w:p>
            <w:pPr>
              <w:spacing w:after="0"/>
              <w:rPr>
                <w:sz w:val="18"/>
                <w:szCs w:val="18"/>
                <w:color w:val="auto"/>
              </w:rPr>
            </w:pP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hanging="217"/>
        <w:spacing w:after="0"/>
        <w:tabs>
          <w:tab w:leader="none" w:pos="220" w:val="left"/>
        </w:tabs>
        <w:numPr>
          <w:ilvl w:val="0"/>
          <w:numId w:val="44"/>
        </w:numPr>
        <w:rPr>
          <w:rFonts w:ascii="Arial" w:cs="Arial" w:eastAsia="Arial" w:hAnsi="Arial"/>
          <w:sz w:val="9"/>
          <w:szCs w:val="9"/>
          <w:color w:val="auto"/>
        </w:rPr>
      </w:pPr>
      <w:r>
        <w:rPr>
          <w:rFonts w:ascii="Arial" w:cs="Arial" w:eastAsia="Arial" w:hAnsi="Arial"/>
          <w:sz w:val="14"/>
          <w:szCs w:val="14"/>
          <w:color w:val="auto"/>
        </w:rPr>
        <w:t>Computed based on changes in SOFR interest-rates swap curve.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Measured on the last business day of each period presented.</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5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 As a result of changes in our interest-rate risk management strategy, our duration gap has increased, resulting in greater market value sensitivity of our net portfolio.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9" w:name="page50"/>
    <w:bookmarkEnd w:id="49"/>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manage our economic interest-rate risk exposure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2025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194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2025</w:t>
            </w:r>
          </w:p>
        </w:tc>
      </w:tr>
      <w:tr>
        <w:trPr>
          <w:trHeight w:val="185"/>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ind w:right="107"/>
              <w:spacing w:after="0"/>
              <w:rPr>
                <w:sz w:val="20"/>
                <w:szCs w:val="20"/>
                <w:color w:val="auto"/>
              </w:rPr>
            </w:pPr>
            <w:r>
              <w:rPr>
                <w:rFonts w:ascii="Arial" w:cs="Arial" w:eastAsia="Arial" w:hAnsi="Arial"/>
                <w:sz w:val="15"/>
                <w:szCs w:val="15"/>
                <w:b w:val="1"/>
                <w:bCs w:val="1"/>
                <w:color w:val="auto"/>
              </w:rPr>
              <w:t>(2,128)</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(1,101)</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00" w:type="dxa"/>
            <w:vAlign w:val="bottom"/>
          </w:tcPr>
          <w:p>
            <w:pPr>
              <w:spacing w:after="0"/>
              <w:rPr>
                <w:sz w:val="17"/>
                <w:szCs w:val="17"/>
                <w:color w:val="auto"/>
              </w:rPr>
            </w:pPr>
          </w:p>
        </w:tc>
        <w:tc>
          <w:tcPr>
            <w:tcW w:w="1600" w:type="dxa"/>
            <w:vAlign w:val="bottom"/>
          </w:tcPr>
          <w:p>
            <w:pPr>
              <w:jc w:val="right"/>
              <w:ind w:right="107"/>
              <w:spacing w:after="0"/>
              <w:rPr>
                <w:sz w:val="20"/>
                <w:szCs w:val="20"/>
                <w:color w:val="auto"/>
              </w:rPr>
            </w:pPr>
            <w:r>
              <w:rPr>
                <w:rFonts w:ascii="Arial" w:cs="Arial" w:eastAsia="Arial" w:hAnsi="Arial"/>
                <w:sz w:val="15"/>
                <w:szCs w:val="15"/>
                <w:b w:val="1"/>
                <w:bCs w:val="1"/>
                <w:color w:val="auto"/>
              </w:rPr>
              <w:t>(1,244)</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(223)</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00" w:type="dxa"/>
            <w:vAlign w:val="bottom"/>
          </w:tcPr>
          <w:p>
            <w:pPr>
              <w:spacing w:after="0"/>
              <w:rPr>
                <w:sz w:val="18"/>
                <w:szCs w:val="18"/>
                <w:color w:val="auto"/>
              </w:rPr>
            </w:pPr>
          </w:p>
        </w:tc>
        <w:tc>
          <w:tcPr>
            <w:tcW w:w="1600" w:type="dxa"/>
            <w:vAlign w:val="bottom"/>
          </w:tcPr>
          <w:p>
            <w:pPr>
              <w:jc w:val="right"/>
              <w:ind w:right="167"/>
              <w:spacing w:after="0"/>
              <w:rPr>
                <w:sz w:val="20"/>
                <w:szCs w:val="20"/>
                <w:color w:val="auto"/>
              </w:rPr>
            </w:pPr>
            <w:r>
              <w:rPr>
                <w:rFonts w:ascii="Arial" w:cs="Arial" w:eastAsia="Arial" w:hAnsi="Arial"/>
                <w:sz w:val="15"/>
                <w:szCs w:val="15"/>
                <w:b w:val="1"/>
                <w:bCs w:val="1"/>
                <w:color w:val="auto"/>
              </w:rPr>
              <w:t>884</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879</w:t>
            </w:r>
          </w:p>
        </w:tc>
      </w:tr>
    </w:tbl>
    <w:p>
      <w:pPr>
        <w:spacing w:after="0" w:line="102" w:lineRule="exact"/>
        <w:rPr>
          <w:sz w:val="20"/>
          <w:szCs w:val="20"/>
          <w:color w:val="auto"/>
        </w:rPr>
      </w:pPr>
    </w:p>
    <w:p>
      <w:pPr>
        <w:ind w:left="220" w:hanging="217"/>
        <w:spacing w:after="0"/>
        <w:tabs>
          <w:tab w:leader="none" w:pos="220" w:val="left"/>
        </w:tabs>
        <w:numPr>
          <w:ilvl w:val="0"/>
          <w:numId w:val="45"/>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67"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2025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2025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89"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net operating income and property values based on current market conditions.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10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4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9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(provision) benefit for credit losses can vary substantially from period to period based on forecasted macroeconomic inputs. For single-family, we have determined that our most significant macroeconomic inputs used in determining our allowance for loan losses consist of forecasted home price growth rates and interest rates. For multifamily, we have determined that our most significant macroeconomic inputs used in determining our allowance for loan losses consist of net operating income and property value growth rates.</w:t>
      </w:r>
    </w:p>
    <w:p>
      <w:pPr>
        <w:spacing w:after="0" w:line="7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2025 Form 10-K. See “Note 5, Allowance for Credit Losses” for additional information about our current period (provision) benefit for loan losses.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8840"/>
        <w:spacing w:after="0"/>
        <w:rPr>
          <w:sz w:val="20"/>
          <w:szCs w:val="20"/>
          <w:color w:val="auto"/>
        </w:rPr>
      </w:pPr>
      <w:r>
        <w:rPr>
          <w:rFonts w:ascii="Arial" w:cs="Arial" w:eastAsia="Arial" w:hAnsi="Arial"/>
          <w:sz w:val="13"/>
          <w:szCs w:val="13"/>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Sensitivities and Inputs</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single-family allowance for the quarter ended March 31, 2026, and for each quarter during the year ended December 31, 2025, and how those forecasts have changed between periods of estimate. Below we present our home price growth and interest rate estimates used in our estimate of expected credit losses. Our forecasts include estimates for periods beyond those presented below.</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2027</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2028</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2.8 %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1.4 %</w:t>
            </w:r>
          </w:p>
        </w:tc>
      </w:tr>
      <w:tr>
        <w:trPr>
          <w:trHeight w:val="488"/>
        </w:trPr>
        <w:tc>
          <w:tcPr>
            <w:tcW w:w="3960" w:type="dxa"/>
            <w:vAlign w:val="bottom"/>
            <w:tcBorders>
              <w:bottom w:val="single" w:sz="8" w:color="2C6937"/>
            </w:tcBorders>
            <w:gridSpan w:val="5"/>
          </w:tcPr>
          <w:p>
            <w:pPr>
              <w:ind w:left="1040"/>
              <w:spacing w:after="0"/>
              <w:rPr>
                <w:sz w:val="20"/>
                <w:szCs w:val="20"/>
                <w:color w:val="auto"/>
              </w:rPr>
            </w:pPr>
            <w:r>
              <w:rPr>
                <w:rFonts w:ascii="Arial" w:cs="Arial" w:eastAsia="Arial" w:hAnsi="Arial"/>
                <w:sz w:val="15"/>
                <w:szCs w:val="15"/>
                <w:b w:val="1"/>
                <w:bCs w:val="1"/>
                <w:color w:val="auto"/>
              </w:rPr>
              <w:t>For the Full Year ending December 31,</w:t>
            </w:r>
          </w:p>
        </w:tc>
        <w:tc>
          <w:tcPr>
            <w:tcW w:w="940" w:type="dxa"/>
            <w:vAlign w:val="bottom"/>
            <w:tcBorders>
              <w:bottom w:val="single" w:sz="8" w:color="2C6937"/>
            </w:tcBorders>
          </w:tcPr>
          <w:p>
            <w:pPr>
              <w:spacing w:after="0"/>
              <w:rPr>
                <w:sz w:val="24"/>
                <w:szCs w:val="24"/>
                <w:color w:val="auto"/>
              </w:rPr>
            </w:pPr>
          </w:p>
        </w:tc>
      </w:tr>
      <w:tr>
        <w:trPr>
          <w:trHeight w:val="202"/>
        </w:trPr>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480" w:type="dxa"/>
            <w:vAlign w:val="bottom"/>
            <w:tcBorders>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2.2 %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1.2</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1.1</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1.3</w:t>
            </w:r>
          </w:p>
        </w:tc>
      </w:tr>
      <w:tr>
        <w:trPr>
          <w:trHeight w:val="529"/>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2027</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2028</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6.4 %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6.3 %</w:t>
            </w:r>
          </w:p>
        </w:tc>
      </w:tr>
      <w:tr>
        <w:trPr>
          <w:trHeight w:val="451"/>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6.3 %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6.2 %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6.2 %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6.1</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bl>
    <w:p>
      <w:pPr>
        <w:spacing w:after="0" w:line="110"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120" w:hanging="237"/>
        <w:spacing w:after="0" w:line="259"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economic and housing forecasts, which are available in the “Data and Insights” section of our website, www.fanniemae.com. Information on our website is not incorporated into this report.</w:t>
      </w:r>
    </w:p>
    <w:p>
      <w:pPr>
        <w:spacing w:after="0" w:line="1" w:lineRule="exact"/>
        <w:rPr>
          <w:rFonts w:ascii="Arial" w:cs="Arial" w:eastAsia="Arial" w:hAnsi="Arial"/>
          <w:sz w:val="9"/>
          <w:szCs w:val="9"/>
          <w:color w:val="auto"/>
        </w:rPr>
      </w:pPr>
    </w:p>
    <w:p>
      <w:pPr>
        <w:ind w:left="240" w:right="20" w:hanging="237"/>
        <w:spacing w:after="0" w:line="251"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These estimates are based on our national home price index, which is calculated differently from the S&amp;P Cotality Case-Shiller U.S. National Home Price Index and therefore results in different percentages for comparable growth. We periodically update our home price growth estimates and forecasts as new data become available.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assess the reasonableness of the inputs used to calculate estimated credit losses. The forecast data excludes the impact of any qualitative adjustments.</w:t>
      </w:r>
    </w:p>
    <w:p>
      <w:pPr>
        <w:spacing w:after="0" w:line="21" w:lineRule="exact"/>
        <w:rPr>
          <w:rFonts w:ascii="Arial" w:cs="Arial" w:eastAsia="Arial" w:hAnsi="Arial"/>
          <w:sz w:val="9"/>
          <w:szCs w:val="9"/>
          <w:color w:val="auto"/>
        </w:rPr>
      </w:pPr>
    </w:p>
    <w:p>
      <w:pPr>
        <w:ind w:left="240" w:right="20" w:hanging="237"/>
        <w:spacing w:after="0" w:line="259"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2026 and 2025 represent the average forecasted rate from the quarter-end through the calendar year-end of December 31st. The fourth quarter of 2025 interest rate represents the 30-year interest rate as of December 31, 2025. This table reflects the forecasted interest rate data we used in estimating credit losses for the periods shown and does not reflect changes in interest rates that occurred after the forecast date.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2" w:name="page53"/>
    <w:bookmarkEnd w:id="52"/>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12216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334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as of March 31, 2026</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200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Change in home prices growth rate:</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30-year interest rates: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-915035</wp:posOffset>
            </wp:positionV>
            <wp:extent cx="90170" cy="106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-751205</wp:posOffset>
            </wp:positionV>
            <wp:extent cx="98425" cy="106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-325755</wp:posOffset>
            </wp:positionV>
            <wp:extent cx="98425" cy="1066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-161925</wp:posOffset>
            </wp:positionV>
            <wp:extent cx="90170" cy="1066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0170"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single-family allowance for loan losses.</w:t>
      </w:r>
    </w:p>
    <w:p>
      <w:pPr>
        <w:spacing w:after="0" w:line="37" w:lineRule="exact"/>
        <w:rPr>
          <w:rFonts w:ascii="Arial" w:cs="Arial" w:eastAsia="Arial" w:hAnsi="Arial"/>
          <w:sz w:val="18"/>
          <w:szCs w:val="18"/>
          <w:color w:val="auto"/>
          <w:vertAlign w:val="superscript"/>
        </w:rPr>
      </w:pPr>
    </w:p>
    <w:p>
      <w:pPr>
        <w:ind w:left="300" w:hanging="297"/>
        <w:spacing w:after="0" w:line="195" w:lineRule="auto"/>
        <w:tabs>
          <w:tab w:leader="none" w:pos="3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Change in home price shown on a normalized basis.</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See “Key Market Economic Indicators” in our 2025 Form 10-K and in this report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forecast impacted our single-family (provision) benefit for credit losses.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Sensitivities and Inputs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multifamily allowance for the quarter ended March 31, 2026, and for the quarter ended December 31, 2025, and how those forecasts have changed between periods of estimate. Our forecasts include estimates for periods beyond those presented below.</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Multifamily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8088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net operating income growth (decline) rate by period of estimate:</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3860" w:type="dxa"/>
            <w:vAlign w:val="bottom"/>
            <w:tcBorders>
              <w:bottom w:val="single" w:sz="8" w:color="2C6937"/>
            </w:tcBorders>
            <w:gridSpan w:val="4"/>
          </w:tcPr>
          <w:p>
            <w:pPr>
              <w:ind w:left="48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18"/>
                <w:szCs w:val="18"/>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2028</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First Quarter 2026</w:t>
            </w:r>
          </w:p>
        </w:tc>
        <w:tc>
          <w:tcPr>
            <w:tcW w:w="1920" w:type="dxa"/>
            <w:vAlign w:val="bottom"/>
            <w:gridSpan w:val="2"/>
          </w:tcPr>
          <w:p>
            <w:pPr>
              <w:ind w:left="1560"/>
              <w:spacing w:after="0"/>
              <w:rPr>
                <w:sz w:val="20"/>
                <w:szCs w:val="20"/>
                <w:color w:val="auto"/>
              </w:rPr>
            </w:pPr>
            <w:r>
              <w:rPr>
                <w:rFonts w:ascii="Arial" w:cs="Arial" w:eastAsia="Arial" w:hAnsi="Arial"/>
                <w:sz w:val="15"/>
                <w:szCs w:val="15"/>
                <w:color w:val="auto"/>
              </w:rPr>
              <w:t>N/A</w:t>
            </w:r>
          </w:p>
        </w:tc>
        <w:tc>
          <w:tcPr>
            <w:tcW w:w="1840" w:type="dxa"/>
            <w:vAlign w:val="bottom"/>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2025</w:t>
            </w:r>
          </w:p>
        </w:tc>
        <w:tc>
          <w:tcPr>
            <w:tcW w:w="184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69"/>
        </w:trPr>
        <w:tc>
          <w:tcPr>
            <w:tcW w:w="5440" w:type="dxa"/>
            <w:vAlign w:val="bottom"/>
            <w:gridSpan w:val="3"/>
          </w:tcPr>
          <w:p>
            <w:pPr>
              <w:spacing w:after="0"/>
              <w:rPr>
                <w:sz w:val="20"/>
                <w:szCs w:val="20"/>
                <w:color w:val="auto"/>
              </w:rPr>
            </w:pPr>
            <w:r>
              <w:rPr>
                <w:rFonts w:ascii="Arial" w:cs="Arial" w:eastAsia="Arial" w:hAnsi="Arial"/>
                <w:sz w:val="15"/>
                <w:szCs w:val="15"/>
                <w:b w:val="1"/>
                <w:bCs w:val="1"/>
                <w:color w:val="auto"/>
              </w:rPr>
              <w:t>Forecasted property value growth (decline) rate by period of estimate: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5"/>
        </w:trPr>
        <w:tc>
          <w:tcPr>
            <w:tcW w:w="352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3860" w:type="dxa"/>
            <w:vAlign w:val="bottom"/>
            <w:tcBorders>
              <w:bottom w:val="single" w:sz="8" w:color="2C6937"/>
            </w:tcBorders>
            <w:gridSpan w:val="4"/>
          </w:tcPr>
          <w:p>
            <w:pPr>
              <w:ind w:left="48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2028</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First Quarter 2026</w:t>
            </w:r>
          </w:p>
        </w:tc>
        <w:tc>
          <w:tcPr>
            <w:tcW w:w="1920" w:type="dxa"/>
            <w:vAlign w:val="bottom"/>
            <w:gridSpan w:val="2"/>
          </w:tcPr>
          <w:p>
            <w:pPr>
              <w:ind w:left="1560"/>
              <w:spacing w:after="0"/>
              <w:rPr>
                <w:sz w:val="20"/>
                <w:szCs w:val="20"/>
                <w:color w:val="auto"/>
              </w:rPr>
            </w:pPr>
            <w:r>
              <w:rPr>
                <w:rFonts w:ascii="Arial" w:cs="Arial" w:eastAsia="Arial" w:hAnsi="Arial"/>
                <w:sz w:val="15"/>
                <w:szCs w:val="15"/>
                <w:color w:val="auto"/>
              </w:rPr>
              <w:t>N/A</w:t>
            </w:r>
          </w:p>
        </w:tc>
        <w:tc>
          <w:tcPr>
            <w:tcW w:w="1840" w:type="dxa"/>
            <w:vAlign w:val="bottom"/>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2025</w:t>
            </w:r>
          </w:p>
        </w:tc>
        <w:tc>
          <w:tcPr>
            <w:tcW w:w="184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gridSpan w:val="2"/>
          </w:tcPr>
          <w:p>
            <w:pPr>
              <w:spacing w:after="0"/>
              <w:rPr>
                <w:sz w:val="20"/>
                <w:szCs w:val="20"/>
                <w:color w:val="auto"/>
              </w:rPr>
            </w:pPr>
            <w:r>
              <w:rPr>
                <w:rFonts w:ascii="Arial" w:cs="Arial" w:eastAsia="Arial" w:hAnsi="Arial"/>
                <w:sz w:val="9"/>
                <w:szCs w:val="9"/>
                <w:color w:val="auto"/>
              </w:rPr>
              <w:t>N/A</w:t>
            </w:r>
          </w:p>
        </w:tc>
        <w:tc>
          <w:tcPr>
            <w:tcW w:w="11060" w:type="dxa"/>
            <w:vAlign w:val="bottom"/>
            <w:gridSpan w:val="3"/>
          </w:tcPr>
          <w:p>
            <w:pPr>
              <w:ind w:left="120"/>
              <w:spacing w:after="0"/>
              <w:rPr>
                <w:sz w:val="20"/>
                <w:szCs w:val="20"/>
                <w:color w:val="auto"/>
              </w:rPr>
            </w:pPr>
            <w:r>
              <w:rPr>
                <w:rFonts w:ascii="Arial" w:cs="Arial" w:eastAsia="Arial" w:hAnsi="Arial"/>
                <w:sz w:val="14"/>
                <w:szCs w:val="14"/>
                <w:color w:val="auto"/>
                <w:w w:val="99"/>
              </w:rPr>
              <w:t>Not applicable. For purposes of this disclosure, we provide the forecasted net operating income growth rate and property value growth rate for the period of estimate and the two</w:t>
            </w:r>
          </w:p>
        </w:tc>
      </w:tr>
      <w:tr>
        <w:trPr>
          <w:trHeight w:val="180"/>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80" w:type="dxa"/>
            <w:vAlign w:val="bottom"/>
          </w:tcPr>
          <w:p>
            <w:pPr>
              <w:ind w:left="60"/>
              <w:spacing w:after="0"/>
              <w:rPr>
                <w:sz w:val="20"/>
                <w:szCs w:val="20"/>
                <w:color w:val="auto"/>
              </w:rPr>
            </w:pPr>
            <w:r>
              <w:rPr>
                <w:rFonts w:ascii="Arial" w:cs="Arial" w:eastAsia="Arial" w:hAnsi="Arial"/>
                <w:sz w:val="14"/>
                <w:szCs w:val="14"/>
                <w:color w:val="auto"/>
              </w:rPr>
              <w:t>years following the period of estimate.</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180" w:type="dxa"/>
            <w:vAlign w:val="bottom"/>
            <w:gridSpan w:val="2"/>
          </w:tcPr>
          <w:p>
            <w:pPr>
              <w:spacing w:after="0"/>
              <w:rPr>
                <w:sz w:val="20"/>
                <w:szCs w:val="20"/>
                <w:color w:val="auto"/>
              </w:rPr>
            </w:pPr>
            <w:r>
              <w:rPr>
                <w:rFonts w:ascii="Arial" w:cs="Arial" w:eastAsia="Arial" w:hAnsi="Arial"/>
                <w:sz w:val="9"/>
                <w:szCs w:val="9"/>
                <w:color w:val="auto"/>
              </w:rPr>
              <w:t>(1)</w:t>
            </w:r>
          </w:p>
        </w:tc>
        <w:tc>
          <w:tcPr>
            <w:tcW w:w="8080" w:type="dxa"/>
            <w:vAlign w:val="bottom"/>
          </w:tcPr>
          <w:p>
            <w:pPr>
              <w:ind w:left="40"/>
              <w:spacing w:after="0"/>
              <w:rPr>
                <w:sz w:val="20"/>
                <w:szCs w:val="20"/>
                <w:color w:val="auto"/>
              </w:rPr>
            </w:pPr>
            <w:r>
              <w:rPr>
                <w:rFonts w:ascii="Arial" w:cs="Arial" w:eastAsia="Arial" w:hAnsi="Arial"/>
                <w:sz w:val="14"/>
                <w:szCs w:val="14"/>
                <w:color w:val="auto"/>
                <w:w w:val="99"/>
              </w:rPr>
              <w:t>These forecasts are provided solely for the purpose of providing insight into our credit loss model. Forecasts for future periods are</w:t>
            </w:r>
          </w:p>
        </w:tc>
        <w:tc>
          <w:tcPr>
            <w:tcW w:w="2980" w:type="dxa"/>
            <w:vAlign w:val="bottom"/>
            <w:gridSpan w:val="2"/>
          </w:tcPr>
          <w:p>
            <w:pPr>
              <w:ind w:left="160"/>
              <w:spacing w:after="0"/>
              <w:rPr>
                <w:sz w:val="20"/>
                <w:szCs w:val="20"/>
                <w:color w:val="auto"/>
              </w:rPr>
            </w:pPr>
            <w:r>
              <w:rPr>
                <w:rFonts w:ascii="Arial" w:cs="Arial" w:eastAsia="Arial" w:hAnsi="Arial"/>
                <w:sz w:val="14"/>
                <w:szCs w:val="14"/>
                <w:color w:val="auto"/>
              </w:rPr>
              <w:t>subject to significant uncertainty, which</w:t>
            </w:r>
          </w:p>
        </w:tc>
      </w:tr>
      <w:tr>
        <w:trPr>
          <w:trHeight w:val="180"/>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80" w:type="dxa"/>
            <w:vAlign w:val="bottom"/>
          </w:tcPr>
          <w:p>
            <w:pPr>
              <w:ind w:left="60"/>
              <w:spacing w:after="0"/>
              <w:rPr>
                <w:sz w:val="20"/>
                <w:szCs w:val="20"/>
                <w:color w:val="auto"/>
              </w:rPr>
            </w:pPr>
            <w:r>
              <w:rPr>
                <w:rFonts w:ascii="Arial" w:cs="Arial" w:eastAsia="Arial" w:hAnsi="Arial"/>
                <w:sz w:val="14"/>
                <w:szCs w:val="14"/>
                <w:color w:val="auto"/>
              </w:rPr>
              <w:t>increases for periods that are further in the future, and may not align to other market forecasts.</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26"/>
        </w:trPr>
        <w:tc>
          <w:tcPr>
            <w:tcW w:w="100" w:type="dxa"/>
            <w:vAlign w:val="bottom"/>
          </w:tcPr>
          <w:p>
            <w:pPr>
              <w:spacing w:after="0"/>
              <w:rPr>
                <w:sz w:val="24"/>
                <w:szCs w:val="24"/>
                <w:color w:val="auto"/>
              </w:rPr>
            </w:pPr>
          </w:p>
        </w:tc>
        <w:tc>
          <w:tcPr>
            <w:tcW w:w="8160" w:type="dxa"/>
            <w:vAlign w:val="bottom"/>
            <w:tcBorders>
              <w:bottom w:val="single" w:sz="8" w:color="CBC8C3"/>
            </w:tcBorders>
            <w:gridSpan w:val="2"/>
          </w:tcPr>
          <w:p>
            <w:pPr>
              <w:spacing w:after="0"/>
              <w:rPr>
                <w:sz w:val="24"/>
                <w:szCs w:val="24"/>
                <w:color w:val="auto"/>
              </w:rPr>
            </w:pPr>
          </w:p>
        </w:tc>
        <w:tc>
          <w:tcPr>
            <w:tcW w:w="2880" w:type="dxa"/>
            <w:vAlign w:val="bottom"/>
            <w:tcBorders>
              <w:bottom w:val="single" w:sz="8" w:color="CBC8C3"/>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00" w:type="dxa"/>
            <w:vAlign w:val="bottom"/>
          </w:tcPr>
          <w:p>
            <w:pPr>
              <w:spacing w:after="0"/>
              <w:rPr>
                <w:sz w:val="15"/>
                <w:szCs w:val="15"/>
                <w:color w:val="auto"/>
              </w:rPr>
            </w:pPr>
          </w:p>
        </w:tc>
        <w:tc>
          <w:tcPr>
            <w:tcW w:w="8160" w:type="dxa"/>
            <w:vAlign w:val="bottom"/>
            <w:gridSpan w:val="2"/>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2880" w:type="dxa"/>
            <w:vAlign w:val="bottom"/>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5"/>
                <w:szCs w:val="15"/>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80" w:type="dxa"/>
            <w:vAlign w:val="bottom"/>
            <w:tcBorders>
              <w:bottom w:val="single" w:sz="8" w:color="9A9A9A"/>
            </w:tcBorders>
          </w:tcPr>
          <w:p>
            <w:pPr>
              <w:spacing w:after="0"/>
              <w:rPr>
                <w:sz w:val="17"/>
                <w:szCs w:val="17"/>
                <w:color w:val="auto"/>
              </w:rPr>
            </w:pPr>
          </w:p>
        </w:tc>
        <w:tc>
          <w:tcPr>
            <w:tcW w:w="28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noted above, our multifamily allowance for loan losses is sensitive to changes in net operating income and property value growth rate changes. We present in the table below the impact of hypothetical changes in net operating income and property value growth rates, with all other factors held constant.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3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as of March 31, 2026</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198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net operating income growth rate:</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property value growth rate:</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-915035</wp:posOffset>
            </wp:positionV>
            <wp:extent cx="90170" cy="1066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-751205</wp:posOffset>
            </wp:positionV>
            <wp:extent cx="98425" cy="1066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-325755</wp:posOffset>
            </wp:positionV>
            <wp:extent cx="90170" cy="1066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-161925</wp:posOffset>
            </wp:positionV>
            <wp:extent cx="98425" cy="1066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8425"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multifamily allowance for loan losses.</w:t>
      </w:r>
    </w:p>
    <w:p>
      <w:pPr>
        <w:spacing w:after="0" w:line="5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net operating income and property value growth rate changes are non-linear. As a result, changes in these estimates are not always incrementally proportional. The purpose of this analysis is to provide an indication of the impact of net operating income and property value growth rate changes on the estimate of the multifamily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information on how property valuations impacted our multifamily (provision) benefit for credit losses.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evaluate the impact on our condensed consolidated financial statements of recently issued accounting guidance in “Note 1, Summary of Significant Accounting Policies.”</w:t>
      </w:r>
    </w:p>
    <w:p>
      <w:pPr>
        <w:spacing w:after="0" w:line="12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For information regarding legislative, regulatory, conservatorship and other related matters affecting our business, see “Business—Conservatorship and Treasury Agreements” and “Business—Legislation and Regulation” in our 2025 Form 10-K. Also see “Risk Factors” in our 2025 Form 10-K for discussions of risks relating to legislative and regulatory matters.</w:t>
      </w:r>
    </w:p>
    <w:p>
      <w:pPr>
        <w:spacing w:after="0" w:line="130"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1" w:lineRule="exact"/>
        <w:rPr>
          <w:sz w:val="20"/>
          <w:szCs w:val="20"/>
          <w:color w:val="auto"/>
        </w:rPr>
      </w:pPr>
    </w:p>
    <w:p>
      <w:pPr>
        <w:ind w:left="620" w:right="160" w:hanging="307"/>
        <w:spacing w:after="0" w:line="281" w:lineRule="auto"/>
        <w:tabs>
          <w:tab w:leader="none" w:pos="612" w:val="left"/>
        </w:tabs>
        <w:numPr>
          <w:ilvl w:val="0"/>
          <w:numId w:val="49"/>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multifamily property value growth, the unemployment rate, loan origination volumes, interest rates and multifamily property net operating income), the factors that will affect those conditions, and the impact of those conditions on our business and financial results;</w:t>
      </w:r>
    </w:p>
    <w:p>
      <w:pPr>
        <w:spacing w:after="0" w:line="24" w:lineRule="exact"/>
        <w:rPr>
          <w:rFonts w:ascii="Arial" w:cs="Arial" w:eastAsia="Arial" w:hAnsi="Arial"/>
          <w:sz w:val="16"/>
          <w:szCs w:val="16"/>
          <w:i w:val="1"/>
          <w:iCs w:val="1"/>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of hedge accounting and our risk management approach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 and the factors that will affect them;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 including our plans relating to new credit score models;</w:t>
      </w:r>
    </w:p>
    <w:p>
      <w:pPr>
        <w:spacing w:after="0" w:line="86" w:lineRule="exact"/>
        <w:rPr>
          <w:rFonts w:ascii="Arial" w:cs="Arial" w:eastAsia="Arial" w:hAnsi="Arial"/>
          <w:sz w:val="16"/>
          <w:szCs w:val="16"/>
          <w:color w:val="auto"/>
        </w:rPr>
      </w:pPr>
    </w:p>
    <w:p>
      <w:pPr>
        <w:ind w:left="620" w:right="340" w:hanging="307"/>
        <w:spacing w:after="0" w:line="293"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credit performance of loans in our guaranty book of business (including future loan delinquencies and foreclosures) and the factors that will affect such performance;</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payments to specified HUD and Treasury funds in support of affordable housing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risks to our business and the factors that will affect those risks.</w:t>
      </w:r>
    </w:p>
    <w:p>
      <w:pPr>
        <w:spacing w:after="0" w:line="10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40" w:lineRule="exact"/>
        <w:rPr>
          <w:sz w:val="20"/>
          <w:szCs w:val="20"/>
          <w:color w:val="auto"/>
        </w:rPr>
      </w:pPr>
    </w:p>
    <w:p>
      <w:pPr>
        <w:ind w:right="780"/>
        <w:spacing w:after="0" w:line="310"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2" w:lineRule="exact"/>
        <w:rPr>
          <w:sz w:val="20"/>
          <w:szCs w:val="20"/>
          <w:color w:val="auto"/>
        </w:rPr>
      </w:pPr>
    </w:p>
    <w:p>
      <w:pPr>
        <w:ind w:left="620" w:right="18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trade, fiscal, monetary, regulatory and immigration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deterioration in a specific sector of the U.S. economy or in one or more regional areas of the United States;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right="46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size and our share of the U.S. mortgage market (including the volume of mortgage originations) and the factors that affect them, including population growth and household formation;</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conflicts in the Middle East and other regions, and geopolitical instability;</w:t>
      </w:r>
    </w:p>
    <w:p>
      <w:pPr>
        <w:spacing w:after="0" w:line="86" w:lineRule="exact"/>
        <w:rPr>
          <w:rFonts w:ascii="Arial" w:cs="Arial" w:eastAsia="Arial" w:hAnsi="Arial"/>
          <w:sz w:val="16"/>
          <w:szCs w:val="16"/>
          <w:color w:val="auto"/>
        </w:rPr>
      </w:pPr>
    </w:p>
    <w:p>
      <w:pPr>
        <w:ind w:left="620" w:right="80" w:hanging="307"/>
        <w:spacing w:after="0" w:line="272"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assets and liabilities; and developments that affect our loss reserves, such as changes in interest rates or home prices;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right="120" w:hanging="307"/>
        <w:spacing w:after="0" w:line="310"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our funding needs or our sources or uses of funds;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27"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68"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senior preferred stock or warrant, and their effect on our business, including current or future restrictions or requirements imposed on us by the terms of the senior preferred stock purchase agreement, the senior preferred stock, or the warrant, as well as the extent that these or other restrictions on our business and activities are applied to us through other mechanisms even if we cease to be subject to these agreements and instruments;</w:t>
      </w:r>
    </w:p>
    <w:p>
      <w:pPr>
        <w:spacing w:after="0" w:line="235" w:lineRule="exact"/>
        <w:rPr>
          <w:rFonts w:ascii="Arial" w:cs="Arial" w:eastAsia="Arial" w:hAnsi="Arial"/>
          <w:sz w:val="16"/>
          <w:szCs w:val="16"/>
          <w:color w:val="auto"/>
        </w:rPr>
      </w:pPr>
    </w:p>
    <w:p>
      <w:pPr>
        <w:ind w:left="620" w:right="260" w:hanging="307"/>
        <w:spacing w:after="0" w:line="310"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uncertainty regarding our future, including relating to: our exit from conservatorship; our ability to raise, earn or retain the capital needed to meet our capital requirements; our future capital structure; and our future dividend requirements;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on our business and financial results;</w:t>
      </w:r>
    </w:p>
    <w:p>
      <w:pPr>
        <w:spacing w:after="0" w:line="86" w:lineRule="exact"/>
        <w:rPr>
          <w:rFonts w:ascii="Arial" w:cs="Arial" w:eastAsia="Arial" w:hAnsi="Arial"/>
          <w:sz w:val="16"/>
          <w:szCs w:val="16"/>
          <w:color w:val="auto"/>
        </w:rPr>
      </w:pPr>
    </w:p>
    <w:p>
      <w:pPr>
        <w:ind w:left="620" w:right="260" w:hanging="307"/>
        <w:spacing w:after="0" w:line="27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31" w:lineRule="exact"/>
        <w:rPr>
          <w:rFonts w:ascii="Arial" w:cs="Arial" w:eastAsia="Arial" w:hAnsi="Arial"/>
          <w:sz w:val="16"/>
          <w:szCs w:val="16"/>
          <w:color w:val="auto"/>
        </w:rPr>
      </w:pPr>
    </w:p>
    <w:p>
      <w:pPr>
        <w:ind w:left="620" w:right="160" w:hanging="307"/>
        <w:spacing w:after="0" w:line="310"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macroeconomic conditions, such as changes to trade, fiscal, monetary, tax or immigration policies;</w:t>
      </w:r>
    </w:p>
    <w:p>
      <w:pPr>
        <w:spacing w:after="0" w:line="1" w:lineRule="exact"/>
        <w:rPr>
          <w:rFonts w:ascii="Arial" w:cs="Arial" w:eastAsia="Arial" w:hAnsi="Arial"/>
          <w:sz w:val="16"/>
          <w:szCs w:val="16"/>
          <w:color w:val="auto"/>
        </w:rPr>
      </w:pPr>
    </w:p>
    <w:p>
      <w:pPr>
        <w:ind w:left="620" w:right="60" w:hanging="307"/>
        <w:spacing w:after="0" w:line="27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the SEC or other regulators, Congress, the Executive Branch, or state or local governments that affect our business;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will result in additional changes that affect our company or our business;</w:t>
      </w:r>
    </w:p>
    <w:p>
      <w:pPr>
        <w:spacing w:after="0" w:line="86" w:lineRule="exact"/>
        <w:rPr>
          <w:rFonts w:ascii="Arial" w:cs="Arial" w:eastAsia="Arial" w:hAnsi="Arial"/>
          <w:sz w:val="16"/>
          <w:szCs w:val="16"/>
          <w:color w:val="auto"/>
        </w:rPr>
      </w:pPr>
    </w:p>
    <w:p>
      <w:pPr>
        <w:ind w:left="620" w:right="40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310"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from pursuing new business activities;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partial or full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14"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27"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expiration of the National Flood Insurance Program on September 30, 2026, without re-authorization, including the impact of any disruptions in the payment of claims and of delays in obtaining or renewing coverage;</w:t>
      </w:r>
    </w:p>
    <w:p>
      <w:pPr>
        <w:spacing w:after="0" w:line="14" w:lineRule="exact"/>
        <w:rPr>
          <w:rFonts w:ascii="Arial" w:cs="Arial" w:eastAsia="Arial" w:hAnsi="Arial"/>
          <w:sz w:val="16"/>
          <w:szCs w:val="16"/>
          <w:color w:val="auto"/>
        </w:rPr>
      </w:pPr>
    </w:p>
    <w:p>
      <w:pPr>
        <w:ind w:left="620" w:right="4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60" w:hanging="307"/>
        <w:spacing w:after="0" w:line="272"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severe weather events, fires, floods, hail, wind or other natural disaster-related events or impacts, including those for which we may be uninsured or under-insured or that may affect our counterparties or the hazard insurers insuring properties underlying our guaranty book of business, and other natural disaster-related risks;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need to rely on third parties to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right="40" w:hanging="307"/>
        <w:spacing w:after="0" w:line="271"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reliance on U.S. Financial Technology, LLC (“U.S. FinTech”) and the common securitization platform U.S. FinTech operates for a majority of our single-family securitization activities; provisions in the limited liability company agreement with U.S. FinTech that permit FHFA to appoint members to the U.S. FinTech Board of Managers, which limit the ability of Fannie Mae and Freddie Mac to control decisions of the U.S. FinTech Board of Managers; and changes FHFA may require in our relationship with or in our support of U.S. FinTech;</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right="64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U.S. FinTech, our other counterparties and other third parties;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opportunities and risks presented by the use or anticipated use of AI technologies and other emerging technologies by us or third parties, including generative AI and agentic AI;</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cyber attacks or other cybersecurity breaches or threats impacting us, the third parties with which we do business or our regulators;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SEC guidance, and our accounting policies; and</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2025 Form 10-K.</w:t>
      </w:r>
    </w:p>
    <w:p>
      <w:pPr>
        <w:spacing w:after="0" w:line="8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2025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494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6"/>
          </w:tcPr>
          <w:p>
            <w:pPr>
              <w:jc w:val="right"/>
              <w:ind w:right="31"/>
              <w:spacing w:after="0"/>
              <w:rPr>
                <w:sz w:val="20"/>
                <w:szCs w:val="20"/>
                <w:color w:val="auto"/>
              </w:rPr>
            </w:pPr>
            <w:r>
              <w:rPr>
                <w:rFonts w:ascii="Arial" w:cs="Arial" w:eastAsia="Arial" w:hAnsi="Arial"/>
                <w:sz w:val="14"/>
                <w:szCs w:val="14"/>
                <w:b w:val="1"/>
                <w:bCs w:val="1"/>
                <w:color w:val="auto"/>
                <w:w w:val="97"/>
              </w:rPr>
              <w:t>For the Three Months Ended March 31,</w:t>
            </w:r>
          </w:p>
        </w:tc>
        <w:tc>
          <w:tcPr>
            <w:tcW w:w="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39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39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38,905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Mortgage loans</w:t>
            </w:r>
          </w:p>
        </w:tc>
        <w:tc>
          <w:tcPr>
            <w:tcW w:w="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37,399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Investments in securities and other</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39,016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(32,830)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(31,910)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440"/>
              <w:spacing w:after="0"/>
              <w:rPr>
                <w:sz w:val="20"/>
                <w:szCs w:val="20"/>
                <w:color w:val="auto"/>
              </w:rPr>
            </w:pPr>
            <w:r>
              <w:rPr>
                <w:rFonts w:ascii="Arial" w:cs="Arial" w:eastAsia="Arial" w:hAnsi="Arial"/>
                <w:sz w:val="14"/>
                <w:szCs w:val="14"/>
                <w:color w:val="auto"/>
              </w:rPr>
              <w:t>Net interest income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Fair value gains (losses), net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Investment gains (losses), net</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(Provision) benefit for credit losses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Non-interest expense: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gridSpan w:val="3"/>
          </w:tcPr>
          <w:p>
            <w:pPr>
              <w:ind w:left="120"/>
              <w:spacing w:after="0"/>
              <w:rPr>
                <w:sz w:val="20"/>
                <w:szCs w:val="20"/>
                <w:color w:val="auto"/>
              </w:rPr>
            </w:pPr>
            <w:r>
              <w:rPr>
                <w:rFonts w:ascii="Arial" w:cs="Arial" w:eastAsia="Arial" w:hAnsi="Arial"/>
                <w:sz w:val="14"/>
                <w:szCs w:val="14"/>
                <w:color w:val="auto"/>
              </w:rPr>
              <w:t>Salaries and employee benefits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120"/>
              <w:spacing w:after="0"/>
              <w:rPr>
                <w:sz w:val="20"/>
                <w:szCs w:val="20"/>
                <w:color w:val="auto"/>
              </w:rPr>
            </w:pPr>
            <w:r>
              <w:rPr>
                <w:rFonts w:ascii="Arial" w:cs="Arial" w:eastAsia="Arial" w:hAnsi="Arial"/>
                <w:sz w:val="14"/>
                <w:szCs w:val="14"/>
                <w:color w:val="auto"/>
              </w:rPr>
              <w:t>Professional services, technology, and occupancy</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120"/>
              <w:spacing w:after="0"/>
              <w:rPr>
                <w:sz w:val="20"/>
                <w:szCs w:val="20"/>
                <w:color w:val="auto"/>
              </w:rPr>
            </w:pPr>
            <w:r>
              <w:rPr>
                <w:rFonts w:ascii="Arial" w:cs="Arial" w:eastAsia="Arial" w:hAnsi="Arial"/>
                <w:sz w:val="14"/>
                <w:szCs w:val="14"/>
                <w:color w:val="auto"/>
              </w:rPr>
              <w:t>Legislative assessments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120"/>
              <w:spacing w:after="0"/>
              <w:rPr>
                <w:sz w:val="20"/>
                <w:szCs w:val="20"/>
                <w:color w:val="auto"/>
              </w:rPr>
            </w:pPr>
            <w:r>
              <w:rPr>
                <w:rFonts w:ascii="Arial" w:cs="Arial" w:eastAsia="Arial" w:hAnsi="Arial"/>
                <w:sz w:val="14"/>
                <w:szCs w:val="14"/>
                <w:color w:val="auto"/>
              </w:rPr>
              <w:t>Credit enhancement expense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income (expense), net</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expense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Income before federal income taxes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80" w:type="dxa"/>
            <w:vAlign w:val="bottom"/>
            <w:gridSpan w:val="2"/>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Earnings per share: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420" w:type="dxa"/>
            <w:vAlign w:val="bottom"/>
            <w:gridSpan w:val="3"/>
          </w:tcPr>
          <w:p>
            <w:pPr>
              <w:ind w:left="22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20" w:type="dxa"/>
            <w:vAlign w:val="bottom"/>
            <w:gridSpan w:val="3"/>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gridSpan w:val="3"/>
          </w:tcPr>
          <w:p>
            <w:pPr>
              <w:ind w:left="22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20" w:type="dxa"/>
            <w:vAlign w:val="bottom"/>
            <w:gridSpan w:val="3"/>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17145</wp:posOffset>
            </wp:positionV>
            <wp:extent cx="7122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420"/>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ind w:right="420"/>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ind w:right="420"/>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right"/>
              <w:ind w:right="171"/>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December 31, 2025</w:t>
            </w:r>
          </w:p>
        </w:tc>
        <w:tc>
          <w:tcPr>
            <w:tcW w:w="0" w:type="dxa"/>
            <w:vAlign w:val="bottom"/>
          </w:tcPr>
          <w:p>
            <w:pPr>
              <w:spacing w:after="0"/>
              <w:rPr>
                <w:sz w:val="1"/>
                <w:szCs w:val="1"/>
                <w:color w:val="auto"/>
              </w:rPr>
            </w:pPr>
          </w:p>
        </w:tc>
      </w:tr>
      <w:tr>
        <w:trPr>
          <w:trHeight w:val="53"/>
        </w:trPr>
        <w:tc>
          <w:tcPr>
            <w:tcW w:w="7840" w:type="dxa"/>
            <w:vAlign w:val="bottom"/>
            <w:gridSpan w:val="2"/>
            <w:vMerge w:val="restart"/>
          </w:tcPr>
          <w:p>
            <w:pPr>
              <w:ind w:left="360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2C6937"/>
            </w:tcBorders>
          </w:tcPr>
          <w:p>
            <w:pPr>
              <w:spacing w:after="0"/>
              <w:rPr>
                <w:sz w:val="4"/>
                <w:szCs w:val="4"/>
                <w:color w:val="auto"/>
              </w:rPr>
            </w:pPr>
          </w:p>
        </w:tc>
        <w:tc>
          <w:tcPr>
            <w:tcW w:w="280" w:type="dxa"/>
            <w:vAlign w:val="bottom"/>
            <w:tcBorders>
              <w:bottom w:val="single" w:sz="8" w:color="2C6937"/>
            </w:tcBorders>
          </w:tcPr>
          <w:p>
            <w:pPr>
              <w:spacing w:after="0"/>
              <w:rPr>
                <w:sz w:val="4"/>
                <w:szCs w:val="4"/>
                <w:color w:val="auto"/>
              </w:rPr>
            </w:pPr>
          </w:p>
        </w:tc>
        <w:tc>
          <w:tcPr>
            <w:tcW w:w="86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260" w:type="dxa"/>
            <w:vAlign w:val="bottom"/>
            <w:tcBorders>
              <w:bottom w:val="single" w:sz="8" w:color="2C6937"/>
            </w:tcBorders>
          </w:tcPr>
          <w:p>
            <w:pPr>
              <w:spacing w:after="0"/>
              <w:rPr>
                <w:sz w:val="4"/>
                <w:szCs w:val="4"/>
                <w:color w:val="auto"/>
              </w:rPr>
            </w:pPr>
          </w:p>
        </w:tc>
        <w:tc>
          <w:tcPr>
            <w:tcW w:w="86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Cash</w:t>
            </w:r>
          </w:p>
        </w:tc>
        <w:tc>
          <w:tcPr>
            <w:tcW w:w="2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Restricted cash (includes $26,323 and $22,848, respectively, related to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33,779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Securities purchased under agreements to resell (includes $19,450 and $18,425, respectively, related to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38,199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75,520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69,889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40" w:type="dxa"/>
            <w:vAlign w:val="bottom"/>
            <w:gridSpan w:val="3"/>
          </w:tcPr>
          <w:p>
            <w:pPr>
              <w:ind w:left="34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60,595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4,062,863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4,069,498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40" w:type="dxa"/>
            <w:vAlign w:val="bottom"/>
            <w:gridSpan w:val="3"/>
          </w:tcPr>
          <w:p>
            <w:pPr>
              <w:ind w:left="320"/>
              <w:spacing w:after="0"/>
              <w:rPr>
                <w:sz w:val="20"/>
                <w:szCs w:val="20"/>
                <w:color w:val="auto"/>
              </w:rPr>
            </w:pPr>
            <w:r>
              <w:rPr>
                <w:rFonts w:ascii="Arial" w:cs="Arial" w:eastAsia="Arial" w:hAnsi="Arial"/>
                <w:sz w:val="14"/>
                <w:szCs w:val="14"/>
                <w:color w:val="auto"/>
              </w:rPr>
              <w:t>Total loans held for investment (includes $5,547 and $5,464, respectively,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4,123,458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4,127,468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4,115,101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4,119,104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40" w:type="dxa"/>
            <w:vAlign w:val="bottom"/>
            <w:gridSpan w:val="3"/>
          </w:tcPr>
          <w:p>
            <w:pPr>
              <w:ind w:left="640"/>
              <w:spacing w:after="0"/>
              <w:rPr>
                <w:sz w:val="20"/>
                <w:szCs w:val="20"/>
                <w:color w:val="auto"/>
              </w:rPr>
            </w:pPr>
            <w:r>
              <w:rPr>
                <w:rFonts w:ascii="Arial" w:cs="Arial" w:eastAsia="Arial" w:hAnsi="Arial"/>
                <w:sz w:val="14"/>
                <w:szCs w:val="14"/>
                <w:color w:val="auto"/>
              </w:rPr>
              <w:t>Total mortgage loans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4,115,300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4,119,313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9,430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Accrued interest receivable (includes $11,275 and $11,129, respectively, related to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11,915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4,314,635</w:t>
            </w:r>
          </w:p>
        </w:tc>
        <w:tc>
          <w:tcPr>
            <w:tcW w:w="300" w:type="dxa"/>
            <w:vAlign w:val="bottom"/>
            <w:gridSpan w:val="3"/>
          </w:tcPr>
          <w:p>
            <w:pPr>
              <w:spacing w:after="0"/>
              <w:rPr>
                <w:sz w:val="16"/>
                <w:szCs w:val="16"/>
                <w:color w:val="auto"/>
              </w:rPr>
            </w:pPr>
          </w:p>
        </w:tc>
        <w:tc>
          <w:tcPr>
            <w:tcW w:w="26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4,317,538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gridSpan w:val="3"/>
          </w:tcPr>
          <w:p>
            <w:pPr>
              <w:ind w:left="304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Accrued interest payable (includes $11,277 and $11,320, respectively, related to consolidated trusts)</w:t>
            </w:r>
          </w:p>
        </w:tc>
        <w:tc>
          <w:tcPr>
            <w:tcW w:w="280" w:type="dxa"/>
            <w:vAlign w:val="bottom"/>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12,213</w:t>
            </w:r>
          </w:p>
        </w:tc>
        <w:tc>
          <w:tcPr>
            <w:tcW w:w="56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Debt: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40" w:type="dxa"/>
            <w:vAlign w:val="bottom"/>
            <w:gridSpan w:val="3"/>
          </w:tcPr>
          <w:p>
            <w:pPr>
              <w:ind w:left="340"/>
              <w:spacing w:after="0"/>
              <w:rPr>
                <w:sz w:val="20"/>
                <w:szCs w:val="20"/>
                <w:color w:val="auto"/>
              </w:rPr>
            </w:pPr>
            <w:r>
              <w:rPr>
                <w:rFonts w:ascii="Arial" w:cs="Arial" w:eastAsia="Arial" w:hAnsi="Arial"/>
                <w:sz w:val="14"/>
                <w:szCs w:val="14"/>
                <w:color w:val="auto"/>
              </w:rPr>
              <w:t>Of Fannie Mae (includes $265 and $256, respectively, at fair value)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150,438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340"/>
              <w:spacing w:after="0"/>
              <w:rPr>
                <w:sz w:val="20"/>
                <w:szCs w:val="20"/>
                <w:color w:val="auto"/>
              </w:rPr>
            </w:pPr>
            <w:r>
              <w:rPr>
                <w:rFonts w:ascii="Arial" w:cs="Arial" w:eastAsia="Arial" w:hAnsi="Arial"/>
                <w:sz w:val="14"/>
                <w:szCs w:val="14"/>
                <w:color w:val="auto"/>
              </w:rPr>
              <w:t>Of consolidated trusts (includes $13,707 and $15,060, respectively,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4,022,364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4,053,140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$1,700 and $1,719, respectively, related to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16,953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4,201,968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4,208,526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940" w:type="dxa"/>
            <w:vAlign w:val="bottom"/>
            <w:gridSpan w:val="3"/>
          </w:tcPr>
          <w:p>
            <w:pPr>
              <w:ind w:left="20"/>
              <w:spacing w:after="0"/>
              <w:rPr>
                <w:sz w:val="20"/>
                <w:szCs w:val="20"/>
                <w:color w:val="auto"/>
              </w:rPr>
            </w:pPr>
            <w:r>
              <w:rPr>
                <w:rFonts w:ascii="Arial" w:cs="Arial" w:eastAsia="Arial" w:hAnsi="Arial"/>
                <w:sz w:val="14"/>
                <w:szCs w:val="14"/>
                <w:color w:val="auto"/>
              </w:rPr>
              <w:t>Fannie Mae stockholders’ equity:</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Senior preferred stock (liquidation preference of $230,511 and $226,984, respectively)</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outstanding</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(20,541)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gridSpan w:val="2"/>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112,667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40" w:type="dxa"/>
            <w:vAlign w:val="bottom"/>
            <w:gridSpan w:val="3"/>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4,314,635</w:t>
            </w:r>
          </w:p>
        </w:tc>
        <w:tc>
          <w:tcPr>
            <w:tcW w:w="56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4,317,538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396240</wp:posOffset>
            </wp:positionV>
            <wp:extent cx="68059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160020</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780" w:top="248"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01543"/>
        </w:rPr>
        <w:t>(Dollars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20" w:type="dxa"/>
            <w:vAlign w:val="bottom"/>
            <w:tcBorders>
              <w:bottom w:val="single" w:sz="8" w:color="2C6937"/>
            </w:tcBorders>
            <w:gridSpan w:val="6"/>
          </w:tcPr>
          <w:p>
            <w:pPr>
              <w:jc w:val="right"/>
              <w:ind w:right="31"/>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20" w:type="dxa"/>
            <w:vAlign w:val="bottom"/>
            <w:tcBorders>
              <w:bottom w:val="single" w:sz="8" w:color="2C6937"/>
            </w:tcBorders>
          </w:tcPr>
          <w:p>
            <w:pPr>
              <w:spacing w:after="0"/>
              <w:rPr>
                <w:sz w:val="16"/>
                <w:szCs w:val="16"/>
                <w:color w:val="auto"/>
              </w:rPr>
            </w:pPr>
          </w:p>
        </w:tc>
      </w:tr>
      <w:tr>
        <w:trPr>
          <w:trHeight w:val="186"/>
        </w:trPr>
        <w:tc>
          <w:tcPr>
            <w:tcW w:w="81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ind w:right="37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2C6937"/>
            </w:tcBorders>
          </w:tcPr>
          <w:p>
            <w:pPr>
              <w:spacing w:after="0"/>
              <w:rPr>
                <w:sz w:val="16"/>
                <w:szCs w:val="16"/>
                <w:color w:val="auto"/>
              </w:rPr>
            </w:pPr>
          </w:p>
        </w:tc>
      </w:tr>
      <w:tr>
        <w:trPr>
          <w:trHeight w:val="185"/>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3,505</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82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(42,188)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(26,055)</w:t>
            </w:r>
          </w:p>
        </w:tc>
        <w:tc>
          <w:tcPr>
            <w:tcW w:w="120" w:type="dxa"/>
            <w:vAlign w:val="bottom"/>
          </w:tcPr>
          <w:p>
            <w:pPr>
              <w:spacing w:after="0"/>
              <w:rPr>
                <w:sz w:val="17"/>
                <w:szCs w:val="17"/>
                <w:color w:val="auto"/>
              </w:rPr>
            </w:pPr>
          </w:p>
        </w:tc>
      </w:tr>
      <w:tr>
        <w:trPr>
          <w:trHeight w:val="193"/>
        </w:trPr>
        <w:tc>
          <w:tcPr>
            <w:tcW w:w="82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00" w:type="dxa"/>
            <w:vAlign w:val="bottom"/>
          </w:tcPr>
          <w:p>
            <w:pPr>
              <w:spacing w:after="0"/>
              <w:rPr>
                <w:sz w:val="16"/>
                <w:szCs w:val="16"/>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117,152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85,594</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(37,055)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(19,487)</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Purchases of available-for-sale securities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Proceeds from sales of available-for-sale securities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7,451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(15,245)</w:t>
            </w:r>
          </w:p>
        </w:tc>
        <w:tc>
          <w:tcPr>
            <w:tcW w:w="120" w:type="dxa"/>
            <w:vAlign w:val="bottom"/>
          </w:tcPr>
          <w:p>
            <w:pPr>
              <w:spacing w:after="0"/>
              <w:rPr>
                <w:sz w:val="16"/>
                <w:szCs w:val="16"/>
                <w:color w:val="auto"/>
              </w:rPr>
            </w:pPr>
          </w:p>
        </w:tc>
      </w:tr>
      <w:tr>
        <w:trPr>
          <w:trHeight w:val="194"/>
        </w:trPr>
        <w:tc>
          <w:tcPr>
            <w:tcW w:w="81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6"/>
                <w:szCs w:val="16"/>
                <w:color w:val="auto"/>
              </w:rPr>
            </w:pPr>
          </w:p>
        </w:tc>
      </w:tr>
      <w:tr>
        <w:trPr>
          <w:trHeight w:val="186"/>
        </w:trPr>
        <w:tc>
          <w:tcPr>
            <w:tcW w:w="81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32,859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24,699</w:t>
            </w:r>
          </w:p>
        </w:tc>
        <w:tc>
          <w:tcPr>
            <w:tcW w:w="120" w:type="dxa"/>
            <w:vAlign w:val="bottom"/>
          </w:tcPr>
          <w:p>
            <w:pPr>
              <w:spacing w:after="0"/>
              <w:rPr>
                <w:sz w:val="16"/>
                <w:szCs w:val="16"/>
                <w:color w:val="auto"/>
              </w:rPr>
            </w:pPr>
          </w:p>
        </w:tc>
      </w:tr>
      <w:tr>
        <w:trPr>
          <w:trHeight w:val="185"/>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45,951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7,165</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(10,343)</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66,450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62,565</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(136,177)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(88,168)</w:t>
            </w:r>
          </w:p>
        </w:tc>
        <w:tc>
          <w:tcPr>
            <w:tcW w:w="120" w:type="dxa"/>
            <w:vAlign w:val="bottom"/>
          </w:tcPr>
          <w:p>
            <w:pPr>
              <w:spacing w:after="0"/>
              <w:rPr>
                <w:sz w:val="16"/>
                <w:szCs w:val="16"/>
                <w:color w:val="auto"/>
              </w:rPr>
            </w:pPr>
          </w:p>
        </w:tc>
      </w:tr>
      <w:tr>
        <w:trPr>
          <w:trHeight w:val="194"/>
        </w:trPr>
        <w:tc>
          <w:tcPr>
            <w:tcW w:w="81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r>
      <w:tr>
        <w:trPr>
          <w:trHeight w:val="186"/>
        </w:trPr>
        <w:tc>
          <w:tcPr>
            <w:tcW w:w="81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(46,662)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(28,669)</w:t>
            </w:r>
          </w:p>
        </w:tc>
        <w:tc>
          <w:tcPr>
            <w:tcW w:w="120" w:type="dxa"/>
            <w:vAlign w:val="bottom"/>
          </w:tcPr>
          <w:p>
            <w:pPr>
              <w:spacing w:after="0"/>
              <w:rPr>
                <w:sz w:val="16"/>
                <w:szCs w:val="16"/>
                <w:color w:val="auto"/>
              </w:rPr>
            </w:pPr>
          </w:p>
        </w:tc>
      </w:tr>
      <w:tr>
        <w:trPr>
          <w:trHeight w:val="185"/>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and restricted cash</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6"/>
                <w:szCs w:val="16"/>
                <w:color w:val="auto"/>
              </w:rPr>
            </w:pPr>
          </w:p>
        </w:tc>
      </w:tr>
      <w:tr>
        <w:trPr>
          <w:trHeight w:val="194"/>
        </w:trPr>
        <w:tc>
          <w:tcPr>
            <w:tcW w:w="81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42,583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38,536</w:t>
            </w:r>
          </w:p>
        </w:tc>
        <w:tc>
          <w:tcPr>
            <w:tcW w:w="120" w:type="dxa"/>
            <w:vAlign w:val="bottom"/>
          </w:tcPr>
          <w:p>
            <w:pPr>
              <w:spacing w:after="0"/>
              <w:rPr>
                <w:sz w:val="16"/>
                <w:szCs w:val="16"/>
                <w:color w:val="auto"/>
              </w:rPr>
            </w:pPr>
          </w:p>
        </w:tc>
      </w:tr>
      <w:tr>
        <w:trPr>
          <w:trHeight w:val="186"/>
        </w:trPr>
        <w:tc>
          <w:tcPr>
            <w:tcW w:w="8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and restricted cash at end of period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45,264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38,071</w:t>
            </w:r>
          </w:p>
        </w:tc>
        <w:tc>
          <w:tcPr>
            <w:tcW w:w="120" w:type="dxa"/>
            <w:vAlign w:val="bottom"/>
          </w:tcPr>
          <w:p>
            <w:pPr>
              <w:spacing w:after="0"/>
              <w:rPr>
                <w:sz w:val="16"/>
                <w:szCs w:val="16"/>
                <w:color w:val="auto"/>
              </w:rPr>
            </w:pPr>
          </w:p>
        </w:tc>
      </w:tr>
      <w:tr>
        <w:trPr>
          <w:trHeight w:val="20"/>
        </w:trPr>
        <w:tc>
          <w:tcPr>
            <w:tcW w:w="8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34,644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33,407</w:t>
            </w:r>
          </w:p>
        </w:tc>
        <w:tc>
          <w:tcPr>
            <w:tcW w:w="120" w:type="dxa"/>
            <w:vAlign w:val="bottom"/>
          </w:tcPr>
          <w:p>
            <w:pPr>
              <w:spacing w:after="0"/>
              <w:rPr>
                <w:sz w:val="16"/>
                <w:szCs w:val="16"/>
                <w:color w:val="auto"/>
              </w:rPr>
            </w:pPr>
          </w:p>
        </w:tc>
      </w:tr>
      <w:tr>
        <w:trPr>
          <w:trHeight w:val="193"/>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Federal income taxes, net of refunds</w:t>
            </w:r>
          </w:p>
        </w:tc>
        <w:tc>
          <w:tcPr>
            <w:tcW w:w="100" w:type="dxa"/>
            <w:vAlign w:val="bottom"/>
          </w:tcPr>
          <w:p>
            <w:pPr>
              <w:spacing w:after="0"/>
              <w:rPr>
                <w:sz w:val="16"/>
                <w:szCs w:val="16"/>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0" w:name="page61"/>
    <w:bookmarkEnd w:id="60"/>
    <w:p>
      <w:pPr>
        <w:jc w:val="right"/>
        <w:ind w:right="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60" w:type="dxa"/>
            <w:vAlign w:val="bottom"/>
            <w:tcBorders>
              <w:bottom w:val="single" w:sz="8" w:color="2C6937"/>
            </w:tcBorders>
          </w:tcPr>
          <w:p>
            <w:pPr>
              <w:spacing w:after="0"/>
              <w:rPr>
                <w:sz w:val="12"/>
                <w:szCs w:val="12"/>
                <w:color w:val="auto"/>
              </w:rPr>
            </w:pPr>
          </w:p>
        </w:tc>
        <w:tc>
          <w:tcPr>
            <w:tcW w:w="9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Accumulated Other</w:t>
            </w: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10"/>
                <w:szCs w:val="10"/>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6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2025</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(24,261)</w:t>
            </w:r>
          </w:p>
        </w:tc>
        <w:tc>
          <w:tcPr>
            <w:tcW w:w="100" w:type="dxa"/>
            <w:vAlign w:val="bottom"/>
          </w:tcPr>
          <w:p>
            <w:pPr>
              <w:spacing w:after="0"/>
              <w:rPr>
                <w:sz w:val="12"/>
                <w:szCs w:val="12"/>
                <w:color w:val="auto"/>
              </w:rPr>
            </w:pPr>
          </w:p>
        </w:tc>
        <w:tc>
          <w:tcPr>
            <w:tcW w:w="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109,012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3,720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3,720</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$3)</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3,655</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2026</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(20,541)</w:t>
            </w:r>
          </w:p>
        </w:tc>
        <w:tc>
          <w:tcPr>
            <w:tcW w:w="100" w:type="dxa"/>
            <w:vAlign w:val="bottom"/>
          </w:tcPr>
          <w:p>
            <w:pPr>
              <w:spacing w:after="0"/>
              <w:rPr>
                <w:sz w:val="12"/>
                <w:szCs w:val="12"/>
                <w:color w:val="auto"/>
              </w:rPr>
            </w:pPr>
          </w:p>
        </w:tc>
        <w:tc>
          <w:tcPr>
            <w:tcW w:w="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(45)</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112,667</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(38,625)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94,657</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3,661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3,661</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3,655</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(34,964)</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98,312</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781050</wp:posOffset>
            </wp:positionV>
            <wp:extent cx="68059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1" w:name="page62"/>
    <w:bookmarkEnd w:id="61"/>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2025 (“2025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We are operating pursuant to the authority provided by FHFA as conservator and on the basis that we will realize assets and satisfy liabilities in the normal course of business as a going concern. These condensed consolidated financial statements include our accounts as well as the accounts of other entities in which we have a controlling financial interest, and all intercompany balances and transactions have been eliminated.</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The accompanying financial statements should be read in conjunction with our audited consolidated financial statements and related notes included in our 2025 Form 10-K. Certain disclosures are condensed or omitted from the accompanying financial statements as they are not required for interim financial statements under GAAP. In the opinion of management, the accompanying financial statements contain all adjustments, which include only normal recurring adjustments, necessary for a fair presentation of our results. The nature of our business is such that the results of any interim period are not necessarily indicative of results for a full year. We have reclassified certain amounts reported in our prior period consolidated financial statements to conform to our current-period presentation.</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disclosed in our 2025 Form 10-K, beginning in the third quarter of 2025, we changed which financial instruments are presented as cash equivalents and restricted cash equivalents. This change in accounting principle was applied on a retrospective basis and the condensed consolidated statement of cash flows for the three months ended March 31, 2025 reflects (1) a decrease in cash used related to the net change in securities purchased under agreements to resell and related sub-totals by $549 million and (2) a decrease in the balance of cash and restricted cash at the beginning and end of the period of $40.3 billion and $39.7 billion, respectively.</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Investments in Securities</w:t>
      </w:r>
    </w:p>
    <w:p>
      <w:pPr>
        <w:spacing w:after="0" w:line="6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present cash flows from trading securities and available-for-sale (“AFS”) securities as operating activities and investing activities, respectively, in our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2" w:name="page63"/>
    <w:bookmarkEnd w:id="62"/>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Earnings per share (“EPS”) is presented for basic and diluted EPS. For the three months ended March 31, 2026 and 2025, the weighted average shares outstanding used in the computation of basic and diluted EPS includes 4.7 billion shares of common stock that would be issuable upon full exercise of the common stock warrant issued to the U.S. Department of the Treasury (“Treasury”).</w:t>
      </w:r>
    </w:p>
    <w:p>
      <w:pPr>
        <w:spacing w:after="0" w:line="24" w:lineRule="exact"/>
        <w:rPr>
          <w:sz w:val="20"/>
          <w:szCs w:val="20"/>
          <w:color w:val="auto"/>
        </w:rPr>
      </w:pPr>
    </w:p>
    <w:p>
      <w:pPr>
        <w:jc w:val="both"/>
        <w:ind w:right="260"/>
        <w:spacing w:after="0" w:line="272"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months ended March 31, 2026 and 2025, our diluted EPS weighted-average shares outstanding includes the 26 million shares issuable upon the conversion of convertible preferred stock.</w:t>
      </w:r>
    </w:p>
    <w:p>
      <w:pPr>
        <w:spacing w:after="0" w:line="9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Collateral</w:t>
      </w:r>
    </w:p>
    <w:p>
      <w:pPr>
        <w:spacing w:after="0" w:line="6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enter into various transactions related to financial instruments where we pledge and accept collateral, including derivative transactions and repurchase and reverse repurchase agreements.</w:t>
      </w:r>
    </w:p>
    <w:p>
      <w:pPr>
        <w:spacing w:after="0" w:line="1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Pursuant to these arrangements, we posted U.S. Treasury securities of $9.1 billion and $8.2 billion as collateral, of which the substantial majority could be sold or repledged, as of March 31, 2026 and December 31, 2025, respectively. The fair value of non-cash collateral received was $38.4 billion and $45.6 billion, of which $37.5 billion and $43.4 billion could be sold or repledged as of March 31, 2026 and December 31, 2025, respectively. None of the underlying collateral we received was sold or repledged as of March 31, 2026 or December 31, 2025.</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We present property acquired through foreclosure in “Other assets” in our condensed consolidated balance sheets. We held $2.1 billion and $1.9 billion of acquired foreclosed property, net as of March 31, 2026 and December 31, 2025, respectively.</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Purchased Financial Assets</w:t>
      </w:r>
    </w:p>
    <w:p>
      <w:pPr>
        <w:spacing w:after="0" w:line="89"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 xml:space="preserve">In November 2025, the Financial Accounting Standards Board (“FASB”) issued Accounting Standards Update (“ASU”) 2025-08,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Purchased Loans </w:t>
      </w:r>
      <w:r>
        <w:rPr>
          <w:rFonts w:ascii="Arial" w:cs="Arial" w:eastAsia="Arial" w:hAnsi="Arial"/>
          <w:sz w:val="16"/>
          <w:szCs w:val="16"/>
          <w:color w:val="auto"/>
        </w:rPr>
        <w:t>which amends the guidance to align the accounting for purchased seasoned loans with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financial assets that have experienced more-than-insignificant credit deterioration since origination. Specifically, the ASU requires a “gross-up approach” on purchased seasoned loans such that the initial measurement of the loan is equal to the purchase price plus the expected credit losses on the loan at the date of acquisition. Seasoned purchased loans include loans obtained in a business combination and loans acquired more than 90 days after their origination date by a transferee that was not involved in their origination.</w:t>
      </w:r>
    </w:p>
    <w:p>
      <w:pPr>
        <w:spacing w:after="0" w:line="7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The ASU is effective for reporting periods beginning after December 15, 2026 and the guidance is applied prospectively to loans acquired on or after January 1, 2027. The adoption of this guidance is not expected to have a material impact on our consolidated financial statements.</w:t>
      </w:r>
    </w:p>
    <w:p>
      <w:pPr>
        <w:spacing w:after="0" w:line="114" w:lineRule="exact"/>
        <w:rPr>
          <w:sz w:val="20"/>
          <w:szCs w:val="20"/>
          <w:color w:val="auto"/>
        </w:rPr>
      </w:pPr>
    </w:p>
    <w:p>
      <w:pPr>
        <w:ind w:right="200" w:firstLine="3"/>
        <w:spacing w:after="0" w:line="253" w:lineRule="auto"/>
        <w:tabs>
          <w:tab w:leader="none" w:pos="452" w:val="left"/>
        </w:tabs>
        <w:numPr>
          <w:ilvl w:val="0"/>
          <w:numId w:val="54"/>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8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per share. This agreement also provides funding to us under certain circumstances if we have a net worth deficit. Pursuant to the senior preferred stock purchase agreement, we have received a total of $119.8 billion from Treasury as of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3" w:name="page64"/>
    <w:bookmarkEnd w:id="63"/>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31, 2026, and the amount of remaining funding available to us under the agreement is $113.9 billion. We have not received any funding from Treasury under this commitment since the first quarter of 2018. We had a positive net worth of $112.7 billion as of March 31, 2026.</w:t>
      </w:r>
    </w:p>
    <w:p>
      <w:pPr>
        <w:spacing w:after="0" w:line="1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3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aggregate liquidation preference of the senior preferred stock increased to $230.5 billion as of March 31, 2026 from $227.0 billion as of December 31, 2025, due to the increase in our net worth in the fourth quarter of 2025. The aggregate liquidation preference of the senior preferred stock will further increase to $234.2 billion as of June 30, 2026, due to the increase in our net worth in the first quarter of 2026.</w:t>
      </w:r>
    </w:p>
    <w:p>
      <w:pPr>
        <w:spacing w:after="0" w:line="7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U.S. FinTech Customer Services Agreement</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Fannie Mae and Freddie Mac jointly own U.S. Financial Technology, LLC ("U.S. FinTech"), a limited liability company that operates a common securitization platform. As a result of this joint ownership, U.S. FinTech is considered a related party. U.S. FinTech operates as a separate entity from Fannie Mae and Freddie Mac.</w:t>
      </w:r>
    </w:p>
    <w:p>
      <w:pPr>
        <w:spacing w:after="0" w:line="24" w:lineRule="exact"/>
        <w:rPr>
          <w:sz w:val="20"/>
          <w:szCs w:val="20"/>
          <w:color w:val="auto"/>
        </w:rPr>
      </w:pPr>
    </w:p>
    <w:p>
      <w:pPr>
        <w:jc w:val="both"/>
        <w:ind w:right="220"/>
        <w:spacing w:after="0" w:line="199" w:lineRule="exact"/>
        <w:rPr>
          <w:sz w:val="20"/>
          <w:szCs w:val="20"/>
          <w:color w:val="auto"/>
        </w:rPr>
      </w:pPr>
      <w:r>
        <w:rPr>
          <w:rFonts w:ascii="Arial" w:cs="Arial" w:eastAsia="Arial" w:hAnsi="Arial"/>
          <w:sz w:val="16"/>
          <w:szCs w:val="16"/>
          <w:color w:val="auto"/>
        </w:rPr>
        <w:t>Our Customer Services Agreement with U.S. FinTech was amended effective January 1, 2026. Under the amended agreement, Fannie Mae and Freddie Mac will pay service fees to U.S. FinTech. Previously, Fannie Mae and Freddie Mac funded U.S. FinTech’s operations through capital contributions. The service fees are based on a cost</w:t>
      </w:r>
      <w:r>
        <w:rPr>
          <w:rFonts w:ascii="MS PGothic" w:cs="MS PGothic" w:eastAsia="MS PGothic" w:hAnsi="MS PGothic"/>
          <w:sz w:val="16"/>
          <w:szCs w:val="16"/>
          <w:color w:val="auto"/>
        </w:rPr>
        <w:t>‑</w:t>
      </w:r>
      <w:r>
        <w:rPr>
          <w:rFonts w:ascii="Arial" w:cs="Arial" w:eastAsia="Arial" w:hAnsi="Arial"/>
          <w:sz w:val="16"/>
          <w:szCs w:val="16"/>
          <w:color w:val="auto"/>
        </w:rPr>
        <w:t>plus arrangement with a fixed margin and are split equally between the two companies. We record the service fees and our share of U.S. FinTech’s net operating income (losses) in “Other income (expense), net.”</w:t>
      </w:r>
    </w:p>
    <w:p>
      <w:pPr>
        <w:spacing w:after="0" w:line="16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8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(“UPB”)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 While our total assets for unconsolidated trusts are measured based on the aggregate value of the trusts, our maximum exposure to loss is limited to our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360045</wp:posOffset>
            </wp:positionV>
            <wp:extent cx="68059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4" w:name="page65"/>
    <w:bookmarkEnd w:id="64"/>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maximum exposure to loss as a result of our involvement with unconsolidated VIEs and the total assets of the VIEs.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60" w:type="dxa"/>
            <w:vAlign w:val="bottom"/>
            <w:tcBorders>
              <w:bottom w:val="single" w:sz="8" w:color="2C6937"/>
            </w:tcBorders>
            <w:gridSpan w:val="3"/>
          </w:tcPr>
          <w:p>
            <w:pPr>
              <w:jc w:val="right"/>
              <w:ind w:right="83"/>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gridSpan w:val="4"/>
          </w:tcPr>
          <w:p>
            <w:pPr>
              <w:ind w:left="1080"/>
              <w:spacing w:after="0"/>
              <w:rPr>
                <w:sz w:val="20"/>
                <w:szCs w:val="20"/>
                <w:color w:val="auto"/>
              </w:rPr>
            </w:pPr>
            <w:r>
              <w:rPr>
                <w:rFonts w:ascii="Arial" w:cs="Arial" w:eastAsia="Arial" w:hAnsi="Arial"/>
                <w:sz w:val="15"/>
                <w:szCs w:val="15"/>
                <w:b w:val="1"/>
                <w:bCs w:val="1"/>
                <w:color w:val="auto"/>
              </w:rPr>
              <w:t>March 31, 2026</w:t>
            </w:r>
          </w:p>
        </w:tc>
        <w:tc>
          <w:tcPr>
            <w:tcW w:w="300" w:type="dxa"/>
            <w:vAlign w:val="bottom"/>
          </w:tcPr>
          <w:p>
            <w:pPr>
              <w:spacing w:after="0"/>
              <w:rPr>
                <w:sz w:val="17"/>
                <w:szCs w:val="17"/>
                <w:color w:val="auto"/>
              </w:rPr>
            </w:pPr>
          </w:p>
        </w:tc>
        <w:tc>
          <w:tcPr>
            <w:tcW w:w="3540" w:type="dxa"/>
            <w:vAlign w:val="bottom"/>
            <w:gridSpan w:val="3"/>
          </w:tcPr>
          <w:p>
            <w:pPr>
              <w:jc w:val="right"/>
              <w:ind w:right="1143"/>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2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60" w:type="dxa"/>
            <w:vAlign w:val="bottom"/>
            <w:tcBorders>
              <w:top w:val="single" w:sz="8" w:color="2C6937"/>
            </w:tcBorders>
          </w:tcPr>
          <w:p>
            <w:pPr>
              <w:jc w:val="center"/>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100" w:type="dxa"/>
            <w:vAlign w:val="bottom"/>
          </w:tcPr>
          <w:p>
            <w:pPr>
              <w:spacing w:after="0"/>
              <w:rPr>
                <w:sz w:val="12"/>
                <w:szCs w:val="12"/>
                <w:color w:val="auto"/>
              </w:rPr>
            </w:pPr>
          </w:p>
        </w:tc>
        <w:tc>
          <w:tcPr>
            <w:tcW w:w="30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4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40" w:type="dxa"/>
            <w:vAlign w:val="bottom"/>
            <w:tcBorders>
              <w:top w:val="single" w:sz="8" w:color="2C6937"/>
            </w:tcBorders>
          </w:tcPr>
          <w:p>
            <w:pPr>
              <w:jc w:val="right"/>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5"/>
                <w:szCs w:val="15"/>
                <w:b w:val="1"/>
                <w:bCs w:val="1"/>
                <w:color w:val="auto"/>
              </w:rPr>
              <w:t>Loss</w:t>
            </w:r>
          </w:p>
        </w:tc>
        <w:tc>
          <w:tcPr>
            <w:tcW w:w="3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Loss</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4"/>
          </w:tcPr>
          <w:p>
            <w:pPr>
              <w:jc w:val="right"/>
              <w:ind w:right="116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r>
              <w:rPr>
                <w:rFonts w:ascii="Arial" w:cs="Arial" w:eastAsia="Arial" w:hAnsi="Arial"/>
                <w:sz w:val="15"/>
                <w:szCs w:val="15"/>
                <w:color w:val="auto"/>
              </w:rPr>
              <w:t>Securitization and resecuritization trusts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533,881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193,906</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535,491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199,010</w:t>
            </w: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r>
              <w:rPr>
                <w:rFonts w:ascii="Arial" w:cs="Arial" w:eastAsia="Arial" w:hAnsi="Arial"/>
                <w:sz w:val="15"/>
                <w:szCs w:val="15"/>
                <w:color w:val="auto"/>
              </w:rPr>
              <w:t>Credit risk transfer SPVs</w:t>
            </w:r>
            <w:r>
              <w:rPr>
                <w:rFonts w:ascii="Arial" w:cs="Arial" w:eastAsia="Arial" w:hAnsi="Arial"/>
                <w:sz w:val="20"/>
                <w:szCs w:val="20"/>
                <w:color w:val="auto"/>
                <w:vertAlign w:val="superscript"/>
              </w:rPr>
              <w:t>(2)</w:t>
            </w:r>
          </w:p>
        </w:tc>
        <w:tc>
          <w:tcPr>
            <w:tcW w:w="280" w:type="dxa"/>
            <w:vAlign w:val="bottom"/>
          </w:tcPr>
          <w:p>
            <w:pPr>
              <w:spacing w:after="0"/>
              <w:rPr>
                <w:sz w:val="20"/>
                <w:szCs w:val="20"/>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22,879</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22,892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22,835</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22,847</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5"/>
                <w:szCs w:val="15"/>
                <w:color w:val="auto"/>
              </w:rPr>
              <w:t>Limited partnerships, including low income</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60"/>
              <w:spacing w:after="0"/>
              <w:rPr>
                <w:sz w:val="20"/>
                <w:szCs w:val="20"/>
                <w:color w:val="auto"/>
              </w:rPr>
            </w:pPr>
            <w:r>
              <w:rPr>
                <w:rFonts w:ascii="Arial" w:cs="Arial" w:eastAsia="Arial" w:hAnsi="Arial"/>
                <w:sz w:val="15"/>
                <w:szCs w:val="15"/>
                <w:color w:val="auto"/>
              </w:rPr>
              <w:t>housing tax credit ("LIHTC") investments</w:t>
            </w:r>
            <w:r>
              <w:rPr>
                <w:rFonts w:ascii="Arial" w:cs="Arial" w:eastAsia="Arial" w:hAnsi="Arial"/>
                <w:sz w:val="20"/>
                <w:szCs w:val="20"/>
                <w:color w:val="auto"/>
                <w:vertAlign w:val="superscript"/>
              </w:rPr>
              <w:t>(3)</w:t>
            </w:r>
          </w:p>
        </w:tc>
        <w:tc>
          <w:tcPr>
            <w:tcW w:w="280" w:type="dxa"/>
            <w:vAlign w:val="bottom"/>
          </w:tcPr>
          <w:p>
            <w:pPr>
              <w:spacing w:after="0"/>
              <w:rPr>
                <w:sz w:val="23"/>
                <w:szCs w:val="23"/>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6,960</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6,973</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right="480" w:hanging="237"/>
        <w:spacing w:after="0" w:line="226"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net carrying amount of securitization and resecuritization trusts were $18.2 billion and $14.1 billion as of March 31, 2026 and December 31, 2025, respectively, which are primarily classified in Investments in securities, at fair value in our condensed consolidated balance sheets.</w:t>
      </w:r>
    </w:p>
    <w:p>
      <w:pPr>
        <w:spacing w:after="0" w:line="27" w:lineRule="exact"/>
        <w:rPr>
          <w:rFonts w:ascii="Arial" w:cs="Arial" w:eastAsia="Arial" w:hAnsi="Arial"/>
          <w:sz w:val="18"/>
          <w:szCs w:val="18"/>
          <w:color w:val="auto"/>
          <w:vertAlign w:val="superscript"/>
        </w:rPr>
      </w:pPr>
    </w:p>
    <w:p>
      <w:pPr>
        <w:ind w:left="240" w:right="420" w:hanging="237"/>
        <w:spacing w:after="0" w:line="218"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Maximum exposure to loss of credit risk transfer SPVs consists of the UPB and accrued interest payable of obligations issued by Connecticut Avenue Securities® ("CAS") and Multifamily Connecticut Avenue Securities® ("MCAS</w:t>
      </w:r>
      <w:r>
        <w:rPr>
          <w:rFonts w:ascii="Arial" w:cs="Arial" w:eastAsia="Arial" w:hAnsi="Arial"/>
          <w:sz w:val="8"/>
          <w:szCs w:val="8"/>
          <w:color w:val="auto"/>
        </w:rPr>
        <w:t>TM</w:t>
      </w:r>
      <w:r>
        <w:rPr>
          <w:rFonts w:ascii="Arial" w:cs="Arial" w:eastAsia="Arial" w:hAnsi="Arial"/>
          <w:sz w:val="14"/>
          <w:szCs w:val="14"/>
          <w:color w:val="auto"/>
        </w:rPr>
        <w:t>") SPVs.</w:t>
      </w:r>
    </w:p>
    <w:p>
      <w:pPr>
        <w:spacing w:after="0" w:line="26" w:lineRule="exact"/>
        <w:rPr>
          <w:rFonts w:ascii="Arial" w:cs="Arial" w:eastAsia="Arial" w:hAnsi="Arial"/>
          <w:sz w:val="18"/>
          <w:szCs w:val="18"/>
          <w:color w:val="auto"/>
          <w:vertAlign w:val="superscript"/>
        </w:rPr>
      </w:pPr>
    </w:p>
    <w:p>
      <w:pPr>
        <w:jc w:val="both"/>
        <w:ind w:left="240" w:right="280" w:hanging="237"/>
        <w:spacing w:after="0" w:line="233"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net carrying value of LIHTC investments that represent VIEs was $744 million and $750 million as of March 31, 2026 and December 31, 2025, respectively. The net carrying value of all LIHTC investments was $2.5 billion as of March 31, 2026 and December 31, 2025. In our condensed consolidated balance sheets, the LIHTC investment assets and liabilities are classified as “Other assets” and “Other liabilities,” respectively.</w:t>
      </w:r>
    </w:p>
    <w:p>
      <w:pPr>
        <w:spacing w:after="0" w:line="5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of March 31, 2026, the UPB of our multifamily loan portfolio was $532.8 billion. 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however, the disclosures we have provided in “Note 4, Mortgage Loans,” “Note 5, Allowance for Credit Losses” and “Note 7, Financial Guarantees” with respect to this population are consistent with the FASB’s stated objectives for the disclosures related to unconsolidated VIEs.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6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We issue single-class Fannie Mae MBS through portfolio securitization transactions by transferring pools of mortgage loans or mortgage-related securities to one or more trusts or special purpose entities. For the three months ended March 31, 2026 and 2025, the UPB of portfolio securitizations was $48.3 billion and $35.5 billion, respectively. We consolidate the substantial majority of these portfolio securitization transactions.</w:t>
      </w:r>
    </w:p>
    <w:p>
      <w:pPr>
        <w:spacing w:after="0" w:line="3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portfolio securitization trusts and unconsolidated single-class and multi-class portfolio resecuritization trusts. As of March 31, 2026, the UPB of retained interests was $5.3 billion and its related fair value was $5.7 billion. As of December 31, 2025, the UPB of retained interests was $1.0 billion and its related fair value was $1.3 billion. For the three months ended March 31, 2026 and 2025, the principal, interest and other fees received on retained interests was $71 million and $57 million, respectively.</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record on our consolidated balance sheets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UPB, adjusted for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348615</wp:posOffset>
            </wp:positionV>
            <wp:extent cx="68059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5" w:name="page66"/>
    <w:bookmarkEnd w:id="6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206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March 31, 2026</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2025</w:t>
            </w:r>
          </w:p>
        </w:tc>
      </w:tr>
      <w:tr>
        <w:trPr>
          <w:trHeight w:val="29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3,560,543</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3,570,904</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532,841</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524,962</w:t>
            </w:r>
          </w:p>
        </w:tc>
      </w:tr>
      <w:tr>
        <w:trPr>
          <w:trHeight w:val="30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UPB of mortgage loans</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4,093,384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4,095,866</w:t>
            </w:r>
          </w:p>
        </w:tc>
      </w:tr>
      <w:tr>
        <w:trPr>
          <w:trHeight w:val="30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30,273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31,811</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(8,357)</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(8,364)</w:t>
            </w:r>
          </w:p>
        </w:tc>
      </w:tr>
      <w:tr>
        <w:trPr>
          <w:trHeight w:val="302"/>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4,115,300</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4,119,313</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Excludes $11.4 billion and $11.3 billion of accrued interest receivable as of March 31, 2026 and December 31, 2025,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sales of mortgage loans during the period.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7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3100" w:type="dxa"/>
            <w:vAlign w:val="bottom"/>
            <w:tcBorders>
              <w:bottom w:val="single" w:sz="8" w:color="2C6937"/>
            </w:tcBorders>
            <w:gridSpan w:val="4"/>
          </w:tcPr>
          <w:p>
            <w:pPr>
              <w:jc w:val="right"/>
              <w:ind w:right="123"/>
              <w:spacing w:after="0"/>
              <w:rPr>
                <w:sz w:val="20"/>
                <w:szCs w:val="20"/>
                <w:color w:val="auto"/>
              </w:rPr>
            </w:pPr>
            <w:r>
              <w:rPr>
                <w:rFonts w:ascii="Arial" w:cs="Arial" w:eastAsia="Arial" w:hAnsi="Arial"/>
                <w:sz w:val="15"/>
                <w:szCs w:val="15"/>
                <w:b w:val="1"/>
                <w:bCs w:val="1"/>
                <w:color w:val="auto"/>
              </w:rPr>
              <w:t>For the Three Months Ended March 31,</w:t>
            </w:r>
          </w:p>
        </w:tc>
      </w:tr>
      <w:tr>
        <w:trPr>
          <w:trHeight w:val="199"/>
        </w:trPr>
        <w:tc>
          <w:tcPr>
            <w:tcW w:w="77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right"/>
              <w:ind w:right="54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6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523"/>
              <w:spacing w:after="0"/>
              <w:rPr>
                <w:sz w:val="20"/>
                <w:szCs w:val="20"/>
                <w:color w:val="auto"/>
              </w:rPr>
            </w:pPr>
            <w:r>
              <w:rPr>
                <w:rFonts w:ascii="Arial" w:cs="Arial" w:eastAsia="Arial" w:hAnsi="Arial"/>
                <w:sz w:val="15"/>
                <w:szCs w:val="15"/>
                <w:b w:val="1"/>
                <w:bCs w:val="1"/>
                <w:color w:val="auto"/>
              </w:rPr>
              <w:t>2025</w:t>
            </w:r>
          </w:p>
        </w:tc>
      </w:tr>
      <w:tr>
        <w:trPr>
          <w:trHeight w:val="283"/>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5"/>
                <w:szCs w:val="15"/>
                <w:b w:val="1"/>
                <w:bCs w:val="1"/>
                <w:color w:val="auto"/>
              </w:rPr>
              <w:t>(Dollars in millions)</w:t>
            </w:r>
          </w:p>
        </w:tc>
        <w:tc>
          <w:tcPr>
            <w:tcW w:w="960" w:type="dxa"/>
            <w:vAlign w:val="bottom"/>
          </w:tcPr>
          <w:p>
            <w:pPr>
              <w:spacing w:after="0"/>
              <w:rPr>
                <w:sz w:val="24"/>
                <w:szCs w:val="24"/>
                <w:color w:val="auto"/>
              </w:rPr>
            </w:pPr>
          </w:p>
        </w:tc>
      </w:tr>
      <w:tr>
        <w:trPr>
          <w:trHeight w:val="224"/>
        </w:trPr>
        <w:tc>
          <w:tcPr>
            <w:tcW w:w="77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7720" w:type="dxa"/>
            <w:vAlign w:val="bottom"/>
          </w:tcPr>
          <w:p>
            <w:pPr>
              <w:ind w:left="160"/>
              <w:spacing w:after="0"/>
              <w:rPr>
                <w:sz w:val="20"/>
                <w:szCs w:val="20"/>
                <w:color w:val="auto"/>
              </w:rPr>
            </w:pPr>
            <w:r>
              <w:rPr>
                <w:rFonts w:ascii="Arial" w:cs="Arial" w:eastAsia="Arial" w:hAnsi="Arial"/>
                <w:sz w:val="15"/>
                <w:szCs w:val="15"/>
                <w:color w:val="auto"/>
              </w:rPr>
              <w:t>Single-family UPB</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98,465</w:t>
            </w:r>
          </w:p>
        </w:tc>
        <w:tc>
          <w:tcPr>
            <w:tcW w:w="100" w:type="dxa"/>
            <w:vAlign w:val="bottom"/>
          </w:tcPr>
          <w:p>
            <w:pPr>
              <w:spacing w:after="0"/>
              <w:rPr>
                <w:sz w:val="21"/>
                <w:szCs w:val="21"/>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63,627</w:t>
            </w:r>
          </w:p>
        </w:tc>
      </w:tr>
      <w:tr>
        <w:trPr>
          <w:trHeight w:val="232"/>
        </w:trPr>
        <w:tc>
          <w:tcPr>
            <w:tcW w:w="7720" w:type="dxa"/>
            <w:vAlign w:val="bottom"/>
          </w:tcPr>
          <w:p>
            <w:pPr>
              <w:ind w:left="160"/>
              <w:spacing w:after="0"/>
              <w:rPr>
                <w:sz w:val="20"/>
                <w:szCs w:val="20"/>
                <w:color w:val="auto"/>
              </w:rPr>
            </w:pPr>
            <w:r>
              <w:rPr>
                <w:rFonts w:ascii="Arial" w:cs="Arial" w:eastAsia="Arial" w:hAnsi="Arial"/>
                <w:sz w:val="15"/>
                <w:szCs w:val="15"/>
                <w:color w:val="auto"/>
              </w:rPr>
              <w:t>Multifamily UPB</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16,852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11,514</w:t>
            </w:r>
          </w:p>
        </w:tc>
      </w:tr>
      <w:tr>
        <w:trPr>
          <w:trHeight w:val="392"/>
        </w:trPr>
        <w:tc>
          <w:tcPr>
            <w:tcW w:w="77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77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510</w:t>
            </w:r>
          </w:p>
        </w:tc>
      </w:tr>
      <w:tr>
        <w:trPr>
          <w:trHeight w:val="355"/>
        </w:trPr>
        <w:tc>
          <w:tcPr>
            <w:tcW w:w="77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4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63"/>
        </w:trPr>
        <w:tc>
          <w:tcPr>
            <w:tcW w:w="77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w:t>
            </w:r>
          </w:p>
        </w:tc>
      </w:tr>
    </w:tbl>
    <w:p>
      <w:pPr>
        <w:spacing w:after="0" w:line="88" w:lineRule="exact"/>
        <w:rPr>
          <w:sz w:val="20"/>
          <w:szCs w:val="20"/>
          <w:color w:val="auto"/>
        </w:rPr>
      </w:pP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393"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6" w:name="page67"/>
    <w:bookmarkEnd w:id="66"/>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642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642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642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642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0090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04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rPr>
              <w:t>or More</w:t>
            </w:r>
          </w:p>
        </w:tc>
        <w:tc>
          <w:tcPr>
            <w:tcW w:w="104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w w:val="99"/>
              </w:rPr>
              <w:t>Nonaccrual</w:t>
            </w:r>
          </w:p>
        </w:tc>
      </w:tr>
      <w:tr>
        <w:trPr>
          <w:trHeight w:val="166"/>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60 - 89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40" w:type="dxa"/>
            <w:vAlign w:val="bottom"/>
          </w:tcPr>
          <w:p>
            <w:pPr>
              <w:jc w:val="center"/>
              <w:ind w:right="11"/>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Accruing</w:t>
            </w:r>
          </w:p>
        </w:tc>
        <w:tc>
          <w:tcPr>
            <w:tcW w:w="104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rPr>
              <w:t>Allowance</w:t>
            </w:r>
            <w:r>
              <w:rPr>
                <w:rFonts w:ascii="Arial" w:cs="Arial" w:eastAsia="Arial" w:hAnsi="Arial"/>
                <w:sz w:val="8"/>
                <w:szCs w:val="8"/>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60090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30,127</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8,662</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21,097</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59,886</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3,176,040</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3,235,926</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4,150</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311,655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313,647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16,139</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17,019</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127</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31,896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3,534,575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3,597,612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4,529</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527,906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531,713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2,022</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32,269</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25,496</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66,844</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4,062,481</w:t>
            </w:r>
          </w:p>
        </w:tc>
        <w:tc>
          <w:tcPr>
            <w:tcW w:w="12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4,129,325</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6,551</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18415</wp:posOffset>
            </wp:positionV>
            <wp:extent cx="59924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Loans 90 Days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or More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Delinquent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51"/>
              <w:spacing w:after="0" w:line="155" w:lineRule="exact"/>
              <w:rPr>
                <w:sz w:val="20"/>
                <w:szCs w:val="20"/>
                <w:color w:val="auto"/>
              </w:rPr>
            </w:pPr>
            <w:r>
              <w:rPr>
                <w:rFonts w:ascii="Arial" w:cs="Arial" w:eastAsia="Arial" w:hAnsi="Arial"/>
                <w:sz w:val="14"/>
                <w:szCs w:val="14"/>
                <w:b w:val="1"/>
                <w:bCs w:val="1"/>
                <w:color w:val="auto"/>
                <w:w w:val="98"/>
              </w:rPr>
              <w:t>Accruing</w:t>
            </w: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w w:val="98"/>
              </w:rPr>
              <w:t>Interest</w:t>
            </w: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Allowance</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33,764</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10,205</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20,857</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64,826</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3,175,684</w:t>
            </w:r>
          </w:p>
        </w:tc>
        <w:tc>
          <w:tcPr>
            <w:tcW w:w="10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3,240,510</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3,713</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320,414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322,584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16,690</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17,626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35,687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68,226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3,541,100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3,609,326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4,056</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520,194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523,953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1,985</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36,206</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25,094</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71,985</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4,061,294</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4,133,279</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6,041</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200"/>
            <w:col w:w="9460"/>
          </w:cols>
          <w:pgMar w:left="320" w:top="248" w:right="339" w:bottom="1440" w:gutter="0" w:footer="0" w:header="0"/>
          <w:type w:val="continuous"/>
        </w:sectPr>
      </w:pPr>
    </w:p>
    <w:p>
      <w:pPr>
        <w:ind w:left="240" w:right="160" w:hanging="237"/>
        <w:spacing w:after="0" w:line="226"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27" w:lineRule="exact"/>
        <w:rPr>
          <w:rFonts w:ascii="Arial" w:cs="Arial" w:eastAsia="Arial" w:hAnsi="Arial"/>
          <w:sz w:val="18"/>
          <w:szCs w:val="18"/>
          <w:color w:val="auto"/>
          <w:vertAlign w:val="superscript"/>
        </w:rPr>
      </w:pPr>
    </w:p>
    <w:p>
      <w:pPr>
        <w:ind w:left="240" w:right="440" w:hanging="237"/>
        <w:spacing w:after="0" w:line="226"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loans for which we have recorded write-offs upon determining that amounts are uncollectible, resulting in the removal of the associated allowance for loan losses.</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Reverse mortgage loans included in “Other” are not aged due to their nature and are included in the current column.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$5.9 billion and $5.4 billion as of March 31, 2026 and December 31, 2025, respectively. As a result of our various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67" w:name="page68"/>
    <w:bookmarkEnd w:id="67"/>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mitigation and foreclosure prevention efforts, we expect that only a portion of the loans in the process of formal foreclosure proceedings will ultimately foreclose.</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81" w:lineRule="exact"/>
        <w:rPr>
          <w:sz w:val="20"/>
          <w:szCs w:val="20"/>
          <w:color w:val="auto"/>
        </w:rPr>
      </w:pPr>
    </w:p>
    <w:p>
      <w:pPr>
        <w:jc w:val="both"/>
        <w:ind w:right="300"/>
        <w:spacing w:after="0" w:line="272"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32"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The following tables display information about the credit quality of our single-family mortgage loans as well as write-offs by class of financing receivable and year of origination.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8" w:name="page69"/>
    <w:bookmarkEnd w:id="6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March 31, 2026 and Write-offs for the Three Months Ended March 31, 2026,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36,125</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165,507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147,187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138,942</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306,059</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2,056,187</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2,850,007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55,521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61,284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46,835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47,842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14,851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234,981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12,752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65,397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34,598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14,962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142,968</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1,784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2,157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3,008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509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7,970</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57,525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286,937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244,853</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202,896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369,813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2,073,902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3,235,926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126</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6,362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25,749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254,785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310,628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2,268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749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4,520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16,820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6,767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4,939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25,813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254,788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313,647</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26,107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3,215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1,619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2,335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7,952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1,838</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2,009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4,593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12,293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31,020</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14,236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14,236</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14,315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14,315</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41,729</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186,001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154,811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145,272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335,701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2,337,464</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3,200,978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58,384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62,045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47,307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48,407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240,504</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66,809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34,812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145,356</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2,181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3,055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8,070</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64,380</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311,709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253,458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209,844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400,219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2,355,298</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3,594,908</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9" w:name="page70"/>
    <w:bookmarkEnd w:id="6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2025 and Write-offs for the Year Ended December 31, 2025,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145,040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152,418</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142,942</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306,573</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792,049</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1,301,401</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2,840,423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54,527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62,451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52,313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240,132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69,983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44,582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18,590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15,374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151,230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2,035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2,314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8,725</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270,116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261,486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216,159</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378,287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809,560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1,304,902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3,240,510</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13,753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5,149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26,742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141,455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319,730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2,119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15,837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7,324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5,288</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26,837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125,843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141,455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322,584</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24,063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2,963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7,032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1,975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2,120</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4,901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7,846</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28,606</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14,701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14,788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14,788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163,343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160,536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149,624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337,271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922,745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1,465,398</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3,198,917</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57,484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63,333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52,872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53,845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245,259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71,589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44,876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153,481</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2,040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2,339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3,188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8,831</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292,985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270,785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223,567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409,856</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940,304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1,468,991</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3,606,488</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280</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723</w:t>
            </w:r>
          </w:p>
        </w:tc>
      </w:tr>
    </w:tbl>
    <w:p>
      <w:pPr>
        <w:spacing w:after="0" w:line="109" w:lineRule="exact"/>
        <w:rPr>
          <w:sz w:val="20"/>
          <w:szCs w:val="20"/>
          <w:color w:val="auto"/>
        </w:rPr>
      </w:pPr>
    </w:p>
    <w:p>
      <w:pPr>
        <w:ind w:left="240" w:right="20" w:hanging="237"/>
        <w:spacing w:after="0" w:line="233" w:lineRule="auto"/>
        <w:tabs>
          <w:tab w:leader="none" w:pos="233"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Excludes amortized cost of $2.7 billion and $2.8 billion as of March 31, 2026 and December 31, 2025, respectively, of mortgage loans guaranteed or insured, in whole or in part, by the U.S. government or one of its agencies, which represents primarily reverse mortgages for which we do not calculate an estimated mark-to-market LTV ratio. For the three months ended March 31, 2026 and year ended December 31, 2025, it also excludes write-offs of $1 million and $6 million, respectively, of mortgage loans guaranteed or insured, in whole or in part, by the U.S. government or one of its agencies. Year of loan origination may not be the same as the period in which we subsequently acquired the loan.</w:t>
      </w:r>
    </w:p>
    <w:p>
      <w:pPr>
        <w:spacing w:after="0" w:line="26" w:lineRule="exact"/>
        <w:rPr>
          <w:rFonts w:ascii="Arial" w:cs="Arial" w:eastAsia="Arial" w:hAnsi="Arial"/>
          <w:sz w:val="18"/>
          <w:szCs w:val="18"/>
          <w:color w:val="auto"/>
          <w:vertAlign w:val="superscript"/>
        </w:rPr>
      </w:pPr>
    </w:p>
    <w:p>
      <w:pPr>
        <w:ind w:left="240" w:right="360" w:hanging="237"/>
        <w:spacing w:after="0" w:line="278" w:lineRule="auto"/>
        <w:tabs>
          <w:tab w:leader="none" w:pos="233" w:val="left"/>
        </w:tabs>
        <w:numPr>
          <w:ilvl w:val="0"/>
          <w:numId w:val="59"/>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UPB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0" w:name="page71"/>
    <w:bookmarkEnd w:id="7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20"/>
        <w:spacing w:after="0" w:line="272" w:lineRule="auto"/>
        <w:rPr>
          <w:sz w:val="20"/>
          <w:szCs w:val="20"/>
          <w:color w:val="auto"/>
        </w:rPr>
      </w:pPr>
      <w:r>
        <w:rPr>
          <w:rFonts w:ascii="Arial" w:cs="Arial" w:eastAsia="Arial" w:hAnsi="Arial"/>
          <w:sz w:val="16"/>
          <w:szCs w:val="16"/>
          <w:color w:val="auto"/>
        </w:rPr>
        <w:t>The following tables display the total amortized cost of our multifamily mortgage loans by year of origination and credit-risk rating. Property rental income and property valuations are key inputs to our internally assigned credit risk ratings. The tables below also include current year write-offs of our multifamily mortgage loans by year of origination.</w:t>
      </w:r>
    </w:p>
    <w:p>
      <w:pPr>
        <w:spacing w:after="0" w:line="212"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Credit Quality Indicators as of March 31, 2026 and Write-offs for the Three Months Ended March 31, 2026, by</w:t>
      </w:r>
    </w:p>
    <w:p>
      <w:pPr>
        <w:spacing w:after="0" w:line="8"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26035</wp:posOffset>
            </wp:positionV>
            <wp:extent cx="45104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64"/>
              <w:spacing w:after="0"/>
              <w:rPr>
                <w:sz w:val="20"/>
                <w:szCs w:val="20"/>
                <w:color w:val="auto"/>
              </w:rPr>
            </w:pPr>
            <w:r>
              <w:rPr>
                <w:rFonts w:ascii="Arial" w:cs="Arial" w:eastAsia="Arial" w:hAnsi="Arial"/>
                <w:sz w:val="14"/>
                <w:szCs w:val="14"/>
                <w:b w:val="1"/>
                <w:bCs w:val="1"/>
                <w:color w:val="auto"/>
                <w:w w:val="91"/>
              </w:rPr>
              <w:t>Prior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400" w:type="dxa"/>
            <w:vAlign w:val="bottom"/>
            <w:tcBorders>
              <w:top w:val="single" w:sz="8" w:color="2C6937"/>
            </w:tcBorders>
            <w:gridSpan w:val="9"/>
          </w:tcPr>
          <w:p>
            <w:pPr>
              <w:jc w:val="right"/>
              <w:ind w:right="120"/>
              <w:spacing w:after="0"/>
              <w:rPr>
                <w:sz w:val="20"/>
                <w:szCs w:val="20"/>
                <w:color w:val="auto"/>
              </w:rPr>
            </w:pPr>
            <w:r>
              <w:rPr>
                <w:rFonts w:ascii="Arial" w:cs="Arial" w:eastAsia="Arial" w:hAnsi="Arial"/>
                <w:sz w:val="14"/>
                <w:szCs w:val="14"/>
                <w:b w:val="1"/>
                <w:bCs w:val="1"/>
                <w:color w:val="auto"/>
                <w:w w:val="96"/>
              </w:rPr>
              <w:t>(Dollars in millions)</w:t>
            </w:r>
          </w:p>
        </w:tc>
        <w:tc>
          <w:tcPr>
            <w:tcW w:w="56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6"/>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6,722</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77,695</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52,044</w:t>
            </w:r>
          </w:p>
        </w:tc>
        <w:tc>
          <w:tcPr>
            <w:tcW w:w="100" w:type="dxa"/>
            <w:vAlign w:val="bottom"/>
          </w:tcPr>
          <w:p>
            <w:pPr>
              <w:spacing w:after="0"/>
              <w:rPr>
                <w:sz w:val="24"/>
                <w:szCs w:val="24"/>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48,418</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48,543</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269,125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502,547</w:t>
            </w:r>
          </w:p>
        </w:tc>
        <w:tc>
          <w:tcPr>
            <w:tcW w:w="220" w:type="dxa"/>
            <w:vAlign w:val="bottom"/>
          </w:tcPr>
          <w:p>
            <w:pPr>
              <w:spacing w:after="0"/>
              <w:rPr>
                <w:sz w:val="24"/>
                <w:szCs w:val="24"/>
                <w:color w:val="auto"/>
              </w:rPr>
            </w:pP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1,183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1,631</w:t>
            </w:r>
          </w:p>
        </w:tc>
        <w:tc>
          <w:tcPr>
            <w:tcW w:w="220" w:type="dxa"/>
            <w:vAlign w:val="bottom"/>
          </w:tcPr>
          <w:p>
            <w:pPr>
              <w:spacing w:after="0"/>
              <w:rPr>
                <w:sz w:val="20"/>
                <w:szCs w:val="20"/>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2,148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4,009</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6,876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14,397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27,535</w:t>
            </w:r>
          </w:p>
        </w:tc>
        <w:tc>
          <w:tcPr>
            <w:tcW w:w="220" w:type="dxa"/>
            <w:vAlign w:val="bottom"/>
          </w:tcPr>
          <w:p>
            <w:pPr>
              <w:spacing w:after="0"/>
              <w:rPr>
                <w:sz w:val="23"/>
                <w:szCs w:val="23"/>
                <w:color w:val="auto"/>
              </w:rPr>
            </w:pPr>
          </w:p>
        </w:tc>
      </w:tr>
      <w:tr>
        <w:trPr>
          <w:trHeight w:val="270"/>
        </w:trPr>
        <w:tc>
          <w:tcPr>
            <w:tcW w:w="38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4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r>
      <w:tr>
        <w:trPr>
          <w:trHeight w:val="302"/>
        </w:trPr>
        <w:tc>
          <w:tcPr>
            <w:tcW w:w="38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24"/>
                <w:szCs w:val="24"/>
                <w:color w:val="auto"/>
              </w:rPr>
            </w:pPr>
          </w:p>
        </w:tc>
        <w:tc>
          <w:tcPr>
            <w:tcW w:w="24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6,722</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77,814</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54,388</w:t>
            </w:r>
          </w:p>
        </w:tc>
        <w:tc>
          <w:tcPr>
            <w:tcW w:w="100" w:type="dxa"/>
            <w:vAlign w:val="bottom"/>
          </w:tcPr>
          <w:p>
            <w:pPr>
              <w:spacing w:after="0"/>
              <w:rPr>
                <w:sz w:val="24"/>
                <w:szCs w:val="24"/>
                <w:color w:val="auto"/>
              </w:rPr>
            </w:pPr>
          </w:p>
        </w:tc>
        <w:tc>
          <w:tcPr>
            <w:tcW w:w="14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52,509</w:t>
            </w:r>
          </w:p>
        </w:tc>
        <w:tc>
          <w:tcPr>
            <w:tcW w:w="12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55,575</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284,705</w:t>
            </w:r>
          </w:p>
        </w:tc>
        <w:tc>
          <w:tcPr>
            <w:tcW w:w="10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531,713</w:t>
            </w:r>
          </w:p>
        </w:tc>
        <w:tc>
          <w:tcPr>
            <w:tcW w:w="220" w:type="dxa"/>
            <w:vAlign w:val="bottom"/>
          </w:tcPr>
          <w:p>
            <w:pPr>
              <w:spacing w:after="0"/>
              <w:rPr>
                <w:sz w:val="24"/>
                <w:szCs w:val="24"/>
                <w:color w:val="auto"/>
              </w:rPr>
            </w:pPr>
          </w:p>
        </w:tc>
      </w:tr>
      <w:tr>
        <w:trPr>
          <w:trHeight w:val="20"/>
        </w:trPr>
        <w:tc>
          <w:tcPr>
            <w:tcW w:w="3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114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243</w:t>
            </w:r>
          </w:p>
        </w:tc>
        <w:tc>
          <w:tcPr>
            <w:tcW w:w="220" w:type="dxa"/>
            <w:vAlign w:val="bottom"/>
          </w:tcPr>
          <w:p>
            <w:pPr>
              <w:spacing w:after="0"/>
              <w:rPr>
                <w:sz w:val="19"/>
                <w:szCs w:val="19"/>
                <w:color w:val="auto"/>
              </w:rPr>
            </w:pPr>
          </w:p>
        </w:tc>
      </w:tr>
      <w:tr>
        <w:trPr>
          <w:trHeight w:val="379"/>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3"/>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2025 and Write-offs for the Year Ended December 31, 2025, by</w:t>
            </w:r>
          </w:p>
        </w:tc>
      </w:tr>
      <w:tr>
        <w:trPr>
          <w:trHeight w:val="188"/>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9"/>
          </w:tcPr>
          <w:p>
            <w:pPr>
              <w:ind w:left="4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8"/>
                <w:szCs w:val="8"/>
                <w:b w:val="1"/>
                <w:bCs w:val="1"/>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gridSpan w:val="2"/>
          </w:tcPr>
          <w:p>
            <w:pPr>
              <w:spacing w:after="0"/>
              <w:rPr>
                <w:sz w:val="2"/>
                <w:szCs w:val="2"/>
                <w:color w:val="auto"/>
              </w:rPr>
            </w:pPr>
          </w:p>
        </w:tc>
      </w:tr>
      <w:tr>
        <w:trPr>
          <w:trHeight w:val="211"/>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64"/>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8"/>
          </w:tcPr>
          <w:p>
            <w:pPr>
              <w:jc w:val="right"/>
              <w:ind w:right="444"/>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6"/>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67,503</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52,368</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48,990</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49,486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58,248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218,704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495,299</w:t>
            </w: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1,505</w:t>
            </w: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1,920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3,753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6,567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3,291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11,239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27,148</w:t>
            </w:r>
          </w:p>
        </w:tc>
      </w:tr>
      <w:tr>
        <w:trPr>
          <w:trHeight w:val="270"/>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2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560" w:type="dxa"/>
            <w:vAlign w:val="bottom"/>
            <w:tcBorders>
              <w:bottom w:val="single" w:sz="8" w:color="2C6937"/>
            </w:tcBorders>
          </w:tcPr>
          <w:p>
            <w:pPr>
              <w:spacing w:after="0"/>
              <w:rPr>
                <w:sz w:val="23"/>
                <w:szCs w:val="23"/>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60" w:type="dxa"/>
            <w:vAlign w:val="bottom"/>
            <w:tcBorders>
              <w:bottom w:val="single" w:sz="8" w:color="2C6937"/>
            </w:tcBorders>
          </w:tcPr>
          <w:p>
            <w:pPr>
              <w:spacing w:after="0"/>
              <w:rPr>
                <w:sz w:val="23"/>
                <w:szCs w:val="23"/>
                <w:color w:val="auto"/>
              </w:rPr>
            </w:pPr>
          </w:p>
        </w:tc>
        <w:tc>
          <w:tcPr>
            <w:tcW w:w="2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302"/>
        </w:trPr>
        <w:tc>
          <w:tcPr>
            <w:tcW w:w="390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67,881</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54,475</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52,867</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56,208</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61,785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230,737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523,953</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17</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111</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108</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95"/>
              </w:rPr>
              <w:t>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470</w:t>
            </w:r>
          </w:p>
        </w:tc>
      </w:tr>
    </w:tbl>
    <w:p>
      <w:pPr>
        <w:spacing w:after="0" w:line="71" w:lineRule="exact"/>
        <w:rPr>
          <w:sz w:val="20"/>
          <w:szCs w:val="20"/>
          <w:color w:val="auto"/>
        </w:rPr>
      </w:pPr>
    </w:p>
    <w:p>
      <w:pPr>
        <w:ind w:left="220" w:hanging="217"/>
        <w:spacing w:after="0"/>
        <w:tabs>
          <w:tab w:leader="none" w:pos="220" w:val="left"/>
        </w:tabs>
        <w:numPr>
          <w:ilvl w:val="0"/>
          <w:numId w:val="60"/>
        </w:numPr>
        <w:rPr>
          <w:rFonts w:ascii="Arial" w:cs="Arial" w:eastAsia="Arial" w:hAnsi="Arial"/>
          <w:sz w:val="9"/>
          <w:szCs w:val="9"/>
          <w:color w:val="auto"/>
        </w:rPr>
      </w:pPr>
      <w:r>
        <w:rPr>
          <w:rFonts w:ascii="Arial" w:cs="Arial" w:eastAsia="Arial" w:hAnsi="Arial"/>
          <w:sz w:val="14"/>
          <w:szCs w:val="14"/>
          <w:color w:val="auto"/>
        </w:rPr>
        <w:t>Year of loan origination may not be the same as the period in which we subsequently acquired the loan.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60"/>
        </w:numPr>
        <w:rPr>
          <w:rFonts w:ascii="Arial" w:cs="Arial" w:eastAsia="Arial" w:hAnsi="Arial"/>
          <w:sz w:val="9"/>
          <w:szCs w:val="9"/>
          <w:color w:val="auto"/>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45" w:lineRule="exact"/>
        <w:rPr>
          <w:rFonts w:ascii="Arial" w:cs="Arial" w:eastAsia="Arial" w:hAnsi="Arial"/>
          <w:sz w:val="9"/>
          <w:szCs w:val="9"/>
          <w:color w:val="auto"/>
        </w:rPr>
      </w:pPr>
    </w:p>
    <w:p>
      <w:pPr>
        <w:ind w:left="240" w:right="120" w:hanging="237"/>
        <w:spacing w:after="0" w:line="226"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 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2025 Form 10-K for additional information on our accounting policies for single-family and multifamily loans that have been restructured. Also see “Note 4, Mortgage Loans” in our 2025 Form 10-K for additional information about our single-family and multifamily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1" w:name="page72"/>
    <w:bookmarkEnd w:id="7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jc w:val="both"/>
        <w:ind w:left="320" w:right="260" w:hanging="154"/>
        <w:spacing w:after="0" w:line="273" w:lineRule="auto"/>
        <w:rPr>
          <w:sz w:val="20"/>
          <w:szCs w:val="20"/>
          <w:color w:val="auto"/>
        </w:rPr>
      </w:pPr>
      <w:r>
        <w:rPr>
          <w:rFonts w:ascii="Arial" w:cs="Arial" w:eastAsia="Arial" w:hAnsi="Arial"/>
          <w:sz w:val="15"/>
          <w:szCs w:val="15"/>
          <w:color w:val="auto"/>
        </w:rPr>
        <w:t>20- and 30-year or more, amortizing fixed-rate</w:t>
      </w:r>
    </w:p>
    <w:p>
      <w:pPr>
        <w:spacing w:after="0" w:line="17" w:lineRule="exact"/>
        <w:rPr>
          <w:sz w:val="20"/>
          <w:szCs w:val="20"/>
          <w:color w:val="auto"/>
        </w:rPr>
      </w:pPr>
    </w:p>
    <w:p>
      <w:pPr>
        <w:ind w:left="320" w:hanging="154"/>
        <w:spacing w:after="0" w:line="294" w:lineRule="auto"/>
        <w:rPr>
          <w:sz w:val="20"/>
          <w:szCs w:val="20"/>
          <w:color w:val="auto"/>
        </w:rPr>
      </w:pPr>
      <w:r>
        <w:rPr>
          <w:rFonts w:ascii="Arial" w:cs="Arial" w:eastAsia="Arial" w:hAnsi="Arial"/>
          <w:sz w:val="15"/>
          <w:szCs w:val="15"/>
          <w:color w:val="auto"/>
        </w:rPr>
        <w:t>15-year or less, amortizing fixed-rate</w:t>
      </w:r>
    </w:p>
    <w:p>
      <w:pPr>
        <w:spacing w:after="0" w:line="3" w:lineRule="exact"/>
        <w:rPr>
          <w:sz w:val="20"/>
          <w:szCs w:val="20"/>
          <w:color w:val="auto"/>
        </w:rPr>
      </w:pPr>
    </w:p>
    <w:p>
      <w:pPr>
        <w:ind w:left="180" w:right="520"/>
        <w:spacing w:after="0" w:line="331" w:lineRule="auto"/>
        <w:rPr>
          <w:sz w:val="20"/>
          <w:szCs w:val="20"/>
          <w:color w:val="auto"/>
        </w:rPr>
      </w:pPr>
      <w:r>
        <w:rPr>
          <w:rFonts w:ascii="Arial" w:cs="Arial" w:eastAsia="Arial" w:hAnsi="Arial"/>
          <w:sz w:val="15"/>
          <w:szCs w:val="15"/>
          <w:color w:val="auto"/>
        </w:rPr>
        <w:t>Adjustable-rate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950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20" w:right="500"/>
        <w:spacing w:after="0" w:line="323" w:lineRule="auto"/>
        <w:rPr>
          <w:sz w:val="20"/>
          <w:szCs w:val="20"/>
          <w:color w:val="auto"/>
        </w:rPr>
      </w:pPr>
      <w:r>
        <w:rPr>
          <w:rFonts w:ascii="Arial" w:cs="Arial" w:eastAsia="Arial" w:hAnsi="Arial"/>
          <w:sz w:val="15"/>
          <w:szCs w:val="15"/>
          <w:color w:val="auto"/>
        </w:rPr>
        <w:t>Total single-family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11950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1950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1950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jc w:val="both"/>
        <w:ind w:left="320" w:right="260" w:hanging="154"/>
        <w:spacing w:after="0" w:line="281" w:lineRule="auto"/>
        <w:rPr>
          <w:sz w:val="20"/>
          <w:szCs w:val="20"/>
          <w:color w:val="auto"/>
        </w:rPr>
      </w:pPr>
      <w:r>
        <w:rPr>
          <w:rFonts w:ascii="Arial" w:cs="Arial" w:eastAsia="Arial" w:hAnsi="Arial"/>
          <w:sz w:val="15"/>
          <w:szCs w:val="15"/>
          <w:color w:val="auto"/>
        </w:rPr>
        <w:t>20- and 30-year or more, amortizing fixed-rate</w:t>
      </w:r>
    </w:p>
    <w:p>
      <w:pPr>
        <w:ind w:left="320" w:hanging="154"/>
        <w:spacing w:after="0" w:line="295" w:lineRule="auto"/>
        <w:rPr>
          <w:sz w:val="20"/>
          <w:szCs w:val="20"/>
          <w:color w:val="auto"/>
        </w:rPr>
      </w:pPr>
      <w:r>
        <w:rPr>
          <w:rFonts w:ascii="Arial" w:cs="Arial" w:eastAsia="Arial" w:hAnsi="Arial"/>
          <w:sz w:val="15"/>
          <w:szCs w:val="15"/>
          <w:color w:val="auto"/>
        </w:rPr>
        <w:t>15-year or less, amortizing fixed-rate</w:t>
      </w:r>
    </w:p>
    <w:p>
      <w:pPr>
        <w:spacing w:after="0" w:line="1" w:lineRule="exact"/>
        <w:rPr>
          <w:sz w:val="20"/>
          <w:szCs w:val="20"/>
          <w:color w:val="auto"/>
        </w:rPr>
      </w:pPr>
    </w:p>
    <w:p>
      <w:pPr>
        <w:ind w:left="180" w:right="520"/>
        <w:spacing w:after="0" w:line="331" w:lineRule="auto"/>
        <w:rPr>
          <w:sz w:val="20"/>
          <w:szCs w:val="20"/>
          <w:color w:val="auto"/>
        </w:rPr>
      </w:pPr>
      <w:r>
        <w:rPr>
          <w:rFonts w:ascii="Arial" w:cs="Arial" w:eastAsia="Arial" w:hAnsi="Arial"/>
          <w:sz w:val="15"/>
          <w:szCs w:val="15"/>
          <w:color w:val="auto"/>
        </w:rPr>
        <w:t>Adjustable-rate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950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20" w:right="500"/>
        <w:spacing w:after="0" w:line="331" w:lineRule="auto"/>
        <w:rPr>
          <w:sz w:val="20"/>
          <w:szCs w:val="20"/>
          <w:color w:val="auto"/>
        </w:rPr>
      </w:pPr>
      <w:r>
        <w:rPr>
          <w:rFonts w:ascii="Arial" w:cs="Arial" w:eastAsia="Arial" w:hAnsi="Arial"/>
          <w:sz w:val="15"/>
          <w:szCs w:val="15"/>
          <w:color w:val="auto"/>
        </w:rPr>
        <w:t>Total single-family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950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1950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1950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March 31,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60" w:type="dxa"/>
            <w:vAlign w:val="bottom"/>
            <w:tcBorders>
              <w:top w:val="single" w:sz="8" w:color="2C6937"/>
              <w:bottom w:val="single" w:sz="8" w:color="2C6937"/>
            </w:tcBorders>
          </w:tcPr>
          <w:p>
            <w:pPr>
              <w:ind w:left="1220"/>
              <w:spacing w:after="0"/>
              <w:rPr>
                <w:sz w:val="20"/>
                <w:szCs w:val="20"/>
                <w:color w:val="auto"/>
              </w:rPr>
            </w:pPr>
            <w:r>
              <w:rPr>
                <w:rFonts w:ascii="Arial" w:cs="Arial" w:eastAsia="Arial" w:hAnsi="Arial"/>
                <w:sz w:val="14"/>
                <w:szCs w:val="14"/>
                <w:b w:val="1"/>
                <w:bCs w:val="1"/>
                <w:color w:val="auto"/>
                <w:w w:val="98"/>
              </w:rPr>
              <w:t>Payment Delay (Only)</w:t>
            </w:r>
          </w:p>
        </w:tc>
        <w:tc>
          <w:tcPr>
            <w:tcW w:w="1200" w:type="dxa"/>
            <w:vAlign w:val="bottom"/>
            <w:tcBorders>
              <w:top w:val="single" w:sz="8" w:color="2C6937"/>
              <w:bottom w:val="single" w:sz="8" w:color="2C6937"/>
            </w:tcBorders>
          </w:tcPr>
          <w:p>
            <w:pPr>
              <w:spacing w:after="0"/>
              <w:rPr>
                <w:sz w:val="17"/>
                <w:szCs w:val="17"/>
                <w:color w:val="auto"/>
              </w:rPr>
            </w:pPr>
          </w:p>
        </w:tc>
        <w:tc>
          <w:tcPr>
            <w:tcW w:w="1460" w:type="dxa"/>
            <w:vAlign w:val="bottom"/>
            <w:tcBorders>
              <w:top w:val="single" w:sz="8" w:color="2C6937"/>
            </w:tcBorders>
          </w:tcPr>
          <w:p>
            <w:pPr>
              <w:spacing w:after="0"/>
              <w:rPr>
                <w:sz w:val="17"/>
                <w:szCs w:val="17"/>
                <w:color w:val="auto"/>
              </w:rPr>
            </w:pPr>
          </w:p>
        </w:tc>
        <w:tc>
          <w:tcPr>
            <w:tcW w:w="1420" w:type="dxa"/>
            <w:vAlign w:val="bottom"/>
            <w:tcBorders>
              <w:top w:val="single" w:sz="8" w:color="2C6937"/>
            </w:tcBorders>
          </w:tcPr>
          <w:p>
            <w:pPr>
              <w:spacing w:after="0"/>
              <w:rPr>
                <w:sz w:val="17"/>
                <w:szCs w:val="17"/>
                <w:color w:val="auto"/>
              </w:rPr>
            </w:pPr>
          </w:p>
        </w:tc>
        <w:tc>
          <w:tcPr>
            <w:tcW w:w="940" w:type="dxa"/>
            <w:vAlign w:val="bottom"/>
            <w:tcBorders>
              <w:top w:val="single" w:sz="8" w:color="2C6937"/>
            </w:tcBorders>
          </w:tcPr>
          <w:p>
            <w:pPr>
              <w:spacing w:after="0"/>
              <w:rPr>
                <w:sz w:val="17"/>
                <w:szCs w:val="17"/>
                <w:color w:val="auto"/>
              </w:rPr>
            </w:pPr>
          </w:p>
        </w:tc>
        <w:tc>
          <w:tcPr>
            <w:tcW w:w="15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20" w:type="dxa"/>
            <w:vAlign w:val="bottom"/>
          </w:tcPr>
          <w:p>
            <w:pPr>
              <w:jc w:val="center"/>
              <w:ind w:right="191"/>
              <w:spacing w:after="0" w:line="123" w:lineRule="exact"/>
              <w:rPr>
                <w:sz w:val="20"/>
                <w:szCs w:val="20"/>
                <w:color w:val="auto"/>
              </w:rPr>
            </w:pPr>
            <w:r>
              <w:rPr>
                <w:rFonts w:ascii="Arial" w:cs="Arial" w:eastAsia="Arial" w:hAnsi="Arial"/>
                <w:sz w:val="14"/>
                <w:szCs w:val="14"/>
                <w:b w:val="1"/>
                <w:bCs w:val="1"/>
                <w:color w:val="auto"/>
                <w:w w:val="96"/>
              </w:rPr>
              <w:t>Payment Delay,</w:t>
            </w:r>
          </w:p>
        </w:tc>
        <w:tc>
          <w:tcPr>
            <w:tcW w:w="9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20" w:type="dxa"/>
            <w:vAlign w:val="bottom"/>
          </w:tcPr>
          <w:p>
            <w:pPr>
              <w:jc w:val="center"/>
              <w:ind w:right="211"/>
              <w:spacing w:after="0" w:line="133" w:lineRule="exact"/>
              <w:rPr>
                <w:sz w:val="20"/>
                <w:szCs w:val="20"/>
                <w:color w:val="auto"/>
              </w:rPr>
            </w:pPr>
            <w:r>
              <w:rPr>
                <w:rFonts w:ascii="Arial" w:cs="Arial" w:eastAsia="Arial" w:hAnsi="Arial"/>
                <w:sz w:val="14"/>
                <w:szCs w:val="14"/>
                <w:b w:val="1"/>
                <w:bCs w:val="1"/>
                <w:color w:val="auto"/>
                <w:w w:val="97"/>
              </w:rPr>
              <w:t>Term Extension,</w:t>
            </w:r>
          </w:p>
        </w:tc>
        <w:tc>
          <w:tcPr>
            <w:tcW w:w="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6"/>
              </w:rPr>
              <w:t>Trial Modification</w:t>
            </w:r>
          </w:p>
        </w:tc>
        <w:tc>
          <w:tcPr>
            <w:tcW w:w="14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Payment Delay</w:t>
            </w:r>
          </w:p>
        </w:tc>
        <w:tc>
          <w:tcPr>
            <w:tcW w:w="1420" w:type="dxa"/>
            <w:vAlign w:val="bottom"/>
          </w:tcPr>
          <w:p>
            <w:pPr>
              <w:jc w:val="center"/>
              <w:ind w:right="211"/>
              <w:spacing w:after="0" w:line="151" w:lineRule="exact"/>
              <w:rPr>
                <w:sz w:val="20"/>
                <w:szCs w:val="20"/>
                <w:color w:val="auto"/>
              </w:rPr>
            </w:pPr>
            <w:r>
              <w:rPr>
                <w:rFonts w:ascii="Arial" w:cs="Arial" w:eastAsia="Arial" w:hAnsi="Arial"/>
                <w:sz w:val="14"/>
                <w:szCs w:val="14"/>
                <w:b w:val="1"/>
                <w:bCs w:val="1"/>
                <w:color w:val="auto"/>
                <w:w w:val="96"/>
              </w:rPr>
              <w:t>Interest Rate</w:t>
            </w:r>
          </w:p>
        </w:tc>
        <w:tc>
          <w:tcPr>
            <w:tcW w:w="940" w:type="dxa"/>
            <w:vAlign w:val="bottom"/>
          </w:tcPr>
          <w:p>
            <w:pPr>
              <w:spacing w:after="0"/>
              <w:rPr>
                <w:sz w:val="13"/>
                <w:szCs w:val="13"/>
                <w:color w:val="auto"/>
              </w:rPr>
            </w:pPr>
          </w:p>
        </w:tc>
        <w:tc>
          <w:tcPr>
            <w:tcW w:w="1580" w:type="dxa"/>
            <w:vAlign w:val="bottom"/>
          </w:tcPr>
          <w:p>
            <w:pPr>
              <w:jc w:val="center"/>
              <w:ind w:left="171"/>
              <w:spacing w:after="0" w:line="151"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29"/>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Forbearance Plan  Payment Deferral</w:t>
            </w: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and Term</w:t>
            </w:r>
          </w:p>
        </w:tc>
        <w:tc>
          <w:tcPr>
            <w:tcW w:w="1420" w:type="dxa"/>
            <w:vAlign w:val="bottom"/>
          </w:tcPr>
          <w:p>
            <w:pPr>
              <w:jc w:val="center"/>
              <w:ind w:right="211"/>
              <w:spacing w:after="0" w:line="129" w:lineRule="exact"/>
              <w:rPr>
                <w:sz w:val="20"/>
                <w:szCs w:val="20"/>
                <w:color w:val="auto"/>
              </w:rPr>
            </w:pPr>
            <w:r>
              <w:rPr>
                <w:rFonts w:ascii="Arial" w:cs="Arial" w:eastAsia="Arial" w:hAnsi="Arial"/>
                <w:sz w:val="14"/>
                <w:szCs w:val="14"/>
                <w:b w:val="1"/>
                <w:bCs w:val="1"/>
                <w:color w:val="auto"/>
                <w:w w:val="96"/>
              </w:rPr>
              <w:t>Reduction, and</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580" w:type="dxa"/>
            <w:vAlign w:val="bottom"/>
          </w:tcPr>
          <w:p>
            <w:pPr>
              <w:jc w:val="center"/>
              <w:ind w:left="151"/>
              <w:spacing w:after="0" w:line="129"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2C6937"/>
            </w:tcBorders>
            <w:vMerge w:val="continue"/>
          </w:tcPr>
          <w:p>
            <w:pPr>
              <w:spacing w:after="0"/>
              <w:rPr>
                <w:sz w:val="16"/>
                <w:szCs w:val="16"/>
                <w:color w:val="auto"/>
              </w:rPr>
            </w:pPr>
          </w:p>
        </w:tc>
        <w:tc>
          <w:tcPr>
            <w:tcW w:w="12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Plans</w:t>
            </w:r>
          </w:p>
        </w:tc>
        <w:tc>
          <w:tcPr>
            <w:tcW w:w="146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1420" w:type="dxa"/>
            <w:vAlign w:val="bottom"/>
            <w:tcBorders>
              <w:bottom w:val="single" w:sz="8" w:color="2C6937"/>
            </w:tcBorders>
          </w:tcPr>
          <w:p>
            <w:pPr>
              <w:jc w:val="center"/>
              <w:ind w:right="191"/>
              <w:spacing w:after="0" w:line="194"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940" w:type="dxa"/>
            <w:vAlign w:val="bottom"/>
            <w:tcBorders>
              <w:bottom w:val="single" w:sz="8" w:color="2C6937"/>
            </w:tcBorders>
            <w:vMerge w:val="continue"/>
          </w:tcPr>
          <w:p>
            <w:pPr>
              <w:spacing w:after="0"/>
              <w:rPr>
                <w:sz w:val="16"/>
                <w:szCs w:val="16"/>
                <w:color w:val="auto"/>
              </w:rPr>
            </w:pPr>
          </w:p>
        </w:tc>
        <w:tc>
          <w:tcPr>
            <w:tcW w:w="1580" w:type="dxa"/>
            <w:vAlign w:val="bottom"/>
            <w:tcBorders>
              <w:bottom w:val="single" w:sz="8" w:color="2C6937"/>
            </w:tcBorders>
          </w:tcPr>
          <w:p>
            <w:pPr>
              <w:jc w:val="center"/>
              <w:ind w:left="171"/>
              <w:spacing w:after="0" w:line="194"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5,979</w:t>
            </w:r>
          </w:p>
        </w:tc>
        <w:tc>
          <w:tcPr>
            <w:tcW w:w="540" w:type="dxa"/>
            <w:vAlign w:val="bottom"/>
            <w:gridSpan w:val="4"/>
          </w:tcPr>
          <w:p>
            <w:pPr>
              <w:jc w:val="right"/>
              <w:ind w:right="247"/>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347</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17,635</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477</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2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118</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18,298</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6,245</w:t>
            </w:r>
          </w:p>
        </w:tc>
        <w:tc>
          <w:tcPr>
            <w:tcW w:w="40" w:type="dxa"/>
            <w:vAlign w:val="bottom"/>
            <w:tcBorders>
              <w:bottom w:val="single" w:sz="8" w:color="2C6937"/>
            </w:tcBorders>
            <w:gridSpan w:val="2"/>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2C6937"/>
            </w:tcBorders>
          </w:tcPr>
          <w:p>
            <w:pPr>
              <w:jc w:val="right"/>
              <w:ind w:right="247"/>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2,992</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2C6937"/>
            </w:tcBorders>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2,699</w:t>
            </w:r>
          </w:p>
        </w:tc>
        <w:tc>
          <w:tcPr>
            <w:tcW w:w="20" w:type="dxa"/>
            <w:vAlign w:val="bottom"/>
            <w:tcBorders>
              <w:bottom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18,309</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3720" w:type="dxa"/>
            <w:vAlign w:val="bottom"/>
            <w:tcBorders>
              <w:bottom w:val="single" w:sz="8" w:color="2C6937"/>
            </w:tcBorders>
            <w:gridSpan w:val="11"/>
          </w:tcPr>
          <w:p>
            <w:pPr>
              <w:jc w:val="center"/>
              <w:ind w:right="220"/>
              <w:spacing w:after="0"/>
              <w:rPr>
                <w:sz w:val="20"/>
                <w:szCs w:val="20"/>
                <w:color w:val="auto"/>
              </w:rPr>
            </w:pPr>
            <w:r>
              <w:rPr>
                <w:rFonts w:ascii="Arial" w:cs="Arial" w:eastAsia="Arial" w:hAnsi="Arial"/>
                <w:sz w:val="14"/>
                <w:szCs w:val="14"/>
                <w:b w:val="1"/>
                <w:bCs w:val="1"/>
                <w:color w:val="auto"/>
                <w:w w:val="97"/>
              </w:rPr>
              <w:t>For the Three Months Ended March 31, 2025</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7"/>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2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Trial Modification</w:t>
            </w:r>
          </w:p>
        </w:tc>
        <w:tc>
          <w:tcPr>
            <w:tcW w:w="100" w:type="dxa"/>
            <w:vAlign w:val="bottom"/>
          </w:tcPr>
          <w:p>
            <w:pPr>
              <w:spacing w:after="0"/>
              <w:rPr>
                <w:sz w:val="11"/>
                <w:szCs w:val="11"/>
                <w:color w:val="auto"/>
              </w:rPr>
            </w:pPr>
          </w:p>
        </w:tc>
        <w:tc>
          <w:tcPr>
            <w:tcW w:w="12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6"/>
              </w:rPr>
              <w:t>Payment Delay</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3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34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220" w:type="dxa"/>
            <w:vAlign w:val="bottom"/>
            <w:gridSpan w:val="4"/>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and Term</w:t>
            </w:r>
          </w:p>
        </w:tc>
        <w:tc>
          <w:tcPr>
            <w:tcW w:w="132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2"/>
                <w:szCs w:val="12"/>
                <w:color w:val="auto"/>
              </w:rPr>
            </w:pPr>
          </w:p>
        </w:tc>
        <w:tc>
          <w:tcPr>
            <w:tcW w:w="94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4"/>
              <w:spacing w:after="0" w:line="139"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4"/>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080" w:type="dxa"/>
            <w:vAlign w:val="bottom"/>
            <w:tcBorders>
              <w:bottom w:val="single" w:sz="8" w:color="2C6937"/>
            </w:tcBorders>
            <w:gridSpan w:val="3"/>
          </w:tcPr>
          <w:p>
            <w:pPr>
              <w:jc w:val="center"/>
              <w:ind w:right="380"/>
              <w:spacing w:after="0"/>
              <w:rPr>
                <w:sz w:val="20"/>
                <w:szCs w:val="20"/>
                <w:color w:val="auto"/>
              </w:rPr>
            </w:pPr>
            <w:r>
              <w:rPr>
                <w:rFonts w:ascii="Arial" w:cs="Arial" w:eastAsia="Arial" w:hAnsi="Arial"/>
                <w:sz w:val="14"/>
                <w:szCs w:val="14"/>
                <w:b w:val="1"/>
                <w:bCs w:val="1"/>
                <w:color w:val="auto"/>
              </w:rPr>
              <w:t>Plans</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4"/>
          </w:tcPr>
          <w:p>
            <w:pPr>
              <w:jc w:val="center"/>
              <w:ind w:right="220"/>
              <w:spacing w:after="0" w:line="180"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4"/>
              <w:spacing w:after="0" w:line="180"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8"/>
        </w:trPr>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7,211</w:t>
            </w:r>
          </w:p>
        </w:tc>
        <w:tc>
          <w:tcPr>
            <w:tcW w:w="540" w:type="dxa"/>
            <w:vAlign w:val="bottom"/>
            <w:gridSpan w:val="4"/>
          </w:tcPr>
          <w:p>
            <w:pPr>
              <w:jc w:val="right"/>
              <w:ind w:right="247"/>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6,158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19,618</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546</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76</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w:t>
            </w:r>
          </w:p>
        </w:tc>
        <w:tc>
          <w:tcPr>
            <w:tcW w:w="20" w:type="dxa"/>
            <w:vAlign w:val="bottom"/>
            <w:tcBorders>
              <w:bottom w:val="single" w:sz="8" w:color="2C6937"/>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162</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6,408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20,402</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612</w:t>
            </w:r>
          </w:p>
        </w:tc>
        <w:tc>
          <w:tcPr>
            <w:tcW w:w="20" w:type="dxa"/>
            <w:vAlign w:val="bottom"/>
            <w:tcBorders>
              <w:bottom w:val="single" w:sz="8" w:color="2C6937"/>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634</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8,162</w:t>
            </w:r>
          </w:p>
        </w:tc>
        <w:tc>
          <w:tcPr>
            <w:tcW w:w="540" w:type="dxa"/>
            <w:vAlign w:val="bottom"/>
            <w:gridSpan w:val="4"/>
          </w:tcPr>
          <w:p>
            <w:pPr>
              <w:jc w:val="right"/>
              <w:ind w:right="247"/>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6,408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21,036</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740" w:space="240"/>
            <w:col w:w="9260"/>
          </w:cols>
          <w:pgMar w:left="320" w:top="248" w:right="339" w:bottom="1440" w:gutter="0" w:footer="0" w:header="0"/>
          <w:type w:val="continuous"/>
        </w:sectPr>
      </w:pPr>
    </w:p>
    <w:p>
      <w:pPr>
        <w:ind w:left="200" w:hanging="197"/>
        <w:spacing w:after="0"/>
        <w:tabs>
          <w:tab w:leader="none" w:pos="2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37" w:lineRule="exact"/>
        <w:rPr>
          <w:rFonts w:ascii="Arial" w:cs="Arial" w:eastAsia="Arial" w:hAnsi="Arial"/>
          <w:sz w:val="18"/>
          <w:szCs w:val="18"/>
          <w:color w:val="auto"/>
          <w:vertAlign w:val="superscript"/>
        </w:rPr>
      </w:pPr>
    </w:p>
    <w:p>
      <w:pPr>
        <w:ind w:left="260" w:hanging="257"/>
        <w:spacing w:after="0" w:line="206" w:lineRule="auto"/>
        <w:tabs>
          <w:tab w:leader="none" w:pos="260"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2" w:name="page73"/>
    <w:bookmarkEnd w:id="72"/>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hanging="237"/>
        <w:spacing w:after="0" w:line="233" w:lineRule="auto"/>
        <w:tabs>
          <w:tab w:leader="none" w:pos="216"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Excludes $111 million for the three months ended March 31, 2026, and $169 million for the three months ended March 31, 2025, for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39"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The following tables summarize the financial impacts of loan modifications and payment deferrals made to single-family HFI loans presented by class of financing receivable. We discuss the qualitative impacts of forbearance plans, repayment plans, and trial modifications in our 2025 Form 10-K in “Note 4, Mortgage Loans.” As a result, those loss mitigation options are excluded from the table below.</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2800" w:type="dxa"/>
            <w:vAlign w:val="bottom"/>
            <w:tcBorders>
              <w:bottom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38"/>
        </w:trPr>
        <w:tc>
          <w:tcPr>
            <w:tcW w:w="310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1"/>
                <w:szCs w:val="11"/>
                <w:color w:val="auto"/>
              </w:rPr>
            </w:pPr>
          </w:p>
        </w:tc>
        <w:tc>
          <w:tcPr>
            <w:tcW w:w="110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0.63 %</w:t>
            </w:r>
          </w:p>
        </w:tc>
        <w:tc>
          <w:tcPr>
            <w:tcW w:w="8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145</w:t>
            </w:r>
          </w:p>
        </w:tc>
        <w:tc>
          <w:tcPr>
            <w:tcW w:w="220" w:type="dxa"/>
            <w:vAlign w:val="bottom"/>
            <w:gridSpan w:val="2"/>
          </w:tcPr>
          <w:p>
            <w:pPr>
              <w:ind w:left="10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13,514</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0.63 %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12,403</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0.95</w:t>
            </w:r>
          </w:p>
        </w:tc>
        <w:tc>
          <w:tcPr>
            <w:tcW w:w="8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11,192</w:t>
            </w:r>
          </w:p>
        </w:tc>
        <w:tc>
          <w:tcPr>
            <w:tcW w:w="80" w:type="dxa"/>
            <w:vAlign w:val="bottom"/>
          </w:tcPr>
          <w:p>
            <w:pPr>
              <w:spacing w:after="0"/>
              <w:rPr>
                <w:sz w:val="19"/>
                <w:szCs w:val="19"/>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8,660</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0.64</w:t>
            </w:r>
          </w:p>
        </w:tc>
        <w:tc>
          <w:tcPr>
            <w:tcW w:w="8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10,770</w:t>
            </w:r>
          </w:p>
        </w:tc>
        <w:tc>
          <w:tcPr>
            <w:tcW w:w="8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10,333</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0.66</w:t>
            </w:r>
          </w:p>
        </w:tc>
        <w:tc>
          <w:tcPr>
            <w:tcW w:w="8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13,866</w:t>
            </w:r>
          </w:p>
        </w:tc>
        <w:tc>
          <w:tcPr>
            <w:tcW w:w="80" w:type="dxa"/>
            <w:vAlign w:val="bottom"/>
          </w:tcPr>
          <w:p>
            <w:pPr>
              <w:spacing w:after="0"/>
              <w:rPr>
                <w:sz w:val="24"/>
                <w:szCs w:val="24"/>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11,647</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3" w:name="page74"/>
    <w:bookmarkEnd w:id="7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160" w:type="dxa"/>
            <w:vAlign w:val="bottom"/>
            <w:tcBorders>
              <w:bottom w:val="single" w:sz="8" w:color="2C6937"/>
            </w:tcBorders>
            <w:gridSpan w:val="5"/>
          </w:tcPr>
          <w:p>
            <w:pPr>
              <w:ind w:left="40"/>
              <w:spacing w:after="0"/>
              <w:rPr>
                <w:sz w:val="20"/>
                <w:szCs w:val="20"/>
                <w:color w:val="auto"/>
              </w:rPr>
            </w:pPr>
            <w:r>
              <w:rPr>
                <w:rFonts w:ascii="Arial" w:cs="Arial" w:eastAsia="Arial" w:hAnsi="Arial"/>
                <w:sz w:val="14"/>
                <w:szCs w:val="14"/>
                <w:b w:val="1"/>
                <w:bCs w:val="1"/>
                <w:color w:val="auto"/>
              </w:rPr>
              <w:t>For the Three Months Ended March 31, 2026</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right"/>
              <w:ind w:right="186"/>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1,053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2,218</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74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1,096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97</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2,218</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12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 2025</w:t>
            </w:r>
          </w:p>
        </w:tc>
        <w:tc>
          <w:tcPr>
            <w:tcW w:w="34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Delay and</w:t>
            </w:r>
          </w:p>
        </w:tc>
        <w:tc>
          <w:tcPr>
            <w:tcW w:w="16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1,176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756</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19</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1,951</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25" w:lineRule="exact"/>
        <w:rPr>
          <w:rFonts w:ascii="Arial" w:cs="Arial" w:eastAsia="Arial" w:hAnsi="Arial"/>
          <w:sz w:val="18"/>
          <w:szCs w:val="18"/>
          <w:color w:val="auto"/>
          <w:vertAlign w:val="superscript"/>
        </w:rPr>
      </w:pPr>
    </w:p>
    <w:p>
      <w:pPr>
        <w:ind w:left="240" w:right="60" w:hanging="237"/>
        <w:spacing w:after="0" w:line="255" w:lineRule="auto"/>
        <w:tabs>
          <w:tab w:leader="none" w:pos="216" w:val="left"/>
        </w:tabs>
        <w:numPr>
          <w:ilvl w:val="0"/>
          <w:numId w:val="65"/>
        </w:numPr>
        <w:rPr>
          <w:rFonts w:ascii="Arial" w:cs="Arial" w:eastAsia="Arial" w:hAnsi="Arial"/>
          <w:sz w:val="9"/>
          <w:szCs w:val="9"/>
          <w:color w:val="auto"/>
        </w:rPr>
      </w:pPr>
      <w:r>
        <w:rPr>
          <w:rFonts w:ascii="Arial" w:cs="Arial" w:eastAsia="Arial" w:hAnsi="Arial"/>
          <w:sz w:val="14"/>
          <w:szCs w:val="14"/>
          <w:color w:val="auto"/>
        </w:rPr>
        <w:t>The substantial majority of loans that received a completed modification or a payment deferral during the three months ended March 31, 2026 did not default during the first quarter of 2026. The substantial majority of loans that received a completed modification or a payment deferral during the three months ended March 31, 2025 did not default during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4" w:name="page75"/>
    <w:bookmarkEnd w:id="74"/>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March 31, 2026 and March 31, 2025, respectively, presented by portfolio segment and class of financing receivable.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20" w:right="380"/>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60" w:right="380" w:hanging="42"/>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March 31, 2026</w:t>
      </w:r>
      <w:r>
        <w:rPr>
          <w:rFonts w:ascii="Arial" w:cs="Arial" w:eastAsia="Arial" w:hAnsi="Arial"/>
          <w:sz w:val="8"/>
          <w:szCs w:val="8"/>
          <w:b w:val="1"/>
          <w:bCs w:val="1"/>
          <w:color w:val="auto"/>
        </w:rPr>
        <w:t>(1)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30-59 Days</w:t>
            </w:r>
          </w:p>
        </w:tc>
        <w:tc>
          <w:tcPr>
            <w:tcW w:w="180" w:type="dxa"/>
            <w:vAlign w:val="bottom"/>
            <w:tcBorders>
              <w:top w:val="single" w:sz="8" w:color="2C6937"/>
            </w:tcBorders>
          </w:tcPr>
          <w:p>
            <w:pPr>
              <w:spacing w:after="0"/>
              <w:rPr>
                <w:sz w:val="14"/>
                <w:szCs w:val="14"/>
                <w:color w:val="auto"/>
              </w:rPr>
            </w:pPr>
          </w:p>
        </w:tc>
        <w:tc>
          <w:tcPr>
            <w:tcW w:w="124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60-89 Days</w:t>
            </w:r>
          </w:p>
        </w:tc>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Seriously</w:t>
            </w:r>
          </w:p>
        </w:tc>
        <w:tc>
          <w:tcPr>
            <w:tcW w:w="120" w:type="dxa"/>
            <w:vAlign w:val="bottom"/>
            <w:tcBorders>
              <w:top w:val="single" w:sz="8" w:color="2C6937"/>
            </w:tcBorders>
          </w:tcPr>
          <w:p>
            <w:pPr>
              <w:spacing w:after="0"/>
              <w:rPr>
                <w:sz w:val="14"/>
                <w:szCs w:val="14"/>
                <w:color w:val="auto"/>
              </w:rPr>
            </w:pPr>
          </w:p>
        </w:tc>
        <w:tc>
          <w:tcPr>
            <w:tcW w:w="1300" w:type="dxa"/>
            <w:vAlign w:val="bottom"/>
            <w:tcBorders>
              <w:top w:val="single" w:sz="8" w:color="2C6937"/>
            </w:tcBorders>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Borders>
              <w:top w:val="single" w:sz="8" w:color="2C6937"/>
            </w:tcBorders>
          </w:tcPr>
          <w:p>
            <w:pPr>
              <w:spacing w:after="0"/>
              <w:rPr>
                <w:sz w:val="14"/>
                <w:szCs w:val="14"/>
                <w:color w:val="auto"/>
              </w:rPr>
            </w:pPr>
          </w:p>
        </w:tc>
        <w:tc>
          <w:tcPr>
            <w:tcW w:w="1160" w:type="dxa"/>
            <w:vAlign w:val="bottom"/>
            <w:tcBorders>
              <w:top w:val="single" w:sz="8" w:color="2C6937"/>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top w:val="single" w:sz="8" w:color="2C6937"/>
            </w:tcBorders>
          </w:tcPr>
          <w:p>
            <w:pPr>
              <w:spacing w:after="0"/>
              <w:rPr>
                <w:sz w:val="14"/>
                <w:szCs w:val="14"/>
                <w:color w:val="auto"/>
              </w:rPr>
            </w:pPr>
          </w:p>
        </w:tc>
        <w:tc>
          <w:tcPr>
            <w:tcW w:w="1020" w:type="dxa"/>
            <w:vAlign w:val="bottom"/>
            <w:tcBorders>
              <w:top w:val="single" w:sz="8" w:color="2C6937"/>
            </w:tcBorders>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4,323</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2,807</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13,581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20,711</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16,296</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37,007</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1,019</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2,914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14,060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38,434</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4,489</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2,914</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14,535</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21,938</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16,986</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38,924</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2C6937"/>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As of March 31, 2025</w:t>
            </w:r>
            <w:r>
              <w:rPr>
                <w:rFonts w:ascii="Arial" w:cs="Arial" w:eastAsia="Arial" w:hAnsi="Arial"/>
                <w:sz w:val="17"/>
                <w:szCs w:val="17"/>
                <w:b w:val="1"/>
                <w:bCs w:val="1"/>
                <w:color w:val="auto"/>
                <w:w w:val="95"/>
                <w:vertAlign w:val="superscript"/>
              </w:rPr>
              <w:t>(1)</w:t>
            </w:r>
          </w:p>
        </w:tc>
        <w:tc>
          <w:tcPr>
            <w:tcW w:w="26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4,040</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2,889</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13,813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20,742</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14,107</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34,849</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963</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21,603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14,664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36,267</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613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1,664</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4,203</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3,016</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14,997</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22,216</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15,715</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37,931</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2680" w:space="140"/>
            <w:col w:w="8420"/>
          </w:cols>
          <w:pgMar w:left="320" w:top="248" w:right="339" w:bottom="1440" w:gutter="0" w:footer="0" w:header="0"/>
          <w:type w:val="continuous"/>
        </w:sectPr>
      </w:pPr>
    </w:p>
    <w:p>
      <w:pPr>
        <w:ind w:left="240" w:right="60" w:hanging="237"/>
        <w:spacing w:after="0" w:line="228" w:lineRule="auto"/>
        <w:tabs>
          <w:tab w:leader="none" w:pos="216"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As of March 31, 2026, the substantial majority of loans that received a completed modification or a payment deferral during the first quarter of 2026 were not delinquent as of March 31, 2026. As of March 31, 2025, the substantial majority of loans that received a completed modification or a payment deferral during the first quarter of 2025 were not delinquent as of March 31, 2025.</w:t>
      </w:r>
    </w:p>
    <w:p>
      <w:pPr>
        <w:ind w:left="240" w:hanging="237"/>
        <w:spacing w:after="0"/>
        <w:tabs>
          <w:tab w:leader="none" w:pos="24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5" w:name="page76"/>
    <w:bookmarkEnd w:id="7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at which time a loan is placed on nonaccrual status. See “Note 1, Summary of Significant Accounting Policies” in our 2025 Form 10-K for additional information on our accounting policies for single-family and multifamily nonaccrual loans.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from nonaccrual loans.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040" w:type="dxa"/>
            <w:vAlign w:val="bottom"/>
          </w:tcPr>
          <w:p>
            <w:pPr>
              <w:spacing w:after="0"/>
              <w:rPr>
                <w:sz w:val="18"/>
                <w:szCs w:val="18"/>
                <w:color w:val="auto"/>
              </w:rPr>
            </w:pPr>
          </w:p>
        </w:tc>
        <w:tc>
          <w:tcPr>
            <w:tcW w:w="3460" w:type="dxa"/>
            <w:vAlign w:val="bottom"/>
            <w:tcBorders>
              <w:bottom w:val="single" w:sz="8" w:color="2C6937"/>
            </w:tcBorders>
            <w:gridSpan w:val="4"/>
          </w:tcPr>
          <w:p>
            <w:pPr>
              <w:jc w:val="right"/>
              <w:ind w:right="23"/>
              <w:spacing w:after="0"/>
              <w:rPr>
                <w:sz w:val="20"/>
                <w:szCs w:val="20"/>
                <w:color w:val="auto"/>
              </w:rPr>
            </w:pPr>
            <w:r>
              <w:rPr>
                <w:rFonts w:ascii="Arial" w:cs="Arial" w:eastAsia="Arial" w:hAnsi="Arial"/>
                <w:sz w:val="15"/>
                <w:szCs w:val="15"/>
                <w:b w:val="1"/>
                <w:bCs w:val="1"/>
                <w:color w:val="auto"/>
              </w:rPr>
              <w:t>For the Three Months Ended March 31,</w:t>
            </w:r>
          </w:p>
        </w:tc>
        <w:tc>
          <w:tcPr>
            <w:tcW w:w="420" w:type="dxa"/>
            <w:vAlign w:val="bottom"/>
            <w:tcBorders>
              <w:bottom w:val="single" w:sz="8" w:color="2C6937"/>
            </w:tcBorders>
          </w:tcPr>
          <w:p>
            <w:pPr>
              <w:spacing w:after="0"/>
              <w:rPr>
                <w:sz w:val="18"/>
                <w:szCs w:val="18"/>
                <w:color w:val="auto"/>
              </w:rPr>
            </w:pPr>
          </w:p>
        </w:tc>
      </w:tr>
      <w:tr>
        <w:trPr>
          <w:trHeight w:val="199"/>
        </w:trPr>
        <w:tc>
          <w:tcPr>
            <w:tcW w:w="7040" w:type="dxa"/>
            <w:vAlign w:val="bottom"/>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7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bottom w:val="single" w:sz="8" w:color="2C6937"/>
            </w:tcBorders>
          </w:tcPr>
          <w:p>
            <w:pPr>
              <w:spacing w:after="0"/>
              <w:rPr>
                <w:sz w:val="17"/>
                <w:szCs w:val="17"/>
                <w:color w:val="auto"/>
              </w:rPr>
            </w:pPr>
          </w:p>
        </w:tc>
      </w:tr>
      <w:tr>
        <w:trPr>
          <w:trHeight w:val="185"/>
        </w:trPr>
        <w:tc>
          <w:tcPr>
            <w:tcW w:w="7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gridSpan w:val="3"/>
          </w:tcPr>
          <w:p>
            <w:pPr>
              <w:jc w:val="right"/>
              <w:ind w:right="863"/>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6"/>
                <w:szCs w:val="16"/>
                <w:color w:val="auto"/>
              </w:rPr>
            </w:pPr>
          </w:p>
        </w:tc>
      </w:tr>
      <w:tr>
        <w:trPr>
          <w:trHeight w:val="232"/>
        </w:trPr>
        <w:tc>
          <w:tcPr>
            <w:tcW w:w="704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 interest income:</w:t>
            </w: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3"/>
        </w:trPr>
        <w:tc>
          <w:tcPr>
            <w:tcW w:w="704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180" w:type="dxa"/>
            <w:vAlign w:val="bottom"/>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116</w:t>
            </w:r>
          </w:p>
        </w:tc>
        <w:tc>
          <w:tcPr>
            <w:tcW w:w="80" w:type="dxa"/>
            <w:vAlign w:val="bottom"/>
          </w:tcPr>
          <w:p>
            <w:pPr>
              <w:spacing w:after="0"/>
              <w:rPr>
                <w:sz w:val="21"/>
                <w:szCs w:val="21"/>
                <w:color w:val="auto"/>
              </w:rPr>
            </w:pPr>
          </w:p>
        </w:tc>
        <w:tc>
          <w:tcPr>
            <w:tcW w:w="1480" w:type="dxa"/>
            <w:vAlign w:val="bottom"/>
          </w:tcPr>
          <w:p>
            <w:pPr>
              <w:jc w:val="right"/>
              <w:ind w:right="1303"/>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103</w:t>
            </w:r>
          </w:p>
        </w:tc>
      </w:tr>
      <w:tr>
        <w:trPr>
          <w:trHeight w:val="232"/>
        </w:trPr>
        <w:tc>
          <w:tcPr>
            <w:tcW w:w="704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180" w:type="dxa"/>
            <w:vAlign w:val="bottom"/>
          </w:tcPr>
          <w:p>
            <w:pPr>
              <w:spacing w:after="0"/>
              <w:rPr>
                <w:sz w:val="20"/>
                <w:szCs w:val="20"/>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10</w:t>
            </w:r>
          </w:p>
        </w:tc>
      </w:tr>
    </w:tbl>
    <w:p>
      <w:pPr>
        <w:spacing w:after="0" w:line="165"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mortgage loans on nonaccrual status, presented by portfolio segment and class of financing receivable.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3"/>
          </w:tcPr>
          <w:p>
            <w:pPr>
              <w:jc w:val="center"/>
              <w:ind w:left="1265"/>
              <w:spacing w:after="0"/>
              <w:rPr>
                <w:sz w:val="20"/>
                <w:szCs w:val="20"/>
                <w:color w:val="auto"/>
              </w:rPr>
            </w:pPr>
            <w:r>
              <w:rPr>
                <w:rFonts w:ascii="Arial" w:cs="Arial" w:eastAsia="Arial" w:hAnsi="Arial"/>
                <w:sz w:val="14"/>
                <w:szCs w:val="14"/>
                <w:b w:val="1"/>
                <w:bCs w:val="1"/>
                <w:color w:val="auto"/>
                <w:w w:val="97"/>
              </w:rPr>
              <w:t>As of</w:t>
            </w:r>
          </w:p>
        </w:tc>
        <w:tc>
          <w:tcPr>
            <w:tcW w:w="16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 March</w:t>
            </w:r>
          </w:p>
        </w:tc>
        <w:tc>
          <w:tcPr>
            <w:tcW w:w="0" w:type="dxa"/>
            <w:vAlign w:val="bottom"/>
          </w:tcPr>
          <w:p>
            <w:pPr>
              <w:spacing w:after="0"/>
              <w:rPr>
                <w:sz w:val="1"/>
                <w:szCs w:val="1"/>
                <w:color w:val="auto"/>
              </w:rPr>
            </w:pPr>
          </w:p>
        </w:tc>
      </w:tr>
      <w:tr>
        <w:trPr>
          <w:trHeight w:val="55"/>
        </w:trPr>
        <w:tc>
          <w:tcPr>
            <w:tcW w:w="4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4"/>
                <w:szCs w:val="4"/>
                <w:color w:val="auto"/>
              </w:rPr>
            </w:pPr>
          </w:p>
        </w:tc>
        <w:tc>
          <w:tcPr>
            <w:tcW w:w="160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vMerge w:val="restart"/>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1640" w:type="dxa"/>
            <w:vAlign w:val="bottom"/>
            <w:tcBorders>
              <w:bottom w:val="single" w:sz="8" w:color="2C6937"/>
            </w:tcBorders>
            <w:gridSpan w:val="2"/>
            <w:vMerge w:val="continue"/>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6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1920" w:type="dxa"/>
            <w:vAlign w:val="bottom"/>
            <w:tcBorders>
              <w:bottom w:val="single" w:sz="8" w:color="2C6937"/>
            </w:tcBorders>
          </w:tcPr>
          <w:p>
            <w:pPr>
              <w:jc w:val="center"/>
              <w:ind w:right="464"/>
              <w:spacing w:after="0"/>
              <w:rPr>
                <w:sz w:val="20"/>
                <w:szCs w:val="20"/>
                <w:color w:val="auto"/>
              </w:rPr>
            </w:pPr>
            <w:r>
              <w:rPr>
                <w:rFonts w:ascii="Arial" w:cs="Arial" w:eastAsia="Arial" w:hAnsi="Arial"/>
                <w:sz w:val="14"/>
                <w:szCs w:val="14"/>
                <w:b w:val="1"/>
                <w:bCs w:val="1"/>
                <w:color w:val="auto"/>
                <w:w w:val="99"/>
              </w:rPr>
              <w:t>31, 2026</w:t>
            </w:r>
          </w:p>
        </w:tc>
        <w:tc>
          <w:tcPr>
            <w:tcW w:w="0" w:type="dxa"/>
            <w:vAlign w:val="bottom"/>
          </w:tcPr>
          <w:p>
            <w:pPr>
              <w:spacing w:after="0"/>
              <w:rPr>
                <w:sz w:val="1"/>
                <w:szCs w:val="1"/>
                <w:color w:val="auto"/>
              </w:rPr>
            </w:pPr>
          </w:p>
        </w:tc>
      </w:tr>
      <w:tr>
        <w:trPr>
          <w:trHeight w:val="289"/>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24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6"/>
              </w:rPr>
              <w:t>Total Interest Income Recognized</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w w:val="98"/>
              </w:rPr>
              <w:t>(Dollars in millions)</w:t>
            </w:r>
          </w:p>
        </w:tc>
        <w:tc>
          <w:tcPr>
            <w:tcW w:w="5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27,148</w:t>
            </w:r>
          </w:p>
        </w:tc>
        <w:tc>
          <w:tcPr>
            <w:tcW w:w="10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26,221</w:t>
            </w:r>
          </w:p>
        </w:tc>
        <w:tc>
          <w:tcPr>
            <w:tcW w:w="100" w:type="dxa"/>
            <w:vAlign w:val="bottom"/>
          </w:tcPr>
          <w:p>
            <w:pPr>
              <w:spacing w:after="0"/>
              <w:rPr>
                <w:sz w:val="24"/>
                <w:szCs w:val="24"/>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b w:val="1"/>
                <w:bCs w:val="1"/>
                <w:color w:val="auto"/>
                <w:w w:val="95"/>
              </w:rPr>
              <w: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0" w:type="dxa"/>
            <w:vAlign w:val="bottom"/>
          </w:tcPr>
          <w:p>
            <w:pPr>
              <w:spacing w:after="0"/>
              <w:rPr>
                <w:sz w:val="1"/>
                <w:szCs w:val="1"/>
                <w:color w:val="auto"/>
              </w:rPr>
            </w:pPr>
          </w:p>
        </w:tc>
      </w:tr>
      <w:tr>
        <w:trPr>
          <w:trHeight w:val="309"/>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681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9"/>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03"/>
        </w:trPr>
        <w:tc>
          <w:tcPr>
            <w:tcW w:w="4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1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28,359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27,448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0" w:type="dxa"/>
            <w:vAlign w:val="bottom"/>
          </w:tcPr>
          <w:p>
            <w:pPr>
              <w:spacing w:after="0"/>
              <w:rPr>
                <w:sz w:val="1"/>
                <w:szCs w:val="1"/>
                <w:color w:val="auto"/>
              </w:rPr>
            </w:pPr>
          </w:p>
        </w:tc>
      </w:tr>
      <w:tr>
        <w:trPr>
          <w:trHeight w:val="303"/>
        </w:trPr>
        <w:tc>
          <w:tcPr>
            <w:tcW w:w="4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3,375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3,312</w:t>
            </w:r>
          </w:p>
        </w:tc>
        <w:tc>
          <w:tcPr>
            <w:tcW w:w="100" w:type="dxa"/>
            <w:vAlign w:val="bottom"/>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1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02"/>
        </w:trPr>
        <w:tc>
          <w:tcPr>
            <w:tcW w:w="4880" w:type="dxa"/>
            <w:vAlign w:val="bottom"/>
            <w:tcBorders>
              <w:bottom w:val="single" w:sz="8" w:color="2C6937"/>
            </w:tcBorders>
          </w:tcPr>
          <w:p>
            <w:pPr>
              <w:ind w:left="260"/>
              <w:spacing w:after="0"/>
              <w:rPr>
                <w:sz w:val="20"/>
                <w:szCs w:val="20"/>
                <w:color w:val="auto"/>
              </w:rPr>
            </w:pPr>
            <w:r>
              <w:rPr>
                <w:rFonts w:ascii="Arial" w:cs="Arial" w:eastAsia="Arial" w:hAnsi="Arial"/>
                <w:sz w:val="15"/>
                <w:szCs w:val="15"/>
                <w:color w:val="auto"/>
              </w:rPr>
              <w:t>Total nonaccrual loans</w:t>
            </w:r>
          </w:p>
        </w:tc>
        <w:tc>
          <w:tcPr>
            <w:tcW w:w="12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31,734</w:t>
            </w:r>
          </w:p>
        </w:tc>
        <w:tc>
          <w:tcPr>
            <w:tcW w:w="10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30,760</w:t>
            </w:r>
          </w:p>
        </w:tc>
        <w:tc>
          <w:tcPr>
            <w:tcW w:w="100" w:type="dxa"/>
            <w:vAlign w:val="bottom"/>
          </w:tcPr>
          <w:p>
            <w:pPr>
              <w:spacing w:after="0"/>
              <w:rPr>
                <w:sz w:val="24"/>
                <w:szCs w:val="24"/>
                <w:color w:val="auto"/>
              </w:rPr>
            </w:pPr>
          </w:p>
        </w:tc>
        <w:tc>
          <w:tcPr>
            <w:tcW w:w="540" w:type="dxa"/>
            <w:vAlign w:val="bottom"/>
            <w:tcBorders>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w w:val="95"/>
              </w:rPr>
              <w:t>$</w:t>
            </w:r>
          </w:p>
        </w:tc>
        <w:tc>
          <w:tcPr>
            <w:tcW w:w="1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19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840" w:type="dxa"/>
            <w:vAlign w:val="bottom"/>
            <w:tcBorders>
              <w:bottom w:val="single" w:sz="8" w:color="2C6937"/>
            </w:tcBorders>
            <w:gridSpan w:val="3"/>
          </w:tcPr>
          <w:p>
            <w:pPr>
              <w:jc w:val="center"/>
              <w:ind w:left="1265"/>
              <w:spacing w:after="0"/>
              <w:rPr>
                <w:sz w:val="20"/>
                <w:szCs w:val="20"/>
                <w:color w:val="auto"/>
              </w:rPr>
            </w:pPr>
            <w:r>
              <w:rPr>
                <w:rFonts w:ascii="Arial" w:cs="Arial" w:eastAsia="Arial" w:hAnsi="Arial"/>
                <w:sz w:val="14"/>
                <w:szCs w:val="14"/>
                <w:b w:val="1"/>
                <w:bCs w:val="1"/>
                <w:color w:val="auto"/>
                <w:w w:val="97"/>
              </w:rPr>
              <w:t>As of</w:t>
            </w:r>
          </w:p>
        </w:tc>
        <w:tc>
          <w:tcPr>
            <w:tcW w:w="16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 March</w:t>
            </w:r>
          </w:p>
        </w:tc>
        <w:tc>
          <w:tcPr>
            <w:tcW w:w="0" w:type="dxa"/>
            <w:vAlign w:val="bottom"/>
          </w:tcPr>
          <w:p>
            <w:pPr>
              <w:spacing w:after="0"/>
              <w:rPr>
                <w:sz w:val="1"/>
                <w:szCs w:val="1"/>
                <w:color w:val="auto"/>
              </w:rPr>
            </w:pPr>
          </w:p>
        </w:tc>
      </w:tr>
      <w:tr>
        <w:trPr>
          <w:trHeight w:val="52"/>
        </w:trPr>
        <w:tc>
          <w:tcPr>
            <w:tcW w:w="4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2025</w:t>
            </w:r>
          </w:p>
        </w:tc>
        <w:tc>
          <w:tcPr>
            <w:tcW w:w="200" w:type="dxa"/>
            <w:vAlign w:val="bottom"/>
          </w:tcPr>
          <w:p>
            <w:pPr>
              <w:spacing w:after="0"/>
              <w:rPr>
                <w:sz w:val="4"/>
                <w:szCs w:val="4"/>
                <w:color w:val="auto"/>
              </w:rPr>
            </w:pPr>
          </w:p>
        </w:tc>
        <w:tc>
          <w:tcPr>
            <w:tcW w:w="160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vMerge w:val="restart"/>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1640" w:type="dxa"/>
            <w:vAlign w:val="bottom"/>
            <w:tcBorders>
              <w:bottom w:val="single" w:sz="8" w:color="2C6937"/>
            </w:tcBorders>
            <w:gridSpan w:val="2"/>
            <w:vMerge w:val="continue"/>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6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1920" w:type="dxa"/>
            <w:vAlign w:val="bottom"/>
            <w:tcBorders>
              <w:bottom w:val="single" w:sz="8" w:color="2C6937"/>
            </w:tcBorders>
          </w:tcPr>
          <w:p>
            <w:pPr>
              <w:jc w:val="center"/>
              <w:ind w:right="464"/>
              <w:spacing w:after="0"/>
              <w:rPr>
                <w:sz w:val="20"/>
                <w:szCs w:val="20"/>
                <w:color w:val="auto"/>
              </w:rPr>
            </w:pPr>
            <w:r>
              <w:rPr>
                <w:rFonts w:ascii="Arial" w:cs="Arial" w:eastAsia="Arial" w:hAnsi="Arial"/>
                <w:sz w:val="14"/>
                <w:szCs w:val="14"/>
                <w:b w:val="1"/>
                <w:bCs w:val="1"/>
                <w:color w:val="auto"/>
                <w:w w:val="99"/>
              </w:rPr>
              <w:t>31, 2025</w:t>
            </w:r>
          </w:p>
        </w:tc>
        <w:tc>
          <w:tcPr>
            <w:tcW w:w="0" w:type="dxa"/>
            <w:vAlign w:val="bottom"/>
          </w:tcPr>
          <w:p>
            <w:pPr>
              <w:spacing w:after="0"/>
              <w:rPr>
                <w:sz w:val="1"/>
                <w:szCs w:val="1"/>
                <w:color w:val="auto"/>
              </w:rPr>
            </w:pPr>
          </w:p>
        </w:tc>
      </w:tr>
      <w:tr>
        <w:trPr>
          <w:trHeight w:val="289"/>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5"/>
          </w:tcPr>
          <w:p>
            <w:pPr>
              <w:jc w:val="center"/>
              <w:ind w:right="34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24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6"/>
              </w:rPr>
              <w:t>Total Interest Income Recognized</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w w:val="98"/>
              </w:rPr>
              <w:t>(Dollars in millions)</w:t>
            </w:r>
          </w:p>
        </w:tc>
        <w:tc>
          <w:tcPr>
            <w:tcW w:w="5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26,335</w:t>
            </w:r>
          </w:p>
        </w:tc>
        <w:tc>
          <w:tcPr>
            <w:tcW w:w="10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25,218</w:t>
            </w:r>
          </w:p>
        </w:tc>
        <w:tc>
          <w:tcPr>
            <w:tcW w:w="100" w:type="dxa"/>
            <w:vAlign w:val="bottom"/>
          </w:tcPr>
          <w:p>
            <w:pPr>
              <w:spacing w:after="0"/>
              <w:rPr>
                <w:sz w:val="24"/>
                <w:szCs w:val="24"/>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92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309"/>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0"/>
        </w:trPr>
        <w:tc>
          <w:tcPr>
            <w:tcW w:w="4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1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2"/>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27,691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26,584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310"/>
        </w:trPr>
        <w:tc>
          <w:tcPr>
            <w:tcW w:w="4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2,702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2,517</w:t>
            </w:r>
          </w:p>
        </w:tc>
        <w:tc>
          <w:tcPr>
            <w:tcW w:w="100" w:type="dxa"/>
            <w:vAlign w:val="bottom"/>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1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2"/>
        </w:trPr>
        <w:tc>
          <w:tcPr>
            <w:tcW w:w="500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30,393</w:t>
            </w:r>
          </w:p>
        </w:tc>
        <w:tc>
          <w:tcPr>
            <w:tcW w:w="10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29,101</w:t>
            </w:r>
          </w:p>
        </w:tc>
        <w:tc>
          <w:tcPr>
            <w:tcW w:w="100" w:type="dxa"/>
            <w:vAlign w:val="bottom"/>
          </w:tcPr>
          <w:p>
            <w:pPr>
              <w:spacing w:after="0"/>
              <w:rPr>
                <w:sz w:val="24"/>
                <w:szCs w:val="24"/>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92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4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9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67"/>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45" w:lineRule="exact"/>
        <w:rPr>
          <w:rFonts w:ascii="Arial" w:cs="Arial" w:eastAsia="Arial" w:hAnsi="Arial"/>
          <w:sz w:val="9"/>
          <w:szCs w:val="9"/>
          <w:color w:val="auto"/>
        </w:rPr>
      </w:pPr>
    </w:p>
    <w:p>
      <w:pPr>
        <w:ind w:left="240" w:right="80" w:hanging="237"/>
        <w:spacing w:after="0" w:line="278" w:lineRule="auto"/>
        <w:tabs>
          <w:tab w:leader="none" w:pos="233" w:val="left"/>
        </w:tabs>
        <w:numPr>
          <w:ilvl w:val="0"/>
          <w:numId w:val="67"/>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6" w:name="page77"/>
    <w:bookmarkEnd w:id="76"/>
    <w:p>
      <w:pPr>
        <w:ind w:left="5800"/>
        <w:spacing w:after="0"/>
        <w:rPr>
          <w:sz w:val="20"/>
          <w:szCs w:val="20"/>
          <w:color w:val="auto"/>
        </w:rPr>
      </w:pPr>
      <w:r>
        <w:rPr>
          <w:rFonts w:ascii="Arial" w:cs="Arial" w:eastAsia="Arial" w:hAnsi="Arial"/>
          <w:sz w:val="14"/>
          <w:szCs w:val="14"/>
          <w:color w:val="05314D"/>
        </w:rPr>
        <w:t>Notes to Condensed Consolidated Financial Statements |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Credit Losses</w:t>
      </w:r>
    </w:p>
    <w:p>
      <w:pPr>
        <w:spacing w:after="0" w:line="80"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We maintain an allowance for credit losses for HFI loans held by Fannie Mae and by consolidated Fannie Mae MBS trusts, excluding loans for which we have elected the fair value option. In addition, we maintain allowances for credit losses on advances of pre-foreclosure costs, accrued interest receivable, guaranty loss reserves, and credit reserves on AFS debt securities. We collectively refer to these allowances as our “allowance for credit losses.”</w:t>
      </w:r>
    </w:p>
    <w:p>
      <w:pPr>
        <w:spacing w:after="0" w:line="32"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color w:val="auto"/>
        </w:rPr>
        <w:t>The following table displays changes in single-family and multifamily allowance for credit losses and the total allowance for credit losses as well as the components of the single-family and multifamily allowance for credit losses.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80" w:type="dxa"/>
            <w:vAlign w:val="bottom"/>
            <w:tcBorders>
              <w:bottom w:val="single" w:sz="8" w:color="2C6937"/>
            </w:tcBorders>
            <w:gridSpan w:val="4"/>
          </w:tcPr>
          <w:p>
            <w:pPr>
              <w:jc w:val="center"/>
              <w:ind w:left="603"/>
              <w:spacing w:after="0"/>
              <w:rPr>
                <w:sz w:val="20"/>
                <w:szCs w:val="20"/>
                <w:color w:val="auto"/>
              </w:rPr>
            </w:pPr>
            <w:r>
              <w:rPr>
                <w:rFonts w:ascii="Arial" w:cs="Arial" w:eastAsia="Arial" w:hAnsi="Arial"/>
                <w:sz w:val="15"/>
                <w:szCs w:val="15"/>
                <w:b w:val="1"/>
                <w:bCs w:val="1"/>
                <w:color w:val="auto"/>
              </w:rPr>
              <w:t>For the Three Months Ended March 31,</w:t>
            </w:r>
          </w:p>
        </w:tc>
        <w:tc>
          <w:tcPr>
            <w:tcW w:w="6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rPr>
              <w:t>2026</w:t>
            </w:r>
          </w:p>
        </w:tc>
        <w:tc>
          <w:tcPr>
            <w:tcW w:w="8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56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gridSpan w:val="3"/>
          </w:tcPr>
          <w:p>
            <w:pPr>
              <w:jc w:val="center"/>
              <w:ind w:right="663"/>
              <w:spacing w:after="0"/>
              <w:rPr>
                <w:sz w:val="20"/>
                <w:szCs w:val="20"/>
                <w:color w:val="auto"/>
              </w:rPr>
            </w:pPr>
            <w:r>
              <w:rPr>
                <w:rFonts w:ascii="Arial" w:cs="Arial" w:eastAsia="Arial" w:hAnsi="Arial"/>
                <w:sz w:val="15"/>
                <w:szCs w:val="15"/>
                <w:b w:val="1"/>
                <w:bCs w:val="1"/>
                <w:color w:val="auto"/>
              </w:rPr>
              <w:t>(Dollars in millions)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credit losses:</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(6,272)</w:t>
            </w:r>
          </w:p>
        </w:tc>
        <w:tc>
          <w:tcPr>
            <w:tcW w:w="80" w:type="dxa"/>
            <w:vAlign w:val="bottom"/>
          </w:tcPr>
          <w:p>
            <w:pPr>
              <w:spacing w:after="0"/>
              <w:rPr>
                <w:sz w:val="24"/>
                <w:szCs w:val="24"/>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(5,487)</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132</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303"/>
        </w:trPr>
        <w:tc>
          <w:tcPr>
            <w:tcW w:w="63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80" w:type="dxa"/>
            <w:vAlign w:val="bottom"/>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302"/>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420" w:type="dxa"/>
            <w:vAlign w:val="bottom"/>
            <w:tcBorders>
              <w:bottom w:val="single" w:sz="8" w:color="2C6937"/>
            </w:tcBorders>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(6,286)</w:t>
            </w:r>
          </w:p>
        </w:tc>
        <w:tc>
          <w:tcPr>
            <w:tcW w:w="80" w:type="dxa"/>
            <w:vAlign w:val="bottom"/>
          </w:tcPr>
          <w:p>
            <w:pPr>
              <w:spacing w:after="0"/>
              <w:rPr>
                <w:sz w:val="24"/>
                <w:szCs w:val="24"/>
                <w:color w:val="auto"/>
              </w:rPr>
            </w:pPr>
          </w:p>
        </w:tc>
        <w:tc>
          <w:tcPr>
            <w:tcW w:w="1560" w:type="dxa"/>
            <w:vAlign w:val="bottom"/>
            <w:tcBorders>
              <w:bottom w:val="single" w:sz="8" w:color="2C6937"/>
            </w:tcBorders>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(5,356)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credit losses:</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(2,320)</w:t>
            </w:r>
          </w:p>
        </w:tc>
        <w:tc>
          <w:tcPr>
            <w:tcW w:w="80" w:type="dxa"/>
            <w:vAlign w:val="bottom"/>
          </w:tcPr>
          <w:p>
            <w:pPr>
              <w:spacing w:after="0"/>
              <w:rPr>
                <w:sz w:val="24"/>
                <w:szCs w:val="24"/>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(2,399)</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243</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303"/>
        </w:trPr>
        <w:tc>
          <w:tcPr>
            <w:tcW w:w="63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(55)</w:t>
            </w:r>
          </w:p>
        </w:tc>
        <w:tc>
          <w:tcPr>
            <w:tcW w:w="80" w:type="dxa"/>
            <w:vAlign w:val="bottom"/>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302"/>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420" w:type="dxa"/>
            <w:vAlign w:val="bottom"/>
            <w:tcBorders>
              <w:bottom w:val="single" w:sz="8" w:color="2C6937"/>
            </w:tcBorders>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(2,306)</w:t>
            </w:r>
          </w:p>
        </w:tc>
        <w:tc>
          <w:tcPr>
            <w:tcW w:w="80" w:type="dxa"/>
            <w:vAlign w:val="bottom"/>
          </w:tcPr>
          <w:p>
            <w:pPr>
              <w:spacing w:after="0"/>
              <w:rPr>
                <w:sz w:val="24"/>
                <w:szCs w:val="24"/>
                <w:color w:val="auto"/>
              </w:rPr>
            </w:pPr>
          </w:p>
        </w:tc>
        <w:tc>
          <w:tcPr>
            <w:tcW w:w="1560" w:type="dxa"/>
            <w:vAlign w:val="bottom"/>
            <w:tcBorders>
              <w:bottom w:val="single" w:sz="8" w:color="2C6937"/>
            </w:tcBorders>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(2,366)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Total allowance for credit losses:</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(8,592)</w:t>
            </w:r>
          </w:p>
        </w:tc>
        <w:tc>
          <w:tcPr>
            <w:tcW w:w="80" w:type="dxa"/>
            <w:vAlign w:val="bottom"/>
          </w:tcPr>
          <w:p>
            <w:pPr>
              <w:spacing w:after="0"/>
              <w:rPr>
                <w:sz w:val="24"/>
                <w:szCs w:val="24"/>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(7,886)</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(277)</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309"/>
        </w:trPr>
        <w:tc>
          <w:tcPr>
            <w:tcW w:w="64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375</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303"/>
        </w:trPr>
        <w:tc>
          <w:tcPr>
            <w:tcW w:w="63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w:t>
            </w:r>
          </w:p>
        </w:tc>
        <w:tc>
          <w:tcPr>
            <w:tcW w:w="80" w:type="dxa"/>
            <w:vAlign w:val="bottom"/>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302"/>
        </w:trPr>
        <w:tc>
          <w:tcPr>
            <w:tcW w:w="6380" w:type="dxa"/>
            <w:vAlign w:val="bottom"/>
            <w:tcBorders>
              <w:bottom w:val="single" w:sz="8" w:color="418152"/>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420" w:type="dxa"/>
            <w:vAlign w:val="bottom"/>
            <w:tcBorders>
              <w:bottom w:val="single" w:sz="8" w:color="2C6937"/>
            </w:tcBorders>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(8,592)</w:t>
            </w:r>
          </w:p>
        </w:tc>
        <w:tc>
          <w:tcPr>
            <w:tcW w:w="80" w:type="dxa"/>
            <w:vAlign w:val="bottom"/>
          </w:tcPr>
          <w:p>
            <w:pPr>
              <w:spacing w:after="0"/>
              <w:rPr>
                <w:sz w:val="24"/>
                <w:szCs w:val="24"/>
                <w:color w:val="auto"/>
              </w:rPr>
            </w:pPr>
          </w:p>
        </w:tc>
        <w:tc>
          <w:tcPr>
            <w:tcW w:w="1560" w:type="dxa"/>
            <w:vAlign w:val="bottom"/>
            <w:tcBorders>
              <w:bottom w:val="single" w:sz="8" w:color="2C6937"/>
            </w:tcBorders>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41815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46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allowance for credit losses:</w:t>
            </w:r>
          </w:p>
        </w:tc>
        <w:tc>
          <w:tcPr>
            <w:tcW w:w="3880" w:type="dxa"/>
            <w:vAlign w:val="bottom"/>
            <w:gridSpan w:val="4"/>
            <w:vMerge w:val="restart"/>
          </w:tcPr>
          <w:p>
            <w:pPr>
              <w:jc w:val="center"/>
              <w:ind w:left="603"/>
              <w:spacing w:after="0"/>
              <w:rPr>
                <w:sz w:val="20"/>
                <w:szCs w:val="20"/>
                <w:color w:val="auto"/>
              </w:rPr>
            </w:pPr>
            <w:r>
              <w:rPr>
                <w:rFonts w:ascii="Arial" w:cs="Arial" w:eastAsia="Arial" w:hAnsi="Arial"/>
                <w:sz w:val="15"/>
                <w:szCs w:val="15"/>
                <w:b w:val="1"/>
                <w:bCs w:val="1"/>
                <w:color w:val="auto"/>
              </w:rPr>
              <w:t>For the Three Months Ended March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80" w:type="dxa"/>
            <w:vAlign w:val="bottom"/>
            <w:tcBorders>
              <w:bottom w:val="single" w:sz="8" w:color="2C6937"/>
            </w:tcBorders>
            <w:gridSpan w:val="4"/>
            <w:vMerge w:val="continue"/>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rPr>
              <w:t>2026</w:t>
            </w:r>
          </w:p>
        </w:tc>
        <w:tc>
          <w:tcPr>
            <w:tcW w:w="8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56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gridSpan w:val="3"/>
          </w:tcPr>
          <w:p>
            <w:pPr>
              <w:jc w:val="center"/>
              <w:ind w:right="663"/>
              <w:spacing w:after="0"/>
              <w:rPr>
                <w:sz w:val="20"/>
                <w:szCs w:val="20"/>
                <w:color w:val="auto"/>
              </w:rPr>
            </w:pPr>
            <w:r>
              <w:rPr>
                <w:rFonts w:ascii="Arial" w:cs="Arial" w:eastAsia="Arial" w:hAnsi="Arial"/>
                <w:sz w:val="15"/>
                <w:szCs w:val="15"/>
                <w:b w:val="1"/>
                <w:bCs w:val="1"/>
                <w:color w:val="auto"/>
              </w:rPr>
              <w:t>(Dollars in millions)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credit losses:</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46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(6,060)</w:t>
            </w:r>
          </w:p>
        </w:tc>
        <w:tc>
          <w:tcPr>
            <w:tcW w:w="8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(5,178)</w:t>
            </w:r>
          </w:p>
        </w:tc>
        <w:tc>
          <w:tcPr>
            <w:tcW w:w="0" w:type="dxa"/>
            <w:vAlign w:val="bottom"/>
          </w:tcPr>
          <w:p>
            <w:pPr>
              <w:spacing w:after="0"/>
              <w:rPr>
                <w:sz w:val="1"/>
                <w:szCs w:val="1"/>
                <w:color w:val="auto"/>
              </w:rPr>
            </w:pPr>
          </w:p>
        </w:tc>
      </w:tr>
      <w:tr>
        <w:trPr>
          <w:trHeight w:val="226"/>
        </w:trPr>
        <w:tc>
          <w:tcPr>
            <w:tcW w:w="6380" w:type="dxa"/>
            <w:vAlign w:val="bottom"/>
            <w:tcBorders>
              <w:bottom w:val="single" w:sz="8" w:color="2C6937"/>
            </w:tcBorders>
          </w:tcPr>
          <w:p>
            <w:pPr>
              <w:ind w:left="120"/>
              <w:spacing w:after="0" w:line="226"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80" w:type="dxa"/>
            <w:vAlign w:val="bottom"/>
          </w:tcPr>
          <w:p>
            <w:pPr>
              <w:spacing w:after="0"/>
              <w:rPr>
                <w:sz w:val="19"/>
                <w:szCs w:val="19"/>
                <w:color w:val="auto"/>
              </w:rPr>
            </w:pPr>
          </w:p>
        </w:tc>
        <w:tc>
          <w:tcPr>
            <w:tcW w:w="1420" w:type="dxa"/>
            <w:vAlign w:val="bottom"/>
            <w:tcBorders>
              <w:bottom w:val="single" w:sz="8" w:color="226600"/>
            </w:tcBorders>
          </w:tcPr>
          <w:p>
            <w:pPr>
              <w:spacing w:after="0"/>
              <w:rPr>
                <w:sz w:val="19"/>
                <w:szCs w:val="19"/>
                <w:color w:val="auto"/>
              </w:rPr>
            </w:pPr>
          </w:p>
        </w:tc>
        <w:tc>
          <w:tcPr>
            <w:tcW w:w="82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(226)</w:t>
            </w:r>
          </w:p>
        </w:tc>
        <w:tc>
          <w:tcPr>
            <w:tcW w:w="80" w:type="dxa"/>
            <w:vAlign w:val="bottom"/>
          </w:tcPr>
          <w:p>
            <w:pPr>
              <w:spacing w:after="0"/>
              <w:rPr>
                <w:sz w:val="19"/>
                <w:szCs w:val="19"/>
                <w:color w:val="auto"/>
              </w:rPr>
            </w:pPr>
          </w:p>
        </w:tc>
        <w:tc>
          <w:tcPr>
            <w:tcW w:w="1560" w:type="dxa"/>
            <w:vAlign w:val="bottom"/>
            <w:tcBorders>
              <w:bottom w:val="single" w:sz="8" w:color="226600"/>
            </w:tcBorders>
          </w:tcPr>
          <w:p>
            <w:pPr>
              <w:spacing w:after="0"/>
              <w:rPr>
                <w:sz w:val="19"/>
                <w:szCs w:val="19"/>
                <w:color w:val="auto"/>
              </w:rPr>
            </w:pPr>
          </w:p>
        </w:tc>
        <w:tc>
          <w:tcPr>
            <w:tcW w:w="680" w:type="dxa"/>
            <w:vAlign w:val="bottom"/>
            <w:tcBorders>
              <w:bottom w:val="single" w:sz="8" w:color="226600"/>
            </w:tcBorders>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418152"/>
            </w:tcBorders>
          </w:tcPr>
          <w:p>
            <w:pPr>
              <w:ind w:left="180"/>
              <w:spacing w:after="0"/>
              <w:rPr>
                <w:sz w:val="20"/>
                <w:szCs w:val="20"/>
                <w:color w:val="auto"/>
              </w:rPr>
            </w:pPr>
            <w:r>
              <w:rPr>
                <w:rFonts w:ascii="Arial" w:cs="Arial" w:eastAsia="Arial" w:hAnsi="Arial"/>
                <w:sz w:val="15"/>
                <w:szCs w:val="15"/>
                <w:color w:val="auto"/>
              </w:rPr>
              <w:t>Total</w:t>
            </w:r>
          </w:p>
        </w:tc>
        <w:tc>
          <w:tcPr>
            <w:tcW w:w="80" w:type="dxa"/>
            <w:vAlign w:val="bottom"/>
          </w:tcPr>
          <w:p>
            <w:pPr>
              <w:spacing w:after="0"/>
              <w:rPr>
                <w:sz w:val="19"/>
                <w:szCs w:val="19"/>
                <w:color w:val="auto"/>
              </w:rPr>
            </w:pPr>
          </w:p>
        </w:tc>
        <w:tc>
          <w:tcPr>
            <w:tcW w:w="1420" w:type="dxa"/>
            <w:vAlign w:val="bottom"/>
            <w:tcBorders>
              <w:bottom w:val="single" w:sz="8" w:color="226600"/>
            </w:tcBorders>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(6,286)</w:t>
            </w:r>
          </w:p>
        </w:tc>
        <w:tc>
          <w:tcPr>
            <w:tcW w:w="80" w:type="dxa"/>
            <w:vAlign w:val="bottom"/>
          </w:tcPr>
          <w:p>
            <w:pPr>
              <w:spacing w:after="0"/>
              <w:rPr>
                <w:sz w:val="19"/>
                <w:szCs w:val="19"/>
                <w:color w:val="auto"/>
              </w:rPr>
            </w:pPr>
          </w:p>
        </w:tc>
        <w:tc>
          <w:tcPr>
            <w:tcW w:w="1560" w:type="dxa"/>
            <w:vAlign w:val="bottom"/>
            <w:tcBorders>
              <w:bottom w:val="single" w:sz="8" w:color="226600"/>
            </w:tcBorders>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26600"/>
            </w:tcBorders>
          </w:tcPr>
          <w:p>
            <w:pPr>
              <w:jc w:val="right"/>
              <w:spacing w:after="0"/>
              <w:rPr>
                <w:sz w:val="20"/>
                <w:szCs w:val="20"/>
                <w:color w:val="auto"/>
              </w:rPr>
            </w:pPr>
            <w:r>
              <w:rPr>
                <w:rFonts w:ascii="Arial" w:cs="Arial" w:eastAsia="Arial" w:hAnsi="Arial"/>
                <w:sz w:val="15"/>
                <w:szCs w:val="15"/>
                <w:color w:val="auto"/>
              </w:rPr>
              <w:t>(5,356)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41815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226600"/>
            </w:tcBorders>
          </w:tcPr>
          <w:p>
            <w:pPr>
              <w:spacing w:after="0" w:line="20" w:lineRule="exact"/>
              <w:rPr>
                <w:sz w:val="1"/>
                <w:szCs w:val="1"/>
                <w:color w:val="auto"/>
              </w:rPr>
            </w:pPr>
          </w:p>
        </w:tc>
        <w:tc>
          <w:tcPr>
            <w:tcW w:w="820" w:type="dxa"/>
            <w:vAlign w:val="bottom"/>
            <w:tcBorders>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26600"/>
            </w:tcBorders>
          </w:tcPr>
          <w:p>
            <w:pPr>
              <w:spacing w:after="0" w:line="20" w:lineRule="exact"/>
              <w:rPr>
                <w:sz w:val="1"/>
                <w:szCs w:val="1"/>
                <w:color w:val="auto"/>
              </w:rPr>
            </w:pPr>
          </w:p>
        </w:tc>
        <w:tc>
          <w:tcPr>
            <w:tcW w:w="680" w:type="dxa"/>
            <w:vAlign w:val="bottom"/>
            <w:tcBorders>
              <w:bottom w:val="single" w:sz="8" w:color="22660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credit losses: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46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(2,297)</w:t>
            </w:r>
          </w:p>
        </w:tc>
        <w:tc>
          <w:tcPr>
            <w:tcW w:w="8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(2,354)</w:t>
            </w:r>
          </w:p>
        </w:tc>
        <w:tc>
          <w:tcPr>
            <w:tcW w:w="0" w:type="dxa"/>
            <w:vAlign w:val="bottom"/>
          </w:tcPr>
          <w:p>
            <w:pPr>
              <w:spacing w:after="0"/>
              <w:rPr>
                <w:sz w:val="1"/>
                <w:szCs w:val="1"/>
                <w:color w:val="auto"/>
              </w:rPr>
            </w:pPr>
          </w:p>
        </w:tc>
      </w:tr>
      <w:tr>
        <w:trPr>
          <w:trHeight w:val="226"/>
        </w:trPr>
        <w:tc>
          <w:tcPr>
            <w:tcW w:w="6380" w:type="dxa"/>
            <w:vAlign w:val="bottom"/>
            <w:tcBorders>
              <w:bottom w:val="single" w:sz="8" w:color="2C6937"/>
            </w:tcBorders>
          </w:tcPr>
          <w:p>
            <w:pPr>
              <w:ind w:left="120"/>
              <w:spacing w:after="0" w:line="226"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80" w:type="dxa"/>
            <w:vAlign w:val="bottom"/>
          </w:tcPr>
          <w:p>
            <w:pPr>
              <w:spacing w:after="0"/>
              <w:rPr>
                <w:sz w:val="19"/>
                <w:szCs w:val="19"/>
                <w:color w:val="auto"/>
              </w:rPr>
            </w:pPr>
          </w:p>
        </w:tc>
        <w:tc>
          <w:tcPr>
            <w:tcW w:w="1420" w:type="dxa"/>
            <w:vAlign w:val="bottom"/>
            <w:tcBorders>
              <w:bottom w:val="single" w:sz="8" w:color="226600"/>
            </w:tcBorders>
          </w:tcPr>
          <w:p>
            <w:pPr>
              <w:spacing w:after="0"/>
              <w:rPr>
                <w:sz w:val="19"/>
                <w:szCs w:val="19"/>
                <w:color w:val="auto"/>
              </w:rPr>
            </w:pPr>
          </w:p>
        </w:tc>
        <w:tc>
          <w:tcPr>
            <w:tcW w:w="82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19"/>
                <w:szCs w:val="19"/>
                <w:color w:val="auto"/>
              </w:rPr>
            </w:pPr>
          </w:p>
        </w:tc>
        <w:tc>
          <w:tcPr>
            <w:tcW w:w="1560" w:type="dxa"/>
            <w:vAlign w:val="bottom"/>
            <w:tcBorders>
              <w:bottom w:val="single" w:sz="8" w:color="226600"/>
            </w:tcBorders>
          </w:tcPr>
          <w:p>
            <w:pPr>
              <w:spacing w:after="0"/>
              <w:rPr>
                <w:sz w:val="19"/>
                <w:szCs w:val="19"/>
                <w:color w:val="auto"/>
              </w:rPr>
            </w:pPr>
          </w:p>
        </w:tc>
        <w:tc>
          <w:tcPr>
            <w:tcW w:w="680" w:type="dxa"/>
            <w:vAlign w:val="bottom"/>
            <w:tcBorders>
              <w:bottom w:val="single" w:sz="8" w:color="226600"/>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418152"/>
            </w:tcBorders>
          </w:tcPr>
          <w:p>
            <w:pPr>
              <w:ind w:left="180"/>
              <w:spacing w:after="0"/>
              <w:rPr>
                <w:sz w:val="20"/>
                <w:szCs w:val="20"/>
                <w:color w:val="auto"/>
              </w:rPr>
            </w:pPr>
            <w:r>
              <w:rPr>
                <w:rFonts w:ascii="Arial" w:cs="Arial" w:eastAsia="Arial" w:hAnsi="Arial"/>
                <w:sz w:val="15"/>
                <w:szCs w:val="15"/>
                <w:color w:val="auto"/>
              </w:rPr>
              <w:t>Total</w:t>
            </w:r>
          </w:p>
        </w:tc>
        <w:tc>
          <w:tcPr>
            <w:tcW w:w="80" w:type="dxa"/>
            <w:vAlign w:val="bottom"/>
          </w:tcPr>
          <w:p>
            <w:pPr>
              <w:spacing w:after="0"/>
              <w:rPr>
                <w:sz w:val="19"/>
                <w:szCs w:val="19"/>
                <w:color w:val="auto"/>
              </w:rPr>
            </w:pPr>
          </w:p>
        </w:tc>
        <w:tc>
          <w:tcPr>
            <w:tcW w:w="1420" w:type="dxa"/>
            <w:vAlign w:val="bottom"/>
            <w:tcBorders>
              <w:bottom w:val="single" w:sz="8" w:color="226600"/>
            </w:tcBorders>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(2,306)</w:t>
            </w:r>
          </w:p>
        </w:tc>
        <w:tc>
          <w:tcPr>
            <w:tcW w:w="80" w:type="dxa"/>
            <w:vAlign w:val="bottom"/>
          </w:tcPr>
          <w:p>
            <w:pPr>
              <w:spacing w:after="0"/>
              <w:rPr>
                <w:sz w:val="19"/>
                <w:szCs w:val="19"/>
                <w:color w:val="auto"/>
              </w:rPr>
            </w:pPr>
          </w:p>
        </w:tc>
        <w:tc>
          <w:tcPr>
            <w:tcW w:w="1560" w:type="dxa"/>
            <w:vAlign w:val="bottom"/>
            <w:tcBorders>
              <w:bottom w:val="single" w:sz="8" w:color="226600"/>
            </w:tcBorders>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26600"/>
            </w:tcBorders>
          </w:tcPr>
          <w:p>
            <w:pPr>
              <w:jc w:val="right"/>
              <w:spacing w:after="0"/>
              <w:rPr>
                <w:sz w:val="20"/>
                <w:szCs w:val="20"/>
                <w:color w:val="auto"/>
              </w:rPr>
            </w:pPr>
            <w:r>
              <w:rPr>
                <w:rFonts w:ascii="Arial" w:cs="Arial" w:eastAsia="Arial" w:hAnsi="Arial"/>
                <w:sz w:val="15"/>
                <w:szCs w:val="15"/>
                <w:color w:val="auto"/>
              </w:rPr>
              <w:t>(2,366)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41815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226600"/>
            </w:tcBorders>
          </w:tcPr>
          <w:p>
            <w:pPr>
              <w:spacing w:after="0" w:line="20" w:lineRule="exact"/>
              <w:rPr>
                <w:sz w:val="1"/>
                <w:szCs w:val="1"/>
                <w:color w:val="auto"/>
              </w:rPr>
            </w:pPr>
          </w:p>
        </w:tc>
        <w:tc>
          <w:tcPr>
            <w:tcW w:w="820" w:type="dxa"/>
            <w:vAlign w:val="bottom"/>
            <w:tcBorders>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26600"/>
            </w:tcBorders>
          </w:tcPr>
          <w:p>
            <w:pPr>
              <w:spacing w:after="0" w:line="20" w:lineRule="exact"/>
              <w:rPr>
                <w:sz w:val="1"/>
                <w:szCs w:val="1"/>
                <w:color w:val="auto"/>
              </w:rPr>
            </w:pPr>
          </w:p>
        </w:tc>
        <w:tc>
          <w:tcPr>
            <w:tcW w:w="680" w:type="dxa"/>
            <w:vAlign w:val="bottom"/>
            <w:tcBorders>
              <w:bottom w:val="single" w:sz="8" w:color="22660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Total allowance for credit losses: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46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(8,357)</w:t>
            </w:r>
          </w:p>
        </w:tc>
        <w:tc>
          <w:tcPr>
            <w:tcW w:w="8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(7,532)</w:t>
            </w:r>
          </w:p>
        </w:tc>
        <w:tc>
          <w:tcPr>
            <w:tcW w:w="0" w:type="dxa"/>
            <w:vAlign w:val="bottom"/>
          </w:tcPr>
          <w:p>
            <w:pPr>
              <w:spacing w:after="0"/>
              <w:rPr>
                <w:sz w:val="1"/>
                <w:szCs w:val="1"/>
                <w:color w:val="auto"/>
              </w:rPr>
            </w:pPr>
          </w:p>
        </w:tc>
      </w:tr>
      <w:tr>
        <w:trPr>
          <w:trHeight w:val="226"/>
        </w:trPr>
        <w:tc>
          <w:tcPr>
            <w:tcW w:w="6380" w:type="dxa"/>
            <w:vAlign w:val="bottom"/>
            <w:tcBorders>
              <w:bottom w:val="single" w:sz="8" w:color="2C6937"/>
            </w:tcBorders>
          </w:tcPr>
          <w:p>
            <w:pPr>
              <w:ind w:left="120"/>
              <w:spacing w:after="0" w:line="226"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80" w:type="dxa"/>
            <w:vAlign w:val="bottom"/>
          </w:tcPr>
          <w:p>
            <w:pPr>
              <w:spacing w:after="0"/>
              <w:rPr>
                <w:sz w:val="19"/>
                <w:szCs w:val="19"/>
                <w:color w:val="auto"/>
              </w:rPr>
            </w:pPr>
          </w:p>
        </w:tc>
        <w:tc>
          <w:tcPr>
            <w:tcW w:w="1420" w:type="dxa"/>
            <w:vAlign w:val="bottom"/>
            <w:tcBorders>
              <w:bottom w:val="single" w:sz="8" w:color="226600"/>
            </w:tcBorders>
          </w:tcPr>
          <w:p>
            <w:pPr>
              <w:spacing w:after="0"/>
              <w:rPr>
                <w:sz w:val="19"/>
                <w:szCs w:val="19"/>
                <w:color w:val="auto"/>
              </w:rPr>
            </w:pPr>
          </w:p>
        </w:tc>
        <w:tc>
          <w:tcPr>
            <w:tcW w:w="82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(235)</w:t>
            </w:r>
          </w:p>
        </w:tc>
        <w:tc>
          <w:tcPr>
            <w:tcW w:w="80" w:type="dxa"/>
            <w:vAlign w:val="bottom"/>
          </w:tcPr>
          <w:p>
            <w:pPr>
              <w:spacing w:after="0"/>
              <w:rPr>
                <w:sz w:val="19"/>
                <w:szCs w:val="19"/>
                <w:color w:val="auto"/>
              </w:rPr>
            </w:pPr>
          </w:p>
        </w:tc>
        <w:tc>
          <w:tcPr>
            <w:tcW w:w="1560" w:type="dxa"/>
            <w:vAlign w:val="bottom"/>
            <w:tcBorders>
              <w:bottom w:val="single" w:sz="8" w:color="226600"/>
            </w:tcBorders>
          </w:tcPr>
          <w:p>
            <w:pPr>
              <w:spacing w:after="0"/>
              <w:rPr>
                <w:sz w:val="19"/>
                <w:szCs w:val="19"/>
                <w:color w:val="auto"/>
              </w:rPr>
            </w:pPr>
          </w:p>
        </w:tc>
        <w:tc>
          <w:tcPr>
            <w:tcW w:w="680" w:type="dxa"/>
            <w:vAlign w:val="bottom"/>
            <w:tcBorders>
              <w:bottom w:val="single" w:sz="8" w:color="226600"/>
            </w:tcBorders>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25"/>
        </w:trPr>
        <w:tc>
          <w:tcPr>
            <w:tcW w:w="6460" w:type="dxa"/>
            <w:vAlign w:val="bottom"/>
            <w:gridSpan w:val="2"/>
          </w:tcPr>
          <w:p>
            <w:pPr>
              <w:ind w:left="220"/>
              <w:spacing w:after="0"/>
              <w:rPr>
                <w:sz w:val="20"/>
                <w:szCs w:val="20"/>
                <w:color w:val="auto"/>
              </w:rPr>
            </w:pPr>
            <w:r>
              <w:rPr>
                <w:rFonts w:ascii="Arial" w:cs="Arial" w:eastAsia="Arial" w:hAnsi="Arial"/>
                <w:sz w:val="15"/>
                <w:szCs w:val="15"/>
                <w:color w:val="auto"/>
              </w:rPr>
              <w:t>Total</w:t>
            </w:r>
          </w:p>
        </w:tc>
        <w:tc>
          <w:tcPr>
            <w:tcW w:w="1420" w:type="dxa"/>
            <w:vAlign w:val="bottom"/>
          </w:tcPr>
          <w:p>
            <w:pPr>
              <w:jc w:val="right"/>
              <w:ind w:right="124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(8,592)</w:t>
            </w:r>
          </w:p>
        </w:tc>
        <w:tc>
          <w:tcPr>
            <w:tcW w:w="80" w:type="dxa"/>
            <w:vAlign w:val="bottom"/>
          </w:tcPr>
          <w:p>
            <w:pPr>
              <w:spacing w:after="0"/>
              <w:rPr>
                <w:sz w:val="19"/>
                <w:szCs w:val="19"/>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20"/>
        </w:trPr>
        <w:tc>
          <w:tcPr>
            <w:tcW w:w="6380" w:type="dxa"/>
            <w:vAlign w:val="bottom"/>
            <w:tcBorders>
              <w:top w:val="single" w:sz="8" w:color="418152"/>
              <w:bottom w:val="single" w:sz="8" w:color="41815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226600"/>
              <w:bottom w:val="single" w:sz="8" w:color="226600"/>
            </w:tcBorders>
          </w:tcPr>
          <w:p>
            <w:pPr>
              <w:spacing w:after="0" w:line="20" w:lineRule="exact"/>
              <w:rPr>
                <w:sz w:val="1"/>
                <w:szCs w:val="1"/>
                <w:color w:val="auto"/>
              </w:rPr>
            </w:pPr>
          </w:p>
        </w:tc>
        <w:tc>
          <w:tcPr>
            <w:tcW w:w="82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226600"/>
              <w:bottom w:val="single" w:sz="8" w:color="226600"/>
            </w:tcBorders>
          </w:tcPr>
          <w:p>
            <w:pPr>
              <w:spacing w:after="0" w:line="20" w:lineRule="exact"/>
              <w:rPr>
                <w:sz w:val="1"/>
                <w:szCs w:val="1"/>
                <w:color w:val="auto"/>
              </w:rPr>
            </w:pPr>
          </w:p>
        </w:tc>
        <w:tc>
          <w:tcPr>
            <w:tcW w:w="680" w:type="dxa"/>
            <w:vAlign w:val="bottom"/>
            <w:tcBorders>
              <w:top w:val="single" w:sz="8" w:color="226600"/>
              <w:bottom w:val="single" w:sz="8" w:color="22660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hanging="237"/>
        <w:spacing w:after="0" w:line="278" w:lineRule="auto"/>
        <w:tabs>
          <w:tab w:leader="none" w:pos="233" w:val="left"/>
        </w:tabs>
        <w:numPr>
          <w:ilvl w:val="0"/>
          <w:numId w:val="68"/>
        </w:numPr>
        <w:rPr>
          <w:rFonts w:ascii="Arial" w:cs="Arial" w:eastAsia="Arial" w:hAnsi="Arial"/>
          <w:sz w:val="9"/>
          <w:szCs w:val="9"/>
          <w:color w:val="auto"/>
        </w:rPr>
      </w:pPr>
      <w:r>
        <w:rPr>
          <w:rFonts w:ascii="Arial" w:cs="Arial" w:eastAsia="Arial" w:hAnsi="Arial"/>
          <w:sz w:val="14"/>
          <w:szCs w:val="14"/>
          <w:color w:val="auto"/>
        </w:rPr>
        <w:t>Consists of allowance for credit losses on advances of pre-foreclosure costs, accrued interest receivable, our guaranty loss reserves, and credit reserves on our AFS debt securities. Pre-foreclosure costs represent advances for property taxes and insurance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77" w:name="page78"/>
    <w:bookmarkEnd w:id="77"/>
    <w:p>
      <w:pPr>
        <w:ind w:left="5800"/>
        <w:spacing w:after="0"/>
        <w:rPr>
          <w:sz w:val="20"/>
          <w:szCs w:val="20"/>
          <w:color w:val="auto"/>
        </w:rPr>
      </w:pPr>
      <w:r>
        <w:rPr>
          <w:rFonts w:ascii="Arial" w:cs="Arial" w:eastAsia="Arial" w:hAnsi="Arial"/>
          <w:sz w:val="14"/>
          <w:szCs w:val="14"/>
          <w:color w:val="05314D"/>
        </w:rPr>
        <w:t>Notes to Condensed Consolidated Financial Statements |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estimate of credit losses can vary substantially from period to period due to factors such as changes in actual and forecasted home prices, property valuations, and fluctuations in actual and forecasted interest rates. Other drivers include: the volume and credit risk profile of our new acquisitions; borrower payment behavior; events such as natural disasters or pandemics; the type, volume and effectiveness of our loss mitigation activities, including forbearances and loan modifications; the volume of completed foreclosures; and the volume and pricing of loans redesignated from HFI to HFS. In addition, updates to the models, assumptions, and data used in determining our estimate for credit losses can impact our allowance. Changes in our estimate of credit losses are recognized as “(Provision) benefit for credit losses” in our consolidated statements of operations and comprehensive income.</w:t>
      </w:r>
    </w:p>
    <w:p>
      <w:pPr>
        <w:spacing w:after="0" w:line="4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Our single-family provision for credit losses in the first quarter of 2026 was primarily driven by provision associated with loans that we acquired during the period, the majority of which consisted of purchase loans, and by provision from newly delinquent loans, partially offset by a benefit from actual home price growth.</w:t>
      </w:r>
    </w:p>
    <w:p>
      <w:pPr>
        <w:spacing w:after="0" w:line="24"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Our single-family provision for credit losses in the first quarter of 2025 reflected the impact of economic uncertainty and improvements in actual and forecasted home price growth.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More specifically, the provision from economic uncertainty was offset by a benefit from actual and forecasted home price growth as described below:</w:t>
      </w:r>
    </w:p>
    <w:p>
      <w:pPr>
        <w:spacing w:after="0" w:line="87" w:lineRule="exact"/>
        <w:rPr>
          <w:sz w:val="20"/>
          <w:szCs w:val="20"/>
          <w:color w:val="auto"/>
        </w:rPr>
      </w:pPr>
    </w:p>
    <w:p>
      <w:pPr>
        <w:ind w:left="620" w:right="280" w:hanging="307"/>
        <w:spacing w:after="0" w:line="293" w:lineRule="auto"/>
        <w:tabs>
          <w:tab w:leader="none" w:pos="612" w:val="left"/>
        </w:tabs>
        <w:numPr>
          <w:ilvl w:val="0"/>
          <w:numId w:val="69"/>
        </w:numPr>
        <w:rPr>
          <w:rFonts w:ascii="Arial" w:cs="Arial" w:eastAsia="Arial" w:hAnsi="Arial"/>
          <w:sz w:val="16"/>
          <w:szCs w:val="16"/>
          <w:i w:val="1"/>
          <w:iCs w:val="1"/>
          <w:color w:val="auto"/>
        </w:rPr>
      </w:pPr>
      <w:r>
        <w:rPr>
          <w:rFonts w:ascii="Arial" w:cs="Arial" w:eastAsia="Arial" w:hAnsi="Arial"/>
          <w:sz w:val="16"/>
          <w:szCs w:val="16"/>
          <w:color w:val="auto"/>
        </w:rPr>
        <w:t>Provision from economic uncertainty. During the first quarter of 2025, the impact of economic uncertainty associated with recent trade and fiscal policies led to market volatility, which increased our estimate for credit losses and resulted in a provision.</w:t>
      </w:r>
    </w:p>
    <w:p>
      <w:pPr>
        <w:spacing w:after="0" w:line="27" w:lineRule="exact"/>
        <w:rPr>
          <w:rFonts w:ascii="Arial" w:cs="Arial" w:eastAsia="Arial" w:hAnsi="Arial"/>
          <w:sz w:val="16"/>
          <w:szCs w:val="16"/>
          <w:i w:val="1"/>
          <w:iCs w:val="1"/>
          <w:color w:val="auto"/>
        </w:rPr>
      </w:pPr>
    </w:p>
    <w:p>
      <w:pPr>
        <w:ind w:left="620" w:right="620" w:hanging="307"/>
        <w:spacing w:after="0" w:line="293" w:lineRule="auto"/>
        <w:tabs>
          <w:tab w:leader="none" w:pos="609" w:val="left"/>
        </w:tabs>
        <w:numPr>
          <w:ilvl w:val="0"/>
          <w:numId w:val="69"/>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first quarter of 2025, actual home prices appreciated more than originally projected and our forecast of future home prices also improved.</w:t>
      </w:r>
    </w:p>
    <w:p>
      <w:pPr>
        <w:spacing w:after="0" w:line="2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multifamily provision for credit losses in the first quarter of 2026 was primarily driven by an increase in loan delinquencies and by weakened property valuations on properties in our multifamily guaranty book of business where foreclosure was probable.</w:t>
      </w:r>
    </w:p>
    <w:p>
      <w:pPr>
        <w:spacing w:after="0" w:line="1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Our multifamily (provision) benefit for credit losses in the first quarter of 2025 was neutral. Our multifamily allowance for credit losses as of March 31, 2025 included a component related to economic uncertainty, particularly uncertainty related to multifamily property values.</w:t>
      </w:r>
    </w:p>
    <w:p>
      <w:pPr>
        <w:spacing w:after="0" w:line="9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80" w:lineRule="exact"/>
        <w:rPr>
          <w:sz w:val="20"/>
          <w:szCs w:val="20"/>
          <w:color w:val="auto"/>
        </w:rPr>
      </w:pPr>
    </w:p>
    <w:p>
      <w:pPr>
        <w:jc w:val="both"/>
        <w:ind w:right="260"/>
        <w:spacing w:after="0" w:line="272" w:lineRule="auto"/>
        <w:rPr>
          <w:sz w:val="20"/>
          <w:szCs w:val="20"/>
          <w:color w:val="auto"/>
        </w:rPr>
      </w:pPr>
      <w:r>
        <w:rPr>
          <w:rFonts w:ascii="Arial" w:cs="Arial" w:eastAsia="Arial" w:hAnsi="Arial"/>
          <w:sz w:val="16"/>
          <w:szCs w:val="16"/>
          <w:color w:val="auto"/>
        </w:rPr>
        <w:t>We classify and account for our investments in securities as either trading or available-for-sale (“AFS”). See “Note 1, Summary of Significant Accounting Policies” in our 2025 Form 10-K for additional information on our accounting policies regarding our investments in securities. The following table displays our investments in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74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2C6937"/>
            </w:tcBorders>
          </w:tcPr>
          <w:p>
            <w:pPr>
              <w:spacing w:after="0"/>
              <w:rPr>
                <w:sz w:val="16"/>
                <w:szCs w:val="16"/>
                <w:color w:val="auto"/>
              </w:rPr>
            </w:pPr>
          </w:p>
        </w:tc>
      </w:tr>
      <w:tr>
        <w:trPr>
          <w:trHeight w:val="185"/>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rPr>
              <w:t>December 31, 2025</w:t>
            </w:r>
          </w:p>
        </w:tc>
      </w:tr>
      <w:tr>
        <w:trPr>
          <w:trHeight w:val="199"/>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40" w:type="dxa"/>
            <w:vAlign w:val="bottom"/>
          </w:tcPr>
          <w:p>
            <w:pPr>
              <w:spacing w:after="0"/>
              <w:rPr>
                <w:sz w:val="17"/>
                <w:szCs w:val="17"/>
                <w:color w:val="auto"/>
              </w:rPr>
            </w:pPr>
          </w:p>
        </w:tc>
        <w:tc>
          <w:tcPr>
            <w:tcW w:w="3260" w:type="dxa"/>
            <w:vAlign w:val="bottom"/>
            <w:gridSpan w:val="4"/>
          </w:tcPr>
          <w:p>
            <w:pPr>
              <w:jc w:val="right"/>
              <w:ind w:right="1044"/>
              <w:spacing w:after="0"/>
              <w:rPr>
                <w:sz w:val="20"/>
                <w:szCs w:val="20"/>
                <w:color w:val="auto"/>
              </w:rPr>
            </w:pPr>
            <w:r>
              <w:rPr>
                <w:rFonts w:ascii="Arial" w:cs="Arial" w:eastAsia="Arial" w:hAnsi="Arial"/>
                <w:sz w:val="14"/>
                <w:szCs w:val="14"/>
                <w:b w:val="1"/>
                <w:bCs w:val="1"/>
                <w:color w:val="auto"/>
              </w:rPr>
              <w:t>(Dollars in millions)</w:t>
            </w:r>
          </w:p>
        </w:tc>
      </w:tr>
      <w:tr>
        <w:trPr>
          <w:trHeight w:val="221"/>
        </w:trPr>
        <w:tc>
          <w:tcPr>
            <w:tcW w:w="7740" w:type="dxa"/>
            <w:vAlign w:val="bottom"/>
            <w:gridSpan w:val="2"/>
          </w:tcPr>
          <w:p>
            <w:pPr>
              <w:ind w:left="20"/>
              <w:spacing w:after="0" w:line="222" w:lineRule="exact"/>
              <w:rPr>
                <w:sz w:val="20"/>
                <w:szCs w:val="20"/>
                <w:color w:val="auto"/>
              </w:rPr>
            </w:pPr>
            <w:r>
              <w:rPr>
                <w:rFonts w:ascii="Arial" w:cs="Arial" w:eastAsia="Arial" w:hAnsi="Arial"/>
                <w:sz w:val="15"/>
                <w:szCs w:val="15"/>
                <w:color w:val="auto"/>
              </w:rPr>
              <w:t>Mortgage-related securities</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(includes $910 million and $522 million, respectively, related to consolidated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7740" w:type="dxa"/>
            <w:vAlign w:val="bottom"/>
            <w:gridSpan w:val="2"/>
          </w:tcPr>
          <w:p>
            <w:pPr>
              <w:ind w:left="180"/>
              <w:spacing w:after="0"/>
              <w:rPr>
                <w:sz w:val="20"/>
                <w:szCs w:val="20"/>
                <w:color w:val="auto"/>
              </w:rPr>
            </w:pPr>
            <w:r>
              <w:rPr>
                <w:rFonts w:ascii="Arial" w:cs="Arial" w:eastAsia="Arial" w:hAnsi="Arial"/>
                <w:sz w:val="15"/>
                <w:szCs w:val="15"/>
                <w:color w:val="auto"/>
              </w:rPr>
              <w:t>trusts)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ind w:right="5"/>
              <w:spacing w:after="0"/>
              <w:rPr>
                <w:sz w:val="20"/>
                <w:szCs w:val="20"/>
                <w:color w:val="auto"/>
              </w:rPr>
            </w:pPr>
            <w:r>
              <w:rPr>
                <w:rFonts w:ascii="Arial" w:cs="Arial" w:eastAsia="Arial" w:hAnsi="Arial"/>
                <w:sz w:val="15"/>
                <w:szCs w:val="15"/>
                <w:b w:val="1"/>
                <w:bCs w:val="1"/>
                <w:color w:val="auto"/>
              </w:rPr>
              <w:t>18,672</w:t>
            </w:r>
          </w:p>
        </w:tc>
        <w:tc>
          <w:tcPr>
            <w:tcW w:w="8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14,291</w:t>
            </w:r>
          </w:p>
        </w:tc>
      </w:tr>
      <w:tr>
        <w:trPr>
          <w:trHeight w:val="208"/>
        </w:trPr>
        <w:tc>
          <w:tcPr>
            <w:tcW w:w="764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Non-mortgage-related securities</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4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44,424</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55,223</w:t>
            </w:r>
          </w:p>
        </w:tc>
      </w:tr>
      <w:tr>
        <w:trPr>
          <w:trHeight w:val="226"/>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trading securities</w:t>
            </w:r>
          </w:p>
        </w:tc>
        <w:tc>
          <w:tcPr>
            <w:tcW w:w="240" w:type="dxa"/>
            <w:vAlign w:val="bottom"/>
          </w:tcPr>
          <w:p>
            <w:pPr>
              <w:spacing w:after="0"/>
              <w:rPr>
                <w:sz w:val="19"/>
                <w:szCs w:val="19"/>
                <w:color w:val="auto"/>
              </w:rPr>
            </w:pPr>
          </w:p>
        </w:tc>
        <w:tc>
          <w:tcPr>
            <w:tcW w:w="1480" w:type="dxa"/>
            <w:vAlign w:val="bottom"/>
          </w:tcPr>
          <w:p>
            <w:pPr>
              <w:jc w:val="right"/>
              <w:ind w:right="5"/>
              <w:spacing w:after="0"/>
              <w:rPr>
                <w:sz w:val="20"/>
                <w:szCs w:val="20"/>
                <w:color w:val="auto"/>
              </w:rPr>
            </w:pPr>
            <w:r>
              <w:rPr>
                <w:rFonts w:ascii="Arial" w:cs="Arial" w:eastAsia="Arial" w:hAnsi="Arial"/>
                <w:sz w:val="15"/>
                <w:szCs w:val="15"/>
                <w:b w:val="1"/>
                <w:bCs w:val="1"/>
                <w:color w:val="auto"/>
              </w:rPr>
              <w:t>63,096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69,514</w:t>
            </w:r>
          </w:p>
        </w:tc>
      </w:tr>
      <w:tr>
        <w:trPr>
          <w:trHeight w:val="204"/>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7"/>
        </w:trPr>
        <w:tc>
          <w:tcPr>
            <w:tcW w:w="77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Mortgage-related securities</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(amortized cost of $546 million and $400 million, respectively)</w:t>
            </w:r>
          </w:p>
        </w:tc>
        <w:tc>
          <w:tcPr>
            <w:tcW w:w="240" w:type="dxa"/>
            <w:vAlign w:val="bottom"/>
          </w:tcPr>
          <w:p>
            <w:pPr>
              <w:spacing w:after="0"/>
              <w:rPr>
                <w:sz w:val="17"/>
                <w:szCs w:val="17"/>
                <w:color w:val="auto"/>
              </w:rPr>
            </w:pPr>
          </w:p>
        </w:tc>
        <w:tc>
          <w:tcPr>
            <w:tcW w:w="1480" w:type="dxa"/>
            <w:vAlign w:val="bottom"/>
          </w:tcPr>
          <w:p>
            <w:pPr>
              <w:jc w:val="right"/>
              <w:ind w:right="5"/>
              <w:spacing w:after="0"/>
              <w:rPr>
                <w:sz w:val="20"/>
                <w:szCs w:val="20"/>
                <w:color w:val="auto"/>
              </w:rPr>
            </w:pPr>
            <w:r>
              <w:rPr>
                <w:rFonts w:ascii="Arial" w:cs="Arial" w:eastAsia="Arial" w:hAnsi="Arial"/>
                <w:sz w:val="15"/>
                <w:szCs w:val="15"/>
                <w:b w:val="1"/>
                <w:bCs w:val="1"/>
                <w:color w:val="auto"/>
              </w:rPr>
              <w:t>518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375</w:t>
            </w:r>
          </w:p>
        </w:tc>
      </w:tr>
      <w:tr>
        <w:trPr>
          <w:trHeight w:val="208"/>
        </w:trPr>
        <w:tc>
          <w:tcPr>
            <w:tcW w:w="764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Non-mortgage-related securities</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(amortized cost of $12 billion and $0, respectively)</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4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11,906</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64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available-for-sale securities</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12,424</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375</w:t>
            </w:r>
          </w:p>
        </w:tc>
      </w:tr>
      <w:tr>
        <w:trPr>
          <w:trHeight w:val="199"/>
        </w:trPr>
        <w:tc>
          <w:tcPr>
            <w:tcW w:w="7740" w:type="dxa"/>
            <w:vAlign w:val="bottom"/>
            <w:gridSpan w:val="2"/>
          </w:tcPr>
          <w:p>
            <w:pPr>
              <w:ind w:left="120"/>
              <w:spacing w:after="0"/>
              <w:rPr>
                <w:sz w:val="20"/>
                <w:szCs w:val="20"/>
                <w:color w:val="auto"/>
              </w:rPr>
            </w:pPr>
            <w:r>
              <w:rPr>
                <w:rFonts w:ascii="Arial" w:cs="Arial" w:eastAsia="Arial" w:hAnsi="Arial"/>
                <w:sz w:val="15"/>
                <w:szCs w:val="15"/>
                <w:color w:val="auto"/>
              </w:rPr>
              <w:t>Total investments in securities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ind w:right="5"/>
              <w:spacing w:after="0"/>
              <w:rPr>
                <w:sz w:val="20"/>
                <w:szCs w:val="20"/>
                <w:color w:val="auto"/>
              </w:rPr>
            </w:pPr>
            <w:r>
              <w:rPr>
                <w:rFonts w:ascii="Arial" w:cs="Arial" w:eastAsia="Arial" w:hAnsi="Arial"/>
                <w:sz w:val="15"/>
                <w:szCs w:val="15"/>
                <w:b w:val="1"/>
                <w:bCs w:val="1"/>
                <w:color w:val="auto"/>
              </w:rPr>
              <w:t>75,520</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69,889</w:t>
            </w:r>
          </w:p>
        </w:tc>
      </w:tr>
      <w:tr>
        <w:trPr>
          <w:trHeight w:val="20"/>
        </w:trPr>
        <w:tc>
          <w:tcPr>
            <w:tcW w:w="7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Fannie Mae, Freddie Mac, and Ginnie Mae mortgage-related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Consists of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8" w:name="page79"/>
    <w:bookmarkEnd w:id="78"/>
    <w:p>
      <w:pPr>
        <w:ind w:left="6240"/>
        <w:spacing w:after="0"/>
        <w:rPr>
          <w:sz w:val="20"/>
          <w:szCs w:val="20"/>
          <w:color w:val="auto"/>
        </w:rPr>
      </w:pPr>
      <w:r>
        <w:rPr>
          <w:rFonts w:ascii="Arial" w:cs="Arial" w:eastAsia="Arial" w:hAnsi="Arial"/>
          <w:sz w:val="13"/>
          <w:szCs w:val="13"/>
          <w:color w:val="05314D"/>
        </w:rPr>
        <w:t>Notes to Condensed Consolidated Financial Statements | Investment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2620" w:type="dxa"/>
            <w:vAlign w:val="bottom"/>
            <w:tcBorders>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6"/>
        </w:trPr>
        <w:tc>
          <w:tcPr>
            <w:tcW w:w="8600" w:type="dxa"/>
            <w:vAlign w:val="bottom"/>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2C6937"/>
            </w:tcBorders>
          </w:tcPr>
          <w:p>
            <w:pPr>
              <w:spacing w:after="0"/>
              <w:rPr>
                <w:sz w:val="16"/>
                <w:szCs w:val="16"/>
                <w:color w:val="auto"/>
              </w:rPr>
            </w:pPr>
          </w:p>
        </w:tc>
      </w:tr>
      <w:tr>
        <w:trPr>
          <w:trHeight w:val="173"/>
        </w:trPr>
        <w:tc>
          <w:tcPr>
            <w:tcW w:w="8600" w:type="dxa"/>
            <w:vAlign w:val="bottom"/>
          </w:tcPr>
          <w:p>
            <w:pPr>
              <w:spacing w:after="0"/>
              <w:rPr>
                <w:sz w:val="15"/>
                <w:szCs w:val="15"/>
                <w:color w:val="auto"/>
              </w:rPr>
            </w:pPr>
          </w:p>
        </w:tc>
        <w:tc>
          <w:tcPr>
            <w:tcW w:w="1380" w:type="dxa"/>
            <w:vAlign w:val="bottom"/>
            <w:gridSpan w:val="3"/>
          </w:tcPr>
          <w:p>
            <w:pPr>
              <w:ind w:left="600"/>
              <w:spacing w:after="0"/>
              <w:rPr>
                <w:sz w:val="20"/>
                <w:szCs w:val="20"/>
                <w:color w:val="auto"/>
              </w:rPr>
            </w:pPr>
            <w:r>
              <w:rPr>
                <w:rFonts w:ascii="Arial" w:cs="Arial" w:eastAsia="Arial" w:hAnsi="Arial"/>
                <w:sz w:val="14"/>
                <w:szCs w:val="14"/>
                <w:b w:val="1"/>
                <w:bCs w:val="1"/>
                <w:color w:val="auto"/>
              </w:rPr>
              <w:t>(Dollars in</w:t>
            </w: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w w:val="83"/>
              </w:rPr>
              <w:t>millions)</w:t>
            </w:r>
          </w:p>
        </w:tc>
        <w:tc>
          <w:tcPr>
            <w:tcW w:w="400" w:type="dxa"/>
            <w:vAlign w:val="bottom"/>
          </w:tcPr>
          <w:p>
            <w:pPr>
              <w:spacing w:after="0"/>
              <w:rPr>
                <w:sz w:val="15"/>
                <w:szCs w:val="15"/>
                <w:color w:val="auto"/>
              </w:rPr>
            </w:pPr>
          </w:p>
        </w:tc>
      </w:tr>
      <w:tr>
        <w:trPr>
          <w:trHeight w:val="214"/>
        </w:trPr>
        <w:tc>
          <w:tcPr>
            <w:tcW w:w="860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820" w:type="dxa"/>
            <w:vAlign w:val="bottom"/>
          </w:tcPr>
          <w:p>
            <w:pPr>
              <w:jc w:val="right"/>
              <w:ind w:right="629"/>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40" w:type="dxa"/>
            <w:vAlign w:val="bottom"/>
          </w:tcPr>
          <w:p>
            <w:pPr>
              <w:spacing w:after="0"/>
              <w:rPr>
                <w:sz w:val="18"/>
                <w:szCs w:val="18"/>
                <w:color w:val="auto"/>
              </w:rPr>
            </w:pPr>
          </w:p>
        </w:tc>
        <w:tc>
          <w:tcPr>
            <w:tcW w:w="840" w:type="dxa"/>
            <w:vAlign w:val="bottom"/>
          </w:tcPr>
          <w:p>
            <w:pPr>
              <w:jc w:val="right"/>
              <w:ind w:right="648"/>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654</w:t>
            </w:r>
          </w:p>
        </w:tc>
      </w:tr>
      <w:tr>
        <w:trPr>
          <w:trHeight w:val="232"/>
        </w:trPr>
        <w:tc>
          <w:tcPr>
            <w:tcW w:w="860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(327)</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619</w:t>
            </w:r>
          </w:p>
        </w:tc>
      </w:tr>
    </w:tbl>
    <w:p>
      <w:pPr>
        <w:spacing w:after="0" w:line="2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Net unrealized losses on our AFS investment portfolio recorded in accumulated other comprehensive income (loss) were $104 million and $23 million as of March 31, 2026 and December 31, 2025, respectively. There were no significant gross unrealized losses on our AFS investment portfolio as of March 31, 2026 and December 31, 2025. Additionally, the allowance for credit losses on our AFS investment portfolio was not significant as of March 31, 2026 or December 31, 2025.</w:t>
      </w:r>
    </w:p>
    <w:p>
      <w:pPr>
        <w:spacing w:after="0" w:line="4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the first quarter of 2026, we had $3.3 billion in proceeds from sales of AFS securities that resulted in $9 million in gross realized losses. There were no sales of AFS securities in the first quarter of 2025.</w:t>
      </w:r>
    </w:p>
    <w:p>
      <w:pPr>
        <w:spacing w:after="0" w:line="15"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The following table displays the amortized cost and fair value of our AFS securities by major security type and remaining contractual maturity, assuming no principal prepayments. The contractual maturity of mortgage-backed securities is not a reliable indicator of their expected life because borrowers generally have the right to prepay their obligations at any time. U.S. Treasury securities do not have prepayment risk, and their contractual maturities are indicative of their expected life.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3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4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820" w:type="dxa"/>
            <w:vAlign w:val="bottom"/>
            <w:tcBorders>
              <w:bottom w:val="single" w:sz="8" w:color="2C6937"/>
            </w:tcBorders>
            <w:gridSpan w:val="6"/>
          </w:tcPr>
          <w:p>
            <w:pPr>
              <w:jc w:val="center"/>
              <w:ind w:right="360"/>
              <w:spacing w:after="0"/>
              <w:rPr>
                <w:sz w:val="20"/>
                <w:szCs w:val="20"/>
                <w:color w:val="auto"/>
              </w:rPr>
            </w:pPr>
            <w:r>
              <w:rPr>
                <w:rFonts w:ascii="Arial" w:cs="Arial" w:eastAsia="Arial" w:hAnsi="Arial"/>
                <w:sz w:val="12"/>
                <w:szCs w:val="12"/>
                <w:b w:val="1"/>
                <w:bCs w:val="1"/>
                <w:color w:val="auto"/>
                <w:w w:val="99"/>
              </w:rPr>
              <w:t>As of March 31, 2026</w:t>
            </w:r>
          </w:p>
        </w:tc>
        <w:tc>
          <w:tcPr>
            <w:tcW w:w="1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spacing w:after="0"/>
              <w:rPr>
                <w:sz w:val="14"/>
                <w:szCs w:val="14"/>
                <w:color w:val="auto"/>
              </w:rPr>
            </w:pPr>
          </w:p>
        </w:tc>
        <w:tc>
          <w:tcPr>
            <w:tcW w:w="4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vMerge w:val="restart"/>
          </w:tcPr>
          <w:p>
            <w:pPr>
              <w:jc w:val="right"/>
              <w:ind w:right="40"/>
              <w:spacing w:after="0"/>
              <w:rPr>
                <w:sz w:val="20"/>
                <w:szCs w:val="20"/>
                <w:color w:val="auto"/>
              </w:rPr>
            </w:pPr>
            <w:r>
              <w:rPr>
                <w:rFonts w:ascii="Arial" w:cs="Arial" w:eastAsia="Arial" w:hAnsi="Arial"/>
                <w:sz w:val="12"/>
                <w:szCs w:val="12"/>
                <w:b w:val="1"/>
                <w:bCs w:val="1"/>
                <w:color w:val="auto"/>
              </w:rPr>
              <w:t>One Year or Less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7"/>
          </w:tcPr>
          <w:p>
            <w:pPr>
              <w:ind w:left="80"/>
              <w:spacing w:after="0"/>
              <w:rPr>
                <w:sz w:val="20"/>
                <w:szCs w:val="20"/>
                <w:color w:val="auto"/>
              </w:rPr>
            </w:pPr>
            <w:r>
              <w:rPr>
                <w:rFonts w:ascii="Arial" w:cs="Arial" w:eastAsia="Arial" w:hAnsi="Arial"/>
                <w:sz w:val="12"/>
                <w:szCs w:val="12"/>
                <w:b w:val="1"/>
                <w:bCs w:val="1"/>
                <w:color w:val="auto"/>
              </w:rPr>
              <w:t>After One Year Through Five</w:t>
            </w:r>
          </w:p>
        </w:tc>
        <w:tc>
          <w:tcPr>
            <w:tcW w:w="1940" w:type="dxa"/>
            <w:vAlign w:val="bottom"/>
            <w:gridSpan w:val="7"/>
          </w:tcPr>
          <w:p>
            <w:pPr>
              <w:ind w:left="60"/>
              <w:spacing w:after="0"/>
              <w:rPr>
                <w:sz w:val="20"/>
                <w:szCs w:val="20"/>
                <w:color w:val="auto"/>
              </w:rPr>
            </w:pPr>
            <w:r>
              <w:rPr>
                <w:rFonts w:ascii="Arial" w:cs="Arial" w:eastAsia="Arial" w:hAnsi="Arial"/>
                <w:sz w:val="12"/>
                <w:szCs w:val="12"/>
                <w:b w:val="1"/>
                <w:bCs w:val="1"/>
                <w:color w:val="auto"/>
              </w:rPr>
              <w:t>After Five Years Through Ten</w:t>
            </w:r>
          </w:p>
        </w:tc>
        <w:tc>
          <w:tcPr>
            <w:tcW w:w="120" w:type="dxa"/>
            <w:vAlign w:val="bottom"/>
          </w:tcPr>
          <w:p>
            <w:pPr>
              <w:spacing w:after="0"/>
              <w:rPr>
                <w:sz w:val="13"/>
                <w:szCs w:val="13"/>
                <w:color w:val="auto"/>
              </w:rPr>
            </w:pPr>
          </w:p>
        </w:tc>
        <w:tc>
          <w:tcPr>
            <w:tcW w:w="1600" w:type="dxa"/>
            <w:vAlign w:val="bottom"/>
            <w:gridSpan w:val="5"/>
            <w:vMerge w:val="restart"/>
          </w:tcPr>
          <w:p>
            <w:pPr>
              <w:jc w:val="right"/>
              <w:ind w:right="353"/>
              <w:spacing w:after="0"/>
              <w:rPr>
                <w:sz w:val="20"/>
                <w:szCs w:val="20"/>
                <w:color w:val="auto"/>
              </w:rPr>
            </w:pPr>
            <w:r>
              <w:rPr>
                <w:rFonts w:ascii="Arial" w:cs="Arial" w:eastAsia="Arial" w:hAnsi="Arial"/>
                <w:sz w:val="12"/>
                <w:szCs w:val="12"/>
                <w:b w:val="1"/>
                <w:bCs w:val="1"/>
                <w:color w:val="auto"/>
              </w:rPr>
              <w:t>After Ten Years</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2"/>
                <w:szCs w:val="12"/>
                <w:b w:val="1"/>
                <w:bCs w:val="1"/>
                <w:color w:val="auto"/>
                <w:w w:val="97"/>
              </w:rPr>
              <w:t>Years</w:t>
            </w:r>
          </w:p>
        </w:tc>
        <w:tc>
          <w:tcPr>
            <w:tcW w:w="66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2"/>
                <w:szCs w:val="12"/>
                <w:b w:val="1"/>
                <w:bCs w:val="1"/>
                <w:color w:val="auto"/>
                <w:w w:val="97"/>
              </w:rPr>
              <w:t>Years</w:t>
            </w:r>
          </w:p>
        </w:tc>
        <w:tc>
          <w:tcPr>
            <w:tcW w:w="6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00" w:type="dxa"/>
            <w:vAlign w:val="bottom"/>
            <w:tcBorders>
              <w:bottom w:val="single" w:sz="8" w:color="2C6937"/>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8"/>
              </w:rPr>
              <w:t>Total Carrying</w:t>
            </w:r>
          </w:p>
        </w:tc>
        <w:tc>
          <w:tcPr>
            <w:tcW w:w="1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60" w:type="dxa"/>
            <w:vAlign w:val="bottom"/>
            <w:gridSpan w:val="5"/>
            <w:vMerge w:val="restart"/>
          </w:tcPr>
          <w:p>
            <w:pPr>
              <w:jc w:val="center"/>
              <w:ind w:right="480"/>
              <w:spacing w:after="0"/>
              <w:rPr>
                <w:sz w:val="20"/>
                <w:szCs w:val="20"/>
                <w:color w:val="auto"/>
              </w:rPr>
            </w:pPr>
            <w:r>
              <w:rPr>
                <w:rFonts w:ascii="Arial" w:cs="Arial" w:eastAsia="Arial" w:hAnsi="Arial"/>
                <w:sz w:val="12"/>
                <w:szCs w:val="12"/>
                <w:b w:val="1"/>
                <w:bCs w:val="1"/>
                <w:color w:val="auto"/>
                <w:w w:val="99"/>
              </w:rPr>
              <w:t>Net Carrying</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vMerge w:val="restart"/>
          </w:tcPr>
          <w:p>
            <w:pPr>
              <w:jc w:val="center"/>
              <w:ind w:right="300"/>
              <w:spacing w:after="0"/>
              <w:rPr>
                <w:sz w:val="20"/>
                <w:szCs w:val="20"/>
                <w:color w:val="auto"/>
              </w:rPr>
            </w:pPr>
            <w:r>
              <w:rPr>
                <w:rFonts w:ascii="Arial" w:cs="Arial" w:eastAsia="Arial" w:hAnsi="Arial"/>
                <w:sz w:val="12"/>
                <w:szCs w:val="12"/>
                <w:b w:val="1"/>
                <w:bCs w:val="1"/>
                <w:color w:val="auto"/>
                <w:w w:val="99"/>
              </w:rPr>
              <w:t>Net Carrying</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vMerge w:val="restart"/>
          </w:tcPr>
          <w:p>
            <w:pPr>
              <w:jc w:val="center"/>
              <w:ind w:right="300"/>
              <w:spacing w:after="0"/>
              <w:rPr>
                <w:sz w:val="20"/>
                <w:szCs w:val="20"/>
                <w:color w:val="auto"/>
              </w:rPr>
            </w:pPr>
            <w:r>
              <w:rPr>
                <w:rFonts w:ascii="Arial" w:cs="Arial" w:eastAsia="Arial" w:hAnsi="Arial"/>
                <w:sz w:val="12"/>
                <w:szCs w:val="12"/>
                <w:b w:val="1"/>
                <w:bCs w:val="1"/>
                <w:color w:val="auto"/>
                <w:w w:val="99"/>
              </w:rPr>
              <w:t>Net Carrying</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5"/>
            <w:vMerge w:val="restart"/>
          </w:tcPr>
          <w:p>
            <w:pPr>
              <w:jc w:val="center"/>
              <w:ind w:right="180"/>
              <w:spacing w:after="0"/>
              <w:rPr>
                <w:sz w:val="20"/>
                <w:szCs w:val="20"/>
                <w:color w:val="auto"/>
              </w:rPr>
            </w:pPr>
            <w:r>
              <w:rPr>
                <w:rFonts w:ascii="Arial" w:cs="Arial" w:eastAsia="Arial" w:hAnsi="Arial"/>
                <w:sz w:val="12"/>
                <w:szCs w:val="12"/>
                <w:b w:val="1"/>
                <w:bCs w:val="1"/>
                <w:color w:val="auto"/>
                <w:w w:val="99"/>
              </w:rPr>
              <w:t>Net Carrying</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100"/>
              <w:spacing w:after="0" w:line="116" w:lineRule="exact"/>
              <w:rPr>
                <w:sz w:val="20"/>
                <w:szCs w:val="20"/>
                <w:color w:val="auto"/>
              </w:rPr>
            </w:pPr>
            <w:r>
              <w:rPr>
                <w:rFonts w:ascii="Arial" w:cs="Arial" w:eastAsia="Arial" w:hAnsi="Arial"/>
                <w:sz w:val="12"/>
                <w:szCs w:val="12"/>
                <w:b w:val="1"/>
                <w:bCs w:val="1"/>
                <w:color w:val="auto"/>
              </w:rPr>
              <w:t>Fair</w:t>
            </w:r>
          </w:p>
        </w:tc>
        <w:tc>
          <w:tcPr>
            <w:tcW w:w="146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Fair Value</w:t>
            </w:r>
          </w:p>
        </w:tc>
        <w:tc>
          <w:tcPr>
            <w:tcW w:w="1060" w:type="dxa"/>
            <w:vAlign w:val="bottom"/>
            <w:gridSpan w:val="5"/>
            <w:vMerge w:val="continue"/>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6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ind w:left="60"/>
              <w:spacing w:after="0"/>
              <w:rPr>
                <w:sz w:val="20"/>
                <w:szCs w:val="20"/>
                <w:color w:val="auto"/>
              </w:rPr>
            </w:pPr>
            <w:r>
              <w:rPr>
                <w:rFonts w:ascii="Arial" w:cs="Arial" w:eastAsia="Arial" w:hAnsi="Arial"/>
                <w:sz w:val="12"/>
                <w:szCs w:val="12"/>
                <w:b w:val="1"/>
                <w:bCs w:val="1"/>
                <w:color w:val="auto"/>
              </w:rPr>
              <w:t>Value</w:t>
            </w:r>
          </w:p>
        </w:tc>
        <w:tc>
          <w:tcPr>
            <w:tcW w:w="14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2"/>
                <w:szCs w:val="12"/>
                <w:b w:val="1"/>
                <w:bCs w:val="1"/>
                <w:color w:val="auto"/>
                <w:w w:val="93"/>
              </w:rPr>
              <w:t>Amount</w:t>
            </w:r>
            <w:r>
              <w:rPr>
                <w:rFonts w:ascii="Arial" w:cs="Arial" w:eastAsia="Arial" w:hAnsi="Arial"/>
                <w:sz w:val="15"/>
                <w:szCs w:val="15"/>
                <w:b w:val="1"/>
                <w:bCs w:val="1"/>
                <w:color w:val="auto"/>
                <w:w w:val="93"/>
                <w:vertAlign w:val="superscript"/>
              </w:rPr>
              <w:t>(1)</w:t>
            </w:r>
          </w:p>
        </w:tc>
        <w:tc>
          <w:tcPr>
            <w:tcW w:w="260" w:type="dxa"/>
            <w:vAlign w:val="bottom"/>
            <w:tcBorders>
              <w:bottom w:val="single" w:sz="8" w:color="2C6937"/>
            </w:tcBorders>
          </w:tcPr>
          <w:p>
            <w:pPr>
              <w:spacing w:after="0"/>
              <w:rPr>
                <w:sz w:val="15"/>
                <w:szCs w:val="15"/>
                <w:color w:val="auto"/>
              </w:rPr>
            </w:pPr>
          </w:p>
        </w:tc>
        <w:tc>
          <w:tcPr>
            <w:tcW w:w="880" w:type="dxa"/>
            <w:vAlign w:val="bottom"/>
            <w:tcBorders>
              <w:bottom w:val="single" w:sz="8" w:color="2C6937"/>
            </w:tcBorders>
            <w:gridSpan w:val="3"/>
          </w:tcPr>
          <w:p>
            <w:pPr>
              <w:ind w:left="8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gridSpan w:val="2"/>
          </w:tcPr>
          <w:p>
            <w:pPr>
              <w:jc w:val="center"/>
              <w:ind w:left="15"/>
              <w:spacing w:after="0"/>
              <w:rPr>
                <w:sz w:val="20"/>
                <w:szCs w:val="20"/>
                <w:color w:val="auto"/>
              </w:rPr>
            </w:pPr>
            <w:r>
              <w:rPr>
                <w:rFonts w:ascii="Arial" w:cs="Arial" w:eastAsia="Arial" w:hAnsi="Arial"/>
                <w:sz w:val="12"/>
                <w:szCs w:val="12"/>
                <w:b w:val="1"/>
                <w:bCs w:val="1"/>
                <w:color w:val="auto"/>
                <w:w w:val="93"/>
              </w:rPr>
              <w:t>Amount</w:t>
            </w:r>
            <w:r>
              <w:rPr>
                <w:rFonts w:ascii="Arial" w:cs="Arial" w:eastAsia="Arial" w:hAnsi="Arial"/>
                <w:sz w:val="15"/>
                <w:szCs w:val="15"/>
                <w:b w:val="1"/>
                <w:bCs w:val="1"/>
                <w:color w:val="auto"/>
                <w:w w:val="93"/>
                <w:vertAlign w:val="superscript"/>
              </w:rPr>
              <w:t>(1)</w:t>
            </w:r>
          </w:p>
        </w:tc>
        <w:tc>
          <w:tcPr>
            <w:tcW w:w="26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gridSpan w:val="2"/>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gridSpan w:val="2"/>
          </w:tcPr>
          <w:p>
            <w:pPr>
              <w:jc w:val="center"/>
              <w:ind w:left="14"/>
              <w:spacing w:after="0"/>
              <w:rPr>
                <w:sz w:val="20"/>
                <w:szCs w:val="20"/>
                <w:color w:val="auto"/>
              </w:rPr>
            </w:pPr>
            <w:r>
              <w:rPr>
                <w:rFonts w:ascii="Arial" w:cs="Arial" w:eastAsia="Arial" w:hAnsi="Arial"/>
                <w:sz w:val="12"/>
                <w:szCs w:val="12"/>
                <w:b w:val="1"/>
                <w:bCs w:val="1"/>
                <w:color w:val="auto"/>
                <w:w w:val="93"/>
              </w:rPr>
              <w:t>Amount</w:t>
            </w:r>
            <w:r>
              <w:rPr>
                <w:rFonts w:ascii="Arial" w:cs="Arial" w:eastAsia="Arial" w:hAnsi="Arial"/>
                <w:sz w:val="15"/>
                <w:szCs w:val="15"/>
                <w:b w:val="1"/>
                <w:bCs w:val="1"/>
                <w:color w:val="auto"/>
                <w:w w:val="93"/>
                <w:vertAlign w:val="superscript"/>
              </w:rPr>
              <w:t>(1)</w:t>
            </w:r>
          </w:p>
        </w:tc>
        <w:tc>
          <w:tcPr>
            <w:tcW w:w="26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2"/>
                <w:szCs w:val="12"/>
                <w:b w:val="1"/>
                <w:bCs w:val="1"/>
                <w:color w:val="auto"/>
                <w:w w:val="97"/>
              </w:rPr>
              <w:t>Amount</w:t>
            </w:r>
            <w:r>
              <w:rPr>
                <w:rFonts w:ascii="Arial" w:cs="Arial" w:eastAsia="Arial" w:hAnsi="Arial"/>
                <w:sz w:val="15"/>
                <w:szCs w:val="15"/>
                <w:b w:val="1"/>
                <w:bCs w:val="1"/>
                <w:color w:val="auto"/>
                <w:w w:val="97"/>
                <w:vertAlign w:val="superscript"/>
              </w:rPr>
              <w:t>(1)</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8"/>
              </w:rPr>
              <w:t>(Dollars in millions)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Mortgage-related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300" w:type="dxa"/>
            <w:vAlign w:val="bottom"/>
          </w:tcPr>
          <w:p>
            <w:pPr>
              <w:spacing w:after="0"/>
              <w:rPr>
                <w:sz w:val="12"/>
                <w:szCs w:val="12"/>
                <w:color w:val="auto"/>
              </w:rPr>
            </w:pP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518</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40" w:type="dxa"/>
            <w:vAlign w:val="bottom"/>
          </w:tcPr>
          <w:p>
            <w:pPr>
              <w:spacing w:after="0"/>
              <w:rPr>
                <w:sz w:val="12"/>
                <w:szCs w:val="1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419</w:t>
            </w:r>
          </w:p>
        </w:tc>
        <w:tc>
          <w:tcPr>
            <w:tcW w:w="6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0"/>
        </w:trPr>
        <w:tc>
          <w:tcPr>
            <w:tcW w:w="1740" w:type="dxa"/>
            <w:vAlign w:val="bottom"/>
            <w:gridSpan w:val="2"/>
          </w:tcPr>
          <w:p>
            <w:pPr>
              <w:ind w:left="180"/>
              <w:spacing w:after="0"/>
              <w:rPr>
                <w:sz w:val="20"/>
                <w:szCs w:val="20"/>
                <w:color w:val="auto"/>
              </w:rPr>
            </w:pPr>
            <w:r>
              <w:rPr>
                <w:rFonts w:ascii="Arial" w:cs="Arial" w:eastAsia="Arial" w:hAnsi="Arial"/>
                <w:sz w:val="14"/>
                <w:szCs w:val="14"/>
                <w:color w:val="auto"/>
              </w:rPr>
              <w:t>securities</w:t>
            </w: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Non-mortgage-related</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11,984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11,906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5,421</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6,563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6,523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6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60" w:type="dxa"/>
            <w:vAlign w:val="bottom"/>
            <w:tcBorders>
              <w:bottom w:val="single" w:sz="8" w:color="2C6937"/>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12,528</w:t>
            </w:r>
          </w:p>
        </w:tc>
        <w:tc>
          <w:tcPr>
            <w:tcW w:w="3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12,424</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5,428</w:t>
            </w: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5,390</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6,677</w:t>
            </w: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6,639</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2"/>
        </w:trPr>
        <w:tc>
          <w:tcPr>
            <w:tcW w:w="16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Weighted-average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4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w:t>
            </w:r>
            <w:r>
              <w:rPr>
                <w:rFonts w:ascii="Arial" w:cs="Arial" w:eastAsia="Arial" w:hAnsi="Arial"/>
                <w:sz w:val="17"/>
                <w:szCs w:val="17"/>
                <w:color w:val="auto"/>
                <w:vertAlign w:val="superscript"/>
              </w:rPr>
              <w:t>(2)</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3.79  %</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5.71</w:t>
            </w:r>
          </w:p>
        </w:tc>
        <w:tc>
          <w:tcPr>
            <w:tcW w:w="4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9"/>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40" w:type="dxa"/>
            <w:vAlign w:val="bottom"/>
          </w:tcPr>
          <w:p>
            <w:pPr>
              <w:spacing w:after="0"/>
              <w:rPr>
                <w:sz w:val="20"/>
                <w:szCs w:val="20"/>
                <w:color w:val="auto"/>
              </w:rPr>
            </w:pPr>
          </w:p>
        </w:tc>
        <w:tc>
          <w:tcPr>
            <w:tcW w:w="260" w:type="dxa"/>
            <w:vAlign w:val="bottom"/>
          </w:tcPr>
          <w:p>
            <w:pPr>
              <w:jc w:val="center"/>
              <w:ind w:right="71"/>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3.67</w:t>
            </w:r>
          </w:p>
        </w:tc>
        <w:tc>
          <w:tcPr>
            <w:tcW w:w="4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6.11</w:t>
            </w:r>
          </w:p>
        </w:tc>
        <w:tc>
          <w:tcPr>
            <w:tcW w:w="6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Net carrying amount consists of book value, net of allowance for credit losses on AFS debt securities.</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Weighted-average interest rate includes the effects of discounts, premiums and other cost basis adjustments.</w:t>
      </w:r>
    </w:p>
    <w:p>
      <w:pPr>
        <w:spacing w:after="0" w:line="16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UPB of our unconsolidated Fannie Mae MBS and other financial guarantees. As of March 31, 2026, the maximum remaining contractual term of our guarantees was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$181.2 billion and $184.3 billion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9" w:name="page80"/>
    <w:bookmarkEnd w:id="79"/>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2025</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2,151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2,112</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2,229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2,187</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9,102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89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2,112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9,151</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2,132</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11,253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4,224</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11,380</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4,319</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96" w:lineRule="exact"/>
        <w:rPr>
          <w:sz w:val="20"/>
          <w:szCs w:val="20"/>
          <w:color w:val="auto"/>
        </w:rPr>
      </w:pPr>
    </w:p>
    <w:p>
      <w:pPr>
        <w:ind w:left="24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14, Concentrations of Credit Risk” in our 2025 Form 10-K.</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14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88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w w:val="97"/>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9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4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720"/>
              <w:spacing w:after="0"/>
              <w:rPr>
                <w:sz w:val="20"/>
                <w:szCs w:val="20"/>
                <w:color w:val="auto"/>
              </w:rPr>
            </w:pPr>
            <w:r>
              <w:rPr>
                <w:rFonts w:ascii="Arial" w:cs="Arial" w:eastAsia="Arial" w:hAnsi="Arial"/>
                <w:sz w:val="14"/>
                <w:szCs w:val="14"/>
                <w:b w:val="1"/>
                <w:bCs w:val="1"/>
                <w:color w:val="auto"/>
              </w:rPr>
              <w:t>December 31, 2025</w:t>
            </w:r>
          </w:p>
        </w:tc>
      </w:tr>
      <w:tr>
        <w:trPr>
          <w:trHeight w:val="176"/>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Weighted- Average</w:t>
            </w:r>
          </w:p>
        </w:tc>
        <w:tc>
          <w:tcPr>
            <w:tcW w:w="1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05"/>
        </w:trPr>
        <w:tc>
          <w:tcPr>
            <w:tcW w:w="49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tcPr>
          <w:p>
            <w:pPr>
              <w:jc w:val="right"/>
              <w:ind w:right="350"/>
              <w:spacing w:after="0"/>
              <w:rPr>
                <w:sz w:val="20"/>
                <w:szCs w:val="20"/>
                <w:color w:val="auto"/>
              </w:rPr>
            </w:pPr>
            <w:r>
              <w:rPr>
                <w:rFonts w:ascii="Arial" w:cs="Arial" w:eastAsia="Arial" w:hAnsi="Arial"/>
                <w:sz w:val="14"/>
                <w:szCs w:val="14"/>
                <w:b w:val="1"/>
                <w:bCs w:val="1"/>
                <w:color w:val="auto"/>
              </w:rPr>
              <w:t>Outstanding</w:t>
            </w:r>
          </w:p>
        </w:tc>
        <w:tc>
          <w:tcPr>
            <w:tcW w:w="1880" w:type="dxa"/>
            <w:vAlign w:val="bottom"/>
            <w:tcBorders>
              <w:bottom w:val="single" w:sz="8" w:color="2C6937"/>
            </w:tcBorders>
            <w:gridSpan w:val="3"/>
          </w:tcPr>
          <w:p>
            <w:pPr>
              <w:jc w:val="center"/>
              <w:ind w:right="300"/>
              <w:spacing w:after="0"/>
              <w:rPr>
                <w:sz w:val="20"/>
                <w:szCs w:val="20"/>
                <w:color w:val="auto"/>
              </w:rPr>
            </w:pPr>
            <w:r>
              <w:rPr>
                <w:rFonts w:ascii="Arial" w:cs="Arial" w:eastAsia="Arial" w:hAnsi="Arial"/>
                <w:sz w:val="14"/>
                <w:szCs w:val="14"/>
                <w:b w:val="1"/>
                <w:bCs w:val="1"/>
                <w:color w:val="auto"/>
                <w:w w:val="95"/>
              </w:rPr>
              <w:t>Interest Rate</w:t>
            </w:r>
            <w:r>
              <w:rPr>
                <w:rFonts w:ascii="Arial" w:cs="Arial" w:eastAsia="Arial" w:hAnsi="Arial"/>
                <w:sz w:val="17"/>
                <w:szCs w:val="17"/>
                <w:b w:val="1"/>
                <w:bCs w:val="1"/>
                <w:color w:val="auto"/>
                <w:w w:val="95"/>
                <w:vertAlign w:val="superscript"/>
              </w:rPr>
              <w:t>(1)</w:t>
            </w: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Interest Rate</w:t>
            </w:r>
            <w:r>
              <w:rPr>
                <w:rFonts w:ascii="Arial" w:cs="Arial" w:eastAsia="Arial" w:hAnsi="Arial"/>
                <w:sz w:val="17"/>
                <w:szCs w:val="17"/>
                <w:b w:val="1"/>
                <w:bCs w:val="1"/>
                <w:color w:val="auto"/>
                <w:w w:val="95"/>
                <w:vertAlign w:val="superscript"/>
              </w:rPr>
              <w:t>(1)</w:t>
            </w:r>
          </w:p>
        </w:tc>
      </w:tr>
      <w:tr>
        <w:trPr>
          <w:trHeight w:val="182"/>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0" w:type="dxa"/>
            <w:vAlign w:val="bottom"/>
            <w:gridSpan w:val="4"/>
          </w:tcPr>
          <w:p>
            <w:pPr>
              <w:jc w:val="center"/>
              <w:ind w:left="10"/>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5"/>
                <w:szCs w:val="15"/>
                <w:color w:val="auto"/>
              </w:rPr>
            </w:pPr>
          </w:p>
        </w:tc>
      </w:tr>
      <w:tr>
        <w:trPr>
          <w:trHeight w:val="200"/>
        </w:trPr>
        <w:tc>
          <w:tcPr>
            <w:tcW w:w="490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90"/>
              <w:spacing w:after="0"/>
              <w:rPr>
                <w:sz w:val="20"/>
                <w:szCs w:val="20"/>
                <w:color w:val="auto"/>
              </w:rPr>
            </w:pPr>
            <w:r>
              <w:rPr>
                <w:rFonts w:ascii="Arial" w:cs="Arial" w:eastAsia="Arial" w:hAnsi="Arial"/>
                <w:sz w:val="15"/>
                <w:szCs w:val="15"/>
                <w:b w:val="1"/>
                <w:bCs w:val="1"/>
                <w:color w:val="auto"/>
              </w:rPr>
              <w:t>20,602</w:t>
            </w:r>
          </w:p>
        </w:tc>
        <w:tc>
          <w:tcPr>
            <w:tcW w:w="188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3.40 %  </w:t>
            </w:r>
            <w:r>
              <w:rPr>
                <w:rFonts w:ascii="Arial" w:cs="Arial" w:eastAsia="Arial" w:hAnsi="Arial"/>
                <w:sz w:val="15"/>
                <w:szCs w:val="15"/>
                <w:color w:val="auto"/>
              </w:rPr>
              <w:t>$</w:t>
            </w:r>
          </w:p>
        </w:tc>
        <w:tc>
          <w:tcPr>
            <w:tcW w:w="1320" w:type="dxa"/>
            <w:vAlign w:val="bottom"/>
          </w:tcPr>
          <w:p>
            <w:pPr>
              <w:ind w:left="700"/>
              <w:spacing w:after="0"/>
              <w:rPr>
                <w:sz w:val="20"/>
                <w:szCs w:val="20"/>
                <w:color w:val="auto"/>
              </w:rPr>
            </w:pPr>
            <w:r>
              <w:rPr>
                <w:rFonts w:ascii="Arial" w:cs="Arial" w:eastAsia="Arial" w:hAnsi="Arial"/>
                <w:sz w:val="15"/>
                <w:szCs w:val="15"/>
                <w:color w:val="auto"/>
              </w:rPr>
              <w:t>24,538</w:t>
            </w:r>
          </w:p>
        </w:tc>
        <w:tc>
          <w:tcPr>
            <w:tcW w:w="1560" w:type="dxa"/>
            <w:vAlign w:val="bottom"/>
          </w:tcPr>
          <w:p>
            <w:pPr>
              <w:jc w:val="right"/>
              <w:spacing w:after="0"/>
              <w:rPr>
                <w:sz w:val="20"/>
                <w:szCs w:val="20"/>
                <w:color w:val="auto"/>
              </w:rPr>
            </w:pPr>
            <w:r>
              <w:rPr>
                <w:rFonts w:ascii="Arial" w:cs="Arial" w:eastAsia="Arial" w:hAnsi="Arial"/>
                <w:sz w:val="15"/>
                <w:szCs w:val="15"/>
                <w:color w:val="auto"/>
              </w:rPr>
              <w:t>3.66 %</w:t>
            </w:r>
          </w:p>
        </w:tc>
      </w:tr>
    </w:tbl>
    <w:p>
      <w:pPr>
        <w:spacing w:after="0" w:line="92" w:lineRule="exact"/>
        <w:rPr>
          <w:sz w:val="20"/>
          <w:szCs w:val="20"/>
          <w:color w:val="auto"/>
        </w:rPr>
      </w:pPr>
    </w:p>
    <w:p>
      <w:pPr>
        <w:ind w:left="220" w:hanging="217"/>
        <w:spacing w:after="0"/>
        <w:tabs>
          <w:tab w:leader="none" w:pos="2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w:t>
      </w:r>
    </w:p>
    <w:p>
      <w:pPr>
        <w:spacing w:after="0" w:line="200" w:lineRule="exact"/>
        <w:rPr>
          <w:rFonts w:ascii="Arial" w:cs="Arial" w:eastAsia="Arial" w:hAnsi="Arial"/>
          <w:sz w:val="18"/>
          <w:szCs w:val="18"/>
          <w:color w:val="auto"/>
          <w:vertAlign w:val="superscript"/>
        </w:rPr>
      </w:pPr>
    </w:p>
    <w:p>
      <w:pPr>
        <w:spacing w:after="0" w:line="393"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48"/>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2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jc w:val="right"/>
              <w:ind w:right="128"/>
              <w:spacing w:after="0"/>
              <w:rPr>
                <w:sz w:val="20"/>
                <w:szCs w:val="20"/>
                <w:color w:val="auto"/>
              </w:rPr>
            </w:pPr>
            <w:r>
              <w:rPr>
                <w:rFonts w:ascii="Arial" w:cs="Arial" w:eastAsia="Arial" w:hAnsi="Arial"/>
                <w:sz w:val="14"/>
                <w:szCs w:val="14"/>
                <w:b w:val="1"/>
                <w:bCs w:val="1"/>
                <w:color w:val="auto"/>
              </w:rPr>
              <w:t>March 31, 2026</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12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Average Interest</w:t>
            </w:r>
          </w:p>
        </w:tc>
        <w:tc>
          <w:tcPr>
            <w:tcW w:w="0" w:type="dxa"/>
            <w:vAlign w:val="bottom"/>
          </w:tcPr>
          <w:p>
            <w:pPr>
              <w:spacing w:after="0"/>
              <w:rPr>
                <w:sz w:val="1"/>
                <w:szCs w:val="1"/>
                <w:color w:val="auto"/>
              </w:rPr>
            </w:pPr>
          </w:p>
        </w:tc>
      </w:tr>
      <w:tr>
        <w:trPr>
          <w:trHeight w:val="205"/>
        </w:trPr>
        <w:tc>
          <w:tcPr>
            <w:tcW w:w="3500" w:type="dxa"/>
            <w:vAlign w:val="bottom"/>
          </w:tcPr>
          <w:p>
            <w:pPr>
              <w:spacing w:after="0"/>
              <w:rPr>
                <w:sz w:val="17"/>
                <w:szCs w:val="17"/>
                <w:color w:val="auto"/>
              </w:rPr>
            </w:pPr>
          </w:p>
        </w:tc>
        <w:tc>
          <w:tcPr>
            <w:tcW w:w="1280" w:type="dxa"/>
            <w:vAlign w:val="bottom"/>
            <w:tcBorders>
              <w:bottom w:val="single" w:sz="8" w:color="2C6937"/>
            </w:tcBorders>
          </w:tcPr>
          <w:p>
            <w:pPr>
              <w:jc w:val="center"/>
              <w:ind w:right="8"/>
              <w:spacing w:after="0"/>
              <w:rPr>
                <w:sz w:val="20"/>
                <w:szCs w:val="20"/>
                <w:color w:val="auto"/>
              </w:rPr>
            </w:pPr>
            <w:r>
              <w:rPr>
                <w:rFonts w:ascii="Arial" w:cs="Arial" w:eastAsia="Arial" w:hAnsi="Arial"/>
                <w:sz w:val="14"/>
                <w:szCs w:val="14"/>
                <w:b w:val="1"/>
                <w:bCs w:val="1"/>
                <w:color w:val="auto"/>
                <w:w w:val="96"/>
              </w:rPr>
              <w:t>Maturities</w:t>
            </w:r>
          </w:p>
        </w:tc>
        <w:tc>
          <w:tcPr>
            <w:tcW w:w="12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tcPr>
          <w:p>
            <w:pPr>
              <w:jc w:val="right"/>
              <w:ind w:right="148"/>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17"/>
                <w:szCs w:val="17"/>
                <w:b w:val="1"/>
                <w:bCs w:val="1"/>
                <w:color w:val="auto"/>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Rate</w:t>
            </w:r>
            <w:r>
              <w:rPr>
                <w:rFonts w:ascii="Arial" w:cs="Arial" w:eastAsia="Arial" w:hAnsi="Arial"/>
                <w:sz w:val="17"/>
                <w:szCs w:val="17"/>
                <w:b w:val="1"/>
                <w:bCs w:val="1"/>
                <w:color w:val="auto"/>
                <w:w w:val="90"/>
                <w:vertAlign w:val="superscript"/>
              </w:rPr>
              <w:t>(2)</w:t>
            </w:r>
          </w:p>
        </w:tc>
        <w:tc>
          <w:tcPr>
            <w:tcW w:w="1120" w:type="dxa"/>
            <w:vAlign w:val="bottom"/>
            <w:tcBorders>
              <w:bottom w:val="single" w:sz="8" w:color="2C6937"/>
            </w:tcBorders>
          </w:tcPr>
          <w:p>
            <w:pPr>
              <w:jc w:val="center"/>
              <w:ind w:right="188"/>
              <w:spacing w:after="0"/>
              <w:rPr>
                <w:sz w:val="20"/>
                <w:szCs w:val="20"/>
                <w:color w:val="auto"/>
              </w:rPr>
            </w:pPr>
            <w:r>
              <w:rPr>
                <w:rFonts w:ascii="Arial" w:cs="Arial" w:eastAsia="Arial" w:hAnsi="Arial"/>
                <w:sz w:val="14"/>
                <w:szCs w:val="14"/>
                <w:b w:val="1"/>
                <w:bCs w:val="1"/>
                <w:color w:val="auto"/>
                <w:w w:val="99"/>
              </w:rPr>
              <w:t>Maturities</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7"/>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8"/>
              <w:spacing w:after="0"/>
              <w:rPr>
                <w:sz w:val="20"/>
                <w:szCs w:val="20"/>
                <w:color w:val="auto"/>
              </w:rPr>
            </w:pPr>
            <w:r>
              <w:rPr>
                <w:rFonts w:ascii="Arial" w:cs="Arial" w:eastAsia="Arial" w:hAnsi="Arial"/>
                <w:sz w:val="14"/>
                <w:szCs w:val="14"/>
                <w:b w:val="1"/>
                <w:bCs w:val="1"/>
                <w:color w:val="auto"/>
                <w:w w:val="90"/>
              </w:rPr>
              <w:t>Rate</w:t>
            </w:r>
            <w:r>
              <w:rPr>
                <w:rFonts w:ascii="Arial" w:cs="Arial" w:eastAsia="Arial" w:hAnsi="Arial"/>
                <w:sz w:val="17"/>
                <w:szCs w:val="17"/>
                <w:b w:val="1"/>
                <w:bCs w:val="1"/>
                <w:color w:val="auto"/>
                <w:w w:val="90"/>
                <w:vertAlign w:val="superscript"/>
              </w:rPr>
              <w:t>(2)</w:t>
            </w:r>
          </w:p>
        </w:tc>
        <w:tc>
          <w:tcPr>
            <w:tcW w:w="0" w:type="dxa"/>
            <w:vAlign w:val="bottom"/>
          </w:tcPr>
          <w:p>
            <w:pPr>
              <w:spacing w:after="0"/>
              <w:rPr>
                <w:sz w:val="1"/>
                <w:szCs w:val="1"/>
                <w:color w:val="auto"/>
              </w:rPr>
            </w:pPr>
          </w:p>
        </w:tc>
      </w:tr>
      <w:tr>
        <w:trPr>
          <w:trHeight w:val="185"/>
        </w:trPr>
        <w:tc>
          <w:tcPr>
            <w:tcW w:w="3500" w:type="dxa"/>
            <w:vAlign w:val="bottom"/>
            <w:vMerge w:val="restart"/>
          </w:tcPr>
          <w:p>
            <w:pPr>
              <w:ind w:left="20"/>
              <w:spacing w:after="0"/>
              <w:rPr>
                <w:sz w:val="20"/>
                <w:szCs w:val="20"/>
                <w:color w:val="auto"/>
              </w:rPr>
            </w:pPr>
            <w:r>
              <w:rPr>
                <w:rFonts w:ascii="Arial" w:cs="Arial" w:eastAsia="Arial" w:hAnsi="Arial"/>
                <w:sz w:val="15"/>
                <w:szCs w:val="15"/>
                <w:color w:val="auto"/>
              </w:rPr>
              <w:t>Senior fixed: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2026 - 2030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Pr>
          <w:p>
            <w:pPr>
              <w:jc w:val="right"/>
              <w:ind w:right="8"/>
              <w:spacing w:after="0"/>
              <w:rPr>
                <w:sz w:val="20"/>
                <w:szCs w:val="20"/>
                <w:color w:val="auto"/>
              </w:rPr>
            </w:pPr>
            <w:r>
              <w:rPr>
                <w:rFonts w:ascii="Arial" w:cs="Arial" w:eastAsia="Arial" w:hAnsi="Arial"/>
                <w:sz w:val="15"/>
                <w:szCs w:val="15"/>
                <w:b w:val="1"/>
                <w:bCs w:val="1"/>
                <w:color w:val="auto"/>
              </w:rPr>
              <w:t>26,704</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4.15 %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2026 - 2030</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26,649</w:t>
            </w:r>
          </w:p>
        </w:tc>
        <w:tc>
          <w:tcPr>
            <w:tcW w:w="1220" w:type="dxa"/>
            <w:vAlign w:val="bottom"/>
          </w:tcPr>
          <w:p>
            <w:pPr>
              <w:jc w:val="right"/>
              <w:spacing w:after="0"/>
              <w:rPr>
                <w:sz w:val="20"/>
                <w:szCs w:val="20"/>
                <w:color w:val="auto"/>
              </w:rPr>
            </w:pPr>
            <w:r>
              <w:rPr>
                <w:rFonts w:ascii="Arial" w:cs="Arial" w:eastAsia="Arial" w:hAnsi="Arial"/>
                <w:sz w:val="15"/>
                <w:szCs w:val="15"/>
                <w:color w:val="auto"/>
              </w:rPr>
              <w:t>4.16 %</w:t>
            </w:r>
          </w:p>
        </w:tc>
        <w:tc>
          <w:tcPr>
            <w:tcW w:w="0" w:type="dxa"/>
            <w:vAlign w:val="bottom"/>
          </w:tcPr>
          <w:p>
            <w:pPr>
              <w:spacing w:after="0"/>
              <w:rPr>
                <w:sz w:val="1"/>
                <w:szCs w:val="1"/>
                <w:color w:val="auto"/>
              </w:rPr>
            </w:pPr>
          </w:p>
        </w:tc>
      </w:tr>
      <w:tr>
        <w:trPr>
          <w:trHeight w:val="193"/>
        </w:trPr>
        <w:tc>
          <w:tcPr>
            <w:tcW w:w="3500" w:type="dxa"/>
            <w:vAlign w:val="bottom"/>
          </w:tcPr>
          <w:p>
            <w:pPr>
              <w:ind w:left="220"/>
              <w:spacing w:after="0" w:line="194" w:lineRule="exact"/>
              <w:rPr>
                <w:sz w:val="20"/>
                <w:szCs w:val="20"/>
                <w:color w:val="auto"/>
              </w:rPr>
            </w:pPr>
            <w:r>
              <w:rPr>
                <w:rFonts w:ascii="Arial" w:cs="Arial" w:eastAsia="Arial" w:hAnsi="Arial"/>
                <w:sz w:val="15"/>
                <w:szCs w:val="15"/>
                <w:color w:val="auto"/>
              </w:rPr>
              <w:t>Medium-term notes</w:t>
            </w:r>
            <w:r>
              <w:rPr>
                <w:rFonts w:ascii="Arial" w:cs="Arial" w:eastAsia="Arial" w:hAnsi="Arial"/>
                <w:sz w:val="18"/>
                <w:szCs w:val="18"/>
                <w:color w:val="auto"/>
                <w:vertAlign w:val="superscript"/>
              </w:rPr>
              <w:t>(3)</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2026 - 2036</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5"/>
                <w:szCs w:val="15"/>
                <w:b w:val="1"/>
                <w:bCs w:val="1"/>
                <w:color w:val="auto"/>
              </w:rPr>
              <w:t>43,859</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2026 - 2035</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31,430</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2C6937"/>
            </w:tcBorders>
          </w:tcPr>
          <w:p>
            <w:pPr>
              <w:ind w:left="220"/>
              <w:spacing w:after="0" w:line="198" w:lineRule="exact"/>
              <w:rPr>
                <w:sz w:val="20"/>
                <w:szCs w:val="20"/>
                <w:color w:val="auto"/>
              </w:rPr>
            </w:pPr>
            <w:r>
              <w:rPr>
                <w:rFonts w:ascii="Arial" w:cs="Arial" w:eastAsia="Arial" w:hAnsi="Arial"/>
                <w:sz w:val="15"/>
                <w:szCs w:val="15"/>
                <w:color w:val="auto"/>
              </w:rPr>
              <w:t>Other</w:t>
            </w:r>
            <w:r>
              <w:rPr>
                <w:rFonts w:ascii="Arial" w:cs="Arial" w:eastAsia="Arial" w:hAnsi="Arial"/>
                <w:sz w:val="18"/>
                <w:szCs w:val="18"/>
                <w:color w:val="auto"/>
                <w:vertAlign w:val="superscript"/>
              </w:rPr>
              <w:t>(4)</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2026 - 2038</w:t>
            </w:r>
          </w:p>
        </w:tc>
        <w:tc>
          <w:tcPr>
            <w:tcW w:w="12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tcPr>
          <w:p>
            <w:pPr>
              <w:jc w:val="right"/>
              <w:ind w:right="8"/>
              <w:spacing w:after="0"/>
              <w:rPr>
                <w:sz w:val="20"/>
                <w:szCs w:val="20"/>
                <w:color w:val="auto"/>
              </w:rPr>
            </w:pPr>
            <w:r>
              <w:rPr>
                <w:rFonts w:ascii="Arial" w:cs="Arial" w:eastAsia="Arial" w:hAnsi="Arial"/>
                <w:sz w:val="15"/>
                <w:szCs w:val="15"/>
                <w:b w:val="1"/>
                <w:bCs w:val="1"/>
                <w:color w:val="auto"/>
              </w:rPr>
              <w:t>6,603</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2026 - 2038</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6,609</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182"/>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5"/>
                <w:szCs w:val="15"/>
                <w:b w:val="1"/>
                <w:bCs w:val="1"/>
                <w:color w:val="auto"/>
              </w:rPr>
              <w:t>77,166</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64,688</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line="195" w:lineRule="exact"/>
              <w:rPr>
                <w:sz w:val="20"/>
                <w:szCs w:val="20"/>
                <w:color w:val="auto"/>
              </w:rPr>
            </w:pPr>
            <w:r>
              <w:rPr>
                <w:rFonts w:ascii="Arial" w:cs="Arial" w:eastAsia="Arial" w:hAnsi="Arial"/>
                <w:sz w:val="15"/>
                <w:szCs w:val="15"/>
                <w:color w:val="auto"/>
              </w:rPr>
              <w:t>Medium-term notes</w:t>
            </w:r>
            <w:r>
              <w:rPr>
                <w:rFonts w:ascii="Arial" w:cs="Arial" w:eastAsia="Arial" w:hAnsi="Arial"/>
                <w:sz w:val="18"/>
                <w:szCs w:val="18"/>
                <w:color w:val="auto"/>
                <w:vertAlign w:val="superscript"/>
              </w:rPr>
              <w:t>(3)</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2026 - 2028</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5"/>
                <w:szCs w:val="15"/>
                <w:b w:val="1"/>
                <w:bCs w:val="1"/>
                <w:color w:val="auto"/>
              </w:rPr>
              <w:t>51,436</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2026 - 2027</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36,437</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3.93</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2C6937"/>
            </w:tcBorders>
          </w:tcPr>
          <w:p>
            <w:pPr>
              <w:ind w:left="220"/>
              <w:spacing w:after="0" w:line="198" w:lineRule="exact"/>
              <w:rPr>
                <w:sz w:val="20"/>
                <w:szCs w:val="20"/>
                <w:color w:val="auto"/>
              </w:rPr>
            </w:pPr>
            <w:r>
              <w:rPr>
                <w:rFonts w:ascii="Arial" w:cs="Arial" w:eastAsia="Arial" w:hAnsi="Arial"/>
                <w:sz w:val="15"/>
                <w:szCs w:val="15"/>
                <w:color w:val="auto"/>
              </w:rPr>
              <w:t>Other</w:t>
            </w:r>
            <w:r>
              <w:rPr>
                <w:rFonts w:ascii="Arial" w:cs="Arial" w:eastAsia="Arial" w:hAnsi="Arial"/>
                <w:sz w:val="18"/>
                <w:szCs w:val="18"/>
                <w:color w:val="auto"/>
                <w:vertAlign w:val="superscript"/>
              </w:rPr>
              <w:t>(5)</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2028 - 2037</w:t>
            </w:r>
          </w:p>
        </w:tc>
        <w:tc>
          <w:tcPr>
            <w:tcW w:w="12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tcPr>
          <w:p>
            <w:pPr>
              <w:jc w:val="right"/>
              <w:ind w:right="8"/>
              <w:spacing w:after="0"/>
              <w:rPr>
                <w:sz w:val="20"/>
                <w:szCs w:val="20"/>
                <w:color w:val="auto"/>
              </w:rPr>
            </w:pPr>
            <w:r>
              <w:rPr>
                <w:rFonts w:ascii="Arial" w:cs="Arial" w:eastAsia="Arial" w:hAnsi="Arial"/>
                <w:sz w:val="15"/>
                <w:szCs w:val="15"/>
                <w:b w:val="1"/>
                <w:bCs w:val="1"/>
                <w:color w:val="auto"/>
              </w:rPr>
              <w:t>1,234</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10.48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2028 - 2037</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1,626</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10.99</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jc w:val="right"/>
              <w:ind w:right="8"/>
              <w:spacing w:after="0"/>
              <w:rPr>
                <w:sz w:val="20"/>
                <w:szCs w:val="20"/>
                <w:color w:val="auto"/>
              </w:rPr>
            </w:pPr>
            <w:r>
              <w:rPr>
                <w:rFonts w:ascii="Arial" w:cs="Arial" w:eastAsia="Arial" w:hAnsi="Arial"/>
                <w:sz w:val="15"/>
                <w:szCs w:val="15"/>
                <w:b w:val="1"/>
                <w:bCs w:val="1"/>
                <w:color w:val="auto"/>
              </w:rPr>
              <w:t>52,670</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38,063</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18"/>
                <w:szCs w:val="18"/>
                <w:color w:val="auto"/>
                <w:vertAlign w:val="superscript"/>
              </w:rPr>
              <w:t>(6)</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5"/>
                <w:szCs w:val="15"/>
                <w:b w:val="1"/>
                <w:bCs w:val="1"/>
                <w:color w:val="auto"/>
              </w:rPr>
              <w:t>129,836</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102,751</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80" w:type="dxa"/>
            <w:vAlign w:val="bottom"/>
          </w:tcPr>
          <w:p>
            <w:pPr>
              <w:jc w:val="center"/>
              <w:ind w:right="28"/>
              <w:spacing w:after="0"/>
              <w:rPr>
                <w:sz w:val="20"/>
                <w:szCs w:val="20"/>
                <w:color w:val="auto"/>
              </w:rPr>
            </w:pPr>
            <w:r>
              <w:rPr>
                <w:rFonts w:ascii="Arial" w:cs="Arial" w:eastAsia="Arial" w:hAnsi="Arial"/>
                <w:sz w:val="15"/>
                <w:szCs w:val="15"/>
                <w:b w:val="1"/>
                <w:bCs w:val="1"/>
                <w:color w:val="auto"/>
                <w:w w:val="97"/>
              </w:rPr>
              <w:t>2026 - 2064</w:t>
            </w:r>
          </w:p>
        </w:tc>
        <w:tc>
          <w:tcPr>
            <w:tcW w:w="12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tcPr>
          <w:p>
            <w:pPr>
              <w:jc w:val="right"/>
              <w:ind w:right="8"/>
              <w:spacing w:after="0"/>
              <w:rPr>
                <w:sz w:val="20"/>
                <w:szCs w:val="20"/>
                <w:color w:val="auto"/>
              </w:rPr>
            </w:pPr>
            <w:r>
              <w:rPr>
                <w:rFonts w:ascii="Arial" w:cs="Arial" w:eastAsia="Arial" w:hAnsi="Arial"/>
                <w:sz w:val="15"/>
                <w:szCs w:val="15"/>
                <w:b w:val="1"/>
                <w:bCs w:val="1"/>
                <w:color w:val="auto"/>
              </w:rPr>
              <w:t>4,022,364</w:t>
            </w:r>
          </w:p>
        </w:tc>
        <w:tc>
          <w:tcPr>
            <w:tcW w:w="1220" w:type="dxa"/>
            <w:vAlign w:val="bottom"/>
          </w:tcPr>
          <w:p>
            <w:pPr>
              <w:jc w:val="right"/>
              <w:ind w:right="128"/>
              <w:spacing w:after="0"/>
              <w:rPr>
                <w:sz w:val="20"/>
                <w:szCs w:val="20"/>
                <w:color w:val="auto"/>
              </w:rPr>
            </w:pPr>
            <w:r>
              <w:rPr>
                <w:rFonts w:ascii="Arial" w:cs="Arial" w:eastAsia="Arial" w:hAnsi="Arial"/>
                <w:sz w:val="15"/>
                <w:szCs w:val="15"/>
                <w:b w:val="1"/>
                <w:bCs w:val="1"/>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2026 - 2064</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4,053,140</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8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2C6937"/>
            </w:tcBorders>
          </w:tcPr>
          <w:p>
            <w:pPr>
              <w:jc w:val="right"/>
              <w:ind w:right="8"/>
              <w:spacing w:after="0"/>
              <w:rPr>
                <w:sz w:val="20"/>
                <w:szCs w:val="20"/>
                <w:color w:val="auto"/>
              </w:rPr>
            </w:pPr>
            <w:r>
              <w:rPr>
                <w:rFonts w:ascii="Arial" w:cs="Arial" w:eastAsia="Arial" w:hAnsi="Arial"/>
                <w:sz w:val="15"/>
                <w:szCs w:val="15"/>
                <w:b w:val="1"/>
                <w:bCs w:val="1"/>
                <w:color w:val="auto"/>
              </w:rPr>
              <w:t>4,152,200</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3.17 %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4,155,891</w:t>
            </w:r>
          </w:p>
        </w:tc>
        <w:tc>
          <w:tcPr>
            <w:tcW w:w="1220" w:type="dxa"/>
            <w:vAlign w:val="bottom"/>
          </w:tcPr>
          <w:p>
            <w:pPr>
              <w:jc w:val="right"/>
              <w:spacing w:after="0"/>
              <w:rPr>
                <w:sz w:val="20"/>
                <w:szCs w:val="20"/>
                <w:color w:val="auto"/>
              </w:rPr>
            </w:pPr>
            <w:r>
              <w:rPr>
                <w:rFonts w:ascii="Arial" w:cs="Arial" w:eastAsia="Arial" w:hAnsi="Arial"/>
                <w:sz w:val="15"/>
                <w:szCs w:val="15"/>
                <w:color w:val="auto"/>
              </w:rPr>
              <w:t>3.16 %</w:t>
            </w:r>
          </w:p>
        </w:tc>
        <w:tc>
          <w:tcPr>
            <w:tcW w:w="0" w:type="dxa"/>
            <w:vAlign w:val="bottom"/>
          </w:tcPr>
          <w:p>
            <w:pPr>
              <w:spacing w:after="0"/>
              <w:rPr>
                <w:sz w:val="1"/>
                <w:szCs w:val="1"/>
                <w:color w:val="auto"/>
              </w:rPr>
            </w:pP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4"/>
        </w:numPr>
        <w:rPr>
          <w:rFonts w:ascii="Arial" w:cs="Arial" w:eastAsia="Arial" w:hAnsi="Arial"/>
          <w:sz w:val="9"/>
          <w:szCs w:val="9"/>
          <w:color w:val="auto"/>
        </w:rPr>
      </w:pPr>
      <w:r>
        <w:rPr>
          <w:rFonts w:ascii="Arial" w:cs="Arial" w:eastAsia="Arial" w:hAnsi="Arial"/>
          <w:sz w:val="14"/>
          <w:szCs w:val="14"/>
          <w:color w:val="auto"/>
        </w:rPr>
        <w:t>Outstanding debt balance consists of the UPB, premiums and discounts, fair value adjustments, hedge-related basis adjustments, and other cost basis adjustments.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Consists of structured debt instruments that are reported at fair value and CAS securities issued prior to November 2018.</w:t>
      </w:r>
    </w:p>
    <w:p>
      <w:pPr>
        <w:spacing w:after="0" w:line="38" w:lineRule="exact"/>
        <w:rPr>
          <w:rFonts w:ascii="Arial" w:cs="Arial" w:eastAsia="Arial" w:hAnsi="Arial"/>
          <w:sz w:val="18"/>
          <w:szCs w:val="18"/>
          <w:color w:val="auto"/>
          <w:vertAlign w:val="superscript"/>
        </w:rPr>
      </w:pPr>
    </w:p>
    <w:p>
      <w:pPr>
        <w:ind w:left="240" w:right="320" w:hanging="237"/>
        <w:spacing w:after="0" w:line="210" w:lineRule="auto"/>
        <w:tabs>
          <w:tab w:leader="none" w:pos="233"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$2.5 billion and $2.6 billion as of March 31, 2026 and December 31, 2025, respectively.</w:t>
      </w:r>
    </w:p>
    <w:p>
      <w:pPr>
        <w:spacing w:after="0" w:line="14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use derivatives as part of our interest-rate risk management strategy. Our derivatives consist primarily of interest-rate swaps, interest-rate options, and forward commitments. We enter into forward purchase and sale commitments that lock in the future delivery of mortgage loans and mortgage-related securities, certain of which are accounted for as derivatives. We also account for certain credit risk transfer transactions as derivatives. See “Note 9, Derivative Instruments” in our 2025 Form 10-K for additional information on interest-rate risk management.</w:t>
      </w:r>
    </w:p>
    <w:p>
      <w:pPr>
        <w:spacing w:after="0" w:line="4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fair value hedges of mortgage loans and funding debt. See “Note 1, Summary of Significant Accounting Policies–Fair Value Hedge Accounting” in our 2025 Form 10-K for additional information on our use of hedge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1" w:name="page82"/>
    <w:bookmarkEnd w:id="81"/>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94"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As of March 31, 2026</w:t>
            </w: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2025</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5"/>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b w:val="1"/>
                <w:bCs w:val="1"/>
                <w:color w:val="auto"/>
              </w:rPr>
              <w:t>Notional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Asset</w:t>
            </w:r>
          </w:p>
        </w:tc>
        <w:tc>
          <w:tcPr>
            <w:tcW w:w="120" w:type="dxa"/>
            <w:vAlign w:val="bottom"/>
          </w:tcPr>
          <w:p>
            <w:pPr>
              <w:spacing w:after="0"/>
              <w:rPr>
                <w:sz w:val="15"/>
                <w:szCs w:val="15"/>
                <w:color w:val="auto"/>
              </w:rPr>
            </w:pPr>
          </w:p>
        </w:tc>
        <w:tc>
          <w:tcPr>
            <w:tcW w:w="110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Derivatives</w:t>
            </w:r>
          </w:p>
        </w:tc>
        <w:tc>
          <w:tcPr>
            <w:tcW w:w="120" w:type="dxa"/>
            <w:vAlign w:val="bottom"/>
          </w:tcPr>
          <w:p>
            <w:pPr>
              <w:spacing w:after="0"/>
              <w:rPr>
                <w:sz w:val="17"/>
                <w:szCs w:val="17"/>
                <w:color w:val="auto"/>
              </w:rPr>
            </w:pPr>
          </w:p>
        </w:tc>
        <w:tc>
          <w:tcPr>
            <w:tcW w:w="1100" w:type="dxa"/>
            <w:vAlign w:val="bottom"/>
            <w:gridSpan w:val="2"/>
          </w:tcPr>
          <w:p>
            <w:pPr>
              <w:jc w:val="center"/>
              <w:ind w:right="183"/>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Pr>
          <w:p>
            <w:pPr>
              <w:spacing w:after="0"/>
              <w:rPr>
                <w:sz w:val="17"/>
                <w:szCs w:val="17"/>
                <w:color w:val="auto"/>
              </w:rPr>
            </w:pPr>
          </w:p>
        </w:tc>
        <w:tc>
          <w:tcPr>
            <w:tcW w:w="96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0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0" w:type="dxa"/>
            <w:vAlign w:val="bottom"/>
            <w:tcBorders>
              <w:top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1"/>
              </w:rPr>
              <w:t>in</w:t>
            </w:r>
          </w:p>
        </w:tc>
        <w:tc>
          <w:tcPr>
            <w:tcW w:w="1120" w:type="dxa"/>
            <w:vAlign w:val="bottom"/>
            <w:tcBorders>
              <w:top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9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22,400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12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38,759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16,668</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8,439</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39,068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47,198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2C6937"/>
            </w:tcBorders>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171,509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2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199,744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189,110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194,394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12,456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12,161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13,391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11,546</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399,205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429,885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1,299</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438,273</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477,083</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80,754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139,855</w:t>
            </w:r>
          </w:p>
        </w:tc>
        <w:tc>
          <w:tcPr>
            <w:tcW w:w="4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111,868</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226,521</w:t>
            </w:r>
          </w:p>
        </w:tc>
        <w:tc>
          <w:tcPr>
            <w:tcW w:w="4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(593)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162,995</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5"/>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Credit enhancement derivatives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26,795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2,265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693,854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(676)</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668,079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5"/>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jc w:val="both"/>
        <w:ind w:left="240" w:right="280" w:hanging="237"/>
        <w:spacing w:after="0" w:line="264" w:lineRule="auto"/>
        <w:tabs>
          <w:tab w:leader="none" w:pos="233" w:val="left"/>
        </w:tabs>
        <w:numPr>
          <w:ilvl w:val="0"/>
          <w:numId w:val="75"/>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$1.2 billion and $1.1 billion as of March 31, 2026 and December 31, 2025, respectively. Cash collateral received was $67 million and $27 million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2" w:name="page83"/>
    <w:bookmarkEnd w:id="82"/>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by type of derivative instrument, the fair value gains and losses, net on our derivatives.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tcBorders>
              <w:bottom w:val="single" w:sz="8" w:color="2C6937"/>
            </w:tcBorders>
            <w:gridSpan w:val="4"/>
          </w:tcPr>
          <w:p>
            <w:pPr>
              <w:jc w:val="right"/>
              <w:ind w:right="6"/>
              <w:spacing w:after="0"/>
              <w:rPr>
                <w:sz w:val="20"/>
                <w:szCs w:val="20"/>
                <w:color w:val="auto"/>
              </w:rPr>
            </w:pPr>
            <w:r>
              <w:rPr>
                <w:rFonts w:ascii="Arial" w:cs="Arial" w:eastAsia="Arial" w:hAnsi="Arial"/>
                <w:sz w:val="14"/>
                <w:szCs w:val="14"/>
                <w:b w:val="1"/>
                <w:bCs w:val="1"/>
                <w:color w:val="auto"/>
              </w:rPr>
              <w:t>For the Three Months Ended March 31,</w:t>
            </w:r>
          </w:p>
        </w:tc>
        <w:tc>
          <w:tcPr>
            <w:tcW w:w="520" w:type="dxa"/>
            <w:vAlign w:val="bottom"/>
            <w:tcBorders>
              <w:bottom w:val="single" w:sz="8" w:color="2C6937"/>
            </w:tcBorders>
          </w:tcPr>
          <w:p>
            <w:pPr>
              <w:spacing w:after="0"/>
              <w:rPr>
                <w:sz w:val="16"/>
                <w:szCs w:val="16"/>
                <w:color w:val="auto"/>
              </w:rPr>
            </w:pPr>
          </w:p>
        </w:tc>
      </w:tr>
      <w:tr>
        <w:trPr>
          <w:trHeight w:val="186"/>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2C6937"/>
            </w:tcBorders>
          </w:tcPr>
          <w:p>
            <w:pPr>
              <w:spacing w:after="0"/>
              <w:rPr>
                <w:sz w:val="16"/>
                <w:szCs w:val="16"/>
                <w:color w:val="auto"/>
              </w:rPr>
            </w:pPr>
          </w:p>
        </w:tc>
      </w:tr>
      <w:tr>
        <w:trPr>
          <w:trHeight w:val="185"/>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6"/>
                <w:szCs w:val="16"/>
                <w:color w:val="auto"/>
              </w:rPr>
            </w:pPr>
          </w:p>
        </w:tc>
      </w:tr>
      <w:tr>
        <w:trPr>
          <w:trHeight w:val="206"/>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40" w:type="dxa"/>
            <w:vAlign w:val="bottom"/>
          </w:tcPr>
          <w:p>
            <w:pPr>
              <w:jc w:val="right"/>
              <w:ind w:right="9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586</w:t>
            </w:r>
          </w:p>
        </w:tc>
        <w:tc>
          <w:tcPr>
            <w:tcW w:w="140" w:type="dxa"/>
            <w:vAlign w:val="bottom"/>
          </w:tcPr>
          <w:p>
            <w:pPr>
              <w:spacing w:after="0"/>
              <w:rPr>
                <w:sz w:val="17"/>
                <w:szCs w:val="17"/>
                <w:color w:val="auto"/>
              </w:rPr>
            </w:pPr>
          </w:p>
        </w:tc>
        <w:tc>
          <w:tcPr>
            <w:tcW w:w="1280" w:type="dxa"/>
            <w:vAlign w:val="bottom"/>
          </w:tcPr>
          <w:p>
            <w:pPr>
              <w:jc w:val="right"/>
              <w:ind w:right="110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(879)</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(677)</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1,015</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9</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8"/>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04"/>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21</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99</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73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8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w:t>
            </w:r>
          </w:p>
        </w:tc>
        <w:tc>
          <w:tcPr>
            <w:tcW w:w="140" w:type="dxa"/>
            <w:vAlign w:val="bottom"/>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(218)</w:t>
            </w:r>
          </w:p>
        </w:tc>
      </w:tr>
      <w:tr>
        <w:trPr>
          <w:trHeight w:val="198"/>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06"/>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422</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06"/>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8"/>
        </w:trPr>
        <w:tc>
          <w:tcPr>
            <w:tcW w:w="7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derivatives</w:t>
            </w:r>
          </w:p>
        </w:tc>
        <w:tc>
          <w:tcPr>
            <w:tcW w:w="18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140" w:type="dxa"/>
            <w:vAlign w:val="bottom"/>
          </w:tcPr>
          <w:p>
            <w:pPr>
              <w:jc w:val="right"/>
              <w:ind w:right="9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385</w:t>
            </w:r>
          </w:p>
        </w:tc>
        <w:tc>
          <w:tcPr>
            <w:tcW w:w="140" w:type="dxa"/>
            <w:vAlign w:val="bottom"/>
          </w:tcPr>
          <w:p>
            <w:pPr>
              <w:spacing w:after="0"/>
              <w:rPr>
                <w:sz w:val="17"/>
                <w:szCs w:val="17"/>
                <w:color w:val="auto"/>
              </w:rPr>
            </w:pPr>
          </w:p>
        </w:tc>
        <w:tc>
          <w:tcPr>
            <w:tcW w:w="1280" w:type="dxa"/>
            <w:vAlign w:val="bottom"/>
          </w:tcPr>
          <w:p>
            <w:pPr>
              <w:jc w:val="right"/>
              <w:ind w:right="110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(335)</w:t>
            </w:r>
          </w:p>
        </w:tc>
      </w:tr>
      <w:tr>
        <w:trPr>
          <w:trHeight w:val="20"/>
        </w:trPr>
        <w:tc>
          <w:tcPr>
            <w:tcW w:w="73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3280" w:type="dxa"/>
            <w:vAlign w:val="bottom"/>
            <w:tcBorders>
              <w:bottom w:val="single" w:sz="8" w:color="2C6937"/>
            </w:tcBorders>
            <w:gridSpan w:val="9"/>
          </w:tcPr>
          <w:p>
            <w:pPr>
              <w:jc w:val="center"/>
              <w:ind w:left="651"/>
              <w:spacing w:after="0"/>
              <w:rPr>
                <w:sz w:val="20"/>
                <w:szCs w:val="20"/>
                <w:color w:val="auto"/>
              </w:rPr>
            </w:pPr>
            <w:r>
              <w:rPr>
                <w:rFonts w:ascii="Arial" w:cs="Arial" w:eastAsia="Arial" w:hAnsi="Arial"/>
                <w:sz w:val="14"/>
                <w:szCs w:val="14"/>
                <w:b w:val="1"/>
                <w:bCs w:val="1"/>
                <w:color w:val="auto"/>
                <w:w w:val="97"/>
              </w:rPr>
              <w:t>For the Three Months Ended March 31,</w:t>
            </w:r>
          </w:p>
        </w:tc>
        <w:tc>
          <w:tcPr>
            <w:tcW w:w="860" w:type="dxa"/>
            <w:vAlign w:val="bottom"/>
            <w:tcBorders>
              <w:bottom w:val="single" w:sz="8" w:color="2C6937"/>
            </w:tcBorders>
          </w:tcPr>
          <w:p>
            <w:pPr>
              <w:spacing w:after="0"/>
              <w:rPr>
                <w:sz w:val="16"/>
                <w:szCs w:val="16"/>
                <w:color w:val="auto"/>
              </w:rPr>
            </w:pPr>
          </w:p>
        </w:tc>
      </w:tr>
      <w:tr>
        <w:trPr>
          <w:trHeight w:val="186"/>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2C6937"/>
            </w:tcBorders>
          </w:tcPr>
          <w:p>
            <w:pPr>
              <w:spacing w:after="0"/>
              <w:rPr>
                <w:sz w:val="16"/>
                <w:szCs w:val="16"/>
                <w:color w:val="auto"/>
              </w:rPr>
            </w:pPr>
          </w:p>
        </w:tc>
      </w:tr>
      <w:tr>
        <w:trPr>
          <w:trHeight w:val="165"/>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4"/>
                <w:szCs w:val="14"/>
                <w:color w:val="auto"/>
              </w:rPr>
            </w:pPr>
          </w:p>
        </w:tc>
        <w:tc>
          <w:tcPr>
            <w:tcW w:w="86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r>
      <w:tr>
        <w:trPr>
          <w:trHeight w:val="168"/>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Income:</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Expense:</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Income:</w:t>
            </w:r>
          </w:p>
        </w:tc>
        <w:tc>
          <w:tcPr>
            <w:tcW w:w="140" w:type="dxa"/>
            <w:vAlign w:val="bottom"/>
          </w:tcPr>
          <w:p>
            <w:pPr>
              <w:spacing w:after="0"/>
              <w:rPr>
                <w:sz w:val="14"/>
                <w:szCs w:val="14"/>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96"/>
              </w:rPr>
              <w:t>Expense:</w:t>
            </w:r>
          </w:p>
        </w:tc>
      </w:tr>
      <w:tr>
        <w:trPr>
          <w:trHeight w:val="168"/>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Mortgage</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40" w:type="dxa"/>
            <w:vAlign w:val="bottom"/>
          </w:tcPr>
          <w:p>
            <w:pPr>
              <w:spacing w:after="0"/>
              <w:rPr>
                <w:sz w:val="14"/>
                <w:szCs w:val="14"/>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Long-Term</w:t>
            </w:r>
          </w:p>
        </w:tc>
      </w:tr>
      <w:tr>
        <w:trPr>
          <w:trHeight w:val="196"/>
        </w:trPr>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14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rPr>
              <w:t>Debt</w:t>
            </w:r>
          </w:p>
        </w:tc>
      </w:tr>
      <w:tr>
        <w:trPr>
          <w:trHeight w:val="192"/>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amounts presented in our condensed consolidated statements of operations and comprehensive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5"/>
        </w:trPr>
        <w:tc>
          <w:tcPr>
            <w:tcW w:w="6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38,905</w:t>
            </w:r>
          </w:p>
        </w:tc>
        <w:tc>
          <w:tcPr>
            <w:tcW w:w="8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(32,830)</w:t>
            </w:r>
          </w:p>
        </w:tc>
        <w:tc>
          <w:tcPr>
            <w:tcW w:w="8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37,399</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(31,910)</w:t>
            </w:r>
          </w:p>
        </w:tc>
      </w:tr>
      <w:tr>
        <w:trPr>
          <w:trHeight w:val="443"/>
        </w:trPr>
        <w:tc>
          <w:tcPr>
            <w:tcW w:w="696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(losses) from fair value hedging relationships: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6960" w:type="dxa"/>
            <w:vAlign w:val="bottom"/>
            <w:gridSpan w:val="2"/>
          </w:tcPr>
          <w:p>
            <w:pPr>
              <w:ind w:left="120"/>
              <w:spacing w:after="0"/>
              <w:rPr>
                <w:sz w:val="20"/>
                <w:szCs w:val="20"/>
                <w:color w:val="auto"/>
              </w:rPr>
            </w:pPr>
            <w:r>
              <w:rPr>
                <w:rFonts w:ascii="Arial" w:cs="Arial" w:eastAsia="Arial" w:hAnsi="Arial"/>
                <w:sz w:val="14"/>
                <w:szCs w:val="14"/>
                <w:color w:val="auto"/>
              </w:rPr>
              <w:t>Mortgage loans HFI and related interest-rate contracts: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Hedged items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Discontinued hedge related basis adjustment amortization</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Interest accruals on hedging instruments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960" w:type="dxa"/>
            <w:vAlign w:val="bottom"/>
            <w:gridSpan w:val="2"/>
          </w:tcPr>
          <w:p>
            <w:pPr>
              <w:ind w:left="120"/>
              <w:spacing w:after="0"/>
              <w:rPr>
                <w:sz w:val="20"/>
                <w:szCs w:val="20"/>
                <w:color w:val="auto"/>
              </w:rPr>
            </w:pPr>
            <w:r>
              <w:rPr>
                <w:rFonts w:ascii="Arial" w:cs="Arial" w:eastAsia="Arial" w:hAnsi="Arial"/>
                <w:sz w:val="14"/>
                <w:szCs w:val="14"/>
                <w:color w:val="auto"/>
              </w:rPr>
              <w:t>Debt of Fannie Mae and related interest-rate contracts: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Hedged items</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19"/>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Discontinued hedge-related basis adjustment amortization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19"/>
        </w:trPr>
        <w:tc>
          <w:tcPr>
            <w:tcW w:w="6960" w:type="dxa"/>
            <w:vAlign w:val="bottom"/>
            <w:gridSpan w:val="2"/>
          </w:tcPr>
          <w:p>
            <w:pPr>
              <w:ind w:left="32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20"/>
        </w:trPr>
        <w:tc>
          <w:tcPr>
            <w:tcW w:w="6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Interest accruals on derivative hedging instruments</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r>
      <w:tr>
        <w:trPr>
          <w:trHeight w:val="212"/>
        </w:trPr>
        <w:tc>
          <w:tcPr>
            <w:tcW w:w="6960" w:type="dxa"/>
            <w:vAlign w:val="bottom"/>
            <w:gridSpan w:val="2"/>
          </w:tcPr>
          <w:p>
            <w:pPr>
              <w:ind w:left="20"/>
              <w:spacing w:after="0"/>
              <w:rPr>
                <w:sz w:val="20"/>
                <w:szCs w:val="20"/>
                <w:color w:val="auto"/>
              </w:rPr>
            </w:pPr>
            <w:r>
              <w:rPr>
                <w:rFonts w:ascii="Arial" w:cs="Arial" w:eastAsia="Arial" w:hAnsi="Arial"/>
                <w:sz w:val="14"/>
                <w:szCs w:val="14"/>
                <w:color w:val="auto"/>
              </w:rPr>
              <w:t>Gains (losses) recognized in net interest income on fair value hedging relationships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20"/>
        </w:trPr>
        <w:tc>
          <w:tcPr>
            <w:tcW w:w="68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3" w:name="page84"/>
    <w:bookmarkEnd w:id="83"/>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March 31, 2026 and December 31, 2025.</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3"/>
          </w:tcPr>
          <w:p>
            <w:pPr>
              <w:jc w:val="center"/>
              <w:ind w:right="180"/>
              <w:spacing w:after="0"/>
              <w:rPr>
                <w:sz w:val="20"/>
                <w:szCs w:val="20"/>
                <w:color w:val="auto"/>
              </w:rPr>
            </w:pPr>
            <w:r>
              <w:rPr>
                <w:rFonts w:ascii="Arial" w:cs="Arial" w:eastAsia="Arial" w:hAnsi="Arial"/>
                <w:sz w:val="14"/>
                <w:szCs w:val="14"/>
                <w:b w:val="1"/>
                <w:bCs w:val="1"/>
                <w:color w:val="auto"/>
                <w:w w:val="98"/>
              </w:rPr>
              <w:t>As of March 31, 2026</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5"/>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6"/>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gridSpan w:val="2"/>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5"/>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67"/>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Total Basis</w:t>
            </w:r>
          </w:p>
        </w:tc>
        <w:tc>
          <w:tcPr>
            <w:tcW w:w="20" w:type="dxa"/>
            <w:vAlign w:val="bottom"/>
          </w:tcPr>
          <w:p>
            <w:pPr>
              <w:spacing w:after="0"/>
              <w:rPr>
                <w:sz w:val="24"/>
                <w:szCs w:val="24"/>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8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Adjustments</w:t>
            </w:r>
            <w:r>
              <w:rPr>
                <w:rFonts w:ascii="Arial" w:cs="Arial" w:eastAsia="Arial" w:hAnsi="Arial"/>
                <w:sz w:val="17"/>
                <w:szCs w:val="17"/>
                <w:b w:val="1"/>
                <w:bCs w:val="1"/>
                <w:color w:val="auto"/>
                <w:w w:val="95"/>
                <w:vertAlign w:val="superscript"/>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Total Amortized Cost</w:t>
            </w:r>
          </w:p>
        </w:tc>
        <w:tc>
          <w:tcPr>
            <w:tcW w:w="160" w:type="dxa"/>
            <w:vAlign w:val="bottom"/>
          </w:tcPr>
          <w:p>
            <w:pPr>
              <w:spacing w:after="0"/>
              <w:rPr>
                <w:sz w:val="17"/>
                <w:szCs w:val="17"/>
                <w:color w:val="auto"/>
              </w:rPr>
            </w:pPr>
          </w:p>
        </w:tc>
        <w:tc>
          <w:tcPr>
            <w:tcW w:w="1360" w:type="dxa"/>
            <w:vAlign w:val="bottom"/>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74"/>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360" w:type="dxa"/>
            <w:vAlign w:val="bottom"/>
            <w:tcBorders>
              <w:top w:val="single" w:sz="8" w:color="2C6937"/>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1720" w:type="dxa"/>
            <w:vAlign w:val="bottom"/>
            <w:tcBorders>
              <w:top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1380" w:type="dxa"/>
            <w:vAlign w:val="bottom"/>
            <w:tcBorders>
              <w:top w:val="single" w:sz="8" w:color="2C6937"/>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1360" w:type="dxa"/>
            <w:vAlign w:val="bottom"/>
            <w:tcBorders>
              <w:top w:val="single" w:sz="8" w:color="2C6937"/>
            </w:tcBorders>
          </w:tcPr>
          <w:p>
            <w:pPr>
              <w:spacing w:after="0"/>
              <w:rPr>
                <w:sz w:val="15"/>
                <w:szCs w:val="15"/>
                <w:color w:val="auto"/>
              </w:rPr>
            </w:pPr>
          </w:p>
        </w:tc>
      </w:tr>
      <w:tr>
        <w:trPr>
          <w:trHeight w:val="204"/>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1,466,592</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(548)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(548)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480,906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22,646</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(28,965)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2,307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8"/>
              </w:rPr>
              <w:t>As of December 31, 2025</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5"/>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80" w:type="dxa"/>
            <w:vAlign w:val="bottom"/>
            <w:tcBorders>
              <w:bottom w:val="single" w:sz="8" w:color="2C6937"/>
            </w:tcBorders>
            <w:gridSpan w:val="7"/>
          </w:tcPr>
          <w:p>
            <w:pPr>
              <w:jc w:val="center"/>
              <w:ind w:right="140"/>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5"/>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9"/>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Total Basis</w:t>
            </w:r>
          </w:p>
        </w:tc>
        <w:tc>
          <w:tcPr>
            <w:tcW w:w="20" w:type="dxa"/>
            <w:vAlign w:val="bottom"/>
          </w:tcPr>
          <w:p>
            <w:pPr>
              <w:spacing w:after="0"/>
              <w:rPr>
                <w:sz w:val="24"/>
                <w:szCs w:val="2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7"/>
                <w:szCs w:val="17"/>
                <w:b w:val="1"/>
                <w:bCs w:val="1"/>
                <w:color w:val="auto"/>
                <w:w w:val="97"/>
                <w:vertAlign w:val="superscript"/>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Total Amortized Cost</w:t>
            </w:r>
          </w:p>
        </w:tc>
        <w:tc>
          <w:tcPr>
            <w:tcW w:w="160" w:type="dxa"/>
            <w:vAlign w:val="bottom"/>
          </w:tcPr>
          <w:p>
            <w:pPr>
              <w:spacing w:after="0"/>
              <w:rPr>
                <w:sz w:val="17"/>
                <w:szCs w:val="17"/>
                <w:color w:val="auto"/>
              </w:rPr>
            </w:pPr>
          </w:p>
        </w:tc>
        <w:tc>
          <w:tcPr>
            <w:tcW w:w="1360" w:type="dxa"/>
            <w:vAlign w:val="bottom"/>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74"/>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3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1740" w:type="dxa"/>
            <w:vAlign w:val="bottom"/>
            <w:tcBorders>
              <w:top w:val="single" w:sz="8" w:color="2C6937"/>
            </w:tcBorders>
            <w:gridSpan w:val="2"/>
          </w:tcPr>
          <w:p>
            <w:pPr>
              <w:jc w:val="center"/>
              <w:ind w:right="6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13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1360" w:type="dxa"/>
            <w:vAlign w:val="bottom"/>
            <w:tcBorders>
              <w:top w:val="single" w:sz="8" w:color="2C6937"/>
            </w:tcBorders>
          </w:tcPr>
          <w:p>
            <w:pPr>
              <w:spacing w:after="0"/>
              <w:rPr>
                <w:sz w:val="15"/>
                <w:szCs w:val="15"/>
                <w:color w:val="auto"/>
              </w:rPr>
            </w:pPr>
          </w:p>
        </w:tc>
      </w:tr>
      <w:tr>
        <w:trPr>
          <w:trHeight w:val="204"/>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1,343,231</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251,659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39,605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67"/>
              <w:spacing w:after="0"/>
              <w:rPr>
                <w:sz w:val="20"/>
                <w:szCs w:val="20"/>
                <w:color w:val="auto"/>
              </w:rPr>
            </w:pPr>
            <w:r>
              <w:rPr>
                <w:rFonts w:ascii="Arial" w:cs="Arial" w:eastAsia="Arial" w:hAnsi="Arial"/>
                <w:sz w:val="15"/>
                <w:szCs w:val="15"/>
                <w:color w:val="auto"/>
              </w:rPr>
              <w:t>(28,764)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2,355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manage our derivative counterparty credit exposure relating to our risk management derivative transactions mainly through enforceable master netting arrangements and collateral requirements. See “Note 12, Netting Arrangements” for information on our rights to offset assets and liabilities as of March 31, 2026 and December 31, 2025.</w:t>
      </w:r>
    </w:p>
    <w:p>
      <w:pPr>
        <w:spacing w:after="0" w:line="32"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the three major rating agencies, S&amp;P Global Ratings, Moody’s Ratings, and Fitch Ratings.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$680 million and $651 million, for which we posted collateral of $616 million and $552 million as of March 31, 2026 and December 31, 2025, respectively. If our credit ratings were downgraded to Baa2/BBB or below, the maximum additional collateral we would have been required to post to our counterparties as of March 31, 2026 and December 31, 2025 would have been $290 million and $316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Our Acting Chief Executive Officer is the chief operating decision maker (“CODM”) for our two reportable business segments. 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 in our 2025 Form 10-K. Also see “Note 11, Segment Reporting” in our 2025 Form 10-K for additional information related to our business segments.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3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ectPr>
          <w:pgSz w:w="11900" w:h="16838" w:orient="portrait"/>
          <w:cols w:equalWidth="0" w:num="1">
            <w:col w:w="11240"/>
          </w:cols>
          <w:pgMar w:left="320" w:top="248" w:right="3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total assets by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404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44043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Borders>
              <w:top w:val="single" w:sz="8" w:color="2C6937"/>
              <w:bottom w:val="single" w:sz="8" w:color="2C6937"/>
            </w:tcBorders>
          </w:tcPr>
          <w:p>
            <w:pPr>
              <w:spacing w:after="0"/>
              <w:rPr>
                <w:sz w:val="17"/>
                <w:szCs w:val="17"/>
                <w:color w:val="auto"/>
              </w:rPr>
            </w:pPr>
          </w:p>
        </w:tc>
        <w:tc>
          <w:tcPr>
            <w:tcW w:w="1880" w:type="dxa"/>
            <w:vAlign w:val="bottom"/>
            <w:tcBorders>
              <w:top w:val="single" w:sz="8" w:color="2C6937"/>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March 31, 2026</w:t>
            </w:r>
          </w:p>
        </w:tc>
        <w:tc>
          <w:tcPr>
            <w:tcW w:w="20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2025</w:t>
            </w:r>
          </w:p>
        </w:tc>
      </w:tr>
      <w:tr>
        <w:trPr>
          <w:trHeight w:val="198"/>
        </w:trPr>
        <w:tc>
          <w:tcPr>
            <w:tcW w:w="260" w:type="dxa"/>
            <w:vAlign w:val="bottom"/>
          </w:tcPr>
          <w:p>
            <w:pPr>
              <w:spacing w:after="0"/>
              <w:rPr>
                <w:sz w:val="17"/>
                <w:szCs w:val="17"/>
                <w:color w:val="auto"/>
              </w:rPr>
            </w:pPr>
          </w:p>
        </w:tc>
        <w:tc>
          <w:tcPr>
            <w:tcW w:w="388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06"/>
        </w:trPr>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3,744,275</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3,757,261</w:t>
            </w:r>
          </w:p>
        </w:tc>
      </w:tr>
      <w:tr>
        <w:trPr>
          <w:trHeight w:val="208"/>
        </w:trPr>
        <w:tc>
          <w:tcPr>
            <w:tcW w:w="26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570,360</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560,277</w:t>
            </w:r>
          </w:p>
        </w:tc>
      </w:tr>
      <w:tr>
        <w:trPr>
          <w:trHeight w:val="199"/>
        </w:trPr>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4,314,635</w:t>
            </w:r>
          </w:p>
        </w:tc>
        <w:tc>
          <w:tcPr>
            <w:tcW w:w="140" w:type="dxa"/>
            <w:vAlign w:val="bottom"/>
          </w:tcPr>
          <w:p>
            <w:pPr>
              <w:spacing w:after="0"/>
              <w:rPr>
                <w:sz w:val="17"/>
                <w:szCs w:val="17"/>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4,317,538</w:t>
            </w:r>
          </w:p>
        </w:tc>
      </w:tr>
      <w:tr>
        <w:trPr>
          <w:trHeight w:val="20"/>
        </w:trPr>
        <w:tc>
          <w:tcPr>
            <w:tcW w:w="260" w:type="dxa"/>
            <w:vAlign w:val="bottom"/>
            <w:tcBorders>
              <w:bottom w:val="single" w:sz="8" w:color="2C6937"/>
            </w:tcBorders>
          </w:tcPr>
          <w:p>
            <w:pPr>
              <w:spacing w:after="0" w:line="20" w:lineRule="exact"/>
              <w:rPr>
                <w:sz w:val="1"/>
                <w:szCs w:val="1"/>
                <w:color w:val="auto"/>
              </w:rPr>
            </w:pPr>
          </w:p>
        </w:tc>
        <w:tc>
          <w:tcPr>
            <w:tcW w:w="17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33" w:lineRule="exact"/>
        <w:rPr>
          <w:sz w:val="20"/>
          <w:szCs w:val="20"/>
          <w:color w:val="auto"/>
        </w:rPr>
      </w:pPr>
    </w:p>
    <w:p>
      <w:pPr>
        <w:sectPr>
          <w:pgSz w:w="11900" w:h="16838" w:orient="portrait"/>
          <w:cols w:equalWidth="0" w:num="2">
            <w:col w:w="6380" w:space="720"/>
            <w:col w:w="4140"/>
          </w:cols>
          <w:pgMar w:left="320" w:top="248" w:right="339" w:bottom="1440" w:gutter="0" w:footer="0" w:header="0"/>
          <w:type w:val="continuous"/>
        </w:sectPr>
      </w:pPr>
    </w:p>
    <w:p>
      <w:pPr>
        <w:ind w:right="140"/>
        <w:spacing w:after="0" w:line="310" w:lineRule="auto"/>
        <w:rPr>
          <w:sz w:val="20"/>
          <w:szCs w:val="20"/>
          <w:color w:val="auto"/>
        </w:rPr>
      </w:pPr>
      <w:r>
        <w:rPr>
          <w:rFonts w:ascii="Arial" w:cs="Arial" w:eastAsia="Arial" w:hAnsi="Arial"/>
          <w:sz w:val="16"/>
          <w:szCs w:val="16"/>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5" w:name="page86"/>
    <w:bookmarkEnd w:id="85"/>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displays our segment results.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640" w:type="dxa"/>
            <w:vAlign w:val="bottom"/>
            <w:tcBorders>
              <w:bottom w:val="single" w:sz="8" w:color="2C6937"/>
            </w:tcBorders>
            <w:gridSpan w:val="9"/>
          </w:tcPr>
          <w:p>
            <w:pPr>
              <w:jc w:val="center"/>
              <w:ind w:left="787"/>
              <w:spacing w:after="0"/>
              <w:rPr>
                <w:sz w:val="20"/>
                <w:szCs w:val="20"/>
                <w:color w:val="auto"/>
              </w:rPr>
            </w:pPr>
            <w:r>
              <w:rPr>
                <w:rFonts w:ascii="Arial" w:cs="Arial" w:eastAsia="Arial" w:hAnsi="Arial"/>
                <w:sz w:val="15"/>
                <w:szCs w:val="15"/>
                <w:b w:val="1"/>
                <w:bCs w:val="1"/>
                <w:color w:val="auto"/>
                <w:w w:val="97"/>
              </w:rPr>
              <w:t>For the Three Months Ended March 31,</w:t>
            </w:r>
          </w:p>
        </w:tc>
        <w:tc>
          <w:tcPr>
            <w:tcW w:w="9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r>
        <w:trPr>
          <w:trHeight w:val="225"/>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220" w:type="dxa"/>
            <w:vAlign w:val="bottom"/>
            <w:tcBorders>
              <w:bottom w:val="single" w:sz="8" w:color="2C6937"/>
            </w:tcBorders>
            <w:gridSpan w:val="3"/>
          </w:tcPr>
          <w:p>
            <w:pPr>
              <w:ind w:left="10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7"/>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32"/>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5,978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1,220</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7,198</w:t>
            </w:r>
          </w:p>
        </w:tc>
        <w:tc>
          <w:tcPr>
            <w:tcW w:w="100" w:type="dxa"/>
            <w:vAlign w:val="bottom"/>
          </w:tcPr>
          <w:p>
            <w:pPr>
              <w:spacing w:after="0"/>
              <w:rPr>
                <w:sz w:val="24"/>
                <w:szCs w:val="24"/>
                <w:color w:val="auto"/>
              </w:rPr>
            </w:pPr>
          </w:p>
        </w:tc>
        <w:tc>
          <w:tcPr>
            <w:tcW w:w="3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5,866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7,001</w:t>
            </w:r>
          </w:p>
        </w:tc>
      </w:tr>
      <w:tr>
        <w:trPr>
          <w:trHeight w:val="280"/>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93"/>
        </w:trPr>
        <w:tc>
          <w:tcPr>
            <w:tcW w:w="376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6,039</w:t>
            </w: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1,241</w:t>
            </w:r>
          </w:p>
        </w:tc>
        <w:tc>
          <w:tcPr>
            <w:tcW w:w="100" w:type="dxa"/>
            <w:vAlign w:val="bottom"/>
          </w:tcPr>
          <w:p>
            <w:pPr>
              <w:spacing w:after="0"/>
              <w:rPr>
                <w:sz w:val="16"/>
                <w:szCs w:val="16"/>
                <w:color w:val="auto"/>
              </w:rPr>
            </w:pPr>
          </w:p>
        </w:tc>
        <w:tc>
          <w:tcPr>
            <w:tcW w:w="24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7,280</w:t>
            </w:r>
          </w:p>
        </w:tc>
        <w:tc>
          <w:tcPr>
            <w:tcW w:w="100" w:type="dxa"/>
            <w:vAlign w:val="bottom"/>
          </w:tcPr>
          <w:p>
            <w:pPr>
              <w:spacing w:after="0"/>
              <w:rPr>
                <w:sz w:val="16"/>
                <w:szCs w:val="16"/>
                <w:color w:val="auto"/>
              </w:rPr>
            </w:pPr>
          </w:p>
        </w:tc>
        <w:tc>
          <w:tcPr>
            <w:tcW w:w="380" w:type="dxa"/>
            <w:vAlign w:val="bottom"/>
            <w:tcBorders>
              <w:top w:val="single" w:sz="8" w:color="2C6937"/>
            </w:tcBorders>
          </w:tcPr>
          <w:p>
            <w:pPr>
              <w:spacing w:after="0"/>
              <w:rPr>
                <w:sz w:val="16"/>
                <w:szCs w:val="16"/>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5,931</w:t>
            </w: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1,154</w:t>
            </w:r>
          </w:p>
        </w:tc>
        <w:tc>
          <w:tcPr>
            <w:tcW w:w="100" w:type="dxa"/>
            <w:vAlign w:val="bottom"/>
          </w:tcPr>
          <w:p>
            <w:pPr>
              <w:spacing w:after="0"/>
              <w:rPr>
                <w:sz w:val="16"/>
                <w:szCs w:val="16"/>
                <w:color w:val="auto"/>
              </w:rPr>
            </w:pPr>
          </w:p>
        </w:tc>
        <w:tc>
          <w:tcPr>
            <w:tcW w:w="2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7,085</w:t>
            </w:r>
          </w:p>
        </w:tc>
      </w:tr>
      <w:tr>
        <w:trPr>
          <w:trHeight w:val="332"/>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80"/>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12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(257)</w:t>
            </w:r>
          </w:p>
        </w:tc>
        <w:tc>
          <w:tcPr>
            <w:tcW w:w="8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(277)</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r>
      <w:tr>
        <w:trPr>
          <w:trHeight w:val="195"/>
        </w:trPr>
        <w:tc>
          <w:tcPr>
            <w:tcW w:w="3880" w:type="dxa"/>
            <w:vAlign w:val="bottom"/>
            <w:gridSpan w:val="2"/>
          </w:tcPr>
          <w:p>
            <w:pPr>
              <w:ind w:left="180"/>
              <w:spacing w:after="0"/>
              <w:rPr>
                <w:sz w:val="20"/>
                <w:szCs w:val="20"/>
                <w:color w:val="auto"/>
              </w:rPr>
            </w:pPr>
            <w:r>
              <w:rPr>
                <w:rFonts w:ascii="Arial" w:cs="Arial" w:eastAsia="Arial" w:hAnsi="Arial"/>
                <w:sz w:val="15"/>
                <w:szCs w:val="15"/>
                <w:color w:val="auto"/>
              </w:rPr>
              <w:t>Other gains (losses), net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122</w:t>
            </w:r>
          </w:p>
        </w:tc>
      </w:tr>
      <w:tr>
        <w:trPr>
          <w:trHeight w:val="193"/>
        </w:trPr>
        <w:tc>
          <w:tcPr>
            <w:tcW w:w="3880" w:type="dxa"/>
            <w:vAlign w:val="bottom"/>
            <w:gridSpan w:val="2"/>
          </w:tcPr>
          <w:p>
            <w:pPr>
              <w:ind w:left="20"/>
              <w:spacing w:after="0" w:line="194" w:lineRule="exact"/>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(4)</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92"/>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(992)</w:t>
            </w:r>
          </w:p>
        </w:tc>
      </w:tr>
      <w:tr>
        <w:trPr>
          <w:trHeight w:val="284"/>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75"/>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(479)</w:t>
            </w:r>
          </w:p>
        </w:tc>
      </w:tr>
      <w:tr>
        <w:trPr>
          <w:trHeight w:val="198"/>
        </w:trPr>
        <w:tc>
          <w:tcPr>
            <w:tcW w:w="388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(8)</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186"/>
        </w:trPr>
        <w:tc>
          <w:tcPr>
            <w:tcW w:w="3760" w:type="dxa"/>
            <w:vAlign w:val="bottom"/>
            <w:tcBorders>
              <w:top w:val="single" w:sz="8" w:color="2C6937"/>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2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(1,889)</w:t>
            </w:r>
          </w:p>
        </w:tc>
        <w:tc>
          <w:tcPr>
            <w:tcW w:w="8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(294)</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(2,183)</w:t>
            </w:r>
          </w:p>
        </w:tc>
        <w:tc>
          <w:tcPr>
            <w:tcW w:w="100" w:type="dxa"/>
            <w:vAlign w:val="bottom"/>
          </w:tcPr>
          <w:p>
            <w:pPr>
              <w:spacing w:after="0"/>
              <w:rPr>
                <w:sz w:val="16"/>
                <w:szCs w:val="16"/>
                <w:color w:val="auto"/>
              </w:rPr>
            </w:pPr>
          </w:p>
        </w:tc>
        <w:tc>
          <w:tcPr>
            <w:tcW w:w="38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(2,312)</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(2,599)</w:t>
            </w:r>
          </w:p>
        </w:tc>
      </w:tr>
      <w:tr>
        <w:trPr>
          <w:trHeight w:val="182"/>
        </w:trPr>
        <w:tc>
          <w:tcPr>
            <w:tcW w:w="376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3,994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4,664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4,584</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(923)</w:t>
            </w:r>
          </w:p>
        </w:tc>
      </w:tr>
      <w:tr>
        <w:trPr>
          <w:trHeight w:val="186"/>
        </w:trPr>
        <w:tc>
          <w:tcPr>
            <w:tcW w:w="376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3,174</w:t>
            </w:r>
          </w:p>
        </w:tc>
        <w:tc>
          <w:tcPr>
            <w:tcW w:w="8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546</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3,720</w:t>
            </w:r>
          </w:p>
        </w:tc>
        <w:tc>
          <w:tcPr>
            <w:tcW w:w="100" w:type="dxa"/>
            <w:vAlign w:val="bottom"/>
          </w:tcPr>
          <w:p>
            <w:pPr>
              <w:spacing w:after="0"/>
              <w:rPr>
                <w:sz w:val="16"/>
                <w:szCs w:val="16"/>
                <w:color w:val="auto"/>
              </w:rPr>
            </w:pPr>
          </w:p>
        </w:tc>
        <w:tc>
          <w:tcPr>
            <w:tcW w:w="38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2,918</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3,661</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r>
    </w:tbl>
    <w:p>
      <w:pPr>
        <w:spacing w:after="0" w:line="134" w:lineRule="exact"/>
        <w:rPr>
          <w:sz w:val="20"/>
          <w:szCs w:val="20"/>
          <w:color w:val="auto"/>
        </w:rPr>
      </w:pPr>
    </w:p>
    <w:p>
      <w:pPr>
        <w:ind w:left="240" w:hanging="237"/>
        <w:spacing w:after="0" w:line="236"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39" w:lineRule="exact"/>
        <w:rPr>
          <w:rFonts w:ascii="Arial" w:cs="Arial" w:eastAsia="Arial" w:hAnsi="Arial"/>
          <w:sz w:val="18"/>
          <w:szCs w:val="18"/>
          <w:color w:val="auto"/>
          <w:vertAlign w:val="superscript"/>
        </w:rPr>
      </w:pPr>
    </w:p>
    <w:p>
      <w:pPr>
        <w:jc w:val="both"/>
        <w:ind w:left="240" w:right="80" w:hanging="198"/>
        <w:spacing w:after="0" w:line="233" w:lineRule="auto"/>
        <w:tabs>
          <w:tab w:leader="none" w:pos="233" w:val="left"/>
        </w:tabs>
        <w:numPr>
          <w:ilvl w:val="1"/>
          <w:numId w:val="77"/>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MBS commitment derivatives, trading securities and other financial instruments associated with our multifamily guaranty book of business.</w:t>
      </w:r>
    </w:p>
    <w:p>
      <w:pPr>
        <w:spacing w:after="0" w:line="27" w:lineRule="exact"/>
        <w:rPr>
          <w:rFonts w:ascii="Arial" w:cs="Arial" w:eastAsia="Arial" w:hAnsi="Arial"/>
          <w:sz w:val="18"/>
          <w:szCs w:val="18"/>
          <w:color w:val="auto"/>
          <w:vertAlign w:val="superscript"/>
        </w:rPr>
      </w:pPr>
    </w:p>
    <w:p>
      <w:pPr>
        <w:ind w:left="240" w:right="340" w:hanging="198"/>
        <w:spacing w:after="0" w:line="278" w:lineRule="auto"/>
        <w:tabs>
          <w:tab w:leader="none" w:pos="233" w:val="left"/>
        </w:tabs>
        <w:numPr>
          <w:ilvl w:val="1"/>
          <w:numId w:val="77"/>
        </w:numPr>
        <w:rPr>
          <w:rFonts w:ascii="Arial" w:cs="Arial" w:eastAsia="Arial" w:hAnsi="Arial"/>
          <w:sz w:val="9"/>
          <w:szCs w:val="9"/>
          <w:color w:val="auto"/>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ind w:left="220" w:hanging="178"/>
        <w:spacing w:after="0"/>
        <w:tabs>
          <w:tab w:leader="none" w:pos="220" w:val="left"/>
        </w:tabs>
        <w:numPr>
          <w:ilvl w:val="1"/>
          <w:numId w:val="77"/>
        </w:numPr>
        <w:rPr>
          <w:rFonts w:ascii="Arial" w:cs="Arial" w:eastAsia="Arial" w:hAnsi="Arial"/>
          <w:sz w:val="18"/>
          <w:szCs w:val="18"/>
          <w:color w:val="auto"/>
          <w:vertAlign w:val="superscript"/>
        </w:rPr>
      </w:pPr>
      <w:r>
        <w:rPr>
          <w:rFonts w:ascii="Arial" w:cs="Arial" w:eastAsia="Arial" w:hAnsi="Arial"/>
          <w:sz w:val="14"/>
          <w:szCs w:val="14"/>
          <w:color w:val="auto"/>
        </w:rPr>
        <w:t>(Provision) benefit for credit losses is based on loans underlying the segment’s guaranty book of business.</w:t>
      </w:r>
    </w:p>
    <w:p>
      <w:pPr>
        <w:spacing w:after="0" w:line="50" w:lineRule="exact"/>
        <w:rPr>
          <w:rFonts w:ascii="Arial" w:cs="Arial" w:eastAsia="Arial" w:hAnsi="Arial"/>
          <w:sz w:val="18"/>
          <w:szCs w:val="18"/>
          <w:color w:val="auto"/>
          <w:vertAlign w:val="superscript"/>
        </w:rPr>
      </w:pPr>
    </w:p>
    <w:p>
      <w:pPr>
        <w:ind w:left="220" w:hanging="178"/>
        <w:spacing w:after="0" w:line="195" w:lineRule="auto"/>
        <w:tabs>
          <w:tab w:leader="none" w:pos="220" w:val="left"/>
        </w:tabs>
        <w:numPr>
          <w:ilvl w:val="1"/>
          <w:numId w:val="77"/>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50" w:lineRule="exact"/>
        <w:rPr>
          <w:rFonts w:ascii="Arial" w:cs="Arial" w:eastAsia="Arial" w:hAnsi="Arial"/>
          <w:sz w:val="18"/>
          <w:szCs w:val="18"/>
          <w:color w:val="auto"/>
          <w:vertAlign w:val="superscript"/>
        </w:rPr>
      </w:pPr>
    </w:p>
    <w:p>
      <w:pPr>
        <w:ind w:left="240" w:right="60" w:hanging="198"/>
        <w:spacing w:after="0" w:line="210" w:lineRule="auto"/>
        <w:tabs>
          <w:tab w:leader="none" w:pos="233" w:val="left"/>
        </w:tabs>
        <w:numPr>
          <w:ilvl w:val="1"/>
          <w:numId w:val="77"/>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39" w:lineRule="exact"/>
        <w:rPr>
          <w:rFonts w:ascii="Arial" w:cs="Arial" w:eastAsia="Arial" w:hAnsi="Arial"/>
          <w:sz w:val="18"/>
          <w:szCs w:val="18"/>
          <w:color w:val="auto"/>
          <w:vertAlign w:val="superscript"/>
        </w:rPr>
      </w:pPr>
    </w:p>
    <w:p>
      <w:pPr>
        <w:ind w:left="240" w:right="60" w:hanging="198"/>
        <w:spacing w:after="0" w:line="230" w:lineRule="auto"/>
        <w:tabs>
          <w:tab w:leader="none" w:pos="233" w:val="left"/>
        </w:tabs>
        <w:numPr>
          <w:ilvl w:val="1"/>
          <w:numId w:val="77"/>
        </w:numPr>
        <w:rPr>
          <w:rFonts w:ascii="Arial" w:cs="Arial" w:eastAsia="Arial" w:hAnsi="Arial"/>
          <w:sz w:val="9"/>
          <w:szCs w:val="9"/>
          <w:color w:val="auto"/>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39" w:lineRule="exact"/>
        <w:rPr>
          <w:rFonts w:ascii="Arial" w:cs="Arial" w:eastAsia="Arial" w:hAnsi="Arial"/>
          <w:sz w:val="9"/>
          <w:szCs w:val="9"/>
          <w:color w:val="auto"/>
        </w:rPr>
      </w:pPr>
    </w:p>
    <w:p>
      <w:pPr>
        <w:ind w:left="240" w:right="560" w:hanging="198"/>
        <w:spacing w:after="0" w:line="278" w:lineRule="auto"/>
        <w:tabs>
          <w:tab w:leader="none" w:pos="233" w:val="left"/>
        </w:tabs>
        <w:numPr>
          <w:ilvl w:val="1"/>
          <w:numId w:val="77"/>
        </w:numPr>
        <w:rPr>
          <w:rFonts w:ascii="Arial" w:cs="Arial" w:eastAsia="Arial" w:hAnsi="Arial"/>
          <w:sz w:val="9"/>
          <w:szCs w:val="9"/>
          <w:color w:val="auto"/>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86" w:name="page87"/>
    <w:bookmarkEnd w:id="86"/>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eligibility and underwriting criteria. Management also uses this data together with other credit risk measures to identify key trends that guide the development of our loss mitigation strategies.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6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4"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3" w:lineRule="exact"/>
        <w:rPr>
          <w:sz w:val="20"/>
          <w:szCs w:val="20"/>
          <w:color w:val="auto"/>
        </w:rPr>
      </w:pPr>
    </w:p>
    <w:p>
      <w:pPr>
        <w:ind w:left="180" w:right="220" w:hanging="154"/>
        <w:spacing w:after="0" w:line="294"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48545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2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w w:val="98"/>
              </w:rPr>
              <w:t>December 31, 2025</w:t>
            </w:r>
          </w:p>
        </w:tc>
        <w:tc>
          <w:tcPr>
            <w:tcW w:w="1240" w:type="dxa"/>
            <w:vAlign w:val="bottom"/>
            <w:tcBorders>
              <w:bottom w:val="single" w:sz="8" w:color="2C6937"/>
            </w:tcBorders>
          </w:tcPr>
          <w:p>
            <w:pPr>
              <w:spacing w:after="0"/>
              <w:rPr>
                <w:sz w:val="17"/>
                <w:szCs w:val="17"/>
                <w:color w:val="auto"/>
              </w:rPr>
            </w:pPr>
          </w:p>
        </w:tc>
      </w:tr>
      <w:tr>
        <w:trPr>
          <w:trHeight w:val="184"/>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Seriously</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r>
    </w:tbl>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5"/>
                <w:szCs w:val="15"/>
                <w:b w:val="1"/>
                <w:bCs w:val="1"/>
                <w:color w:val="auto"/>
              </w:rPr>
              <w:t>0.89 %</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0.26 %</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0.64 %</w:t>
            </w:r>
          </w:p>
        </w:tc>
        <w:tc>
          <w:tcPr>
            <w:tcW w:w="1640" w:type="dxa"/>
            <w:vAlign w:val="bottom"/>
          </w:tcPr>
          <w:p>
            <w:pPr>
              <w:ind w:left="780"/>
              <w:spacing w:after="0"/>
              <w:rPr>
                <w:sz w:val="20"/>
                <w:szCs w:val="20"/>
                <w:color w:val="auto"/>
              </w:rPr>
            </w:pPr>
            <w:r>
              <w:rPr>
                <w:rFonts w:ascii="Arial" w:cs="Arial" w:eastAsia="Arial" w:hAnsi="Arial"/>
                <w:sz w:val="15"/>
                <w:szCs w:val="15"/>
                <w:color w:val="auto"/>
              </w:rPr>
              <w:t>1.00 %</w:t>
            </w:r>
          </w:p>
        </w:tc>
        <w:tc>
          <w:tcPr>
            <w:tcW w:w="1320" w:type="dxa"/>
            <w:vAlign w:val="bottom"/>
          </w:tcPr>
          <w:p>
            <w:pPr>
              <w:ind w:left="400"/>
              <w:spacing w:after="0"/>
              <w:rPr>
                <w:sz w:val="20"/>
                <w:szCs w:val="20"/>
                <w:color w:val="auto"/>
              </w:rPr>
            </w:pPr>
            <w:r>
              <w:rPr>
                <w:rFonts w:ascii="Arial" w:cs="Arial" w:eastAsia="Arial" w:hAnsi="Arial"/>
                <w:sz w:val="15"/>
                <w:szCs w:val="15"/>
                <w:color w:val="auto"/>
              </w:rPr>
              <w:t>0.30 %</w:t>
            </w:r>
          </w:p>
        </w:tc>
        <w:tc>
          <w:tcPr>
            <w:tcW w:w="900" w:type="dxa"/>
            <w:vAlign w:val="bottom"/>
          </w:tcPr>
          <w:p>
            <w:pPr>
              <w:ind w:left="420"/>
              <w:spacing w:after="0"/>
              <w:rPr>
                <w:sz w:val="20"/>
                <w:szCs w:val="20"/>
                <w:color w:val="auto"/>
              </w:rPr>
            </w:pPr>
            <w:r>
              <w:rPr>
                <w:rFonts w:ascii="Arial" w:cs="Arial" w:eastAsia="Arial" w:hAnsi="Arial"/>
                <w:sz w:val="15"/>
                <w:szCs w:val="15"/>
                <w:color w:val="auto"/>
                <w:w w:val="98"/>
              </w:rPr>
              <w:t>0.63 %</w:t>
            </w:r>
          </w:p>
        </w:tc>
      </w:tr>
      <w:tr>
        <w:trPr>
          <w:trHeight w:val="425"/>
        </w:trPr>
        <w:tc>
          <w:tcPr>
            <w:tcW w:w="860" w:type="dxa"/>
            <w:vAlign w:val="bottom"/>
          </w:tcPr>
          <w:p>
            <w:pPr>
              <w:spacing w:after="0"/>
              <w:rPr>
                <w:sz w:val="20"/>
                <w:szCs w:val="20"/>
                <w:color w:val="auto"/>
              </w:rPr>
            </w:pPr>
            <w:r>
              <w:rPr>
                <w:rFonts w:ascii="Arial" w:cs="Arial" w:eastAsia="Arial" w:hAnsi="Arial"/>
                <w:sz w:val="15"/>
                <w:szCs w:val="15"/>
                <w:b w:val="1"/>
                <w:bCs w:val="1"/>
                <w:color w:val="auto"/>
              </w:rPr>
              <w:t>0.94</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0.25</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0.58</w:t>
            </w:r>
          </w:p>
        </w:tc>
        <w:tc>
          <w:tcPr>
            <w:tcW w:w="1640" w:type="dxa"/>
            <w:vAlign w:val="bottom"/>
          </w:tcPr>
          <w:p>
            <w:pPr>
              <w:ind w:left="780"/>
              <w:spacing w:after="0"/>
              <w:rPr>
                <w:sz w:val="20"/>
                <w:szCs w:val="20"/>
                <w:color w:val="auto"/>
              </w:rPr>
            </w:pPr>
            <w:r>
              <w:rPr>
                <w:rFonts w:ascii="Arial" w:cs="Arial" w:eastAsia="Arial" w:hAnsi="Arial"/>
                <w:sz w:val="15"/>
                <w:szCs w:val="15"/>
                <w:color w:val="auto"/>
              </w:rPr>
              <w:t>1.05</w:t>
            </w:r>
          </w:p>
        </w:tc>
        <w:tc>
          <w:tcPr>
            <w:tcW w:w="1320" w:type="dxa"/>
            <w:vAlign w:val="bottom"/>
          </w:tcPr>
          <w:p>
            <w:pPr>
              <w:ind w:left="400"/>
              <w:spacing w:after="0"/>
              <w:rPr>
                <w:sz w:val="20"/>
                <w:szCs w:val="20"/>
                <w:color w:val="auto"/>
              </w:rPr>
            </w:pPr>
            <w:r>
              <w:rPr>
                <w:rFonts w:ascii="Arial" w:cs="Arial" w:eastAsia="Arial" w:hAnsi="Arial"/>
                <w:sz w:val="15"/>
                <w:szCs w:val="15"/>
                <w:color w:val="auto"/>
              </w:rPr>
              <w:t>0.30</w:t>
            </w:r>
          </w:p>
        </w:tc>
        <w:tc>
          <w:tcPr>
            <w:tcW w:w="900" w:type="dxa"/>
            <w:vAlign w:val="bottom"/>
          </w:tcPr>
          <w:p>
            <w:pPr>
              <w:ind w:left="420"/>
              <w:spacing w:after="0"/>
              <w:rPr>
                <w:sz w:val="20"/>
                <w:szCs w:val="20"/>
                <w:color w:val="auto"/>
              </w:rPr>
            </w:pPr>
            <w:r>
              <w:rPr>
                <w:rFonts w:ascii="Arial" w:cs="Arial" w:eastAsia="Arial" w:hAnsi="Arial"/>
                <w:sz w:val="15"/>
                <w:szCs w:val="15"/>
                <w:color w:val="auto"/>
              </w:rPr>
              <w:t>0.58</w:t>
            </w:r>
          </w:p>
        </w:tc>
      </w:tr>
      <w:tr>
        <w:trPr>
          <w:trHeight w:val="32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8890</wp:posOffset>
            </wp:positionV>
            <wp:extent cx="46824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68249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440" w:space="120"/>
            <w:col w:w="7640"/>
          </w:cols>
          <w:pgMar w:left="320" w:top="248"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740" w:type="dxa"/>
            <w:vAlign w:val="bottom"/>
            <w:gridSpan w:val="4"/>
          </w:tcPr>
          <w:p>
            <w:pPr>
              <w:ind w:left="1320"/>
              <w:spacing w:after="0"/>
              <w:rPr>
                <w:sz w:val="20"/>
                <w:szCs w:val="20"/>
                <w:color w:val="auto"/>
              </w:rPr>
            </w:pPr>
            <w:r>
              <w:rPr>
                <w:rFonts w:ascii="Arial" w:cs="Arial" w:eastAsia="Arial" w:hAnsi="Arial"/>
                <w:sz w:val="14"/>
                <w:szCs w:val="14"/>
                <w:b w:val="1"/>
                <w:bCs w:val="1"/>
                <w:color w:val="auto"/>
              </w:rPr>
              <w:t>March 31, 2026</w:t>
            </w:r>
          </w:p>
        </w:tc>
        <w:tc>
          <w:tcPr>
            <w:tcW w:w="362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8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Serious Delinquency</w:t>
            </w: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9"/>
              </w:rPr>
              <w:t>Business</w:t>
            </w:r>
          </w:p>
        </w:tc>
        <w:tc>
          <w:tcPr>
            <w:tcW w:w="188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9"/>
              </w:rPr>
              <w:t>Business</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880" w:type="dxa"/>
            <w:vAlign w:val="bottom"/>
            <w:gridSpan w:val="2"/>
          </w:tcPr>
          <w:p>
            <w:pPr>
              <w:ind w:left="6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760" w:type="dxa"/>
            <w:vAlign w:val="bottom"/>
          </w:tcPr>
          <w:p>
            <w:pPr>
              <w:ind w:left="6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7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1.09 %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1.06</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7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3.96</w:t>
            </w:r>
          </w:p>
        </w:tc>
        <w:tc>
          <w:tcPr>
            <w:tcW w:w="120" w:type="dxa"/>
            <w:vAlign w:val="bottom"/>
          </w:tcPr>
          <w:p>
            <w:pPr>
              <w:spacing w:after="0"/>
              <w:rPr>
                <w:sz w:val="20"/>
                <w:szCs w:val="20"/>
                <w:color w:val="auto"/>
              </w:rPr>
            </w:pPr>
          </w:p>
        </w:tc>
        <w:tc>
          <w:tcPr>
            <w:tcW w:w="17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0.45</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Florida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0.84</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0.72</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0.77</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Texas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0.75</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0.54</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60" w:hanging="257"/>
        <w:spacing w:after="0"/>
        <w:tabs>
          <w:tab w:leader="none" w:pos="26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Based on loan count.</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UPB, that are 60 days or more past due, and loans with other higher risk characteristics to determine the overall credit quality of our multifamily book of business. Higher risk characteristics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87" w:name="page88"/>
    <w:bookmarkEnd w:id="87"/>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current debt service coverage ratio (“DSCR”) below 1.0 and original LTV ratio greater than 80%. We stratify multifamily loans into different internal risk categories based on the credit risk inherent in each individual loan.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tcBorders>
              <w:bottom w:val="single" w:sz="8" w:color="2C6937"/>
            </w:tcBorders>
            <w:gridSpan w:val="4"/>
          </w:tcPr>
          <w:p>
            <w:pPr>
              <w:jc w:val="center"/>
              <w:spacing w:after="0" w:line="194" w:lineRule="exact"/>
              <w:rPr>
                <w:sz w:val="20"/>
                <w:szCs w:val="20"/>
                <w:color w:val="auto"/>
              </w:rPr>
            </w:pPr>
            <w:r>
              <w:rPr>
                <w:rFonts w:ascii="Arial" w:cs="Arial" w:eastAsia="Arial" w:hAnsi="Arial"/>
                <w:sz w:val="14"/>
                <w:szCs w:val="14"/>
                <w:b w:val="1"/>
                <w:bCs w:val="1"/>
                <w:color w:val="auto"/>
                <w:w w:val="96"/>
              </w:rPr>
              <w:t>March 31, 2026</w:t>
            </w:r>
            <w:r>
              <w:rPr>
                <w:rFonts w:ascii="Arial" w:cs="Arial" w:eastAsia="Arial" w:hAnsi="Arial"/>
                <w:sz w:val="17"/>
                <w:szCs w:val="17"/>
                <w:b w:val="1"/>
                <w:bCs w:val="1"/>
                <w:color w:val="auto"/>
                <w:w w:val="96"/>
                <w:vertAlign w:val="superscript"/>
              </w:rPr>
              <w:t>(1)</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line="194" w:lineRule="exact"/>
              <w:rPr>
                <w:sz w:val="20"/>
                <w:szCs w:val="20"/>
                <w:color w:val="auto"/>
              </w:rPr>
            </w:pPr>
            <w:r>
              <w:rPr>
                <w:rFonts w:ascii="Arial" w:cs="Arial" w:eastAsia="Arial" w:hAnsi="Arial"/>
                <w:sz w:val="14"/>
                <w:szCs w:val="14"/>
                <w:b w:val="1"/>
                <w:bCs w:val="1"/>
                <w:color w:val="auto"/>
                <w:w w:val="95"/>
              </w:rPr>
              <w:t>December 31, 2025</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4660" w:type="dxa"/>
            <w:vAlign w:val="bottom"/>
            <w:gridSpan w:val="2"/>
          </w:tcPr>
          <w:p>
            <w:pPr>
              <w:spacing w:after="0"/>
              <w:rPr>
                <w:sz w:val="20"/>
                <w:szCs w:val="20"/>
                <w:color w:val="auto"/>
              </w:rPr>
            </w:pPr>
            <w:r>
              <w:rPr>
                <w:rFonts w:ascii="Arial" w:cs="Arial" w:eastAsia="Arial" w:hAnsi="Arial"/>
                <w:sz w:val="15"/>
                <w:szCs w:val="15"/>
                <w:color w:val="auto"/>
              </w:rPr>
              <w:t>Percentage of multifamily guaranty book of business</w:t>
            </w:r>
          </w:p>
        </w:tc>
        <w:tc>
          <w:tcPr>
            <w:tcW w:w="15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0.78 %</w:t>
            </w:r>
          </w:p>
        </w:tc>
        <w:tc>
          <w:tcPr>
            <w:tcW w:w="100" w:type="dxa"/>
            <w:vAlign w:val="bottom"/>
          </w:tcPr>
          <w:p>
            <w:pPr>
              <w:spacing w:after="0"/>
              <w:rPr>
                <w:sz w:val="19"/>
                <w:szCs w:val="19"/>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9"/>
                <w:szCs w:val="19"/>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0.74 %</w:t>
            </w:r>
          </w:p>
        </w:tc>
        <w:tc>
          <w:tcPr>
            <w:tcW w:w="0" w:type="dxa"/>
            <w:vAlign w:val="bottom"/>
          </w:tcPr>
          <w:p>
            <w:pPr>
              <w:spacing w:after="0"/>
              <w:rPr>
                <w:sz w:val="1"/>
                <w:szCs w:val="1"/>
                <w:color w:val="auto"/>
              </w:rPr>
            </w:pPr>
          </w:p>
        </w:tc>
      </w:tr>
      <w:tr>
        <w:trPr>
          <w:trHeight w:val="386"/>
        </w:trPr>
        <w:tc>
          <w:tcPr>
            <w:tcW w:w="464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322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March 31, 2026</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2025</w:t>
            </w: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660" w:type="dxa"/>
            <w:vAlign w:val="bottom"/>
            <w:gridSpan w:val="2"/>
          </w:tcPr>
          <w:p>
            <w:pPr>
              <w:jc w:val="center"/>
              <w:ind w:right="140"/>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560" w:type="dxa"/>
            <w:vAlign w:val="bottom"/>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5"/>
                <w:szCs w:val="15"/>
                <w:b w:val="1"/>
                <w:bCs w:val="1"/>
                <w:color w:val="auto"/>
              </w:rPr>
              <w:t>Original LTV ratio:</w:t>
            </w:r>
          </w:p>
        </w:tc>
        <w:tc>
          <w:tcPr>
            <w:tcW w:w="20" w:type="dxa"/>
            <w:vAlign w:val="bottom"/>
            <w:tcBorders>
              <w:top w:val="single" w:sz="8" w:color="2C6937"/>
            </w:tcBorders>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15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Greater than 80%</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0.45 %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Less than or equal to 80%</w:t>
            </w: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0.79</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0.75</w:t>
            </w:r>
          </w:p>
        </w:tc>
        <w:tc>
          <w:tcPr>
            <w:tcW w:w="0" w:type="dxa"/>
            <w:vAlign w:val="bottom"/>
          </w:tcPr>
          <w:p>
            <w:pPr>
              <w:spacing w:after="0"/>
              <w:rPr>
                <w:sz w:val="1"/>
                <w:szCs w:val="1"/>
                <w:color w:val="auto"/>
              </w:rPr>
            </w:pPr>
          </w:p>
        </w:tc>
      </w:tr>
      <w:tr>
        <w:trPr>
          <w:trHeight w:val="282"/>
        </w:trPr>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6.80</w:t>
            </w:r>
          </w:p>
        </w:tc>
        <w:tc>
          <w:tcPr>
            <w:tcW w:w="10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5.88</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20" w:hanging="217"/>
        <w:spacing w:after="0"/>
        <w:tabs>
          <w:tab w:leader="none" w:pos="2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38" w:lineRule="exact"/>
        <w:rPr>
          <w:rFonts w:ascii="Arial" w:cs="Arial" w:eastAsia="Arial" w:hAnsi="Arial"/>
          <w:sz w:val="18"/>
          <w:szCs w:val="18"/>
          <w:color w:val="auto"/>
          <w:vertAlign w:val="superscript"/>
        </w:rPr>
      </w:pPr>
    </w:p>
    <w:p>
      <w:pPr>
        <w:ind w:left="240" w:right="360" w:hanging="237"/>
        <w:spacing w:after="0" w:line="210"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multifamily loans that were seriously delinquent divided by the aggregate UPB of multifamily loans for each category included in our multifamily guaranty book of business.</w:t>
      </w:r>
    </w:p>
    <w:p>
      <w:pPr>
        <w:spacing w:after="0" w:line="26" w:lineRule="exact"/>
        <w:rPr>
          <w:rFonts w:ascii="Arial" w:cs="Arial" w:eastAsia="Arial" w:hAnsi="Arial"/>
          <w:sz w:val="18"/>
          <w:szCs w:val="18"/>
          <w:color w:val="auto"/>
          <w:vertAlign w:val="superscript"/>
        </w:rPr>
      </w:pPr>
    </w:p>
    <w:p>
      <w:pPr>
        <w:ind w:left="240" w:right="380" w:hanging="237"/>
        <w:spacing w:after="0" w:line="278" w:lineRule="auto"/>
        <w:tabs>
          <w:tab w:leader="none" w:pos="233" w:val="left"/>
        </w:tabs>
        <w:numPr>
          <w:ilvl w:val="0"/>
          <w:numId w:val="80"/>
        </w:numPr>
        <w:rPr>
          <w:rFonts w:ascii="Arial" w:cs="Arial" w:eastAsia="Arial" w:hAnsi="Arial"/>
          <w:sz w:val="9"/>
          <w:szCs w:val="9"/>
          <w:color w:val="auto"/>
        </w:rPr>
      </w:pPr>
      <w:r>
        <w:rPr>
          <w:rFonts w:ascii="Arial" w:cs="Arial" w:eastAsia="Arial" w:hAnsi="Arial"/>
          <w:sz w:val="14"/>
          <w:szCs w:val="14"/>
          <w:color w:val="auto"/>
        </w:rPr>
        <w:t>Our estimates of current DSCRs are based on the latest available income information, including the related debt service covering a 12-month period, from quarterly and annual statements for these properties.</w:t>
      </w:r>
    </w:p>
    <w:p>
      <w:pPr>
        <w:spacing w:after="0" w:line="7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6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information on credit risk associated with our derivative transactions and repurchase agreements see “Note 9, Derivative Instruments” and “Note 12, Netting Arrangements.” For information on concentrations related to mortgage insurers and mortgage servicers and sellers, see “Note 14, Concentrations of Credit Risk—Other Concentrations”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348615</wp:posOffset>
            </wp:positionV>
            <wp:extent cx="68059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8" w:name="page89"/>
    <w:bookmarkEnd w:id="88"/>
    <w:p>
      <w:pPr>
        <w:jc w:val="right"/>
        <w:ind w:right="60"/>
        <w:spacing w:after="0"/>
        <w:rPr>
          <w:sz w:val="20"/>
          <w:szCs w:val="20"/>
          <w:color w:val="auto"/>
        </w:rPr>
      </w:pPr>
      <w:r>
        <w:rPr>
          <w:rFonts w:ascii="Arial" w:cs="Arial" w:eastAsia="Arial" w:hAnsi="Arial"/>
          <w:sz w:val="14"/>
          <w:szCs w:val="14"/>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and securities purchased under agreements to resell, which are subject to an enforceable master netting arrangement or similar agreement that are either offset or not offset in our condensed consolidated balance sheets.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29210</wp:posOffset>
            </wp:positionV>
            <wp:extent cx="23247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Liabilities: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Assets: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53975</wp:posOffset>
            </wp:positionV>
            <wp:extent cx="23412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Liabilities: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45720</wp:posOffset>
            </wp:positionV>
            <wp:extent cx="23412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As of March 31, 2026</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58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(137)</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259</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259</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324"/>
              <w:spacing w:after="0"/>
              <w:rPr>
                <w:sz w:val="20"/>
                <w:szCs w:val="20"/>
                <w:color w:val="auto"/>
              </w:rPr>
            </w:pPr>
            <w:r>
              <w:rPr>
                <w:rFonts w:ascii="Arial" w:cs="Arial" w:eastAsia="Arial" w:hAnsi="Arial"/>
                <w:sz w:val="15"/>
                <w:szCs w:val="15"/>
                <w:color w:val="auto"/>
              </w:rPr>
              <w:t>(177)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314</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324"/>
              <w:spacing w:after="0"/>
              <w:rPr>
                <w:sz w:val="20"/>
                <w:szCs w:val="20"/>
                <w:color w:val="auto"/>
              </w:rPr>
            </w:pPr>
            <w:r>
              <w:rPr>
                <w:rFonts w:ascii="Arial" w:cs="Arial" w:eastAsia="Arial" w:hAnsi="Arial"/>
                <w:sz w:val="15"/>
                <w:szCs w:val="15"/>
                <w:color w:val="auto"/>
              </w:rPr>
              <w:t>(177)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38,199</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38,199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38,649</w:t>
            </w:r>
          </w:p>
        </w:tc>
        <w:tc>
          <w:tcPr>
            <w:tcW w:w="40" w:type="dxa"/>
            <w:vAlign w:val="bottom"/>
            <w:tcBorders>
              <w:bottom w:val="single" w:sz="8" w:color="2C6937"/>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(136)</w:t>
            </w:r>
          </w:p>
        </w:tc>
        <w:tc>
          <w:tcPr>
            <w:tcW w:w="280" w:type="dxa"/>
            <w:vAlign w:val="bottom"/>
          </w:tcPr>
          <w:p>
            <w:pPr>
              <w:spacing w:after="0"/>
              <w:rPr>
                <w:sz w:val="17"/>
                <w:szCs w:val="17"/>
                <w:color w:val="auto"/>
              </w:rPr>
            </w:pPr>
          </w:p>
        </w:tc>
        <w:tc>
          <w:tcPr>
            <w:tcW w:w="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38,513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324"/>
              <w:spacing w:after="0"/>
              <w:rPr>
                <w:sz w:val="20"/>
                <w:szCs w:val="20"/>
                <w:color w:val="auto"/>
              </w:rPr>
            </w:pPr>
            <w:r>
              <w:rPr>
                <w:rFonts w:ascii="Arial" w:cs="Arial" w:eastAsia="Arial" w:hAnsi="Arial"/>
                <w:sz w:val="15"/>
                <w:szCs w:val="15"/>
                <w:color w:val="auto"/>
              </w:rPr>
              <w:t>(177)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(38,302)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bottom w:val="single" w:sz="8" w:color="2C6937"/>
            </w:tcBorders>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(1,366)</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1,366</w:t>
            </w:r>
          </w:p>
        </w:tc>
        <w:tc>
          <w:tcPr>
            <w:tcW w:w="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(593)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(593)</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344"/>
              <w:spacing w:after="0"/>
              <w:rPr>
                <w:sz w:val="20"/>
                <w:szCs w:val="20"/>
                <w:color w:val="auto"/>
              </w:rPr>
            </w:pPr>
            <w:r>
              <w:rPr>
                <w:rFonts w:ascii="Arial" w:cs="Arial" w:eastAsia="Arial" w:hAnsi="Arial"/>
                <w:sz w:val="15"/>
                <w:szCs w:val="15"/>
                <w:color w:val="auto"/>
              </w:rPr>
              <w:t>177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(1,959)</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1,299</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(660)</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344"/>
              <w:spacing w:after="0"/>
              <w:rPr>
                <w:sz w:val="20"/>
                <w:szCs w:val="20"/>
                <w:color w:val="auto"/>
              </w:rPr>
            </w:pPr>
            <w:r>
              <w:rPr>
                <w:rFonts w:ascii="Arial" w:cs="Arial" w:eastAsia="Arial" w:hAnsi="Arial"/>
                <w:sz w:val="15"/>
                <w:szCs w:val="15"/>
                <w:color w:val="auto"/>
              </w:rPr>
              <w:t>177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2025</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5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277</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(266)</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67</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20" w:type="dxa"/>
            <w:vAlign w:val="bottom"/>
            <w:tcBorders>
              <w:top w:val="single" w:sz="8" w:color="2C6937"/>
            </w:tcBorders>
          </w:tcPr>
          <w:p>
            <w:pPr>
              <w:jc w:val="right"/>
              <w:ind w:right="4"/>
              <w:spacing w:after="0"/>
              <w:rPr>
                <w:sz w:val="20"/>
                <w:szCs w:val="20"/>
                <w:color w:val="auto"/>
              </w:rPr>
            </w:pPr>
            <w:r>
              <w:rPr>
                <w:rFonts w:ascii="Arial" w:cs="Arial" w:eastAsia="Arial" w:hAnsi="Arial"/>
                <w:sz w:val="15"/>
                <w:szCs w:val="15"/>
                <w:color w:val="auto"/>
              </w:rPr>
              <w:t>332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(199)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133</w:t>
            </w:r>
          </w:p>
        </w:tc>
        <w:tc>
          <w:tcPr>
            <w:tcW w:w="20" w:type="dxa"/>
            <w:vAlign w:val="bottom"/>
            <w:tcBorders>
              <w:top w:val="single" w:sz="8" w:color="2C6937"/>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Borders>
              <w:top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2C6937"/>
            </w:tcBorders>
          </w:tcPr>
          <w:p>
            <w:pPr>
              <w:spacing w:after="0"/>
              <w:rPr>
                <w:sz w:val="19"/>
                <w:szCs w:val="19"/>
                <w:color w:val="auto"/>
              </w:rPr>
            </w:pP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4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45,650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45,650</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(45,650)</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45,982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45,783</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(45,651)</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2C6937"/>
            </w:tcBorders>
            <w:gridSpan w:val="2"/>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gridSpan w:val="2"/>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(1,256)</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1,244</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0"/>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(1,387)</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1,242</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(145)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3620" w:space="260"/>
            <w:col w:w="7320"/>
          </w:cols>
          <w:pgMar w:left="320" w:top="248" w:right="379" w:bottom="1440" w:gutter="0" w:footer="0" w:header="0"/>
          <w:type w:val="continuous"/>
        </w:sectPr>
      </w:pPr>
    </w:p>
    <w:p>
      <w:pPr>
        <w:ind w:left="240" w:hanging="237"/>
        <w:spacing w:after="0" w:line="226" w:lineRule="auto"/>
        <w:tabs>
          <w:tab w:leader="none" w:pos="233"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14" w:lineRule="exact"/>
        <w:rPr>
          <w:rFonts w:ascii="Arial" w:cs="Arial" w:eastAsia="Arial" w:hAnsi="Arial"/>
          <w:sz w:val="18"/>
          <w:szCs w:val="18"/>
          <w:color w:val="auto"/>
          <w:vertAlign w:val="superscript"/>
        </w:rPr>
      </w:pPr>
    </w:p>
    <w:p>
      <w:pPr>
        <w:ind w:left="240" w:right="380" w:hanging="237"/>
        <w:spacing w:after="0" w:line="278" w:lineRule="auto"/>
        <w:tabs>
          <w:tab w:leader="none" w:pos="233" w:val="left"/>
        </w:tabs>
        <w:numPr>
          <w:ilvl w:val="0"/>
          <w:numId w:val="81"/>
        </w:numPr>
        <w:rPr>
          <w:rFonts w:ascii="Arial" w:cs="Arial" w:eastAsia="Arial" w:hAnsi="Arial"/>
          <w:sz w:val="9"/>
          <w:szCs w:val="9"/>
          <w:color w:val="auto"/>
        </w:rPr>
      </w:pPr>
      <w:r>
        <w:rPr>
          <w:rFonts w:ascii="Arial" w:cs="Arial" w:eastAsia="Arial" w:hAnsi="Arial"/>
          <w:sz w:val="14"/>
          <w:szCs w:val="14"/>
          <w:color w:val="auto"/>
        </w:rPr>
        <w:t>Represents collateral received that has not been recognized and has not been offset in our condensed consolidated balance sheets, as well as collateral posted that has been recognized but not offset in our condensed consolidated balance sheets. Does not include collateral held or posted in excess of our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89" w:name="page90"/>
    <w:bookmarkEnd w:id="89"/>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hanging="237"/>
        <w:spacing w:after="0" w:line="244" w:lineRule="auto"/>
        <w:tabs>
          <w:tab w:leader="none" w:pos="233"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Excludes derivative assets of $38 million and $44 million as of March 31, 2026 and December 31, 2025, respectively, and derivative liabilities of $16 million and $7 million as of March 31, 2026 and December 31, 2025, respectively, recognized in our condensed consolidated balance sheets, that were not subject to enforceable master netting arrangements.</w:t>
      </w:r>
    </w:p>
    <w:p>
      <w:pPr>
        <w:spacing w:after="0" w:line="47"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2025 Form 10-K.</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81" w:lineRule="exact"/>
        <w:rPr>
          <w:sz w:val="20"/>
          <w:szCs w:val="20"/>
          <w:color w:val="auto"/>
        </w:rPr>
      </w:pPr>
    </w:p>
    <w:p>
      <w:pPr>
        <w:ind w:right="520"/>
        <w:spacing w:after="0" w:line="272"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2" w:lineRule="exact"/>
        <w:rPr>
          <w:sz w:val="20"/>
          <w:szCs w:val="20"/>
          <w:color w:val="auto"/>
        </w:rPr>
      </w:pPr>
    </w:p>
    <w:p>
      <w:pPr>
        <w:ind w:left="620" w:hanging="307"/>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Level 2: Limited observable inputs or observable inputs for similar assets and liabilities.</w:t>
      </w:r>
    </w:p>
    <w:p>
      <w:pPr>
        <w:spacing w:after="0" w:line="86" w:lineRule="exact"/>
        <w:rPr>
          <w:rFonts w:ascii="Times New Roman" w:cs="Times New Roman" w:eastAsia="Times New Roman" w:hAnsi="Times New Roman"/>
          <w:sz w:val="16"/>
          <w:szCs w:val="16"/>
          <w:color w:val="auto"/>
        </w:rPr>
      </w:pPr>
    </w:p>
    <w:p>
      <w:pPr>
        <w:ind w:left="620" w:hanging="307"/>
        <w:spacing w:after="0"/>
        <w:tabs>
          <w:tab w:leader="none" w:pos="6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Level 3: Unobservable inputs.</w:t>
      </w:r>
    </w:p>
    <w:p>
      <w:pPr>
        <w:spacing w:after="0" w:line="8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2025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among Levels 1, 2, and 3. We made no material changes to the valuation control processes or the valuation techniques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90" w:name="page91"/>
    <w:bookmarkEnd w:id="90"/>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3660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3660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3660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3660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auto"/>
        </w:rPr>
        <w:t>Fair Value Measurements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657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6577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8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3"/>
            <w:vMerge w:val="continue"/>
          </w:tcPr>
          <w:p>
            <w:pPr>
              <w:spacing w:after="0"/>
              <w:rPr>
                <w:sz w:val="16"/>
                <w:szCs w:val="16"/>
                <w:color w:val="auto"/>
              </w:rPr>
            </w:pPr>
          </w:p>
        </w:tc>
        <w:tc>
          <w:tcPr>
            <w:tcW w:w="142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18,646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18,672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44,406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44,406</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18,664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63,096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187</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331</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11,906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11,906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11,906</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187</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12,424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5,146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56,312</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24,415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828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81,419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265</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13,619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13,619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13,972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1,959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15,578</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(1,299)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14,648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2C6937"/>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2025</w:t>
            </w:r>
          </w:p>
        </w:tc>
        <w:tc>
          <w:tcPr>
            <w:tcW w:w="5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50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14,264</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27</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14,291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14,282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69,514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34</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341</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341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5,076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19,696</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828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75,530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256</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14,969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14,969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347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15,316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1,387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(1,242)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16,356</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354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(1,242)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441960</wp:posOffset>
            </wp:positionV>
            <wp:extent cx="68059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360"/>
          </w:cols>
          <w:pgMar w:left="320" w:top="248"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1" w:name="page92"/>
    <w:bookmarkEnd w:id="91"/>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700" w:hanging="237"/>
        <w:spacing w:after="0" w:line="226" w:lineRule="auto"/>
        <w:tabs>
          <w:tab w:leader="none" w:pos="233"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Mortgage-related securities primarily consist of securities issued by Fannie Mae, Freddie Mac, or Ginnie Mae.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Non-mortgage related securities consist of U.S. Treasury securities.</w:t>
      </w:r>
    </w:p>
    <w:p>
      <w:pPr>
        <w:spacing w:after="0" w:line="6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w:t>
      </w: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6400" w:type="dxa"/>
            <w:vAlign w:val="bottom"/>
            <w:tcBorders>
              <w:bottom w:val="single" w:sz="8" w:color="2C6937"/>
            </w:tcBorders>
            <w:gridSpan w:val="13"/>
          </w:tcPr>
          <w:p>
            <w:pPr>
              <w:jc w:val="center"/>
              <w:ind w:right="53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1"/>
                <w:szCs w:val="11"/>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6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7"/>
                <w:szCs w:val="17"/>
                <w:color w:val="auto"/>
                <w:vertAlign w:val="superscript"/>
              </w:rPr>
              <w:t>(1)</w:t>
            </w:r>
          </w:p>
        </w:tc>
        <w:tc>
          <w:tcPr>
            <w:tcW w:w="100" w:type="dxa"/>
            <w:vAlign w:val="bottom"/>
          </w:tcPr>
          <w:p>
            <w:pPr>
              <w:spacing w:after="0"/>
              <w:rPr>
                <w:sz w:val="19"/>
                <w:szCs w:val="19"/>
                <w:color w:val="auto"/>
              </w:rPr>
            </w:pPr>
          </w:p>
        </w:tc>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2026</w:t>
            </w:r>
          </w:p>
        </w:tc>
        <w:tc>
          <w:tcPr>
            <w:tcW w:w="600" w:type="dxa"/>
            <w:vAlign w:val="bottom"/>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331</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401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(353)</w:t>
            </w:r>
          </w:p>
        </w:tc>
        <w:tc>
          <w:tcPr>
            <w:tcW w:w="0" w:type="dxa"/>
            <w:vAlign w:val="bottom"/>
          </w:tcPr>
          <w:p>
            <w:pPr>
              <w:spacing w:after="0"/>
              <w:rPr>
                <w:sz w:val="1"/>
                <w:szCs w:val="1"/>
                <w:color w:val="auto"/>
              </w:rPr>
            </w:pP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6340" w:type="dxa"/>
            <w:vAlign w:val="bottom"/>
            <w:tcBorders>
              <w:bottom w:val="single" w:sz="8" w:color="2C6937"/>
            </w:tcBorders>
            <w:gridSpan w:val="13"/>
          </w:tcPr>
          <w:p>
            <w:pPr>
              <w:jc w:val="center"/>
              <w:ind w:right="47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Long-term Debt</w:t>
            </w:r>
          </w:p>
        </w:tc>
        <w:tc>
          <w:tcPr>
            <w:tcW w:w="0" w:type="dxa"/>
            <w:vAlign w:val="bottom"/>
          </w:tcPr>
          <w:p>
            <w:pPr>
              <w:spacing w:after="0"/>
              <w:rPr>
                <w:sz w:val="1"/>
                <w:szCs w:val="1"/>
                <w:color w:val="auto"/>
              </w:rPr>
            </w:pPr>
          </w:p>
        </w:tc>
      </w:tr>
      <w:tr>
        <w:trPr>
          <w:trHeight w:val="177"/>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5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8"/>
                <w:szCs w:val="8"/>
                <w:color w:val="auto"/>
              </w:rPr>
              <w:t>(1)</w:t>
            </w:r>
          </w:p>
        </w:tc>
        <w:tc>
          <w:tcPr>
            <w:tcW w:w="320" w:type="dxa"/>
            <w:vAlign w:val="bottom"/>
          </w:tcPr>
          <w:p>
            <w:pPr>
              <w:spacing w:after="0"/>
              <w:rPr>
                <w:sz w:val="19"/>
                <w:szCs w:val="19"/>
                <w:color w:val="auto"/>
              </w:rPr>
            </w:pPr>
          </w:p>
        </w:tc>
        <w:tc>
          <w:tcPr>
            <w:tcW w:w="580" w:type="dxa"/>
            <w:vAlign w:val="bottom"/>
            <w:tcBorders>
              <w:bottom w:val="single" w:sz="8" w:color="216C2B"/>
            </w:tcBorders>
          </w:tcPr>
          <w:p>
            <w:pPr>
              <w:spacing w:after="0"/>
              <w:rPr>
                <w:sz w:val="19"/>
                <w:szCs w:val="19"/>
                <w:color w:val="auto"/>
              </w:rPr>
            </w:pPr>
          </w:p>
        </w:tc>
        <w:tc>
          <w:tcPr>
            <w:tcW w:w="7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0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18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400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40" w:right="360" w:hanging="237"/>
        <w:spacing w:after="0" w:line="226" w:lineRule="auto"/>
        <w:tabs>
          <w:tab w:leader="none" w:pos="233"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as of March 31, 2026 or March 31, 2025.</w:t>
      </w:r>
    </w:p>
    <w:p>
      <w:pPr>
        <w:spacing w:after="0" w:line="52" w:lineRule="exact"/>
        <w:rPr>
          <w:sz w:val="20"/>
          <w:szCs w:val="20"/>
          <w:color w:val="auto"/>
        </w:rPr>
      </w:pPr>
    </w:p>
    <w:p>
      <w:pPr>
        <w:jc w:val="both"/>
        <w:ind w:right="440"/>
        <w:spacing w:after="0" w:line="272" w:lineRule="auto"/>
        <w:rPr>
          <w:sz w:val="20"/>
          <w:szCs w:val="20"/>
          <w:color w:val="auto"/>
        </w:rPr>
      </w:pPr>
      <w:r>
        <w:rPr>
          <w:rFonts w:ascii="Arial" w:cs="Arial" w:eastAsia="Arial" w:hAnsi="Arial"/>
          <w:sz w:val="16"/>
          <w:szCs w:val="16"/>
          <w:color w:val="auto"/>
        </w:rPr>
        <w:t>The following tables display significant valuation techniques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6020" w:type="dxa"/>
            <w:vAlign w:val="bottom"/>
            <w:tcBorders>
              <w:bottom w:val="single" w:sz="8" w:color="2C6937"/>
            </w:tcBorders>
          </w:tcPr>
          <w:p>
            <w:pPr>
              <w:jc w:val="center"/>
              <w:ind w:right="1303"/>
              <w:spacing w:after="0"/>
              <w:rPr>
                <w:sz w:val="20"/>
                <w:szCs w:val="20"/>
                <w:color w:val="auto"/>
              </w:rPr>
            </w:pPr>
            <w:r>
              <w:rPr>
                <w:rFonts w:ascii="Arial" w:cs="Arial" w:eastAsia="Arial" w:hAnsi="Arial"/>
                <w:sz w:val="15"/>
                <w:szCs w:val="15"/>
                <w:b w:val="1"/>
                <w:bCs w:val="1"/>
                <w:color w:val="auto"/>
              </w:rPr>
              <w:t>Fair Value Measurements as of March 31, 2026</w:t>
            </w:r>
          </w:p>
        </w:tc>
      </w:tr>
      <w:tr>
        <w:trPr>
          <w:trHeight w:val="225"/>
        </w:trPr>
        <w:tc>
          <w:tcPr>
            <w:tcW w:w="35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Fair Value</w:t>
            </w:r>
          </w:p>
        </w:tc>
        <w:tc>
          <w:tcPr>
            <w:tcW w:w="6020" w:type="dxa"/>
            <w:vAlign w:val="bottom"/>
            <w:tcBorders>
              <w:bottom w:val="single" w:sz="8" w:color="2C6937"/>
            </w:tcBorders>
          </w:tcPr>
          <w:p>
            <w:pPr>
              <w:ind w:left="184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20" w:type="dxa"/>
            <w:vAlign w:val="bottom"/>
          </w:tcPr>
          <w:p>
            <w:pPr>
              <w:jc w:val="center"/>
              <w:ind w:right="1303"/>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60" w:type="dxa"/>
            <w:vAlign w:val="bottom"/>
          </w:tcPr>
          <w:p>
            <w:pPr>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224"/>
        </w:trPr>
        <w:tc>
          <w:tcPr>
            <w:tcW w:w="3560" w:type="dxa"/>
            <w:vAlign w:val="bottom"/>
          </w:tcPr>
          <w:p>
            <w:pPr>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245"/>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26</w:t>
            </w:r>
          </w:p>
        </w:tc>
        <w:tc>
          <w:tcPr>
            <w:tcW w:w="6020" w:type="dxa"/>
            <w:vAlign w:val="bottom"/>
          </w:tcPr>
          <w:p>
            <w:pPr>
              <w:ind w:left="100"/>
              <w:spacing w:after="0"/>
              <w:rPr>
                <w:sz w:val="20"/>
                <w:szCs w:val="20"/>
                <w:color w:val="auto"/>
              </w:rPr>
            </w:pPr>
            <w:r>
              <w:rPr>
                <w:rFonts w:ascii="Arial" w:cs="Arial" w:eastAsia="Arial" w:hAnsi="Arial"/>
                <w:sz w:val="15"/>
                <w:szCs w:val="15"/>
                <w:color w:val="auto"/>
              </w:rPr>
              <w:t>Single Vendor</w:t>
            </w:r>
          </w:p>
        </w:tc>
      </w:tr>
      <w:tr>
        <w:trPr>
          <w:trHeight w:val="219"/>
        </w:trPr>
        <w:tc>
          <w:tcPr>
            <w:tcW w:w="35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245"/>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331</w:t>
            </w:r>
          </w:p>
        </w:tc>
        <w:tc>
          <w:tcPr>
            <w:tcW w:w="6020" w:type="dxa"/>
            <w:vAlign w:val="bottom"/>
          </w:tcPr>
          <w:p>
            <w:pPr>
              <w:ind w:left="100"/>
              <w:spacing w:after="0"/>
              <w:rPr>
                <w:sz w:val="20"/>
                <w:szCs w:val="20"/>
                <w:color w:val="auto"/>
              </w:rPr>
            </w:pPr>
            <w:r>
              <w:rPr>
                <w:rFonts w:ascii="Arial" w:cs="Arial" w:eastAsia="Arial" w:hAnsi="Arial"/>
                <w:sz w:val="15"/>
                <w:szCs w:val="15"/>
                <w:color w:val="auto"/>
              </w:rPr>
              <w:t>Primarily Consensus, Single Vendor, and Discounted Cash Flow</w:t>
            </w:r>
          </w:p>
        </w:tc>
      </w:tr>
      <w:tr>
        <w:trPr>
          <w:trHeight w:val="232"/>
        </w:trPr>
        <w:tc>
          <w:tcPr>
            <w:tcW w:w="3560" w:type="dxa"/>
            <w:vAlign w:val="bottom"/>
          </w:tcPr>
          <w:p>
            <w:pPr>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54</w:t>
            </w:r>
          </w:p>
        </w:tc>
        <w:tc>
          <w:tcPr>
            <w:tcW w:w="6020" w:type="dxa"/>
            <w:vAlign w:val="bottom"/>
          </w:tcPr>
          <w:p>
            <w:pPr>
              <w:ind w:left="100"/>
              <w:spacing w:after="0"/>
              <w:rPr>
                <w:sz w:val="20"/>
                <w:szCs w:val="20"/>
                <w:color w:val="auto"/>
              </w:rPr>
            </w:pPr>
            <w:r>
              <w:rPr>
                <w:rFonts w:ascii="Arial" w:cs="Arial" w:eastAsia="Arial" w:hAnsi="Arial"/>
                <w:sz w:val="15"/>
                <w:szCs w:val="15"/>
                <w:color w:val="auto"/>
              </w:rPr>
              <w:t>Dealer Mark and Discounted Cash Flow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443230</wp:posOffset>
            </wp:positionV>
            <wp:extent cx="6805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2" w:name="page93"/>
    <w:bookmarkEnd w:id="92"/>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6020" w:type="dxa"/>
            <w:vAlign w:val="bottom"/>
            <w:tcBorders>
              <w:bottom w:val="single" w:sz="8" w:color="2C6937"/>
            </w:tcBorders>
          </w:tcPr>
          <w:p>
            <w:pPr>
              <w:jc w:val="center"/>
              <w:ind w:right="1323"/>
              <w:spacing w:after="0"/>
              <w:rPr>
                <w:sz w:val="20"/>
                <w:szCs w:val="20"/>
                <w:color w:val="auto"/>
              </w:rPr>
            </w:pPr>
            <w:r>
              <w:rPr>
                <w:rFonts w:ascii="Arial" w:cs="Arial" w:eastAsia="Arial" w:hAnsi="Arial"/>
                <w:sz w:val="15"/>
                <w:szCs w:val="15"/>
                <w:b w:val="1"/>
                <w:bCs w:val="1"/>
                <w:color w:val="auto"/>
              </w:rPr>
              <w:t>Fair Value Measurements as of December 31, 2025</w:t>
            </w:r>
          </w:p>
        </w:tc>
      </w:tr>
      <w:tr>
        <w:trPr>
          <w:trHeight w:val="225"/>
        </w:trPr>
        <w:tc>
          <w:tcPr>
            <w:tcW w:w="35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Fair Value</w:t>
            </w:r>
          </w:p>
        </w:tc>
        <w:tc>
          <w:tcPr>
            <w:tcW w:w="6020" w:type="dxa"/>
            <w:vAlign w:val="bottom"/>
            <w:tcBorders>
              <w:bottom w:val="single" w:sz="8" w:color="2C6937"/>
            </w:tcBorders>
          </w:tcPr>
          <w:p>
            <w:pPr>
              <w:ind w:left="184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20" w:type="dxa"/>
            <w:vAlign w:val="bottom"/>
          </w:tcPr>
          <w:p>
            <w:pPr>
              <w:jc w:val="center"/>
              <w:ind w:right="1303"/>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60" w:type="dxa"/>
            <w:vAlign w:val="bottom"/>
          </w:tcPr>
          <w:p>
            <w:pPr>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224"/>
        </w:trPr>
        <w:tc>
          <w:tcPr>
            <w:tcW w:w="3560" w:type="dxa"/>
            <w:vAlign w:val="bottom"/>
          </w:tcPr>
          <w:p>
            <w:pPr>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245"/>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27</w:t>
            </w:r>
          </w:p>
        </w:tc>
        <w:tc>
          <w:tcPr>
            <w:tcW w:w="6020" w:type="dxa"/>
            <w:vAlign w:val="bottom"/>
          </w:tcPr>
          <w:p>
            <w:pPr>
              <w:ind w:left="100"/>
              <w:spacing w:after="0"/>
              <w:rPr>
                <w:sz w:val="20"/>
                <w:szCs w:val="20"/>
                <w:color w:val="auto"/>
              </w:rPr>
            </w:pPr>
            <w:r>
              <w:rPr>
                <w:rFonts w:ascii="Arial" w:cs="Arial" w:eastAsia="Arial" w:hAnsi="Arial"/>
                <w:sz w:val="15"/>
                <w:szCs w:val="15"/>
                <w:color w:val="auto"/>
              </w:rPr>
              <w:t>Single Vendor</w:t>
            </w:r>
          </w:p>
        </w:tc>
      </w:tr>
      <w:tr>
        <w:trPr>
          <w:trHeight w:val="219"/>
        </w:trPr>
        <w:tc>
          <w:tcPr>
            <w:tcW w:w="35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245"/>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341</w:t>
            </w:r>
          </w:p>
        </w:tc>
        <w:tc>
          <w:tcPr>
            <w:tcW w:w="6020" w:type="dxa"/>
            <w:vAlign w:val="bottom"/>
          </w:tcPr>
          <w:p>
            <w:pPr>
              <w:ind w:left="100"/>
              <w:spacing w:after="0"/>
              <w:rPr>
                <w:sz w:val="20"/>
                <w:szCs w:val="20"/>
                <w:color w:val="auto"/>
              </w:rPr>
            </w:pPr>
            <w:r>
              <w:rPr>
                <w:rFonts w:ascii="Arial" w:cs="Arial" w:eastAsia="Arial" w:hAnsi="Arial"/>
                <w:sz w:val="15"/>
                <w:szCs w:val="15"/>
                <w:color w:val="auto"/>
              </w:rPr>
              <w:t>Primarily Consensus, Single Vendor, and Discounted Cash Flow</w:t>
            </w:r>
          </w:p>
        </w:tc>
      </w:tr>
      <w:tr>
        <w:trPr>
          <w:trHeight w:val="232"/>
        </w:trPr>
        <w:tc>
          <w:tcPr>
            <w:tcW w:w="3560" w:type="dxa"/>
            <w:vAlign w:val="bottom"/>
          </w:tcPr>
          <w:p>
            <w:pPr>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65</w:t>
            </w:r>
          </w:p>
        </w:tc>
        <w:tc>
          <w:tcPr>
            <w:tcW w:w="6020" w:type="dxa"/>
            <w:vAlign w:val="bottom"/>
          </w:tcPr>
          <w:p>
            <w:pPr>
              <w:ind w:left="100"/>
              <w:spacing w:after="0"/>
              <w:rPr>
                <w:sz w:val="20"/>
                <w:szCs w:val="20"/>
                <w:color w:val="auto"/>
              </w:rPr>
            </w:pPr>
            <w:r>
              <w:rPr>
                <w:rFonts w:ascii="Arial" w:cs="Arial" w:eastAsia="Arial" w:hAnsi="Arial"/>
                <w:sz w:val="15"/>
                <w:szCs w:val="15"/>
                <w:color w:val="auto"/>
              </w:rPr>
              <w:t>Dealer Mark and Discounted Cash Flow</w:t>
            </w:r>
          </w:p>
        </w:tc>
      </w:tr>
    </w:tbl>
    <w:p>
      <w:pPr>
        <w:spacing w:after="0" w:line="19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Nonrecurring Changes in Fair Value</w:t>
      </w:r>
    </w:p>
    <w:p>
      <w:pPr>
        <w:spacing w:after="0" w:line="63"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ectPr>
          <w:pgSz w:w="11900" w:h="16838" w:orient="portrait"/>
          <w:cols w:equalWidth="0" w:num="1">
            <w:col w:w="1118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Nonrecurring fair value measurements: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p>
      <w:pPr>
        <w:spacing w:after="0" w:line="5" w:lineRule="exact"/>
        <w:rPr>
          <w:sz w:val="20"/>
          <w:szCs w:val="20"/>
          <w:color w:val="auto"/>
        </w:rPr>
      </w:pPr>
    </w:p>
    <w:p>
      <w:pPr>
        <w:ind w:left="160" w:right="880"/>
        <w:spacing w:after="0" w:line="347" w:lineRule="auto"/>
        <w:rPr>
          <w:sz w:val="20"/>
          <w:szCs w:val="20"/>
          <w:color w:val="auto"/>
        </w:rPr>
      </w:pPr>
      <w:r>
        <w:rPr>
          <w:rFonts w:ascii="Arial" w:cs="Arial" w:eastAsia="Arial" w:hAnsi="Arial"/>
          <w:sz w:val="15"/>
          <w:szCs w:val="15"/>
          <w:color w:val="auto"/>
        </w:rPr>
        <w:t>Mortgage loans held for sale, at lower of cost or fair value Single-family mortgage loans held for investment, at amortized cost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 mortgage loans held for investment,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422275</wp:posOffset>
            </wp:positionV>
            <wp:extent cx="39376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multifamily mortgage loans held for investment, at amortized cost</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Acquired property, net: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Single-family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258445</wp:posOffset>
            </wp:positionV>
            <wp:extent cx="3937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single-family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29210</wp:posOffset>
            </wp:positionV>
            <wp:extent cx="3937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Total nonrecurring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20955</wp:posOffset>
            </wp:positionV>
            <wp:extent cx="39376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93763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45720</wp:posOffset>
            </wp:positionV>
            <wp:extent cx="39376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 Measurements</w:t>
            </w: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jc w:val="center"/>
              <w:ind w:right="1111"/>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27"/>
        </w:trPr>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160" w:type="dxa"/>
            <w:vAlign w:val="bottom"/>
            <w:tcBorders>
              <w:bottom w:val="single" w:sz="8" w:color="2C6937"/>
            </w:tcBorders>
          </w:tcPr>
          <w:p>
            <w:pPr>
              <w:spacing w:after="0"/>
              <w:rPr>
                <w:sz w:val="2"/>
                <w:szCs w:val="2"/>
                <w:color w:val="auto"/>
              </w:rPr>
            </w:pPr>
          </w:p>
        </w:tc>
        <w:tc>
          <w:tcPr>
            <w:tcW w:w="154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00" w:type="dxa"/>
            <w:vAlign w:val="bottom"/>
            <w:gridSpan w:val="2"/>
            <w:vMerge w:val="continue"/>
          </w:tcPr>
          <w:p>
            <w:pPr>
              <w:spacing w:after="0"/>
              <w:rPr>
                <w:sz w:val="16"/>
                <w:szCs w:val="16"/>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w w:val="98"/>
              </w:rPr>
              <w:t>March 31, 2026</w:t>
            </w:r>
          </w:p>
        </w:tc>
        <w:tc>
          <w:tcPr>
            <w:tcW w:w="1540" w:type="dxa"/>
            <w:vAlign w:val="bottom"/>
          </w:tcPr>
          <w:p>
            <w:pPr>
              <w:ind w:left="280"/>
              <w:spacing w:after="0"/>
              <w:rPr>
                <w:sz w:val="20"/>
                <w:szCs w:val="20"/>
                <w:color w:val="auto"/>
              </w:rPr>
            </w:pPr>
            <w:r>
              <w:rPr>
                <w:rFonts w:ascii="Arial" w:cs="Arial" w:eastAsia="Arial" w:hAnsi="Arial"/>
                <w:sz w:val="14"/>
                <w:szCs w:val="14"/>
                <w:b w:val="1"/>
                <w:bCs w:val="1"/>
                <w:color w:val="auto"/>
                <w:w w:val="98"/>
              </w:rPr>
              <w:t>December 31, 2025</w:t>
            </w:r>
          </w:p>
        </w:tc>
        <w:tc>
          <w:tcPr>
            <w:tcW w:w="0" w:type="dxa"/>
            <w:vAlign w:val="bottom"/>
          </w:tcPr>
          <w:p>
            <w:pPr>
              <w:spacing w:after="0"/>
              <w:rPr>
                <w:sz w:val="1"/>
                <w:szCs w:val="1"/>
                <w:color w:val="auto"/>
              </w:rPr>
            </w:pPr>
          </w:p>
        </w:tc>
      </w:tr>
      <w:tr>
        <w:trPr>
          <w:trHeight w:val="185"/>
        </w:trPr>
        <w:tc>
          <w:tcPr>
            <w:tcW w:w="1980" w:type="dxa"/>
            <w:vAlign w:val="bottom"/>
            <w:tcBorders>
              <w:top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gridSpan w:val="2"/>
          </w:tcPr>
          <w:p>
            <w:pPr>
              <w:spacing w:after="0"/>
              <w:rPr>
                <w:sz w:val="20"/>
                <w:szCs w:val="20"/>
                <w:color w:val="auto"/>
              </w:rPr>
            </w:pPr>
            <w:r>
              <w:rPr>
                <w:rFonts w:ascii="Arial" w:cs="Arial" w:eastAsia="Arial" w:hAnsi="Arial"/>
                <w:sz w:val="15"/>
                <w:szCs w:val="15"/>
                <w:color w:val="auto"/>
              </w:rPr>
              <w:t>Consensus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214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315"/>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38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Asset Manager Estimate</w:t>
            </w: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w:t>
            </w:r>
          </w:p>
        </w:tc>
        <w:tc>
          <w:tcPr>
            <w:tcW w:w="4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969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208"/>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31"/>
        </w:trPr>
        <w:tc>
          <w:tcPr>
            <w:tcW w:w="1980" w:type="dxa"/>
            <w:vAlign w:val="bottom"/>
            <w:tcBorders>
              <w:top w:val="single" w:sz="8" w:color="2C6937"/>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1,195</w:t>
            </w:r>
          </w:p>
        </w:tc>
        <w:tc>
          <w:tcPr>
            <w:tcW w:w="100" w:type="dxa"/>
            <w:vAlign w:val="bottom"/>
          </w:tcPr>
          <w:p>
            <w:pPr>
              <w:spacing w:after="0"/>
              <w:rPr>
                <w:sz w:val="20"/>
                <w:szCs w:val="20"/>
                <w:color w:val="auto"/>
              </w:rPr>
            </w:pPr>
          </w:p>
        </w:tc>
        <w:tc>
          <w:tcPr>
            <w:tcW w:w="480" w:type="dxa"/>
            <w:vAlign w:val="bottom"/>
            <w:tcBorders>
              <w:top w:val="single" w:sz="8" w:color="2C6937"/>
            </w:tcBorders>
          </w:tcPr>
          <w:p>
            <w:pPr>
              <w:spacing w:after="0"/>
              <w:rPr>
                <w:sz w:val="20"/>
                <w:szCs w:val="20"/>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355"/>
        </w:trPr>
        <w:tc>
          <w:tcPr>
            <w:tcW w:w="2100" w:type="dxa"/>
            <w:vAlign w:val="bottom"/>
            <w:gridSpan w:val="2"/>
          </w:tcPr>
          <w:p>
            <w:pPr>
              <w:spacing w:after="0"/>
              <w:rPr>
                <w:sz w:val="20"/>
                <w:szCs w:val="20"/>
                <w:color w:val="auto"/>
              </w:rPr>
            </w:pPr>
            <w:r>
              <w:rPr>
                <w:rFonts w:ascii="Arial" w:cs="Arial" w:eastAsia="Arial" w:hAnsi="Arial"/>
                <w:sz w:val="15"/>
                <w:szCs w:val="15"/>
                <w:color w:val="auto"/>
              </w:rPr>
              <w:t>Accepted Offer and</w:t>
            </w:r>
          </w:p>
        </w:tc>
        <w:tc>
          <w:tcPr>
            <w:tcW w:w="460" w:type="dxa"/>
            <w:vAlign w:val="bottom"/>
          </w:tcPr>
          <w:p>
            <w:pPr>
              <w:spacing w:after="0"/>
              <w:rPr>
                <w:sz w:val="24"/>
                <w:szCs w:val="2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00" w:type="dxa"/>
            <w:vAlign w:val="bottom"/>
            <w:gridSpan w:val="2"/>
          </w:tcPr>
          <w:p>
            <w:pPr>
              <w:spacing w:after="0" w:line="155" w:lineRule="exact"/>
              <w:rPr>
                <w:sz w:val="20"/>
                <w:szCs w:val="20"/>
                <w:color w:val="auto"/>
              </w:rPr>
            </w:pPr>
            <w:r>
              <w:rPr>
                <w:rFonts w:ascii="Arial" w:cs="Arial" w:eastAsia="Arial" w:hAnsi="Arial"/>
                <w:sz w:val="15"/>
                <w:szCs w:val="15"/>
                <w:color w:val="auto"/>
              </w:rPr>
              <w:t>Internal Model and Walk</w:t>
            </w:r>
          </w:p>
        </w:tc>
        <w:tc>
          <w:tcPr>
            <w:tcW w:w="46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112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Forward</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tcBorders>
          </w:tcPr>
          <w:p>
            <w:pPr>
              <w:spacing w:after="0"/>
              <w:rPr>
                <w:sz w:val="17"/>
                <w:szCs w:val="17"/>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w:t>
            </w:r>
          </w:p>
        </w:tc>
        <w:tc>
          <w:tcPr>
            <w:tcW w:w="100" w:type="dxa"/>
            <w:vAlign w:val="bottom"/>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173"/>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 and</w:t>
            </w:r>
          </w:p>
        </w:tc>
        <w:tc>
          <w:tcPr>
            <w:tcW w:w="460" w:type="dxa"/>
            <w:vAlign w:val="bottom"/>
          </w:tcPr>
          <w:p>
            <w:pPr>
              <w:spacing w:after="0"/>
              <w:rPr>
                <w:sz w:val="15"/>
                <w:szCs w:val="15"/>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292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1,993</w:t>
            </w:r>
          </w:p>
        </w:tc>
        <w:tc>
          <w:tcPr>
            <w:tcW w:w="100" w:type="dxa"/>
            <w:vAlign w:val="bottom"/>
          </w:tcPr>
          <w:p>
            <w:pPr>
              <w:spacing w:after="0"/>
              <w:rPr>
                <w:sz w:val="17"/>
                <w:szCs w:val="17"/>
                <w:color w:val="auto"/>
              </w:rPr>
            </w:pPr>
          </w:p>
        </w:tc>
        <w:tc>
          <w:tcPr>
            <w:tcW w:w="48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2,902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2">
            <w:col w:w="5660" w:space="720"/>
            <w:col w:w="4800"/>
          </w:cols>
          <w:pgMar w:left="320" w:top="248" w:right="399" w:bottom="1440" w:gutter="0" w:footer="0" w:header="0"/>
          <w:type w:val="continuous"/>
        </w:sectPr>
      </w:pPr>
    </w:p>
    <w:p>
      <w:pPr>
        <w:ind w:left="240" w:right="80" w:hanging="237"/>
        <w:spacing w:after="0" w:line="264" w:lineRule="auto"/>
        <w:tabs>
          <w:tab w:leader="none" w:pos="233" w:val="left"/>
        </w:tabs>
        <w:numPr>
          <w:ilvl w:val="0"/>
          <w:numId w:val="86"/>
        </w:numPr>
        <w:rPr>
          <w:rFonts w:ascii="Arial" w:cs="Arial" w:eastAsia="Arial" w:hAnsi="Arial"/>
          <w:sz w:val="9"/>
          <w:szCs w:val="9"/>
          <w:color w:val="auto"/>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200"/>
              <w:spacing w:after="0"/>
              <w:rPr>
                <w:sz w:val="20"/>
                <w:szCs w:val="20"/>
                <w:color w:val="auto"/>
              </w:rPr>
            </w:pPr>
            <w:r>
              <w:rPr>
                <w:rFonts w:ascii="Arial" w:cs="Arial" w:eastAsia="Arial" w:hAnsi="Arial"/>
                <w:sz w:val="14"/>
                <w:szCs w:val="14"/>
                <w:b w:val="1"/>
                <w:bCs w:val="1"/>
                <w:color w:val="auto"/>
                <w:w w:val="98"/>
              </w:rPr>
              <w:t>As of March 31, 2026</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45,264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45,264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45,264</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38,199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63,096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63,096</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12,424</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4,115,101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3,607,231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163,972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3,771,203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3,509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4,278,240</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101,576</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3,668,230</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164,769</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3,934,439</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20,602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20,606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20,606</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131,354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131,953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4,022,364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3,653,910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3,654,140</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4,173,579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3,807,829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3,807,427</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671195</wp:posOffset>
            </wp:positionV>
            <wp:extent cx="68059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94" w:name="page95"/>
    <w:bookmarkEnd w:id="94"/>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2025</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42,583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42,583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42,583</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45,650</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55,205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69,514</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4,119,104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3,656,465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3,794,329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4,281,297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97,788</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3,720,353</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138,677</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3,956,619</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24,538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24,548</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24,548</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104,784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105,386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4,053,140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3,701,675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3,701,910</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4,180,677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3,832,394</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3,832,050</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2025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the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UPB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67"/>
              <w:spacing w:after="0"/>
              <w:rPr>
                <w:sz w:val="20"/>
                <w:szCs w:val="20"/>
                <w:color w:val="auto"/>
              </w:rPr>
            </w:pPr>
            <w:r>
              <w:rPr>
                <w:rFonts w:ascii="Arial" w:cs="Arial" w:eastAsia="Arial" w:hAnsi="Arial"/>
                <w:sz w:val="14"/>
                <w:szCs w:val="14"/>
                <w:b w:val="1"/>
                <w:bCs w:val="1"/>
                <w:color w:val="auto"/>
                <w:w w:val="98"/>
              </w:rPr>
              <w:t>March 31, 2026</w:t>
            </w: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0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Long-Term Debt of</w:t>
            </w:r>
          </w:p>
        </w:tc>
        <w:tc>
          <w:tcPr>
            <w:tcW w:w="144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w w:val="99"/>
              </w:rPr>
              <w:t>Fannie Mae</w:t>
            </w:r>
          </w:p>
        </w:tc>
        <w:tc>
          <w:tcPr>
            <w:tcW w:w="144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w w:val="97"/>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5"/>
          </w:tcPr>
          <w:p>
            <w:pPr>
              <w:jc w:val="center"/>
              <w:ind w:right="206"/>
              <w:spacing w:after="0"/>
              <w:rPr>
                <w:sz w:val="20"/>
                <w:szCs w:val="20"/>
                <w:color w:val="auto"/>
              </w:rPr>
            </w:pPr>
            <w:r>
              <w:rPr>
                <w:rFonts w:ascii="Arial" w:cs="Arial" w:eastAsia="Arial" w:hAnsi="Arial"/>
                <w:sz w:val="14"/>
                <w:szCs w:val="14"/>
                <w:b w:val="1"/>
                <w:bCs w:val="1"/>
                <w:color w:val="auto"/>
                <w:w w:val="98"/>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5,547</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207"/>
              <w:spacing w:after="0"/>
              <w:rPr>
                <w:sz w:val="20"/>
                <w:szCs w:val="20"/>
                <w:color w:val="auto"/>
              </w:rPr>
            </w:pPr>
            <w:r>
              <w:rPr>
                <w:rFonts w:ascii="Arial" w:cs="Arial" w:eastAsia="Arial" w:hAnsi="Arial"/>
                <w:sz w:val="15"/>
                <w:szCs w:val="15"/>
                <w:b w:val="1"/>
                <w:bCs w:val="1"/>
                <w:color w:val="auto"/>
              </w:rPr>
              <w:t>265</w:t>
            </w:r>
          </w:p>
        </w:tc>
        <w:tc>
          <w:tcPr>
            <w:tcW w:w="560" w:type="dxa"/>
            <w:vAlign w:val="bottom"/>
          </w:tcPr>
          <w:p>
            <w:pPr>
              <w:ind w:left="12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13,707</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5,464</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256</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15,060</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Arial" w:cs="Arial" w:eastAsia="Arial" w:hAnsi="Arial"/>
                <w:sz w:val="15"/>
                <w:szCs w:val="15"/>
                <w:color w:val="auto"/>
              </w:rPr>
              <w:t>UPB</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5,943</w:t>
            </w:r>
          </w:p>
        </w:tc>
        <w:tc>
          <w:tcPr>
            <w:tcW w:w="360" w:type="dxa"/>
            <w:vAlign w:val="bottom"/>
          </w:tcPr>
          <w:p>
            <w:pPr>
              <w:spacing w:after="0"/>
              <w:rPr>
                <w:sz w:val="18"/>
                <w:szCs w:val="18"/>
                <w:color w:val="auto"/>
              </w:rPr>
            </w:pPr>
          </w:p>
        </w:tc>
        <w:tc>
          <w:tcPr>
            <w:tcW w:w="1140" w:type="dxa"/>
            <w:vAlign w:val="bottom"/>
          </w:tcPr>
          <w:p>
            <w:pPr>
              <w:jc w:val="right"/>
              <w:ind w:right="207"/>
              <w:spacing w:after="0"/>
              <w:rPr>
                <w:sz w:val="20"/>
                <w:szCs w:val="20"/>
                <w:color w:val="auto"/>
              </w:rPr>
            </w:pPr>
            <w:r>
              <w:rPr>
                <w:rFonts w:ascii="Arial" w:cs="Arial" w:eastAsia="Arial" w:hAnsi="Arial"/>
                <w:sz w:val="15"/>
                <w:szCs w:val="15"/>
                <w:b w:val="1"/>
                <w:bCs w:val="1"/>
                <w:color w:val="auto"/>
              </w:rPr>
              <w:t>250</w:t>
            </w:r>
          </w:p>
        </w:tc>
        <w:tc>
          <w:tcPr>
            <w:tcW w:w="5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14,215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5,808</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250</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15,516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429895</wp:posOffset>
            </wp:positionV>
            <wp:extent cx="68059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5" w:name="page96"/>
    <w:bookmarkEnd w:id="9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80" w:hanging="237"/>
        <w:spacing w:after="0" w:line="226" w:lineRule="auto"/>
        <w:tabs>
          <w:tab w:leader="none" w:pos="233"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$28 million and $30 million as of March 31, 2026 and December 31, 2025, respectively. Includes loans that are 90 days or more past due with a fair value of $20 million and $26 million as of March 31, 2026 and December 31, 2025, respectively.</w:t>
      </w:r>
    </w:p>
    <w:p>
      <w:pPr>
        <w:spacing w:after="0" w:line="98"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6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recorded losses of $22 million for the three months ended March 31, 2026, and gains of $125 million for the three months ended March 31, 2025,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We recorded gains of $87 million for the three months ended March 31, 2026, and losses of $311 million for the three months ended March 31, 2025,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 Our bylaws provide that we indemnify officers and directors for certain liabilities incurred in connection with legal proceedings and, pursuant to our bylaws and related indemnification agreements, we have advanced costs and expenses.</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68"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 of Columbia. The lawsuits challenge the August 2012 amendment to each company’s senior preferred stock purchase agreement with Treasury.</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the court denied on March 14, 2025. The defendants filed a notice of appeal on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6" w:name="page97"/>
    <w:bookmarkEnd w:id="96"/>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11, 2025. On April 25, 2025, plaintiffs filed a notice of cross-appeal challenging several of the court’s pretrial rulings, which they contend prevented them from seeking the full measure of their alleged damages. Until the appeals are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$24 million and $26 million of expense in 2024 and 2025, respectively, and $7 million of expense for the three months ended March 31, 2026, related to the prejudgment and post-judgment interest. Briefing on the appeals concluded in February 2026 and oral argument was held in the U.S. Court of Appeals for the District of Columbia Circuit in April 2026.</w:t>
      </w:r>
    </w:p>
    <w:p>
      <w:pPr>
        <w:spacing w:after="0" w:line="14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72"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following table displays our capital requirements under the standardized approach of the enterprise regulatory capital framework.</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March 31, 2026</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r>
      <w:tr>
        <w:trPr>
          <w:trHeight w:val="165"/>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Available Capital</w:t>
            </w: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126"/>
              <w:spacing w:after="0" w:line="155" w:lineRule="exact"/>
              <w:rPr>
                <w:sz w:val="20"/>
                <w:szCs w:val="20"/>
                <w:color w:val="auto"/>
              </w:rPr>
            </w:pPr>
            <w:r>
              <w:rPr>
                <w:rFonts w:ascii="Arial" w:cs="Arial" w:eastAsia="Arial" w:hAnsi="Arial"/>
                <w:sz w:val="14"/>
                <w:szCs w:val="14"/>
                <w:b w:val="1"/>
                <w:bCs w:val="1"/>
                <w:color w:val="auto"/>
              </w:rPr>
              <w:t>Requirement Ratio</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Capital (Deficit)</w:t>
            </w:r>
            <w:r>
              <w:rPr>
                <w:rFonts w:ascii="Arial" w:cs="Arial" w:eastAsia="Arial" w:hAnsi="Arial"/>
                <w:sz w:val="8"/>
                <w:szCs w:val="8"/>
                <w:b w:val="1"/>
                <w:bCs w:val="1"/>
                <w:color w:val="auto"/>
                <w:w w:val="97"/>
              </w:rPr>
              <w:t>(2)</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(3)</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r>
      <w:tr>
        <w:trPr>
          <w:trHeight w:val="25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Arial" w:cs="Arial" w:eastAsia="Arial" w:hAnsi="Arial"/>
                <w:sz w:val="15"/>
                <w:szCs w:val="15"/>
                <w:color w:val="auto"/>
              </w:rPr>
              <w:t>— %</w:t>
            </w: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8"/>
                <w:szCs w:val="18"/>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9.8</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20"/>
                <w:szCs w:val="20"/>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11.3</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20"/>
                <w:szCs w:val="20"/>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13.3</w:t>
            </w: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1"/>
                <w:szCs w:val="21"/>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8"/>
                <w:szCs w:val="18"/>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7" w:name="page98"/>
    <w:bookmarkEnd w:id="97"/>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740" w:type="dxa"/>
            <w:vAlign w:val="bottom"/>
            <w:gridSpan w:val="2"/>
          </w:tcPr>
          <w:p>
            <w:pPr>
              <w:ind w:left="220"/>
              <w:spacing w:after="0" w:line="22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9"/>
                <w:szCs w:val="19"/>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40" w:type="dxa"/>
            <w:vAlign w:val="bottom"/>
            <w:gridSpan w:val="2"/>
          </w:tcPr>
          <w:p>
            <w:pPr>
              <w:ind w:left="220"/>
              <w:spacing w:after="0" w:line="22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9"/>
                <w:szCs w:val="19"/>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9"/>
                <w:szCs w:val="19"/>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less than $500 million.</w:t>
      </w:r>
    </w:p>
    <w:p>
      <w:pPr>
        <w:spacing w:after="0" w:line="19" w:lineRule="exact"/>
        <w:rPr>
          <w:sz w:val="20"/>
          <w:szCs w:val="20"/>
          <w:color w:val="auto"/>
        </w:rPr>
      </w:pPr>
    </w:p>
    <w:p>
      <w:pPr>
        <w:ind w:left="220" w:hanging="217"/>
        <w:spacing w:after="0"/>
        <w:tabs>
          <w:tab w:leader="none" w:pos="22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8"/>
        </w:numPr>
        <w:rPr>
          <w:rFonts w:ascii="Arial" w:cs="Arial" w:eastAsia="Arial" w:hAnsi="Arial"/>
          <w:sz w:val="9"/>
          <w:szCs w:val="9"/>
          <w:color w:val="auto"/>
        </w:rPr>
      </w:pPr>
      <w:r>
        <w:rPr>
          <w:rFonts w:ascii="Arial" w:cs="Arial" w:eastAsia="Arial" w:hAnsi="Arial"/>
          <w:sz w:val="14"/>
          <w:szCs w:val="14"/>
          <w:color w:val="auto"/>
        </w:rPr>
        <w:t>Available capital deficit for all line items excludes the stated value of the senior preferred stock of $120.8 billion.</w:t>
      </w:r>
    </w:p>
    <w:p>
      <w:pPr>
        <w:spacing w:after="0" w:line="33" w:lineRule="exact"/>
        <w:rPr>
          <w:rFonts w:ascii="Arial" w:cs="Arial" w:eastAsia="Arial" w:hAnsi="Arial"/>
          <w:sz w:val="9"/>
          <w:szCs w:val="9"/>
          <w:color w:val="auto"/>
        </w:rPr>
      </w:pPr>
    </w:p>
    <w:p>
      <w:pPr>
        <w:ind w:left="220" w:hanging="217"/>
        <w:spacing w:after="0"/>
        <w:tabs>
          <w:tab w:leader="none" w:pos="220" w:val="left"/>
        </w:tabs>
        <w:numPr>
          <w:ilvl w:val="0"/>
          <w:numId w:val="88"/>
        </w:numPr>
        <w:rPr>
          <w:rFonts w:ascii="Arial" w:cs="Arial" w:eastAsia="Arial" w:hAnsi="Arial"/>
          <w:sz w:val="9"/>
          <w:szCs w:val="9"/>
          <w:color w:val="auto"/>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37" w:lineRule="exact"/>
        <w:rPr>
          <w:rFonts w:ascii="Arial" w:cs="Arial" w:eastAsia="Arial" w:hAnsi="Arial"/>
          <w:sz w:val="18"/>
          <w:szCs w:val="18"/>
          <w:color w:val="auto"/>
          <w:vertAlign w:val="superscript"/>
        </w:rPr>
      </w:pPr>
    </w:p>
    <w:p>
      <w:pPr>
        <w:ind w:left="240" w:right="300" w:hanging="237"/>
        <w:spacing w:after="0" w:line="219" w:lineRule="auto"/>
        <w:tabs>
          <w:tab w:leader="none" w:pos="233"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8" w:name="page99"/>
    <w:bookmarkEnd w:id="98"/>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March 31, 2026, the end of the period covered by this report. As a result of management’s evaluation, our Chief Executive Officer and Chief Financial Officer concluded that our disclosure controls and procedures were not effective at a reasonable assurance level as of March 31, 2026, or as of the date of filing this report.</w:t>
      </w:r>
    </w:p>
    <w:p>
      <w:pPr>
        <w:spacing w:after="0" w:line="4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Our disclosure controls and procedures were not effective as of March 31, 2026,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March 31, 2026,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March 31, 2026,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00" w:type="dxa"/>
            <w:vAlign w:val="bottom"/>
          </w:tcPr>
          <w:p>
            <w:pPr>
              <w:jc w:val="right"/>
              <w:spacing w:after="0"/>
              <w:rPr>
                <w:sz w:val="20"/>
                <w:szCs w:val="20"/>
                <w:color w:val="auto"/>
              </w:rPr>
            </w:pPr>
            <w:r>
              <w:rPr>
                <w:rFonts w:ascii="Arial" w:cs="Arial" w:eastAsia="Arial" w:hAnsi="Arial"/>
                <w:sz w:val="14"/>
                <w:szCs w:val="14"/>
                <w:color w:val="05314D"/>
              </w:rPr>
              <w:t>96</w:t>
            </w:r>
          </w:p>
        </w:tc>
      </w:tr>
      <w:tr>
        <w:trPr>
          <w:trHeight w:val="220"/>
        </w:trPr>
        <w:tc>
          <w:tcPr>
            <w:tcW w:w="68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9" w:name="page100"/>
    <w:bookmarkEnd w:id="99"/>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March 31, 2026,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hanging="307"/>
        <w:spacing w:after="0"/>
        <w:tabs>
          <w:tab w:leader="none" w:pos="6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FHFA has established a process to facilitate operation of the company under the oversight of the conservator.</w:t>
      </w:r>
    </w:p>
    <w:p>
      <w:pPr>
        <w:spacing w:after="0" w:line="86" w:lineRule="exact"/>
        <w:rPr>
          <w:rFonts w:ascii="Arial" w:cs="Arial" w:eastAsia="Arial" w:hAnsi="Arial"/>
          <w:sz w:val="16"/>
          <w:szCs w:val="16"/>
          <w:color w:val="auto"/>
        </w:rPr>
      </w:pPr>
    </w:p>
    <w:p>
      <w:pPr>
        <w:ind w:left="620" w:right="160" w:hanging="307"/>
        <w:spacing w:after="0" w:line="266"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quarterly and annual SEC filings prior to filing, including this quarterly report on Form 10-Q for the quarter ended March 31, 2026 (“First Quarter 2026 Form 10-Q”), and engaged in discussions regarding issues associated with the information contained in those filings. Prior to filing our First Quarter 2026 Form 10-Q, FHFA provided Fannie Mae management with written acknowledgment that it had reviewed the First Quarter 2026 Form 10-Q, and it was not aware of any material misstatements or omissions in the First Quarter 2026 Form 10-Q and had no objection to our filing the First Quarter 2026 Form 10-Q.</w:t>
      </w:r>
    </w:p>
    <w:p>
      <w:pPr>
        <w:spacing w:after="0" w:line="37"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have also provided FHFA personnel drafts of our Form 8-K filings, press releases, media statements, and certain executive speeches for review prior to filing or release.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 addition, the FHFA Director serves as Chair of our Board of Directors.</w:t>
      </w:r>
    </w:p>
    <w:p>
      <w:pPr>
        <w:spacing w:after="0" w:line="99"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6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January 1, 2026 through March 31, 2026 that management believes have materially affected, or are reasonably likely to materially affect, our internal control over financial reporting.</w:t>
      </w:r>
    </w:p>
    <w:p>
      <w:pPr>
        <w:spacing w:after="0" w:line="3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00" w:type="dxa"/>
            <w:vAlign w:val="bottom"/>
          </w:tcPr>
          <w:p>
            <w:pPr>
              <w:jc w:val="right"/>
              <w:spacing w:after="0"/>
              <w:rPr>
                <w:sz w:val="20"/>
                <w:szCs w:val="20"/>
                <w:color w:val="auto"/>
              </w:rPr>
            </w:pPr>
            <w:r>
              <w:rPr>
                <w:rFonts w:ascii="Arial" w:cs="Arial" w:eastAsia="Arial" w:hAnsi="Arial"/>
                <w:sz w:val="14"/>
                <w:szCs w:val="14"/>
                <w:color w:val="05314D"/>
              </w:rPr>
              <w:t>97</w:t>
            </w:r>
          </w:p>
        </w:tc>
      </w:tr>
      <w:tr>
        <w:trPr>
          <w:trHeight w:val="220"/>
        </w:trPr>
        <w:tc>
          <w:tcPr>
            <w:tcW w:w="68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0" w:name="page101"/>
    <w:bookmarkEnd w:id="100"/>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2025 Form 10-K.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Beginning in June 2013, lawsuits were filed in multiple federal courts by preferred and common stockholders of Fannie Mae and Freddie Mac against one or more of the United States, Treasury and FHFA, and in some cases Fannie Mae and Freddie Mac, challenging actions taken by the defendants relating to the Fannie Mae and Freddie Mac senior preferred stock purchase agreements and other matters. Most of these lawsuits have been resolved. The cases in which Fannie Mae is a defendant or that could impact Fannie Mae that remain pending or were terminated after December 31, 2025 are described below.</w:t>
      </w:r>
    </w:p>
    <w:p>
      <w:pPr>
        <w:spacing w:after="0" w:line="3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cross-appeal on April 25, 2025. The appeals have been fully briefed and oral argument was held in the U.S. Court of Appeals for the District of Columbia Circuit in April 2026. See “Note 14, Commitments and Contingencies” for additional information.</w:t>
      </w:r>
    </w:p>
    <w:p>
      <w:pPr>
        <w:spacing w:after="0" w:line="4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seeking to dismiss this lawsuit. Treasury likewise filed a motion for judgment on the pleadings on March 28, 2025. On April 1, 2025, plaintiffs filed a motion for leave to amend their complaint. On March 11, 2026, the court denied plaintiffs’ motion for leave to amend their complaint, and granted FHFA’s and Treasury’s motions for judgment on the pleadings, dismissing the lawsuit.</w:t>
      </w:r>
    </w:p>
    <w:p>
      <w:pPr>
        <w:spacing w:after="0" w:line="97"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104"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2025 Form 10-K. Also refer to “MD&amp;A—Risk Management,” “MD&amp;A—Single-Family Business” and “MD&amp;A—Multifamily Business” in our 2025 Form 10-K and in this report for more detailed descriptions of the primary risks to our business and how we seek to manage those risks.</w:t>
      </w:r>
    </w:p>
    <w:p>
      <w:pPr>
        <w:spacing w:after="0" w:line="3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2025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00" w:type="dxa"/>
            <w:vAlign w:val="bottom"/>
          </w:tcPr>
          <w:p>
            <w:pPr>
              <w:jc w:val="right"/>
              <w:spacing w:after="0"/>
              <w:rPr>
                <w:sz w:val="20"/>
                <w:szCs w:val="20"/>
                <w:color w:val="auto"/>
              </w:rPr>
            </w:pPr>
            <w:r>
              <w:rPr>
                <w:rFonts w:ascii="Arial" w:cs="Arial" w:eastAsia="Arial" w:hAnsi="Arial"/>
                <w:sz w:val="14"/>
                <w:szCs w:val="14"/>
                <w:color w:val="05314D"/>
              </w:rPr>
              <w:t>98</w:t>
            </w:r>
          </w:p>
        </w:tc>
      </w:tr>
      <w:tr>
        <w:trPr>
          <w:trHeight w:val="220"/>
        </w:trPr>
        <w:tc>
          <w:tcPr>
            <w:tcW w:w="68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1" w:name="page102"/>
    <w:bookmarkEnd w:id="10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10-K referenced above are the most significant we face; however, these are not the only risks we face. We face additional risks and uncertainties not currently known to us or that we currently believe are immaterial.</w:t>
      </w:r>
    </w:p>
    <w:p>
      <w:pPr>
        <w:spacing w:after="0" w:line="6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2025 Form 10-K. During the quarter ended March 31, 2026, we did not sell any equity securities.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4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first quarter of 2026.</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1386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00" w:type="dxa"/>
            <w:vAlign w:val="bottom"/>
          </w:tcPr>
          <w:p>
            <w:pPr>
              <w:jc w:val="right"/>
              <w:spacing w:after="0"/>
              <w:rPr>
                <w:sz w:val="20"/>
                <w:szCs w:val="20"/>
                <w:color w:val="auto"/>
              </w:rPr>
            </w:pPr>
            <w:r>
              <w:rPr>
                <w:rFonts w:ascii="Arial" w:cs="Arial" w:eastAsia="Arial" w:hAnsi="Arial"/>
                <w:sz w:val="14"/>
                <w:szCs w:val="14"/>
                <w:color w:val="05314D"/>
              </w:rPr>
              <w:t>99</w:t>
            </w:r>
          </w:p>
        </w:tc>
      </w:tr>
      <w:tr>
        <w:trPr>
          <w:trHeight w:val="220"/>
        </w:trPr>
        <w:tc>
          <w:tcPr>
            <w:tcW w:w="68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2" w:name="page103"/>
    <w:bookmarkEnd w:id="102"/>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For more information on the terms of the senior preferred stock purchase agreement and senior preferred stock, see “Business—Conservatorship and Treasury Agreements” in our 2025 Form 10-K.</w:t>
      </w:r>
    </w:p>
    <w:p>
      <w:pPr>
        <w:spacing w:after="0" w:line="41"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The enterprise regulatory capital framework rule establishes capital planning and prior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30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During the quarter ended March 31, 2026,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386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100</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3" w:name="page104"/>
    <w:bookmarkEnd w:id="10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66">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466">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67">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467">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101</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4" w:name="page105"/>
    <w:bookmarkEnd w:id="104"/>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Peter Akwaboah</w:t>
      </w:r>
    </w:p>
    <w:p>
      <w:pPr>
        <w:ind w:left="6820"/>
        <w:spacing w:after="0" w:line="227" w:lineRule="auto"/>
        <w:rPr>
          <w:sz w:val="20"/>
          <w:szCs w:val="20"/>
          <w:color w:val="auto"/>
        </w:rPr>
      </w:pPr>
      <w:r>
        <w:rPr>
          <w:rFonts w:ascii="Arial" w:cs="Arial" w:eastAsia="Arial" w:hAnsi="Arial"/>
          <w:sz w:val="15"/>
          <w:szCs w:val="15"/>
          <w:color w:val="auto"/>
        </w:rPr>
        <w:t>Acting Chief Executive Officer, and</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Executive Vice President and Chief Operating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2026</w:t>
      </w:r>
    </w:p>
    <w:p>
      <w:pPr>
        <w:spacing w:after="0" w:line="135"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2026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102</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Peter Akwaboah,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2026 of Fannie Mae (formally, the Federal National Mortgage Association);</w:t>
      </w:r>
    </w:p>
    <w:p>
      <w:pPr>
        <w:ind w:left="240" w:right="200" w:hanging="198"/>
        <w:spacing w:after="0" w:line="262" w:lineRule="auto"/>
        <w:tabs>
          <w:tab w:leader="none" w:pos="40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Peter Akwaboah</w:t>
      </w:r>
    </w:p>
    <w:p>
      <w:pPr>
        <w:ind w:left="5840"/>
        <w:spacing w:after="0" w:line="205" w:lineRule="auto"/>
        <w:rPr>
          <w:sz w:val="20"/>
          <w:szCs w:val="20"/>
          <w:color w:val="auto"/>
        </w:rPr>
      </w:pPr>
      <w:r>
        <w:rPr>
          <w:rFonts w:ascii="Times New Roman" w:cs="Times New Roman" w:eastAsia="Times New Roman" w:hAnsi="Times New Roman"/>
          <w:sz w:val="21"/>
          <w:szCs w:val="21"/>
          <w:color w:val="auto"/>
        </w:rPr>
        <w:t>Acting Chief Executive Officer, and Executive Vice President</w:t>
      </w:r>
    </w:p>
    <w:p>
      <w:pPr>
        <w:ind w:left="5840"/>
        <w:spacing w:after="0"/>
        <w:rPr>
          <w:sz w:val="20"/>
          <w:szCs w:val="20"/>
          <w:color w:val="auto"/>
        </w:rPr>
      </w:pPr>
      <w:r>
        <w:rPr>
          <w:rFonts w:ascii="Times New Roman" w:cs="Times New Roman" w:eastAsia="Times New Roman" w:hAnsi="Times New Roman"/>
          <w:sz w:val="21"/>
          <w:szCs w:val="21"/>
          <w:color w:val="auto"/>
        </w:rPr>
        <w:t>and Chief Operating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29, 2026</w:t>
      </w:r>
    </w:p>
    <w:p>
      <w:pPr>
        <w:sectPr>
          <w:pgSz w:w="11900" w:h="16838" w:orient="portrait"/>
          <w:cols w:equalWidth="0" w:num="1">
            <w:col w:w="11240"/>
          </w:cols>
          <w:pgMar w:left="320" w:top="85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2026 of Fannie Mae (formally, the Federal National Mortgage Association);</w:t>
      </w:r>
    </w:p>
    <w:p>
      <w:pPr>
        <w:ind w:left="240" w:right="200" w:hanging="198"/>
        <w:spacing w:after="0" w:line="262"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29, 2026</w:t>
      </w:r>
    </w:p>
    <w:p>
      <w:pPr>
        <w:sectPr>
          <w:pgSz w:w="11900" w:h="16838" w:orient="portrait"/>
          <w:cols w:equalWidth="0" w:num="1">
            <w:col w:w="11240"/>
          </w:cols>
          <w:pgMar w:left="320" w:top="85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March 31, 2026, as filed with the Securities and Exchange Commission on the date hereof (the “Report”), I, Peter Akwaboah, Acting Chief Executive Officer, and Executive Vice President and Chief Operating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56" w:lineRule="auto"/>
        <w:tabs>
          <w:tab w:leader="none" w:pos="40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Peter Akwaboah</w:t>
      </w:r>
    </w:p>
    <w:p>
      <w:pPr>
        <w:ind w:left="5700"/>
        <w:spacing w:after="0" w:line="215" w:lineRule="auto"/>
        <w:rPr>
          <w:sz w:val="20"/>
          <w:szCs w:val="20"/>
          <w:color w:val="auto"/>
        </w:rPr>
      </w:pPr>
      <w:r>
        <w:rPr>
          <w:rFonts w:ascii="Times New Roman" w:cs="Times New Roman" w:eastAsia="Times New Roman" w:hAnsi="Times New Roman"/>
          <w:sz w:val="20"/>
          <w:szCs w:val="20"/>
          <w:color w:val="auto"/>
        </w:rPr>
        <w:t>Acting Chief Executive Officer, and Executive Vice President and</w:t>
      </w:r>
    </w:p>
    <w:p>
      <w:pPr>
        <w:ind w:left="5700"/>
        <w:spacing w:after="0"/>
        <w:rPr>
          <w:sz w:val="20"/>
          <w:szCs w:val="20"/>
          <w:color w:val="auto"/>
        </w:rPr>
      </w:pPr>
      <w:r>
        <w:rPr>
          <w:rFonts w:ascii="Times New Roman" w:cs="Times New Roman" w:eastAsia="Times New Roman" w:hAnsi="Times New Roman"/>
          <w:sz w:val="21"/>
          <w:szCs w:val="21"/>
          <w:color w:val="auto"/>
        </w:rPr>
        <w:t>Chief Operating 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29, 2026</w:t>
      </w:r>
    </w:p>
    <w:p>
      <w:pPr>
        <w:spacing w:after="0" w:line="23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March 31, 2026,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29, 2026</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2"/>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2"/>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3"/>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3"/>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2"/>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3"/>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lvl w:ilvl="1">
      <w:lvlJc w:val="left"/>
      <w:lvlText w:val="(%2)"/>
      <w:numFmt w:val="decimal"/>
      <w:start w:val="2"/>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4"/>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lvl w:ilvl="1">
      <w:lvlJc w:val="left"/>
      <w:lvlText w:val="%2"/>
      <w:numFmt w:val="decimal"/>
      <w:start w:val="104"/>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jpe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66" Type="http://schemas.openxmlformats.org/officeDocument/2006/relationships/hyperlink" Target="https://www.sec.gov/Archives/edgar/data/310522/000031052219000385/fanniemaecharteractex31.htm" TargetMode="External"/><Relationship Id="rId467"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2026-04-29T06:21:18Z</dcterms:created>
  <dcterms:modified xsi:type="dcterms:W3CDTF">2026-04-29T06:21:18Z</dcterms:modified>
</cp:coreProperties>
</file>