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205105</wp:posOffset>
            </wp:positionH>
            <wp:positionV relativeFrom="page">
              <wp:posOffset>727710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686435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 SECURITIES AND EXCHANGE COMMISSION</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2"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quarterly period ended September 30, 2026</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40" w:hanging="337"/>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2" w:lineRule="exact"/>
        <w:rPr>
          <w:sz w:val="24"/>
          <w:szCs w:val="24"/>
          <w:color w:val="auto"/>
        </w:rPr>
      </w:pPr>
    </w:p>
    <w:p>
      <w:pPr>
        <w:ind w:left="620"/>
        <w:spacing w:after="0"/>
        <w:tabs>
          <w:tab w:leader="none" w:pos="3160" w:val="left"/>
        </w:tabs>
        <w:rPr>
          <w:sz w:val="20"/>
          <w:szCs w:val="20"/>
          <w:color w:val="auto"/>
        </w:rPr>
      </w:pPr>
      <w:r>
        <w:rPr>
          <w:rFonts w:ascii="Arial" w:cs="Arial" w:eastAsia="Arial" w:hAnsi="Arial"/>
          <w:sz w:val="16"/>
          <w:szCs w:val="16"/>
          <w:b w:val="1"/>
          <w:bCs w:val="1"/>
          <w:color w:val="auto"/>
        </w:rPr>
        <w:t>For the transition period from</w:t>
        <w:tab/>
        <w:t>to</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0-50231</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Federal National Mortgage Association</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Fannie 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206375</wp:posOffset>
            </wp:positionH>
            <wp:positionV relativeFrom="paragraph">
              <wp:posOffset>94615</wp:posOffset>
            </wp:positionV>
            <wp:extent cx="6737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7350" cy="8255"/>
                    </a:xfrm>
                    <a:prstGeom prst="rect">
                      <a:avLst/>
                    </a:prstGeom>
                    <a:noFill/>
                  </pic:spPr>
                </pic:pic>
              </a:graphicData>
            </a:graphic>
          </wp:anchor>
        </w:drawing>
      </w:r>
    </w:p>
    <w:p>
      <w:pPr>
        <w:spacing w:after="0" w:line="154" w:lineRule="exact"/>
        <w:rPr>
          <w:sz w:val="24"/>
          <w:szCs w:val="24"/>
          <w:color w:val="auto"/>
        </w:rPr>
      </w:pPr>
    </w:p>
    <w:tbl>
      <w:tblPr>
        <w:tblLayout w:type="fixed"/>
        <w:tblInd w:w="320" w:type="dxa"/>
        <w:tblCellMar>
          <w:top w:w="0" w:type="dxa"/>
          <w:left w:w="0" w:type="dxa"/>
          <w:bottom w:w="0" w:type="dxa"/>
          <w:right w:w="0" w:type="dxa"/>
        </w:tblCellMar>
      </w:tblPr>
      <w:tr>
        <w:trPr>
          <w:trHeight w:val="214"/>
        </w:trPr>
        <w:tc>
          <w:tcPr>
            <w:tcW w:w="2980" w:type="dxa"/>
            <w:vAlign w:val="bottom"/>
          </w:tcPr>
          <w:p>
            <w:pPr>
              <w:jc w:val="center"/>
              <w:spacing w:after="0"/>
              <w:rPr>
                <w:sz w:val="20"/>
                <w:szCs w:val="20"/>
                <w:color w:val="auto"/>
              </w:rPr>
            </w:pPr>
            <w:r>
              <w:rPr>
                <w:rFonts w:ascii="Arial" w:cs="Arial" w:eastAsia="Arial" w:hAnsi="Arial"/>
                <w:sz w:val="15"/>
                <w:szCs w:val="15"/>
                <w:b w:val="1"/>
                <w:bCs w:val="1"/>
                <w:color w:val="auto"/>
              </w:rPr>
              <w:t>Federally chartered corporation</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rPr>
              <w:t>52-0883107</w:t>
            </w:r>
          </w:p>
        </w:tc>
        <w:tc>
          <w:tcPr>
            <w:tcW w:w="2960" w:type="dxa"/>
            <w:vAlign w:val="bottom"/>
          </w:tcPr>
          <w:p>
            <w:pPr>
              <w:jc w:val="center"/>
              <w:spacing w:after="0"/>
              <w:rPr>
                <w:sz w:val="20"/>
                <w:szCs w:val="20"/>
                <w:color w:val="auto"/>
              </w:rPr>
            </w:pPr>
            <w:r>
              <w:rPr>
                <w:rFonts w:ascii="Arial" w:cs="Arial" w:eastAsia="Arial" w:hAnsi="Arial"/>
                <w:sz w:val="15"/>
                <w:szCs w:val="15"/>
                <w:b w:val="1"/>
                <w:bCs w:val="1"/>
                <w:color w:val="auto"/>
              </w:rPr>
              <w:t>1100 15th Street, NW</w:t>
            </w:r>
          </w:p>
        </w:tc>
        <w:tc>
          <w:tcPr>
            <w:tcW w:w="2960" w:type="dxa"/>
            <w:vAlign w:val="bottom"/>
          </w:tcPr>
          <w:p>
            <w:pPr>
              <w:jc w:val="right"/>
              <w:ind w:right="848"/>
              <w:spacing w:after="0"/>
              <w:rPr>
                <w:sz w:val="20"/>
                <w:szCs w:val="20"/>
                <w:color w:val="auto"/>
              </w:rPr>
            </w:pPr>
            <w:r>
              <w:rPr>
                <w:rFonts w:ascii="Arial" w:cs="Arial" w:eastAsia="Arial" w:hAnsi="Arial"/>
                <w:sz w:val="15"/>
                <w:szCs w:val="15"/>
                <w:b w:val="1"/>
                <w:bCs w:val="1"/>
                <w:color w:val="auto"/>
              </w:rPr>
              <w:t>800  232-6643</w:t>
            </w:r>
          </w:p>
        </w:tc>
      </w:tr>
      <w:tr>
        <w:trPr>
          <w:trHeight w:val="219"/>
        </w:trPr>
        <w:tc>
          <w:tcPr>
            <w:tcW w:w="2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5"/>
                <w:szCs w:val="15"/>
                <w:b w:val="1"/>
                <w:bCs w:val="1"/>
                <w:color w:val="auto"/>
              </w:rPr>
              <w:t>Washington,  DC  20005</w:t>
            </w:r>
          </w:p>
        </w:tc>
        <w:tc>
          <w:tcPr>
            <w:tcW w:w="2960" w:type="dxa"/>
            <w:vAlign w:val="bottom"/>
          </w:tcPr>
          <w:p>
            <w:pPr>
              <w:spacing w:after="0"/>
              <w:rPr>
                <w:sz w:val="19"/>
                <w:szCs w:val="19"/>
                <w:color w:val="auto"/>
              </w:rPr>
            </w:pPr>
          </w:p>
        </w:tc>
      </w:tr>
      <w:tr>
        <w:trPr>
          <w:trHeight w:val="154"/>
        </w:trPr>
        <w:tc>
          <w:tcPr>
            <w:tcW w:w="2980" w:type="dxa"/>
            <w:vAlign w:val="bottom"/>
          </w:tcPr>
          <w:p>
            <w:pPr>
              <w:jc w:val="center"/>
              <w:spacing w:after="0" w:line="154" w:lineRule="exact"/>
              <w:rPr>
                <w:sz w:val="20"/>
                <w:szCs w:val="20"/>
                <w:color w:val="auto"/>
              </w:rPr>
            </w:pPr>
            <w:r>
              <w:rPr>
                <w:rFonts w:ascii="Arial" w:cs="Arial" w:eastAsia="Arial" w:hAnsi="Arial"/>
                <w:sz w:val="14"/>
                <w:szCs w:val="14"/>
                <w:i w:val="1"/>
                <w:iCs w:val="1"/>
                <w:color w:val="auto"/>
                <w:w w:val="98"/>
              </w:rPr>
              <w:t>(State or other jurisdiction of</w:t>
            </w:r>
          </w:p>
        </w:tc>
        <w:tc>
          <w:tcPr>
            <w:tcW w:w="1720" w:type="dxa"/>
            <w:vAlign w:val="bottom"/>
          </w:tcPr>
          <w:p>
            <w:pPr>
              <w:jc w:val="center"/>
              <w:spacing w:after="0" w:line="154" w:lineRule="exact"/>
              <w:rPr>
                <w:sz w:val="20"/>
                <w:szCs w:val="20"/>
                <w:color w:val="auto"/>
              </w:rPr>
            </w:pPr>
            <w:r>
              <w:rPr>
                <w:rFonts w:ascii="Arial" w:cs="Arial" w:eastAsia="Arial" w:hAnsi="Arial"/>
                <w:sz w:val="14"/>
                <w:szCs w:val="14"/>
                <w:i w:val="1"/>
                <w:iCs w:val="1"/>
                <w:color w:val="auto"/>
                <w:w w:val="97"/>
              </w:rPr>
              <w:t>(I.R.S. Employer</w:t>
            </w:r>
          </w:p>
        </w:tc>
        <w:tc>
          <w:tcPr>
            <w:tcW w:w="2960" w:type="dxa"/>
            <w:vAlign w:val="bottom"/>
          </w:tcPr>
          <w:p>
            <w:pPr>
              <w:jc w:val="center"/>
              <w:spacing w:after="0" w:line="154" w:lineRule="exact"/>
              <w:rPr>
                <w:sz w:val="20"/>
                <w:szCs w:val="20"/>
                <w:color w:val="auto"/>
              </w:rPr>
            </w:pPr>
            <w:r>
              <w:rPr>
                <w:rFonts w:ascii="Arial" w:cs="Arial" w:eastAsia="Arial" w:hAnsi="Arial"/>
                <w:sz w:val="14"/>
                <w:szCs w:val="14"/>
                <w:i w:val="1"/>
                <w:iCs w:val="1"/>
                <w:color w:val="auto"/>
                <w:w w:val="97"/>
              </w:rPr>
              <w:t>(Address of principal executive offices,</w:t>
            </w:r>
          </w:p>
        </w:tc>
        <w:tc>
          <w:tcPr>
            <w:tcW w:w="2960" w:type="dxa"/>
            <w:vAlign w:val="bottom"/>
          </w:tcPr>
          <w:p>
            <w:pPr>
              <w:jc w:val="center"/>
              <w:ind w:left="88"/>
              <w:spacing w:after="0" w:line="154" w:lineRule="exact"/>
              <w:rPr>
                <w:sz w:val="20"/>
                <w:szCs w:val="20"/>
                <w:color w:val="auto"/>
              </w:rPr>
            </w:pPr>
            <w:r>
              <w:rPr>
                <w:rFonts w:ascii="Arial" w:cs="Arial" w:eastAsia="Arial" w:hAnsi="Arial"/>
                <w:sz w:val="14"/>
                <w:szCs w:val="14"/>
                <w:i w:val="1"/>
                <w:iCs w:val="1"/>
                <w:color w:val="auto"/>
                <w:w w:val="97"/>
              </w:rPr>
              <w:t>(Registrant’s telephone number, including</w:t>
            </w:r>
          </w:p>
        </w:tc>
      </w:t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incorporation or organization)</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9"/>
              </w:rPr>
              <w:t>Identification No.)</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including zip code)</w:t>
            </w:r>
          </w:p>
        </w:tc>
        <w:tc>
          <w:tcPr>
            <w:tcW w:w="29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i w:val="1"/>
                <w:iCs w:val="1"/>
                <w:color w:val="auto"/>
                <w:w w:val="98"/>
              </w:rPr>
              <w:t>area code)</w:t>
            </w:r>
          </w:p>
        </w:tc>
      </w:tr>
    </w:tbl>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3"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2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6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11"/>
        </w:trPr>
        <w:tc>
          <w:tcPr>
            <w:tcW w:w="2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None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6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r>
    </w:tbl>
    <w:p>
      <w:pPr>
        <w:spacing w:after="0" w:line="133" w:lineRule="exact"/>
        <w:rPr>
          <w:sz w:val="24"/>
          <w:szCs w:val="24"/>
          <w:color w:val="auto"/>
        </w:rPr>
      </w:pPr>
    </w:p>
    <w:p>
      <w:pPr>
        <w:jc w:val="both"/>
        <w:ind w:right="40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2"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right="140"/>
        <w:spacing w:after="0" w:line="27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300" w:type="dxa"/>
        <w:tblCellMar>
          <w:top w:w="0" w:type="dxa"/>
          <w:left w:w="0" w:type="dxa"/>
          <w:bottom w:w="0" w:type="dxa"/>
          <w:right w:w="0" w:type="dxa"/>
        </w:tblCellMar>
      </w:tblPr>
      <w:tr>
        <w:trPr>
          <w:trHeight w:val="242"/>
        </w:trPr>
        <w:tc>
          <w:tcPr>
            <w:tcW w:w="20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52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9"/>
        </w:trPr>
        <w:tc>
          <w:tcPr>
            <w:tcW w:w="2040" w:type="dxa"/>
            <w:vAlign w:val="bottom"/>
          </w:tcPr>
          <w:p>
            <w:pPr>
              <w:spacing w:after="0"/>
              <w:rPr>
                <w:sz w:val="20"/>
                <w:szCs w:val="20"/>
                <w:color w:val="auto"/>
              </w:rPr>
            </w:pPr>
            <w:r>
              <w:rPr>
                <w:rFonts w:ascii="Arial" w:cs="Arial" w:eastAsia="Arial" w:hAnsi="Arial"/>
                <w:sz w:val="15"/>
                <w:szCs w:val="15"/>
                <w:color w:val="auto"/>
              </w:rPr>
              <w:t>Non-accelerated filer</w:t>
            </w:r>
          </w:p>
        </w:tc>
        <w:tc>
          <w:tcPr>
            <w:tcW w:w="318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4760" w:type="dxa"/>
            <w:vAlign w:val="bottom"/>
          </w:tcPr>
          <w:p>
            <w:pPr>
              <w:ind w:left="252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0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760" w:type="dxa"/>
            <w:vAlign w:val="bottom"/>
          </w:tcPr>
          <w:p>
            <w:pPr>
              <w:ind w:left="2520"/>
              <w:spacing w:after="0"/>
              <w:rPr>
                <w:sz w:val="20"/>
                <w:szCs w:val="20"/>
                <w:color w:val="auto"/>
              </w:rPr>
            </w:pPr>
            <w:r>
              <w:rPr>
                <w:rFonts w:ascii="Arial" w:cs="Arial" w:eastAsia="Arial" w:hAnsi="Arial"/>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14" w:lineRule="exact"/>
        <w:rPr>
          <w:sz w:val="24"/>
          <w:szCs w:val="24"/>
          <w:color w:val="auto"/>
        </w:rPr>
      </w:pPr>
    </w:p>
    <w:p>
      <w:pPr>
        <w:ind w:right="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200"/>
        <w:spacing w:after="0" w:line="300"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9, 2026, there were 1,158,087,567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707390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1390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39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wp:posOffset>
            </wp:positionV>
            <wp:extent cx="7113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ectPr>
          <w:pgSz w:w="11900" w:h="16838" w:orient="portrait"/>
          <w:cols w:equalWidth="0" w:num="1">
            <w:col w:w="11260"/>
          </w:cols>
          <w:pgMar w:left="320" w:top="1285"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4"/>
          <w:szCs w:val="24"/>
          <w:b w:val="1"/>
          <w:bCs w:val="1"/>
          <w:color w:val="05314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27305</wp:posOffset>
            </wp:positionV>
            <wp:extent cx="71221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Page</w:t>
            </w:r>
          </w:p>
        </w:tc>
        <w:tc>
          <w:tcPr>
            <w:tcW w:w="100" w:type="dxa"/>
            <w:vAlign w:val="bottom"/>
          </w:tcPr>
          <w:p>
            <w:pPr>
              <w:spacing w:after="0"/>
              <w:rPr>
                <w:sz w:val="14"/>
                <w:szCs w:val="14"/>
                <w:color w:val="auto"/>
              </w:rPr>
            </w:pPr>
          </w:p>
        </w:tc>
      </w:tr>
      <w:tr>
        <w:trPr>
          <w:trHeight w:val="199"/>
        </w:trPr>
        <w:tc>
          <w:tcPr>
            <w:tcW w:w="9080" w:type="dxa"/>
            <w:vAlign w:val="bottom"/>
            <w:gridSpan w:val="2"/>
          </w:tcPr>
          <w:p>
            <w:pPr>
              <w:spacing w:after="0"/>
              <w:rPr>
                <w:sz w:val="20"/>
                <w:szCs w:val="20"/>
                <w:color w:val="auto"/>
              </w:rPr>
            </w:pPr>
            <w:r>
              <w:rPr>
                <w:rFonts w:ascii="Arial" w:cs="Arial" w:eastAsia="Arial" w:hAnsi="Arial"/>
                <w:sz w:val="15"/>
                <w:szCs w:val="15"/>
                <w:b w:val="1"/>
                <w:bCs w:val="1"/>
                <w:color w:val="auto"/>
              </w:rPr>
              <w:t>PART I—Financial Information</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w:t>
            </w:r>
          </w:p>
        </w:tc>
      </w:tr>
      <w:tr>
        <w:trPr>
          <w:trHeight w:val="236"/>
        </w:trPr>
        <w:tc>
          <w:tcPr>
            <w:tcW w:w="740" w:type="dxa"/>
            <w:vAlign w:val="bottom"/>
          </w:tcPr>
          <w:p>
            <w:pPr>
              <w:spacing w:after="0"/>
              <w:rPr>
                <w:sz w:val="20"/>
                <w:szCs w:val="20"/>
                <w:color w:val="auto"/>
              </w:rPr>
            </w:pPr>
            <w:r>
              <w:rPr>
                <w:rFonts w:ascii="Arial" w:cs="Arial" w:eastAsia="Arial" w:hAnsi="Arial"/>
                <w:sz w:val="15"/>
                <w:szCs w:val="15"/>
                <w:color w:val="auto"/>
              </w:rPr>
              <w:t>Item 1.</w:t>
            </w: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Statements</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182"/>
        </w:trPr>
        <w:tc>
          <w:tcPr>
            <w:tcW w:w="740" w:type="dxa"/>
            <w:vAlign w:val="bottom"/>
          </w:tcPr>
          <w:p>
            <w:pPr>
              <w:spacing w:after="0"/>
              <w:rPr>
                <w:sz w:val="15"/>
                <w:szCs w:val="15"/>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Operations and Comprehensive Income</w:t>
            </w:r>
          </w:p>
        </w:tc>
        <w:tc>
          <w:tcPr>
            <w:tcW w:w="200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57</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Balance Sheets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58</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Cash Flows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59</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Changes in Equity</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60</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1—Summary of Significant Accounting Policies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62</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2—Conservatorship, Senior Preferred Stock Purchase Agreement and Related Matters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63</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3—Consolidations and Transfers of Financial Assets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64</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4—Mortgage Loans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65</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5—Allowance for Credit Losses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79</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6—Investments in Securities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81</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7—Financial Guarantees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82</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8—Short-Term and Long-Term Debt</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83</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9—Derivative Instruments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83</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10—Segment Reporting</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88</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11—Concentrations of Credit Risk</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91</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12—Netting Arrangements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93</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13—Fair Value</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94</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14—Commitments and Contingencies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101</w:t>
            </w:r>
          </w:p>
        </w:tc>
      </w:tr>
      <w:tr>
        <w:trPr>
          <w:trHeight w:val="20"/>
        </w:trPr>
        <w:tc>
          <w:tcPr>
            <w:tcW w:w="7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15—Regulatory Capital Requirements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102</w:t>
            </w:r>
          </w:p>
        </w:tc>
      </w:tr>
      <w:tr>
        <w:trPr>
          <w:trHeight w:val="199"/>
        </w:trPr>
        <w:tc>
          <w:tcPr>
            <w:tcW w:w="740" w:type="dxa"/>
            <w:vAlign w:val="bottom"/>
          </w:tcPr>
          <w:p>
            <w:pPr>
              <w:spacing w:after="0"/>
              <w:rPr>
                <w:sz w:val="20"/>
                <w:szCs w:val="20"/>
                <w:color w:val="auto"/>
              </w:rPr>
            </w:pPr>
            <w:r>
              <w:rPr>
                <w:rFonts w:ascii="Arial" w:cs="Arial" w:eastAsia="Arial" w:hAnsi="Arial"/>
                <w:sz w:val="15"/>
                <w:szCs w:val="15"/>
                <w:color w:val="auto"/>
              </w:rPr>
              <w:t>Item 2.</w:t>
            </w:r>
          </w:p>
        </w:tc>
        <w:tc>
          <w:tcPr>
            <w:tcW w:w="8340" w:type="dxa"/>
            <w:vAlign w:val="bottom"/>
          </w:tcPr>
          <w:p>
            <w:pPr>
              <w:ind w:left="28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200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About Fannie Mae</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Recent Developments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Results Summary</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Key Market Economic Indicators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3</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Results of Operations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5</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Balance Sheet Analysis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13</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Retained Mortgage Portfolio</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14</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Guaranty Book of Business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16</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Business Segment Financial Results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17</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Single-Family Business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19</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Market</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20</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Mortgage-Related Securities Issuances Share</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20</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Business Metrics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21</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Credit Risk Management</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21</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Multifamily Business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32</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Market</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32</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Business Metrics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32</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Credit Risk Management</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33</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Credit Ratios and Select Credit Information</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38</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Liquidity and Capital Management</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39</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Risk Management</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46</w:t>
            </w:r>
          </w:p>
        </w:tc>
      </w:tr>
      <w:tr>
        <w:trPr>
          <w:trHeight w:val="199"/>
        </w:trPr>
        <w:tc>
          <w:tcPr>
            <w:tcW w:w="740" w:type="dxa"/>
            <w:vAlign w:val="bottom"/>
          </w:tcPr>
          <w:p>
            <w:pPr>
              <w:spacing w:after="0"/>
              <w:rPr>
                <w:sz w:val="17"/>
                <w:szCs w:val="17"/>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Market Risk Management, including Interest-Rate Risk Management</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46</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Critical Accounting Estimates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48</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Impact of Future Adoption of New Accounting Guidance</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52</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Legislation and Regulation</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53</w:t>
            </w:r>
          </w:p>
        </w:tc>
      </w:tr>
      <w:tr>
        <w:trPr>
          <w:trHeight w:val="199"/>
        </w:trPr>
        <w:tc>
          <w:tcPr>
            <w:tcW w:w="740" w:type="dxa"/>
            <w:vAlign w:val="bottom"/>
          </w:tcPr>
          <w:p>
            <w:pPr>
              <w:spacing w:after="0"/>
              <w:rPr>
                <w:sz w:val="17"/>
                <w:szCs w:val="17"/>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Forward-Looking Statements</w:t>
            </w:r>
          </w:p>
        </w:tc>
        <w:tc>
          <w:tcPr>
            <w:tcW w:w="20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53</w:t>
            </w:r>
          </w:p>
        </w:tc>
      </w:tr>
      <w:tr>
        <w:trPr>
          <w:trHeight w:val="199"/>
        </w:trPr>
        <w:tc>
          <w:tcPr>
            <w:tcW w:w="740" w:type="dxa"/>
            <w:vAlign w:val="bottom"/>
          </w:tcPr>
          <w:p>
            <w:pPr>
              <w:spacing w:after="0"/>
              <w:rPr>
                <w:sz w:val="20"/>
                <w:szCs w:val="20"/>
                <w:color w:val="auto"/>
              </w:rPr>
            </w:pPr>
            <w:r>
              <w:rPr>
                <w:rFonts w:ascii="Arial" w:cs="Arial" w:eastAsia="Arial" w:hAnsi="Arial"/>
                <w:sz w:val="15"/>
                <w:szCs w:val="15"/>
                <w:color w:val="auto"/>
              </w:rPr>
              <w:t>Item 3.</w:t>
            </w:r>
          </w:p>
        </w:tc>
        <w:tc>
          <w:tcPr>
            <w:tcW w:w="8340" w:type="dxa"/>
            <w:vAlign w:val="bottom"/>
          </w:tcPr>
          <w:p>
            <w:pPr>
              <w:ind w:left="280"/>
              <w:spacing w:after="0"/>
              <w:rPr>
                <w:sz w:val="20"/>
                <w:szCs w:val="20"/>
                <w:color w:val="auto"/>
              </w:rPr>
            </w:pPr>
            <w:r>
              <w:rPr>
                <w:rFonts w:ascii="Arial" w:cs="Arial" w:eastAsia="Arial" w:hAnsi="Arial"/>
                <w:sz w:val="15"/>
                <w:szCs w:val="15"/>
                <w:color w:val="auto"/>
              </w:rPr>
              <w:t>Quantitative and Qualitative Disclosures about Market Risk</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104</w:t>
            </w:r>
          </w:p>
        </w:tc>
      </w:tr>
      <w:tr>
        <w:trPr>
          <w:trHeight w:val="20"/>
        </w:trPr>
        <w:tc>
          <w:tcPr>
            <w:tcW w:w="7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99"/>
        </w:trPr>
        <w:tc>
          <w:tcPr>
            <w:tcW w:w="740" w:type="dxa"/>
            <w:vAlign w:val="bottom"/>
          </w:tcPr>
          <w:p>
            <w:pPr>
              <w:spacing w:after="0"/>
              <w:rPr>
                <w:sz w:val="20"/>
                <w:szCs w:val="20"/>
                <w:color w:val="auto"/>
              </w:rPr>
            </w:pPr>
            <w:r>
              <w:rPr>
                <w:rFonts w:ascii="Arial" w:cs="Arial" w:eastAsia="Arial" w:hAnsi="Arial"/>
                <w:sz w:val="15"/>
                <w:szCs w:val="15"/>
                <w:color w:val="auto"/>
              </w:rPr>
              <w:t>Item 4.</w:t>
            </w:r>
          </w:p>
        </w:tc>
        <w:tc>
          <w:tcPr>
            <w:tcW w:w="8340" w:type="dxa"/>
            <w:vAlign w:val="bottom"/>
          </w:tcPr>
          <w:p>
            <w:pPr>
              <w:ind w:left="280"/>
              <w:spacing w:after="0"/>
              <w:rPr>
                <w:sz w:val="20"/>
                <w:szCs w:val="20"/>
                <w:color w:val="auto"/>
              </w:rPr>
            </w:pPr>
            <w:r>
              <w:rPr>
                <w:rFonts w:ascii="Arial" w:cs="Arial" w:eastAsia="Arial" w:hAnsi="Arial"/>
                <w:sz w:val="15"/>
                <w:szCs w:val="15"/>
                <w:color w:val="auto"/>
              </w:rPr>
              <w:t>Controls and Procedures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104</w:t>
            </w:r>
          </w:p>
        </w:tc>
      </w:tr>
      <w:tr>
        <w:trPr>
          <w:trHeight w:val="20"/>
        </w:trPr>
        <w:tc>
          <w:tcPr>
            <w:tcW w:w="7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466725</wp:posOffset>
            </wp:positionV>
            <wp:extent cx="700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ectPr>
          <w:pgSz w:w="11900" w:h="16838" w:orient="portrait"/>
          <w:cols w:equalWidth="0" w:num="1">
            <w:col w:w="11180"/>
          </w:cols>
          <w:pgMar w:left="360" w:top="139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
        <w:spacing w:after="0"/>
        <w:tabs>
          <w:tab w:leader="none" w:pos="11040" w:val="left"/>
        </w:tabs>
        <w:rPr>
          <w:sz w:val="20"/>
          <w:szCs w:val="20"/>
          <w:color w:val="auto"/>
        </w:rPr>
      </w:pPr>
      <w:r>
        <w:rPr>
          <w:rFonts w:ascii="Arial" w:cs="Arial" w:eastAsia="Arial" w:hAnsi="Arial"/>
          <w:sz w:val="14"/>
          <w:szCs w:val="14"/>
          <w:color w:val="05314D"/>
        </w:rPr>
        <w:t>Fannie Mae Third Quarter 2026 Form 10-Q</w:t>
      </w:r>
      <w:r>
        <w:rPr>
          <w:sz w:val="20"/>
          <w:szCs w:val="20"/>
          <w:color w:val="auto"/>
        </w:rPr>
        <w:tab/>
      </w:r>
      <w:r>
        <w:rPr>
          <w:rFonts w:ascii="Arial" w:cs="Arial" w:eastAsia="Arial" w:hAnsi="Arial"/>
          <w:sz w:val="9"/>
          <w:szCs w:val="9"/>
          <w:color w:val="05314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127000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1393" w:right="3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10920" w:type="dxa"/>
            <w:vAlign w:val="bottom"/>
            <w:gridSpan w:val="2"/>
          </w:tcPr>
          <w:p>
            <w:pPr>
              <w:spacing w:after="0"/>
              <w:rPr>
                <w:sz w:val="20"/>
                <w:szCs w:val="20"/>
                <w:color w:val="auto"/>
              </w:rPr>
            </w:pPr>
            <w:r>
              <w:rPr>
                <w:rFonts w:ascii="Arial" w:cs="Arial" w:eastAsia="Arial" w:hAnsi="Arial"/>
                <w:sz w:val="15"/>
                <w:szCs w:val="15"/>
                <w:b w:val="1"/>
                <w:bCs w:val="1"/>
                <w:color w:val="auto"/>
              </w:rPr>
              <w:t>PART II—Other Information</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106</w:t>
            </w:r>
          </w:p>
        </w:tc>
      </w:tr>
      <w:tr>
        <w:trPr>
          <w:trHeight w:val="199"/>
        </w:trPr>
        <w:tc>
          <w:tcPr>
            <w:tcW w:w="800" w:type="dxa"/>
            <w:vAlign w:val="bottom"/>
          </w:tcPr>
          <w:p>
            <w:pPr>
              <w:spacing w:after="0"/>
              <w:rPr>
                <w:sz w:val="20"/>
                <w:szCs w:val="20"/>
                <w:color w:val="auto"/>
              </w:rPr>
            </w:pPr>
            <w:r>
              <w:rPr>
                <w:rFonts w:ascii="Arial" w:cs="Arial" w:eastAsia="Arial" w:hAnsi="Arial"/>
                <w:sz w:val="15"/>
                <w:szCs w:val="15"/>
                <w:color w:val="auto"/>
              </w:rPr>
              <w:t>Item 1.</w:t>
            </w:r>
          </w:p>
        </w:tc>
        <w:tc>
          <w:tcPr>
            <w:tcW w:w="10120" w:type="dxa"/>
            <w:vAlign w:val="bottom"/>
          </w:tcPr>
          <w:p>
            <w:pPr>
              <w:ind w:left="220"/>
              <w:spacing w:after="0"/>
              <w:rPr>
                <w:sz w:val="20"/>
                <w:szCs w:val="20"/>
                <w:color w:val="auto"/>
              </w:rPr>
            </w:pPr>
            <w:r>
              <w:rPr>
                <w:rFonts w:ascii="Arial" w:cs="Arial" w:eastAsia="Arial" w:hAnsi="Arial"/>
                <w:sz w:val="15"/>
                <w:szCs w:val="15"/>
                <w:color w:val="auto"/>
              </w:rPr>
              <w:t>Legal Proceedings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106</w:t>
            </w:r>
          </w:p>
        </w:tc>
      </w:tr>
      <w:tr>
        <w:trPr>
          <w:trHeight w:val="199"/>
        </w:trPr>
        <w:tc>
          <w:tcPr>
            <w:tcW w:w="800" w:type="dxa"/>
            <w:vAlign w:val="bottom"/>
          </w:tcPr>
          <w:p>
            <w:pPr>
              <w:spacing w:after="0"/>
              <w:rPr>
                <w:sz w:val="20"/>
                <w:szCs w:val="20"/>
                <w:color w:val="auto"/>
              </w:rPr>
            </w:pPr>
            <w:r>
              <w:rPr>
                <w:rFonts w:ascii="Arial" w:cs="Arial" w:eastAsia="Arial" w:hAnsi="Arial"/>
                <w:sz w:val="15"/>
                <w:szCs w:val="15"/>
                <w:color w:val="auto"/>
              </w:rPr>
              <w:t>Item 1A.</w:t>
            </w:r>
          </w:p>
        </w:tc>
        <w:tc>
          <w:tcPr>
            <w:tcW w:w="10120" w:type="dxa"/>
            <w:vAlign w:val="bottom"/>
          </w:tcPr>
          <w:p>
            <w:pPr>
              <w:ind w:left="220"/>
              <w:spacing w:after="0"/>
              <w:rPr>
                <w:sz w:val="20"/>
                <w:szCs w:val="20"/>
                <w:color w:val="auto"/>
              </w:rPr>
            </w:pPr>
            <w:r>
              <w:rPr>
                <w:rFonts w:ascii="Arial" w:cs="Arial" w:eastAsia="Arial" w:hAnsi="Arial"/>
                <w:sz w:val="15"/>
                <w:szCs w:val="15"/>
                <w:color w:val="auto"/>
              </w:rPr>
              <w:t>Risk Factors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106</w:t>
            </w:r>
          </w:p>
        </w:tc>
      </w:tr>
      <w:tr>
        <w:trPr>
          <w:trHeight w:val="199"/>
        </w:trPr>
        <w:tc>
          <w:tcPr>
            <w:tcW w:w="800" w:type="dxa"/>
            <w:vAlign w:val="bottom"/>
          </w:tcPr>
          <w:p>
            <w:pPr>
              <w:spacing w:after="0"/>
              <w:rPr>
                <w:sz w:val="20"/>
                <w:szCs w:val="20"/>
                <w:color w:val="auto"/>
              </w:rPr>
            </w:pPr>
            <w:r>
              <w:rPr>
                <w:rFonts w:ascii="Arial" w:cs="Arial" w:eastAsia="Arial" w:hAnsi="Arial"/>
                <w:sz w:val="15"/>
                <w:szCs w:val="15"/>
                <w:color w:val="auto"/>
              </w:rPr>
              <w:t>Item 2.</w:t>
            </w:r>
          </w:p>
        </w:tc>
        <w:tc>
          <w:tcPr>
            <w:tcW w:w="10120" w:type="dxa"/>
            <w:vAlign w:val="bottom"/>
          </w:tcPr>
          <w:p>
            <w:pPr>
              <w:ind w:left="220"/>
              <w:spacing w:after="0"/>
              <w:rPr>
                <w:sz w:val="20"/>
                <w:szCs w:val="20"/>
                <w:color w:val="auto"/>
              </w:rPr>
            </w:pPr>
            <w:r>
              <w:rPr>
                <w:rFonts w:ascii="Arial" w:cs="Arial" w:eastAsia="Arial" w:hAnsi="Arial"/>
                <w:sz w:val="15"/>
                <w:szCs w:val="15"/>
                <w:color w:val="auto"/>
              </w:rPr>
              <w:t>Unregistered Sales of Equity Securities and Use of Proceeds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107</w:t>
            </w:r>
          </w:p>
        </w:tc>
      </w:tr>
      <w:tr>
        <w:trPr>
          <w:trHeight w:val="199"/>
        </w:trPr>
        <w:tc>
          <w:tcPr>
            <w:tcW w:w="800" w:type="dxa"/>
            <w:vAlign w:val="bottom"/>
          </w:tcPr>
          <w:p>
            <w:pPr>
              <w:spacing w:after="0"/>
              <w:rPr>
                <w:sz w:val="20"/>
                <w:szCs w:val="20"/>
                <w:color w:val="auto"/>
              </w:rPr>
            </w:pPr>
            <w:r>
              <w:rPr>
                <w:rFonts w:ascii="Arial" w:cs="Arial" w:eastAsia="Arial" w:hAnsi="Arial"/>
                <w:sz w:val="15"/>
                <w:szCs w:val="15"/>
                <w:color w:val="auto"/>
              </w:rPr>
              <w:t>Item 3.</w:t>
            </w:r>
          </w:p>
        </w:tc>
        <w:tc>
          <w:tcPr>
            <w:tcW w:w="10120" w:type="dxa"/>
            <w:vAlign w:val="bottom"/>
          </w:tcPr>
          <w:p>
            <w:pPr>
              <w:ind w:left="220"/>
              <w:spacing w:after="0"/>
              <w:rPr>
                <w:sz w:val="20"/>
                <w:szCs w:val="20"/>
                <w:color w:val="auto"/>
              </w:rPr>
            </w:pPr>
            <w:r>
              <w:rPr>
                <w:rFonts w:ascii="Arial" w:cs="Arial" w:eastAsia="Arial" w:hAnsi="Arial"/>
                <w:sz w:val="15"/>
                <w:szCs w:val="15"/>
                <w:color w:val="auto"/>
              </w:rPr>
              <w:t>Defaults Upon Senior Securities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108</w:t>
            </w:r>
          </w:p>
        </w:tc>
      </w:tr>
      <w:tr>
        <w:trPr>
          <w:trHeight w:val="199"/>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Mine Safety Disclosures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108</w:t>
            </w:r>
          </w:p>
        </w:tc>
      </w:tr>
      <w:tr>
        <w:trPr>
          <w:trHeight w:val="199"/>
        </w:trPr>
        <w:tc>
          <w:tcPr>
            <w:tcW w:w="800" w:type="dxa"/>
            <w:vAlign w:val="bottom"/>
          </w:tcPr>
          <w:p>
            <w:pPr>
              <w:spacing w:after="0"/>
              <w:rPr>
                <w:sz w:val="20"/>
                <w:szCs w:val="20"/>
                <w:color w:val="auto"/>
              </w:rPr>
            </w:pPr>
            <w:r>
              <w:rPr>
                <w:rFonts w:ascii="Arial" w:cs="Arial" w:eastAsia="Arial" w:hAnsi="Arial"/>
                <w:sz w:val="15"/>
                <w:szCs w:val="15"/>
                <w:color w:val="auto"/>
              </w:rPr>
              <w:t>Item 5.</w:t>
            </w:r>
          </w:p>
        </w:tc>
        <w:tc>
          <w:tcPr>
            <w:tcW w:w="10120" w:type="dxa"/>
            <w:vAlign w:val="bottom"/>
          </w:tcPr>
          <w:p>
            <w:pPr>
              <w:ind w:left="220"/>
              <w:spacing w:after="0"/>
              <w:rPr>
                <w:sz w:val="20"/>
                <w:szCs w:val="20"/>
                <w:color w:val="auto"/>
              </w:rPr>
            </w:pPr>
            <w:r>
              <w:rPr>
                <w:rFonts w:ascii="Arial" w:cs="Arial" w:eastAsia="Arial" w:hAnsi="Arial"/>
                <w:sz w:val="15"/>
                <w:szCs w:val="15"/>
                <w:color w:val="auto"/>
              </w:rPr>
              <w:t>Other Information</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108</w:t>
            </w:r>
          </w:p>
        </w:tc>
      </w:tr>
      <w:tr>
        <w:trPr>
          <w:trHeight w:val="199"/>
        </w:trPr>
        <w:tc>
          <w:tcPr>
            <w:tcW w:w="800" w:type="dxa"/>
            <w:vAlign w:val="bottom"/>
          </w:tcPr>
          <w:p>
            <w:pPr>
              <w:spacing w:after="0"/>
              <w:rPr>
                <w:sz w:val="20"/>
                <w:szCs w:val="20"/>
                <w:color w:val="auto"/>
              </w:rPr>
            </w:pPr>
            <w:r>
              <w:rPr>
                <w:rFonts w:ascii="Arial" w:cs="Arial" w:eastAsia="Arial" w:hAnsi="Arial"/>
                <w:sz w:val="15"/>
                <w:szCs w:val="15"/>
                <w:color w:val="auto"/>
              </w:rPr>
              <w:t>Item 6.</w:t>
            </w:r>
          </w:p>
        </w:tc>
        <w:tc>
          <w:tcPr>
            <w:tcW w:w="10120" w:type="dxa"/>
            <w:vAlign w:val="bottom"/>
          </w:tcPr>
          <w:p>
            <w:pPr>
              <w:ind w:left="220"/>
              <w:spacing w:after="0"/>
              <w:rPr>
                <w:sz w:val="20"/>
                <w:szCs w:val="20"/>
                <w:color w:val="auto"/>
              </w:rPr>
            </w:pPr>
            <w:r>
              <w:rPr>
                <w:rFonts w:ascii="Arial" w:cs="Arial" w:eastAsia="Arial" w:hAnsi="Arial"/>
                <w:sz w:val="15"/>
                <w:szCs w:val="15"/>
                <w:color w:val="auto"/>
              </w:rPr>
              <w:t>Exhibits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466725</wp:posOffset>
            </wp:positionV>
            <wp:extent cx="7007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tabs>
          <w:tab w:leader="none" w:pos="11000" w:val="left"/>
        </w:tabs>
        <w:rPr>
          <w:sz w:val="20"/>
          <w:szCs w:val="20"/>
          <w:color w:val="auto"/>
        </w:rPr>
      </w:pPr>
      <w:r>
        <w:rPr>
          <w:rFonts w:ascii="Arial" w:cs="Arial" w:eastAsia="Arial" w:hAnsi="Arial"/>
          <w:sz w:val="14"/>
          <w:szCs w:val="14"/>
          <w:color w:val="05314D"/>
        </w:rPr>
        <w:t>Fannie Mae Third Quarter 2026 Form 10-Q</w:t>
      </w:r>
      <w:r>
        <w:rPr>
          <w:sz w:val="20"/>
          <w:szCs w:val="20"/>
          <w:color w:val="auto"/>
        </w:rPr>
        <w:tab/>
      </w:r>
      <w:r>
        <w:rPr>
          <w:rFonts w:ascii="Arial" w:cs="Arial" w:eastAsia="Arial" w:hAnsi="Arial"/>
          <w:sz w:val="13"/>
          <w:szCs w:val="13"/>
          <w:color w:val="05314D"/>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127000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1411" w:right="359" w:bottom="1440" w:gutter="0" w:footer="0" w:header="0"/>
        </w:sectPr>
      </w:pPr>
    </w:p>
    <w:bookmarkStart w:id="3" w:name="page4"/>
    <w:bookmarkEnd w:id="3"/>
    <w:p>
      <w:pPr>
        <w:ind w:left="9480"/>
        <w:spacing w:after="0"/>
        <w:rPr>
          <w:sz w:val="20"/>
          <w:szCs w:val="20"/>
          <w:color w:val="auto"/>
        </w:rPr>
      </w:pPr>
      <w:r>
        <w:rPr>
          <w:rFonts w:ascii="Arial" w:cs="Arial" w:eastAsia="Arial" w:hAnsi="Arial"/>
          <w:sz w:val="14"/>
          <w:szCs w:val="14"/>
          <w:color w:val="001543"/>
        </w:rPr>
        <w:t>MD&amp;A | 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PART I—FINANCIAL INFORMATION</w:t>
      </w:r>
    </w:p>
    <w:p>
      <w:pPr>
        <w:spacing w:after="0" w:line="185" w:lineRule="exact"/>
        <w:rPr>
          <w:sz w:val="20"/>
          <w:szCs w:val="20"/>
          <w:color w:val="auto"/>
        </w:rPr>
      </w:pPr>
    </w:p>
    <w:p>
      <w:pPr>
        <w:ind w:right="720"/>
        <w:spacing w:after="0" w:line="254" w:lineRule="auto"/>
        <w:rPr>
          <w:sz w:val="20"/>
          <w:szCs w:val="20"/>
          <w:color w:val="auto"/>
        </w:rPr>
      </w:pPr>
      <w:r>
        <w:rPr>
          <w:rFonts w:ascii="Georgia" w:cs="Georgia" w:eastAsia="Georgia" w:hAnsi="Georgia"/>
          <w:sz w:val="27"/>
          <w:szCs w:val="27"/>
          <w:b w:val="1"/>
          <w:bCs w:val="1"/>
          <w:color w:val="05314D"/>
        </w:rPr>
        <w:t>Item 2. Management’s Discussion and Analysis of Financial Condition and Results of Operations</w:t>
      </w:r>
    </w:p>
    <w:p>
      <w:pPr>
        <w:spacing w:after="0" w:line="6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i w:val="1"/>
          <w:iCs w:val="1"/>
          <w:color w:val="auto"/>
        </w:rPr>
        <w:t>You should read this Management’s Discussion and Analysis of Financial Condition and Results of Operations (“MD&amp;A”) in conjunction with our unaudited condensed consolidated financial statements and related notes in this report and the more detailed information in our annual report on Form 10-K for the year ended December 31, 2025 (“2025 Form 10-K”). You can find a “Glossary of Terms Used in This Report” in MD&amp;A in our 2025 Form 10-K.</w:t>
      </w:r>
    </w:p>
    <w:p>
      <w:pPr>
        <w:spacing w:after="0" w:line="47"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i w:val="1"/>
          <w:iCs w:val="1"/>
          <w:color w:val="auto"/>
        </w:rPr>
        <w:t>This report includes forward-looking statements based on management’s current expectations that are subject to significant uncertainties. Future events and our results may differ materially from those reflected in our forward-looking statements due to a variety of factors, including those discussed in “Forward-Looking Statements” and elsewhere in this report and in “Risk Factors” and elsewhere in our 2025 Form 10-K.</w:t>
      </w:r>
    </w:p>
    <w:p>
      <w:pPr>
        <w:spacing w:after="0" w:line="10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Fannie Mae is a leading source of financing for residential mortgages in the United States. We provided $344.1 billion in liquidity to the mortgage market in the first nine months of 2026, which enabled the financing of approximately 1.2 million home purchases, refinancings, and rental units.</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or “Fannie Mae MBS”) that global investors buy from us. We do not originate mortgage loans or lend money directly to borrowers.</w:t>
      </w:r>
    </w:p>
    <w:p>
      <w:pPr>
        <w:spacing w:after="0" w:line="4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provide a guaranty on the MBS that we issue. If a borrower fails to make a payment on a mortgage loan that is included in a Fannie Mae MBS, we pay the shortfall amount to the MBS investor. In exchange for providing this guaranty, we receive a guaranty fee. Guaranty fees are the primary source of our revenues.</w:t>
      </w:r>
    </w:p>
    <w:p>
      <w:pPr>
        <w:spacing w:after="0" w:line="3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Because we assume the credit risk for mortgage loans in our MBS, our earnings are affected by the credit performance of these loans. Credit risk management is therefore key to our business and financial results. To help manage our mortgage credit risk exposure, and in response to capital and other requirements, we transfer some of our credit risk exposure to third parties through credit risk transfer and mortgage insurance. For a discussion of how we manage credit risk, see “MD&amp;A—Single-Family Business—Single-Family Mortgage Credit Risk Management” and “MD&amp;A—Multifamily Business— Multifamily Mortgage Credit Risk Management” in this report and in our 2025 Form 10-K.</w:t>
      </w:r>
    </w:p>
    <w:p>
      <w:pPr>
        <w:spacing w:after="0" w:line="3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We support both single-family and multifamily housing. Our Single-Family business provides financing for properties that have four or fewer residential units. Our Multifamily business provides financing for residential buildings with five or more units. As of June 30, 2026 (the latest date for which information is available), Fannie Mae owned or guaranteed an estimated 24% of single-family mortgage debt outstanding and an estimated 21% of multifamily mortgage debt outstanding in the United States.</w:t>
      </w:r>
    </w:p>
    <w:p>
      <w:pPr>
        <w:spacing w:after="0" w:line="3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have been in conservatorship since 2008. The Federal Housing Finance Agency (“FHFA”) is our conservator. During conservatorship, our Board has no fiduciary duties to the company or its stockholders, as they owe their fiduciary duties of care and loyalty solely to FHFA as conservator. Since March 17, 2025, the FHFA Director has served as the Chair of our Board, and FHFA’s General Counsel has also served as a member of our Board. Conservatorship and our agreements with the U.S. Department of the Treasury (“Treasury”) significantly restrict our business activities and stockholder rights. For more information about the impact of conservatorship and these agreements on our business, stockholders, and our uncertain future, see “Business— Conservatorship and Treasury Agreements” and “Risk Factors—GSE and Conservatorship Risk” in our 2025 Form 10-K.</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VantageScore 4.0 Expansion</w:t>
      </w:r>
    </w:p>
    <w:p>
      <w:pPr>
        <w:spacing w:after="0" w:line="63" w:lineRule="exact"/>
        <w:rPr>
          <w:sz w:val="20"/>
          <w:szCs w:val="20"/>
          <w:color w:val="auto"/>
        </w:rPr>
      </w:pPr>
    </w:p>
    <w:p>
      <w:pPr>
        <w:ind w:right="260"/>
        <w:spacing w:after="0" w:line="225" w:lineRule="auto"/>
        <w:rPr>
          <w:sz w:val="20"/>
          <w:szCs w:val="20"/>
          <w:color w:val="auto"/>
        </w:rPr>
      </w:pPr>
      <w:r>
        <w:rPr>
          <w:rFonts w:ascii="Arial" w:cs="Arial" w:eastAsia="Arial" w:hAnsi="Arial"/>
          <w:sz w:val="16"/>
          <w:szCs w:val="16"/>
          <w:color w:val="auto"/>
        </w:rPr>
        <w:t>Effective September 2026, all Fannie Mae-approved lenders may elect to use a VantageScore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4.0 credit score when originating eligible single-family mortgage loans and delivering those loans to Fannie Mae. This expansion follows the initial rollout of VantageScore 4.0 to a limited number of approved lenders in April 2026. We also aligned the loan-level price adjustments across classic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VantageScore 4.0 effective October 1, 2026, creating a consistent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400685</wp:posOffset>
            </wp:positionV>
            <wp:extent cx="7007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40" w:type="dxa"/>
            <w:vAlign w:val="bottom"/>
          </w:tcPr>
          <w:p>
            <w:pPr>
              <w:jc w:val="right"/>
              <w:ind w:right="51"/>
              <w:spacing w:after="0"/>
              <w:rPr>
                <w:sz w:val="20"/>
                <w:szCs w:val="20"/>
                <w:color w:val="auto"/>
              </w:rPr>
            </w:pPr>
            <w:r>
              <w:rPr>
                <w:rFonts w:ascii="Arial" w:cs="Arial" w:eastAsia="Arial" w:hAnsi="Arial"/>
                <w:sz w:val="14"/>
                <w:szCs w:val="14"/>
                <w:color w:val="05314D"/>
              </w:rPr>
              <w:t>1</w:t>
            </w:r>
          </w:p>
        </w:tc>
      </w:tr>
      <w:tr>
        <w:trPr>
          <w:trHeight w:val="194"/>
        </w:trPr>
        <w:tc>
          <w:tcPr>
            <w:tcW w:w="6900" w:type="dxa"/>
            <w:vAlign w:val="bottom"/>
            <w:tcBorders>
              <w:bottom w:val="single" w:sz="8" w:color="9A9A9A"/>
            </w:tcBorders>
          </w:tcPr>
          <w:p>
            <w:pPr>
              <w:spacing w:after="0"/>
              <w:rPr>
                <w:sz w:val="16"/>
                <w:szCs w:val="16"/>
                <w:color w:val="auto"/>
              </w:rPr>
            </w:pPr>
          </w:p>
        </w:tc>
        <w:tc>
          <w:tcPr>
            <w:tcW w:w="43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 w:name="page5"/>
    <w:bookmarkEnd w:id="4"/>
    <w:p>
      <w:pPr>
        <w:ind w:left="9360"/>
        <w:spacing w:after="0"/>
        <w:rPr>
          <w:sz w:val="20"/>
          <w:szCs w:val="20"/>
          <w:color w:val="auto"/>
        </w:rPr>
      </w:pPr>
      <w:r>
        <w:rPr>
          <w:rFonts w:ascii="Arial" w:cs="Arial" w:eastAsia="Arial" w:hAnsi="Arial"/>
          <w:sz w:val="13"/>
          <w:szCs w:val="13"/>
          <w:color w:val="001543"/>
        </w:rPr>
        <w:t>MD&amp;A | 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approach across both credit score models. See “Single-Family Business—Single-Family Mortgage Credit Risk Management—Single-Family Acquisition and Servicing Policies and Underwriting and Servicing Standards—New Credit Score Models and Pricing Change” for more information.</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Executive Order on Housing Costs</w:t>
      </w:r>
    </w:p>
    <w:p>
      <w:pPr>
        <w:spacing w:after="0" w:line="76" w:lineRule="exact"/>
        <w:rPr>
          <w:sz w:val="20"/>
          <w:szCs w:val="20"/>
          <w:color w:val="auto"/>
        </w:rPr>
      </w:pPr>
    </w:p>
    <w:p>
      <w:pPr>
        <w:ind w:right="600"/>
        <w:spacing w:after="0" w:line="272" w:lineRule="auto"/>
        <w:rPr>
          <w:sz w:val="20"/>
          <w:szCs w:val="20"/>
          <w:color w:val="auto"/>
        </w:rPr>
      </w:pPr>
      <w:r>
        <w:rPr>
          <w:rFonts w:ascii="Arial" w:cs="Arial" w:eastAsia="Arial" w:hAnsi="Arial"/>
          <w:sz w:val="16"/>
          <w:szCs w:val="16"/>
          <w:color w:val="auto"/>
        </w:rPr>
        <w:t>On October 22, 2026, the President issued an executive order aimed at decreasing housing costs for the American people. Among other things, the executive order directs the Director of FHFA, under specified conditions, to direct Fannie Mae and Freddie Mac to take a number of actions. See “Legislation and Regulation—Executive Order on Housing Costs” for more information on the executive order.</w:t>
      </w:r>
    </w:p>
    <w:p>
      <w:pPr>
        <w:spacing w:after="0" w:line="130"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Financial Results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Please read this summary together with our MD&amp;A, our condensed consolidated financial statements and the accompanying notes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83820</wp:posOffset>
            </wp:positionV>
            <wp:extent cx="5419090" cy="2038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19090" cy="203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Quarterly Results</w:t>
      </w:r>
    </w:p>
    <w:p>
      <w:pPr>
        <w:spacing w:after="0" w:line="76" w:lineRule="exact"/>
        <w:rPr>
          <w:sz w:val="20"/>
          <w:szCs w:val="20"/>
          <w:color w:val="auto"/>
        </w:rPr>
      </w:pPr>
    </w:p>
    <w:p>
      <w:pPr>
        <w:ind w:left="620" w:right="80" w:hanging="307"/>
        <w:spacing w:after="0" w:line="272" w:lineRule="auto"/>
        <w:tabs>
          <w:tab w:leader="none" w:pos="612"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increased by $318 million in the third quarter of 2026 compared with the third quarter of 2025, primarily driven by a $617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fair value gains and a $344 million increase in net revenues. These factors were partially offset by an $802 million increase in provision for credit losses.</w:t>
      </w:r>
    </w:p>
    <w:p>
      <w:pPr>
        <w:spacing w:after="0" w:line="31" w:lineRule="exact"/>
        <w:rPr>
          <w:rFonts w:ascii="Arial" w:cs="Arial" w:eastAsia="Arial" w:hAnsi="Arial"/>
          <w:sz w:val="16"/>
          <w:szCs w:val="16"/>
          <w:color w:val="auto"/>
        </w:rPr>
      </w:pPr>
    </w:p>
    <w:p>
      <w:pPr>
        <w:ind w:left="1240" w:hanging="309"/>
        <w:spacing w:after="0"/>
        <w:tabs>
          <w:tab w:leader="none" w:pos="124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increased by $344 million, primarily driven by a $249 million increase in net interest income from portfolios.</w:t>
      </w:r>
    </w:p>
    <w:p>
      <w:pPr>
        <w:spacing w:after="0" w:line="86" w:lineRule="exact"/>
        <w:rPr>
          <w:rFonts w:ascii="Arial" w:cs="Arial" w:eastAsia="Arial" w:hAnsi="Arial"/>
          <w:sz w:val="16"/>
          <w:szCs w:val="16"/>
          <w:color w:val="auto"/>
        </w:rPr>
      </w:pPr>
    </w:p>
    <w:p>
      <w:pPr>
        <w:ind w:left="1240" w:right="200" w:hanging="309"/>
        <w:spacing w:after="0" w:line="281" w:lineRule="auto"/>
        <w:tabs>
          <w:tab w:leader="none" w:pos="1233"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Provision for credit losses </w:t>
      </w:r>
      <w:r>
        <w:rPr>
          <w:rFonts w:ascii="Arial" w:cs="Arial" w:eastAsia="Arial" w:hAnsi="Arial"/>
          <w:sz w:val="16"/>
          <w:szCs w:val="16"/>
          <w:color w:val="auto"/>
        </w:rPr>
        <w:t>was $1.1 billion in the third quarter of 2026, reflecting a $694 million single-family provision and a $446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multifamily provision, compared with a $338 million provision in the third quarter of 2025, which reflected a $269 million single-family provision and a $69 million multifamily provision.</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Year-to-Date Results</w:t>
      </w:r>
    </w:p>
    <w:p>
      <w:pPr>
        <w:spacing w:after="0" w:line="63" w:lineRule="exact"/>
        <w:rPr>
          <w:sz w:val="20"/>
          <w:szCs w:val="20"/>
          <w:color w:val="auto"/>
        </w:rPr>
      </w:pPr>
    </w:p>
    <w:p>
      <w:pPr>
        <w:ind w:left="620" w:hanging="307"/>
        <w:spacing w:after="0" w:line="271" w:lineRule="auto"/>
        <w:tabs>
          <w:tab w:leader="none" w:pos="612"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increased by $1.0 billion in the first nine months of 2026 compared with the first nine months of 2025, primarily driven by an $863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net revenues, an $825 million decrease in non-interest expense, and a $328 million increase in fair value gains. These factors were partially offset by a $594 million increase in provision for credit losses and a $230 million shift from investment gains in the first nine months of 2025 to investment losses in the first nine months of 2026.</w:t>
      </w:r>
    </w:p>
    <w:p>
      <w:pPr>
        <w:spacing w:after="0" w:line="32" w:lineRule="exact"/>
        <w:rPr>
          <w:rFonts w:ascii="Arial" w:cs="Arial" w:eastAsia="Arial" w:hAnsi="Arial"/>
          <w:sz w:val="16"/>
          <w:szCs w:val="16"/>
          <w:color w:val="auto"/>
        </w:rPr>
      </w:pPr>
    </w:p>
    <w:p>
      <w:pPr>
        <w:ind w:left="1240" w:right="240" w:hanging="309"/>
        <w:spacing w:after="0" w:line="293" w:lineRule="auto"/>
        <w:tabs>
          <w:tab w:leader="none" w:pos="1233"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increased by $863 million, primarily driven by a $546 million increase in net interest income from portfolios, a $186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net interest income from base guaranty fees, and a $169 million increase in net deferred guaranty fee income.</w:t>
      </w:r>
    </w:p>
    <w:p>
      <w:pPr>
        <w:spacing w:after="0" w:line="14" w:lineRule="exact"/>
        <w:rPr>
          <w:rFonts w:ascii="Arial" w:cs="Arial" w:eastAsia="Arial" w:hAnsi="Arial"/>
          <w:sz w:val="16"/>
          <w:szCs w:val="16"/>
          <w:color w:val="auto"/>
        </w:rPr>
      </w:pPr>
    </w:p>
    <w:p>
      <w:pPr>
        <w:ind w:left="1240" w:right="260" w:hanging="309"/>
        <w:spacing w:after="0" w:line="281" w:lineRule="auto"/>
        <w:tabs>
          <w:tab w:leader="none" w:pos="1233"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Provision for credit losses </w:t>
      </w:r>
      <w:r>
        <w:rPr>
          <w:rFonts w:ascii="Arial" w:cs="Arial" w:eastAsia="Arial" w:hAnsi="Arial"/>
          <w:sz w:val="16"/>
          <w:szCs w:val="16"/>
          <w:color w:val="auto"/>
        </w:rPr>
        <w:t>was $1.9 billion in the first nine months of 2026, reflecting a $1.0 billion single-family provision and an $879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multifamily provision, compared with a $1.3 billion provision in the first nine months of 2025, which reflected a $1.0 billion single-family provision and a $278 million multifamily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372745</wp:posOffset>
            </wp:positionV>
            <wp:extent cx="7007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40" w:type="dxa"/>
            <w:vAlign w:val="bottom"/>
          </w:tcPr>
          <w:p>
            <w:pPr>
              <w:jc w:val="right"/>
              <w:ind w:right="51"/>
              <w:spacing w:after="0"/>
              <w:rPr>
                <w:sz w:val="20"/>
                <w:szCs w:val="20"/>
                <w:color w:val="auto"/>
              </w:rPr>
            </w:pPr>
            <w:r>
              <w:rPr>
                <w:rFonts w:ascii="Arial" w:cs="Arial" w:eastAsia="Arial" w:hAnsi="Arial"/>
                <w:sz w:val="14"/>
                <w:szCs w:val="14"/>
                <w:color w:val="05314D"/>
              </w:rPr>
              <w:t>2</w:t>
            </w:r>
          </w:p>
        </w:tc>
      </w:tr>
      <w:tr>
        <w:trPr>
          <w:trHeight w:val="207"/>
        </w:trPr>
        <w:tc>
          <w:tcPr>
            <w:tcW w:w="6900" w:type="dxa"/>
            <w:vAlign w:val="bottom"/>
            <w:tcBorders>
              <w:bottom w:val="single" w:sz="8" w:color="9A9A9A"/>
            </w:tcBorders>
          </w:tcPr>
          <w:p>
            <w:pPr>
              <w:spacing w:after="0"/>
              <w:rPr>
                <w:sz w:val="17"/>
                <w:szCs w:val="17"/>
                <w:color w:val="auto"/>
              </w:rPr>
            </w:pPr>
          </w:p>
        </w:tc>
        <w:tc>
          <w:tcPr>
            <w:tcW w:w="4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5" w:name="page6"/>
    <w:bookmarkEnd w:id="5"/>
    <w:p>
      <w:pPr>
        <w:ind w:left="8940"/>
        <w:spacing w:after="0"/>
        <w:rPr>
          <w:sz w:val="20"/>
          <w:szCs w:val="20"/>
          <w:color w:val="auto"/>
        </w:rPr>
      </w:pPr>
      <w:r>
        <w:rPr>
          <w:rFonts w:ascii="Arial" w:cs="Arial" w:eastAsia="Arial" w:hAnsi="Arial"/>
          <w:sz w:val="14"/>
          <w:szCs w:val="14"/>
          <w:color w:val="001543"/>
        </w:rPr>
        <w:t>MD&amp;A | Financial Results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right="500" w:hanging="309"/>
        <w:spacing w:after="0" w:line="293" w:lineRule="auto"/>
        <w:tabs>
          <w:tab w:leader="none" w:pos="1233"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Non-interest expense </w:t>
      </w:r>
      <w:r>
        <w:rPr>
          <w:rFonts w:ascii="Arial" w:cs="Arial" w:eastAsia="Arial" w:hAnsi="Arial"/>
          <w:sz w:val="16"/>
          <w:szCs w:val="16"/>
          <w:color w:val="auto"/>
        </w:rPr>
        <w:t>was $6.4 billion in the first nine months of 2026, a decrease of $825 million from the first nine months of 2025,</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 $318 million decrease in administrative expenses and a $285 million decrease in other expenses.</w:t>
      </w:r>
    </w:p>
    <w:p>
      <w:pPr>
        <w:spacing w:after="0" w:line="14" w:lineRule="exact"/>
        <w:rPr>
          <w:rFonts w:ascii="Arial" w:cs="Arial" w:eastAsia="Arial" w:hAnsi="Arial"/>
          <w:sz w:val="16"/>
          <w:szCs w:val="16"/>
          <w:color w:val="auto"/>
        </w:rPr>
      </w:pPr>
    </w:p>
    <w:p>
      <w:pPr>
        <w:ind w:left="620" w:right="180" w:hanging="307"/>
        <w:spacing w:after="0" w:line="310" w:lineRule="auto"/>
        <w:tabs>
          <w:tab w:leader="none" w:pos="612"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Ne</w:t>
      </w:r>
      <w:r>
        <w:rPr>
          <w:rFonts w:ascii="Arial" w:cs="Arial" w:eastAsia="Arial" w:hAnsi="Arial"/>
          <w:sz w:val="16"/>
          <w:szCs w:val="16"/>
          <w:color w:val="auto"/>
        </w:rPr>
        <w:t>t</w:t>
      </w:r>
      <w:r>
        <w:rPr>
          <w:rFonts w:ascii="Arial" w:cs="Arial" w:eastAsia="Arial" w:hAnsi="Arial"/>
          <w:sz w:val="16"/>
          <w:szCs w:val="16"/>
          <w:i w:val="1"/>
          <w:iCs w:val="1"/>
          <w:color w:val="auto"/>
        </w:rPr>
        <w:t xml:space="preserve"> worth </w:t>
      </w:r>
      <w:r>
        <w:rPr>
          <w:rFonts w:ascii="Arial" w:cs="Arial" w:eastAsia="Arial" w:hAnsi="Arial"/>
          <w:sz w:val="16"/>
          <w:szCs w:val="16"/>
          <w:color w:val="auto"/>
        </w:rPr>
        <w:t>increased by $10.6 billion in the first nine months of 2026 to $119.6 billion as of September 30, 2026, which reflected our net income of</w:t>
      </w:r>
      <w:r>
        <w:rPr>
          <w:rFonts w:ascii="Arial" w:cs="Arial" w:eastAsia="Arial" w:hAnsi="Arial"/>
          <w:sz w:val="16"/>
          <w:szCs w:val="16"/>
          <w:i w:val="1"/>
          <w:iCs w:val="1"/>
          <w:color w:val="auto"/>
        </w:rPr>
        <w:t xml:space="preserve"> </w:t>
      </w:r>
      <w:r>
        <w:rPr>
          <w:rFonts w:ascii="Arial" w:cs="Arial" w:eastAsia="Arial" w:hAnsi="Arial"/>
          <w:sz w:val="16"/>
          <w:szCs w:val="16"/>
          <w:color w:val="auto"/>
        </w:rPr>
        <w:t>$11.9 billion, partially offset by $1.3 billion in other comprehensive loss.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the drivers of our financial results, see “Consolidated Results of Operations.”</w:t>
      </w:r>
    </w:p>
    <w:p>
      <w:pPr>
        <w:spacing w:after="0" w:line="18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6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“MD&amp;A—Key Market Economic Indicators” in our 2025 Form 10-K, we discuss how varying macroeconomic conditions can influence our financial results across different business and economic environments, and we provide forecasts and expectations with respect to some of these macroeconomic conditions. Below we provide an update to these forecasts and expectations, as well as updates to certain macroeconomic information. Our forecasts and expectations are based on many assumptions, subject to many uncertainties and may change, perhaps substantially, from our current forecasts and expectations. See “Risk Factors” in our 2025 Form 10-K and “Forward-Looking Statements” in this report for a discussion of factors that could cause actual results to differ materially from our current forecasts and expectations.</w:t>
      </w:r>
    </w:p>
    <w:p>
      <w:pPr>
        <w:spacing w:after="0" w:line="8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Interest Rates</w:t>
      </w:r>
    </w:p>
    <w:p>
      <w:pPr>
        <w:spacing w:after="0" w:line="115"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Selected Market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7620</wp:posOffset>
            </wp:positionV>
            <wp:extent cx="5501005" cy="2160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100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0" w:right="180" w:hanging="237"/>
        <w:spacing w:after="0" w:line="229" w:lineRule="auto"/>
        <w:tabs>
          <w:tab w:leader="none" w:pos="233"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Refers to the U.S. weekly average fixed-rate mortgage rate according to Freddie Mac’s Primary Mortgage Market Survey</w:t>
      </w:r>
      <w:r>
        <w:rPr>
          <w:rFonts w:ascii="Arial" w:cs="Arial" w:eastAsia="Arial" w:hAnsi="Arial"/>
          <w:sz w:val="17"/>
          <w:szCs w:val="17"/>
          <w:color w:val="auto"/>
          <w:vertAlign w:val="superscript"/>
        </w:rPr>
        <w:t>®</w:t>
      </w:r>
      <w:r>
        <w:rPr>
          <w:rFonts w:ascii="Arial" w:cs="Arial" w:eastAsia="Arial" w:hAnsi="Arial"/>
          <w:sz w:val="14"/>
          <w:szCs w:val="14"/>
          <w:color w:val="auto"/>
        </w:rPr>
        <w:t>. These rates are reported using the latest available data for a given period.</w:t>
      </w:r>
    </w:p>
    <w:p>
      <w:pPr>
        <w:spacing w:after="0" w:line="13"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According to Bloomberg.</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Refers to the daily rate per the Federal Reserve Bank of New York.</w:t>
      </w:r>
    </w:p>
    <w:p>
      <w:pPr>
        <w:spacing w:after="0" w:line="9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U.S. weekly average 30-year fixed-rate mortgage rate increased to 7.03% at the end of the third quarter of 2026, compared to 6.49% at the end of the second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375285</wp:posOffset>
            </wp:positionV>
            <wp:extent cx="7007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40" w:type="dxa"/>
            <w:vAlign w:val="bottom"/>
          </w:tcPr>
          <w:p>
            <w:pPr>
              <w:jc w:val="right"/>
              <w:ind w:right="51"/>
              <w:spacing w:after="0"/>
              <w:rPr>
                <w:sz w:val="20"/>
                <w:szCs w:val="20"/>
                <w:color w:val="auto"/>
              </w:rPr>
            </w:pPr>
            <w:r>
              <w:rPr>
                <w:rFonts w:ascii="Arial" w:cs="Arial" w:eastAsia="Arial" w:hAnsi="Arial"/>
                <w:sz w:val="14"/>
                <w:szCs w:val="14"/>
                <w:color w:val="05314D"/>
              </w:rPr>
              <w:t>3</w:t>
            </w:r>
          </w:p>
        </w:tc>
      </w:tr>
      <w:tr>
        <w:trPr>
          <w:trHeight w:val="194"/>
        </w:trPr>
        <w:tc>
          <w:tcPr>
            <w:tcW w:w="6900" w:type="dxa"/>
            <w:vAlign w:val="bottom"/>
            <w:tcBorders>
              <w:bottom w:val="single" w:sz="8" w:color="9A9A9A"/>
            </w:tcBorders>
          </w:tcPr>
          <w:p>
            <w:pPr>
              <w:spacing w:after="0"/>
              <w:rPr>
                <w:sz w:val="16"/>
                <w:szCs w:val="16"/>
                <w:color w:val="auto"/>
              </w:rPr>
            </w:pPr>
          </w:p>
        </w:tc>
        <w:tc>
          <w:tcPr>
            <w:tcW w:w="43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6" w:name="page7"/>
    <w:bookmarkEnd w:id="6"/>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Home Prices</w:t>
      </w:r>
    </w:p>
    <w:p>
      <w:pPr>
        <w:spacing w:after="0" w:line="217"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Quarterly Home Price Growth (Decline) Rate</w:t>
      </w:r>
      <w:r>
        <w:rPr>
          <w:rFonts w:ascii="Georgia" w:cs="Georgia" w:eastAsia="Georgia" w:hAnsi="Georgia"/>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119380</wp:posOffset>
            </wp:positionV>
            <wp:extent cx="5501005" cy="1137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01005" cy="113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right="200" w:hanging="237"/>
        <w:spacing w:after="0" w:line="259" w:lineRule="auto"/>
        <w:tabs>
          <w:tab w:leader="none" w:pos="233" w:val="left"/>
        </w:tabs>
        <w:numPr>
          <w:ilvl w:val="0"/>
          <w:numId w:val="7"/>
        </w:numPr>
        <w:rPr>
          <w:rFonts w:ascii="Arial" w:cs="Arial" w:eastAsia="Arial" w:hAnsi="Arial"/>
          <w:sz w:val="9"/>
          <w:szCs w:val="9"/>
          <w:color w:val="auto"/>
        </w:rPr>
      </w:pPr>
      <w:r>
        <w:rPr>
          <w:rFonts w:ascii="Arial" w:cs="Arial" w:eastAsia="Arial" w:hAnsi="Arial"/>
          <w:sz w:val="14"/>
          <w:szCs w:val="14"/>
          <w:color w:val="auto"/>
        </w:rPr>
        <w:t>Calculated internally using property data on loans purchased by Fannie Mae, Freddie Mac and other third-party home sales data. Fannie Mae’s home price index is a weighted repeat-transactions index, measuring average price changes in repeat sales on the same properties. Fannie Mae’s home price index excludes prices on properties sold in foreclosure. Fannie Mae’s home price growth rates represent estimates based on non-seasonally adjusted preliminary data and are subject to change as additional data becomes available.</w:t>
      </w:r>
    </w:p>
    <w:p>
      <w:pPr>
        <w:spacing w:after="0" w:line="5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We currently estimate home prices on a national basis increased by 3.8% in the first nine months of 2026. Based on our expectation of a seasonal decline in home prices in the fourth quarter of 2026, we expect home price growth of 2.7% on a national basis for the full year of 2026. We also expect regional variation in the timing and rate of home price changes.</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Economic Activity</w:t>
      </w:r>
    </w:p>
    <w:p>
      <w:pPr>
        <w:spacing w:after="0" w:line="15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GDP and Unemployment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15240</wp:posOffset>
            </wp:positionV>
            <wp:extent cx="5501005" cy="1800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0100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hanging="217"/>
        <w:spacing w:after="0"/>
        <w:tabs>
          <w:tab w:leader="none" w:pos="220" w:val="left"/>
        </w:tabs>
        <w:numPr>
          <w:ilvl w:val="0"/>
          <w:numId w:val="8"/>
        </w:numPr>
        <w:rPr>
          <w:rFonts w:ascii="Arial" w:cs="Arial" w:eastAsia="Arial" w:hAnsi="Arial"/>
          <w:sz w:val="9"/>
          <w:szCs w:val="9"/>
          <w:color w:val="auto"/>
        </w:rPr>
      </w:pPr>
      <w:r>
        <w:rPr>
          <w:rFonts w:ascii="Arial" w:cs="Arial" w:eastAsia="Arial" w:hAnsi="Arial"/>
          <w:sz w:val="14"/>
          <w:szCs w:val="14"/>
          <w:color w:val="auto"/>
        </w:rPr>
        <w:t>Real GDP growth (decline) is based on the quarterly series calculated by the Bureau of Economic Analysis and is subject to revision.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8"/>
        </w:numPr>
        <w:rPr>
          <w:rFonts w:ascii="Arial" w:cs="Arial" w:eastAsia="Arial" w:hAnsi="Arial"/>
          <w:sz w:val="9"/>
          <w:szCs w:val="9"/>
          <w:color w:val="auto"/>
        </w:rPr>
      </w:pPr>
      <w:r>
        <w:rPr>
          <w:rFonts w:ascii="Arial" w:cs="Arial" w:eastAsia="Arial" w:hAnsi="Arial"/>
          <w:sz w:val="14"/>
          <w:szCs w:val="14"/>
          <w:color w:val="auto"/>
        </w:rPr>
        <w:t>According to the U.S. Bureau of Labor Statistics and subject to revision.</w:t>
      </w:r>
    </w:p>
    <w:p>
      <w:pPr>
        <w:spacing w:after="0" w:line="95"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U.S. gross domestic product (“GDP”) increased by 2.2% in the second quarter of 2026. Bureau of Economic Analysis GDP data for the third quarter of 2026 was not available at the time of filing this report. We expect GDP growth to continue in the second half of 2026. The unemployment rate was 4.2% as of the end of both the third quarter and the second quarter of 2026. We expect the unemployment rate to remain relatively stable in the fourth quarter of 2026.</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impact of trade, fiscal, monetary, regulatory, and immigration policies is uncertain and could materially impact our outlook for interest rates, home price growth, economic growth, and the unemployment rate. Our housing and economic outlook also could be affected by the impact of geopolitical events, including the continuation or worsening of the conflict in the Middle East. See “Risk Factors—Credit Risk” and “Risk Factors—Market and Industry Risk” in our 2025 Form 10-K for discussion of risks to our business and financial results associated with interest rates, home prices, economic conditions, and geopolitical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391160</wp:posOffset>
            </wp:positionV>
            <wp:extent cx="7007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40" w:type="dxa"/>
            <w:vAlign w:val="bottom"/>
          </w:tcPr>
          <w:p>
            <w:pPr>
              <w:jc w:val="right"/>
              <w:ind w:right="51"/>
              <w:spacing w:after="0"/>
              <w:rPr>
                <w:sz w:val="20"/>
                <w:szCs w:val="20"/>
                <w:color w:val="auto"/>
              </w:rPr>
            </w:pPr>
            <w:r>
              <w:rPr>
                <w:rFonts w:ascii="Arial" w:cs="Arial" w:eastAsia="Arial" w:hAnsi="Arial"/>
                <w:sz w:val="14"/>
                <w:szCs w:val="14"/>
                <w:color w:val="05314D"/>
              </w:rPr>
              <w:t>4</w:t>
            </w:r>
          </w:p>
        </w:tc>
      </w:tr>
      <w:tr>
        <w:trPr>
          <w:trHeight w:val="207"/>
        </w:trPr>
        <w:tc>
          <w:tcPr>
            <w:tcW w:w="6900" w:type="dxa"/>
            <w:vAlign w:val="bottom"/>
            <w:tcBorders>
              <w:bottom w:val="single" w:sz="8" w:color="9A9A9A"/>
            </w:tcBorders>
          </w:tcPr>
          <w:p>
            <w:pPr>
              <w:spacing w:after="0"/>
              <w:rPr>
                <w:sz w:val="17"/>
                <w:szCs w:val="17"/>
                <w:color w:val="auto"/>
              </w:rPr>
            </w:pPr>
          </w:p>
        </w:tc>
        <w:tc>
          <w:tcPr>
            <w:tcW w:w="4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7" w:name="page8"/>
    <w:bookmarkEnd w:id="7"/>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section discusses our condensed consolidated results of operations and should be read together with our condensed consolidated financial statements and the accompanying notes.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7"/>
              </w:rPr>
              <w:t>For the Three Months Ended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For the Nine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760" w:type="dxa"/>
            <w:vAlign w:val="bottom"/>
            <w:tcBorders>
              <w:top w:val="single" w:sz="8" w:color="2C6937"/>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2C6937"/>
              <w:bottom w:val="single" w:sz="8" w:color="2C6937"/>
            </w:tcBorders>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76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top w:val="single" w:sz="8" w:color="2C6937"/>
              <w:bottom w:val="single" w:sz="8" w:color="2C6937"/>
            </w:tcBorders>
          </w:tcPr>
          <w:p>
            <w:pPr>
              <w:spacing w:after="0"/>
              <w:rPr>
                <w:sz w:val="17"/>
                <w:szCs w:val="17"/>
                <w:color w:val="auto"/>
              </w:rPr>
            </w:pPr>
          </w:p>
        </w:tc>
        <w:tc>
          <w:tcPr>
            <w:tcW w:w="860" w:type="dxa"/>
            <w:vAlign w:val="bottom"/>
            <w:tcBorders>
              <w:top w:val="single" w:sz="8" w:color="2C6937"/>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2C6937"/>
              <w:bottom w:val="single" w:sz="8" w:color="2C6937"/>
            </w:tcBorders>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76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ind w:right="143"/>
              <w:spacing w:after="0"/>
              <w:rPr>
                <w:sz w:val="20"/>
                <w:szCs w:val="20"/>
                <w:color w:val="auto"/>
              </w:rPr>
            </w:pPr>
            <w:r>
              <w:rPr>
                <w:rFonts w:ascii="Arial" w:cs="Arial" w:eastAsia="Arial" w:hAnsi="Arial"/>
                <w:sz w:val="14"/>
                <w:szCs w:val="14"/>
                <w:b w:val="1"/>
                <w:bCs w:val="1"/>
                <w:color w:val="auto"/>
              </w:rPr>
              <w:t>Variance</w:t>
            </w:r>
          </w:p>
        </w:tc>
      </w:tr>
      <w:tr>
        <w:trPr>
          <w:trHeight w:val="198"/>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2"/>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20"/>
                <w:szCs w:val="20"/>
                <w:color w:val="auto"/>
                <w:vertAlign w:val="superscript"/>
              </w:rPr>
              <w:t>(1)</w:t>
            </w:r>
          </w:p>
        </w:tc>
        <w:tc>
          <w:tcPr>
            <w:tcW w:w="220" w:type="dxa"/>
            <w:vAlign w:val="bottom"/>
          </w:tcPr>
          <w:p>
            <w:pPr>
              <w:jc w:val="right"/>
              <w:ind w:right="46"/>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7,559</w:t>
            </w:r>
          </w:p>
        </w:tc>
        <w:tc>
          <w:tcPr>
            <w:tcW w:w="80" w:type="dxa"/>
            <w:vAlign w:val="bottom"/>
          </w:tcPr>
          <w:p>
            <w:pPr>
              <w:spacing w:after="0"/>
              <w:rPr>
                <w:sz w:val="20"/>
                <w:szCs w:val="20"/>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7,184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22,250</w:t>
            </w:r>
          </w:p>
        </w:tc>
        <w:tc>
          <w:tcPr>
            <w:tcW w:w="100" w:type="dxa"/>
            <w:vAlign w:val="bottom"/>
          </w:tcPr>
          <w:p>
            <w:pPr>
              <w:spacing w:after="0"/>
              <w:rPr>
                <w:sz w:val="20"/>
                <w:szCs w:val="20"/>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21,340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910</w:t>
            </w:r>
          </w:p>
        </w:tc>
      </w:tr>
      <w:tr>
        <w:trPr>
          <w:trHeight w:val="208"/>
        </w:trPr>
        <w:tc>
          <w:tcPr>
            <w:tcW w:w="4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92</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246</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293</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w:t>
            </w:r>
          </w:p>
        </w:tc>
      </w:tr>
      <w:tr>
        <w:trPr>
          <w:trHeight w:val="218"/>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2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7,651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22,496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21,633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863</w:t>
            </w:r>
          </w:p>
        </w:tc>
      </w:tr>
      <w:tr>
        <w:trPr>
          <w:trHeight w:val="219"/>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22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630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328</w:t>
            </w:r>
          </w:p>
        </w:tc>
      </w:tr>
      <w:tr>
        <w:trPr>
          <w:trHeight w:val="213"/>
        </w:trPr>
        <w:tc>
          <w:tcPr>
            <w:tcW w:w="4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Investment gains (losses), net</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94</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(130)</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(230)</w:t>
            </w:r>
          </w:p>
        </w:tc>
      </w:tr>
      <w:tr>
        <w:trPr>
          <w:trHeight w:val="218"/>
        </w:trPr>
        <w:tc>
          <w:tcPr>
            <w:tcW w:w="4860" w:type="dxa"/>
            <w:vAlign w:val="bottom"/>
            <w:gridSpan w:val="2"/>
          </w:tcPr>
          <w:p>
            <w:pPr>
              <w:ind w:left="120"/>
              <w:spacing w:after="0"/>
              <w:rPr>
                <w:sz w:val="20"/>
                <w:szCs w:val="20"/>
                <w:color w:val="auto"/>
              </w:rPr>
            </w:pPr>
            <w:r>
              <w:rPr>
                <w:rFonts w:ascii="Arial" w:cs="Arial" w:eastAsia="Arial" w:hAnsi="Arial"/>
                <w:sz w:val="15"/>
                <w:szCs w:val="15"/>
                <w:color w:val="auto"/>
              </w:rPr>
              <w:t>Other gains (losses), net</w:t>
            </w:r>
          </w:p>
        </w:tc>
        <w:tc>
          <w:tcPr>
            <w:tcW w:w="2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545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219"/>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(Provision) benefit for credit losses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(1,140)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(1,902)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(594)</w:t>
            </w:r>
          </w:p>
        </w:tc>
      </w:tr>
      <w:tr>
        <w:trPr>
          <w:trHeight w:val="211"/>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2"/>
        </w:trPr>
        <w:tc>
          <w:tcPr>
            <w:tcW w:w="4860" w:type="dxa"/>
            <w:vAlign w:val="bottom"/>
            <w:gridSpan w:val="2"/>
          </w:tcPr>
          <w:p>
            <w:pPr>
              <w:ind w:left="14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20"/>
                <w:szCs w:val="20"/>
                <w:color w:val="auto"/>
                <w:vertAlign w:val="superscript"/>
              </w:rPr>
              <w:t>(2)</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(784)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(2,340)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318</w:t>
            </w:r>
          </w:p>
        </w:tc>
      </w:tr>
      <w:tr>
        <w:trPr>
          <w:trHeight w:val="219"/>
        </w:trPr>
        <w:tc>
          <w:tcPr>
            <w:tcW w:w="4860" w:type="dxa"/>
            <w:vAlign w:val="bottom"/>
            <w:gridSpan w:val="2"/>
          </w:tcPr>
          <w:p>
            <w:pPr>
              <w:ind w:left="140"/>
              <w:spacing w:after="0" w:line="219" w:lineRule="exact"/>
              <w:rPr>
                <w:sz w:val="20"/>
                <w:szCs w:val="20"/>
                <w:color w:val="auto"/>
              </w:rPr>
            </w:pPr>
            <w:r>
              <w:rPr>
                <w:rFonts w:ascii="Arial" w:cs="Arial" w:eastAsia="Arial" w:hAnsi="Arial"/>
                <w:sz w:val="15"/>
                <w:szCs w:val="15"/>
                <w:color w:val="auto"/>
              </w:rPr>
              <w:t>Legislative assessments</w:t>
            </w:r>
            <w:r>
              <w:rPr>
                <w:rFonts w:ascii="Arial" w:cs="Arial" w:eastAsia="Arial" w:hAnsi="Arial"/>
                <w:sz w:val="20"/>
                <w:szCs w:val="20"/>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(2,789)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19"/>
        </w:trPr>
        <w:tc>
          <w:tcPr>
            <w:tcW w:w="4860" w:type="dxa"/>
            <w:vAlign w:val="bottom"/>
            <w:gridSpan w:val="2"/>
          </w:tcPr>
          <w:p>
            <w:pPr>
              <w:ind w:left="120"/>
              <w:spacing w:after="0" w:line="219"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198</w:t>
            </w:r>
          </w:p>
        </w:tc>
      </w:tr>
      <w:tr>
        <w:trPr>
          <w:trHeight w:val="208"/>
        </w:trPr>
        <w:tc>
          <w:tcPr>
            <w:tcW w:w="4760" w:type="dxa"/>
            <w:vAlign w:val="bottom"/>
            <w:tcBorders>
              <w:bottom w:val="single" w:sz="8" w:color="2C6937"/>
            </w:tcBorders>
          </w:tcPr>
          <w:p>
            <w:pPr>
              <w:ind w:left="120"/>
              <w:spacing w:after="0" w:line="207"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20"/>
                <w:szCs w:val="20"/>
                <w:color w:val="auto"/>
                <w:vertAlign w:val="superscript"/>
              </w:rPr>
              <w:t>(5)</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(44)</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(155)</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(440)</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285</w:t>
            </w:r>
          </w:p>
        </w:tc>
      </w:tr>
      <w:tr>
        <w:trPr>
          <w:trHeight w:val="212"/>
        </w:trPr>
        <w:tc>
          <w:tcPr>
            <w:tcW w:w="476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(2,123)</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(2,267)</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144</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(6,374)</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(7,199)</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825</w:t>
            </w:r>
          </w:p>
        </w:tc>
      </w:tr>
      <w:tr>
        <w:trPr>
          <w:trHeight w:val="218"/>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5,112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14,765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1,192</w:t>
            </w:r>
          </w:p>
        </w:tc>
      </w:tr>
      <w:tr>
        <w:trPr>
          <w:trHeight w:val="213"/>
        </w:trPr>
        <w:tc>
          <w:tcPr>
            <w:tcW w:w="4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(935)</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(976)</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(2,886)</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(2,736)</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(150)</w:t>
            </w:r>
          </w:p>
        </w:tc>
      </w:tr>
      <w:tr>
        <w:trPr>
          <w:trHeight w:val="218"/>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Net income</w:t>
            </w:r>
          </w:p>
        </w:tc>
        <w:tc>
          <w:tcPr>
            <w:tcW w:w="2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4,177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11,879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10,837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1,042</w:t>
            </w:r>
          </w:p>
        </w:tc>
      </w:tr>
      <w:tr>
        <w:trPr>
          <w:trHeight w:val="213"/>
        </w:trPr>
        <w:tc>
          <w:tcPr>
            <w:tcW w:w="4760" w:type="dxa"/>
            <w:vAlign w:val="bottom"/>
            <w:tcBorders>
              <w:bottom w:val="single" w:sz="8" w:color="2C6937"/>
            </w:tcBorders>
          </w:tcPr>
          <w:p>
            <w:pPr>
              <w:ind w:left="20"/>
              <w:spacing w:after="0" w:line="212" w:lineRule="exact"/>
              <w:rPr>
                <w:sz w:val="20"/>
                <w:szCs w:val="20"/>
                <w:color w:val="auto"/>
              </w:rPr>
            </w:pPr>
            <w:r>
              <w:rPr>
                <w:rFonts w:ascii="Arial" w:cs="Arial" w:eastAsia="Arial" w:hAnsi="Arial"/>
                <w:sz w:val="15"/>
                <w:szCs w:val="15"/>
                <w:color w:val="auto"/>
              </w:rPr>
              <w:t>Other comprehensive income (loss)</w:t>
            </w:r>
            <w:r>
              <w:rPr>
                <w:rFonts w:ascii="Arial" w:cs="Arial" w:eastAsia="Arial" w:hAnsi="Arial"/>
                <w:sz w:val="20"/>
                <w:szCs w:val="20"/>
                <w:color w:val="auto"/>
                <w:vertAlign w:val="superscript"/>
              </w:rPr>
              <w:t>(6)</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(1,037)</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(1,027)</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(1,254)</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(1,245)</w:t>
            </w:r>
          </w:p>
        </w:tc>
      </w:tr>
      <w:tr>
        <w:trPr>
          <w:trHeight w:val="212"/>
        </w:trPr>
        <w:tc>
          <w:tcPr>
            <w:tcW w:w="4860" w:type="dxa"/>
            <w:vAlign w:val="bottom"/>
            <w:gridSpan w:val="2"/>
          </w:tcPr>
          <w:p>
            <w:pPr>
              <w:ind w:left="120"/>
              <w:spacing w:after="0"/>
              <w:rPr>
                <w:sz w:val="20"/>
                <w:szCs w:val="20"/>
                <w:color w:val="auto"/>
              </w:rPr>
            </w:pPr>
            <w:r>
              <w:rPr>
                <w:rFonts w:ascii="Arial" w:cs="Arial" w:eastAsia="Arial" w:hAnsi="Arial"/>
                <w:sz w:val="15"/>
                <w:szCs w:val="15"/>
                <w:color w:val="auto"/>
              </w:rPr>
              <w:t>Total comprehensive income</w:t>
            </w:r>
          </w:p>
        </w:tc>
        <w:tc>
          <w:tcPr>
            <w:tcW w:w="220" w:type="dxa"/>
            <w:vAlign w:val="bottom"/>
          </w:tcPr>
          <w:p>
            <w:pPr>
              <w:jc w:val="right"/>
              <w:ind w:right="46"/>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3,140</w:t>
            </w:r>
          </w:p>
        </w:tc>
        <w:tc>
          <w:tcPr>
            <w:tcW w:w="8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3,849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10,625</w:t>
            </w:r>
          </w:p>
        </w:tc>
        <w:tc>
          <w:tcPr>
            <w:tcW w:w="10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10,828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(203)</w:t>
            </w:r>
          </w:p>
        </w:tc>
      </w:tr>
      <w:tr>
        <w:trPr>
          <w:trHeight w:val="20"/>
        </w:trPr>
        <w:tc>
          <w:tcPr>
            <w:tcW w:w="4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180" w:hanging="237"/>
        <w:spacing w:after="0" w:line="244" w:lineRule="auto"/>
        <w:tabs>
          <w:tab w:leader="none" w:pos="233"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Includes net interest income generated by the 10 basis point guaranty fee increase we implemented pursuant to the Temporary Payroll Tax Cut Continuation Act of 2011 (“TCCA”), and as extended by the Infrastructure Investment and Jobs Act, which is paid to Treasury and not retained by us. We refer to this as TCCA fees, or income related to TCCA.</w:t>
      </w:r>
    </w:p>
    <w:p>
      <w:pPr>
        <w:ind w:left="220" w:hanging="217"/>
        <w:spacing w:after="0"/>
        <w:tabs>
          <w:tab w:leader="none" w:pos="22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Consists of TCCA fees, affordable housing allocations and FHFA assessments.</w:t>
      </w:r>
    </w:p>
    <w:p>
      <w:pPr>
        <w:spacing w:after="0" w:line="25" w:lineRule="exact"/>
        <w:rPr>
          <w:rFonts w:ascii="Arial" w:cs="Arial" w:eastAsia="Arial" w:hAnsi="Arial"/>
          <w:sz w:val="18"/>
          <w:szCs w:val="18"/>
          <w:color w:val="auto"/>
          <w:vertAlign w:val="superscript"/>
        </w:rPr>
      </w:pPr>
    </w:p>
    <w:p>
      <w:pPr>
        <w:ind w:left="240" w:right="100" w:hanging="237"/>
        <w:spacing w:after="0" w:line="239" w:lineRule="auto"/>
        <w:tabs>
          <w:tab w:leader="none" w:pos="233" w:val="left"/>
        </w:tabs>
        <w:numPr>
          <w:ilvl w:val="0"/>
          <w:numId w:val="9"/>
        </w:numPr>
        <w:rPr>
          <w:rFonts w:ascii="Arial" w:cs="Arial" w:eastAsia="Arial" w:hAnsi="Arial"/>
          <w:sz w:val="9"/>
          <w:szCs w:val="9"/>
          <w:color w:val="auto"/>
        </w:rPr>
      </w:pPr>
      <w:r>
        <w:rPr>
          <w:rFonts w:ascii="Arial" w:cs="Arial" w:eastAsia="Arial" w:hAnsi="Arial"/>
          <w:sz w:val="14"/>
          <w:szCs w:val="14"/>
          <w:color w:val="auto"/>
        </w:rPr>
        <w:t>Single-family credit enhancement expense consists of costs associated with our freestanding credit enhancements, which primarily include our Connecticut Avenue Securities</w:t>
      </w:r>
      <w:r>
        <w:rPr>
          <w:rFonts w:ascii="Arial" w:cs="Arial" w:eastAsia="Arial" w:hAnsi="Arial"/>
          <w:sz w:val="8"/>
          <w:szCs w:val="8"/>
          <w:color w:val="auto"/>
        </w:rPr>
        <w:t>®</w:t>
      </w:r>
      <w:r>
        <w:rPr>
          <w:rFonts w:ascii="Arial" w:cs="Arial" w:eastAsia="Arial" w:hAnsi="Arial"/>
          <w:sz w:val="14"/>
          <w:szCs w:val="14"/>
          <w:color w:val="auto"/>
        </w:rPr>
        <w:t xml:space="preserve"> (“CAS”) and Credit Insurance Risk Transfer™ (“CIRT</w:t>
      </w:r>
      <w:r>
        <w:rPr>
          <w:rFonts w:ascii="Arial" w:cs="Arial" w:eastAsia="Arial" w:hAnsi="Arial"/>
          <w:sz w:val="8"/>
          <w:szCs w:val="8"/>
          <w:color w:val="auto"/>
        </w:rPr>
        <w:t>TM</w:t>
      </w:r>
      <w:r>
        <w:rPr>
          <w:rFonts w:ascii="Arial" w:cs="Arial" w:eastAsia="Arial" w:hAnsi="Arial"/>
          <w:sz w:val="14"/>
          <w:szCs w:val="14"/>
          <w:color w:val="auto"/>
        </w:rPr>
        <w:t>”) programs, enterprise-paid mortgage insurance (“EPMI”) and certain lender risk-sharing programs. Multifamily credit enhancement expense 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15" w:lineRule="exact"/>
        <w:rPr>
          <w:rFonts w:ascii="Arial" w:cs="Arial" w:eastAsia="Arial" w:hAnsi="Arial"/>
          <w:sz w:val="9"/>
          <w:szCs w:val="9"/>
          <w:color w:val="auto"/>
        </w:rPr>
      </w:pPr>
    </w:p>
    <w:p>
      <w:pPr>
        <w:ind w:left="240" w:right="540" w:hanging="237"/>
        <w:spacing w:after="0" w:line="275" w:lineRule="auto"/>
        <w:tabs>
          <w:tab w:leader="none" w:pos="233" w:val="left"/>
        </w:tabs>
        <w:numPr>
          <w:ilvl w:val="0"/>
          <w:numId w:val="9"/>
        </w:numPr>
        <w:rPr>
          <w:rFonts w:ascii="Arial" w:cs="Arial" w:eastAsia="Arial" w:hAnsi="Arial"/>
          <w:sz w:val="9"/>
          <w:szCs w:val="9"/>
          <w:color w:val="auto"/>
        </w:rPr>
      </w:pPr>
      <w:r>
        <w:rPr>
          <w:rFonts w:ascii="Arial" w:cs="Arial" w:eastAsia="Arial" w:hAnsi="Arial"/>
          <w:sz w:val="14"/>
          <w:szCs w:val="14"/>
          <w:color w:val="auto"/>
        </w:rPr>
        <w:t>Primarily consists of foreclosed property income (expense), change in the expected benefits from our freestanding credit enhancements, and gains (losses) from partnership investments.</w:t>
      </w:r>
    </w:p>
    <w:p>
      <w:pPr>
        <w:ind w:left="220" w:hanging="217"/>
        <w:spacing w:after="0"/>
        <w:tabs>
          <w:tab w:leader="none" w:pos="22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Primarily consists of unrealized gains (losses) on our available-for-sale (“AFS”) U.S. Treasury security investments.</w:t>
      </w:r>
    </w:p>
    <w:p>
      <w:pPr>
        <w:spacing w:after="0" w:line="9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Net Interest Income</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Overview</w:t>
      </w:r>
    </w:p>
    <w:p>
      <w:pPr>
        <w:spacing w:after="0" w:line="10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primary source of net interest income is guaranty fees we receive for assuming the credit risk on mortgage loans underlying Fannie Mae MBS held by third parties in our guaranty book of business. We also recognize net interest income on the difference between interest income earned on the assets in our retained mortgage portfolio and our corporate liquidity portfolio (collectively, our “portfolios”) and the interest expense associated with our funding debt. In addition, income or expense from hedge accounting is a component of our net interest income. See “MD&amp;A—Consolidated Results of Operations—Net Interest Income” in our 2025 Form 10-K for more information about the sources of our 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391160</wp:posOffset>
            </wp:positionV>
            <wp:extent cx="7007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40" w:type="dxa"/>
            <w:vAlign w:val="bottom"/>
          </w:tcPr>
          <w:p>
            <w:pPr>
              <w:jc w:val="right"/>
              <w:ind w:right="51"/>
              <w:spacing w:after="0"/>
              <w:rPr>
                <w:sz w:val="20"/>
                <w:szCs w:val="20"/>
                <w:color w:val="auto"/>
              </w:rPr>
            </w:pPr>
            <w:r>
              <w:rPr>
                <w:rFonts w:ascii="Arial" w:cs="Arial" w:eastAsia="Arial" w:hAnsi="Arial"/>
                <w:sz w:val="14"/>
                <w:szCs w:val="14"/>
                <w:color w:val="05314D"/>
              </w:rPr>
              <w:t>5</w:t>
            </w:r>
          </w:p>
        </w:tc>
      </w:tr>
      <w:tr>
        <w:trPr>
          <w:trHeight w:val="207"/>
        </w:trPr>
        <w:tc>
          <w:tcPr>
            <w:tcW w:w="6900" w:type="dxa"/>
            <w:vAlign w:val="bottom"/>
            <w:tcBorders>
              <w:bottom w:val="single" w:sz="8" w:color="9A9A9A"/>
            </w:tcBorders>
          </w:tcPr>
          <w:p>
            <w:pPr>
              <w:spacing w:after="0"/>
              <w:rPr>
                <w:sz w:val="17"/>
                <w:szCs w:val="17"/>
                <w:color w:val="auto"/>
              </w:rPr>
            </w:pPr>
          </w:p>
        </w:tc>
        <w:tc>
          <w:tcPr>
            <w:tcW w:w="4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8" w:name="page9"/>
    <w:bookmarkEnd w:id="8"/>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Components of Net Interest Income</w:t>
      </w:r>
    </w:p>
    <w:p>
      <w:pPr>
        <w:spacing w:after="0" w:line="106"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The table below displays the components of our net interest income from our guaranty book of business, from our portfolios, as well as from hedge accounting.</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2" w:lineRule="exact"/>
        <w:rPr>
          <w:sz w:val="20"/>
          <w:szCs w:val="20"/>
          <w:color w:val="auto"/>
        </w:rPr>
      </w:pPr>
    </w:p>
    <w:tbl>
      <w:tblPr>
        <w:tblLayout w:type="fixed"/>
        <w:tblInd w:w="4380" w:type="dxa"/>
        <w:tblCellMar>
          <w:top w:w="0" w:type="dxa"/>
          <w:left w:w="0" w:type="dxa"/>
          <w:bottom w:w="0" w:type="dxa"/>
          <w:right w:w="0" w:type="dxa"/>
        </w:tblCellMar>
      </w:tblPr>
      <w:tr>
        <w:trPr>
          <w:trHeight w:val="172"/>
        </w:trPr>
        <w:tc>
          <w:tcPr>
            <w:tcW w:w="2220" w:type="dxa"/>
            <w:vAlign w:val="bottom"/>
            <w:gridSpan w:val="2"/>
          </w:tcPr>
          <w:p>
            <w:pPr>
              <w:jc w:val="center"/>
              <w:spacing w:after="0"/>
              <w:rPr>
                <w:sz w:val="20"/>
                <w:szCs w:val="20"/>
                <w:color w:val="auto"/>
              </w:rPr>
            </w:pPr>
            <w:r>
              <w:rPr>
                <w:rFonts w:ascii="Arial" w:cs="Arial" w:eastAsia="Arial" w:hAnsi="Arial"/>
                <w:sz w:val="15"/>
                <w:szCs w:val="15"/>
                <w:b w:val="1"/>
                <w:bCs w:val="1"/>
                <w:color w:val="auto"/>
              </w:rPr>
              <w:t>For the Three Months Ended</w:t>
            </w:r>
          </w:p>
        </w:tc>
        <w:tc>
          <w:tcPr>
            <w:tcW w:w="1260" w:type="dxa"/>
            <w:vAlign w:val="bottom"/>
          </w:tcPr>
          <w:p>
            <w:pPr>
              <w:spacing w:after="0"/>
              <w:rPr>
                <w:sz w:val="14"/>
                <w:szCs w:val="14"/>
                <w:color w:val="auto"/>
              </w:rPr>
            </w:pPr>
          </w:p>
        </w:tc>
        <w:tc>
          <w:tcPr>
            <w:tcW w:w="2220" w:type="dxa"/>
            <w:vAlign w:val="bottom"/>
            <w:gridSpan w:val="2"/>
          </w:tcPr>
          <w:p>
            <w:pPr>
              <w:jc w:val="center"/>
              <w:spacing w:after="0"/>
              <w:rPr>
                <w:sz w:val="20"/>
                <w:szCs w:val="20"/>
                <w:color w:val="auto"/>
              </w:rPr>
            </w:pPr>
            <w:r>
              <w:rPr>
                <w:rFonts w:ascii="Arial" w:cs="Arial" w:eastAsia="Arial" w:hAnsi="Arial"/>
                <w:sz w:val="15"/>
                <w:szCs w:val="15"/>
                <w:b w:val="1"/>
                <w:bCs w:val="1"/>
                <w:color w:val="auto"/>
              </w:rPr>
              <w:t>For the Nine Months Ended</w:t>
            </w:r>
          </w:p>
        </w:tc>
        <w:tc>
          <w:tcPr>
            <w:tcW w:w="1160" w:type="dxa"/>
            <w:vAlign w:val="bottom"/>
          </w:tcPr>
          <w:p>
            <w:pPr>
              <w:spacing w:after="0"/>
              <w:rPr>
                <w:sz w:val="14"/>
                <w:szCs w:val="14"/>
                <w:color w:val="auto"/>
              </w:rPr>
            </w:pPr>
          </w:p>
        </w:tc>
      </w:tr>
      <w:tr>
        <w:trPr>
          <w:trHeight w:val="206"/>
        </w:trPr>
        <w:tc>
          <w:tcPr>
            <w:tcW w:w="222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September 30,</w:t>
            </w:r>
          </w:p>
        </w:tc>
        <w:tc>
          <w:tcPr>
            <w:tcW w:w="1260" w:type="dxa"/>
            <w:vAlign w:val="bottom"/>
          </w:tcPr>
          <w:p>
            <w:pPr>
              <w:spacing w:after="0"/>
              <w:rPr>
                <w:sz w:val="17"/>
                <w:szCs w:val="17"/>
                <w:color w:val="auto"/>
              </w:rPr>
            </w:pPr>
          </w:p>
        </w:tc>
        <w:tc>
          <w:tcPr>
            <w:tcW w:w="222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September 30,</w:t>
            </w:r>
          </w:p>
        </w:tc>
        <w:tc>
          <w:tcPr>
            <w:tcW w:w="1160" w:type="dxa"/>
            <w:vAlign w:val="bottom"/>
          </w:tcPr>
          <w:p>
            <w:pPr>
              <w:spacing w:after="0"/>
              <w:rPr>
                <w:sz w:val="17"/>
                <w:szCs w:val="17"/>
                <w:color w:val="auto"/>
              </w:rPr>
            </w:pPr>
          </w:p>
        </w:tc>
      </w:tr>
      <w:tr>
        <w:trPr>
          <w:trHeight w:val="212"/>
        </w:trPr>
        <w:tc>
          <w:tcPr>
            <w:tcW w:w="110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2026</w:t>
            </w:r>
          </w:p>
        </w:tc>
        <w:tc>
          <w:tcPr>
            <w:tcW w:w="112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2025</w:t>
            </w:r>
          </w:p>
        </w:tc>
        <w:tc>
          <w:tcPr>
            <w:tcW w:w="1260" w:type="dxa"/>
            <w:vAlign w:val="bottom"/>
            <w:tcBorders>
              <w:bottom w:val="single" w:sz="8" w:color="2C6937"/>
            </w:tcBorders>
          </w:tcPr>
          <w:p>
            <w:pPr>
              <w:ind w:left="300"/>
              <w:spacing w:after="0"/>
              <w:rPr>
                <w:sz w:val="20"/>
                <w:szCs w:val="20"/>
                <w:color w:val="auto"/>
              </w:rPr>
            </w:pPr>
            <w:r>
              <w:rPr>
                <w:rFonts w:ascii="Arial" w:cs="Arial" w:eastAsia="Arial" w:hAnsi="Arial"/>
                <w:sz w:val="15"/>
                <w:szCs w:val="15"/>
                <w:b w:val="1"/>
                <w:bCs w:val="1"/>
                <w:color w:val="auto"/>
              </w:rPr>
              <w:t>Variance</w:t>
            </w:r>
          </w:p>
        </w:tc>
        <w:tc>
          <w:tcPr>
            <w:tcW w:w="110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2026</w:t>
            </w:r>
          </w:p>
        </w:tc>
        <w:tc>
          <w:tcPr>
            <w:tcW w:w="112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2025</w:t>
            </w:r>
          </w:p>
        </w:tc>
        <w:tc>
          <w:tcPr>
            <w:tcW w:w="1160" w:type="dxa"/>
            <w:vAlign w:val="bottom"/>
            <w:tcBorders>
              <w:bottom w:val="single" w:sz="8" w:color="2C6937"/>
            </w:tcBorders>
          </w:tcPr>
          <w:p>
            <w:pPr>
              <w:ind w:left="320"/>
              <w:spacing w:after="0"/>
              <w:rPr>
                <w:sz w:val="20"/>
                <w:szCs w:val="20"/>
                <w:color w:val="auto"/>
              </w:rPr>
            </w:pPr>
            <w:r>
              <w:rPr>
                <w:rFonts w:ascii="Arial" w:cs="Arial" w:eastAsia="Arial" w:hAnsi="Arial"/>
                <w:sz w:val="15"/>
                <w:szCs w:val="15"/>
                <w:b w:val="1"/>
                <w:bCs w:val="1"/>
                <w:color w:val="auto"/>
              </w:rPr>
              <w:t>Variance</w:t>
            </w:r>
          </w:p>
        </w:tc>
      </w:tr>
    </w:tbl>
    <w:p>
      <w:pPr>
        <w:spacing w:after="0" w:line="102" w:lineRule="exact"/>
        <w:rPr>
          <w:sz w:val="20"/>
          <w:szCs w:val="20"/>
          <w:color w:val="auto"/>
        </w:rPr>
      </w:pPr>
    </w:p>
    <w:p>
      <w:pPr>
        <w:ind w:left="7100"/>
        <w:spacing w:after="0"/>
        <w:rPr>
          <w:sz w:val="20"/>
          <w:szCs w:val="20"/>
          <w:color w:val="auto"/>
        </w:rPr>
      </w:pPr>
      <w:r>
        <w:rPr>
          <w:rFonts w:ascii="Arial" w:cs="Arial" w:eastAsia="Arial" w:hAnsi="Arial"/>
          <w:sz w:val="15"/>
          <w:szCs w:val="15"/>
          <w:b w:val="1"/>
          <w:bCs w:val="1"/>
          <w:color w:val="auto"/>
        </w:rPr>
        <w:t>(Dollars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8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interest income from guaranty book of business: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58"/>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excluding TCCA</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4,322</w:t>
            </w:r>
          </w:p>
        </w:tc>
        <w:tc>
          <w:tcPr>
            <w:tcW w:w="100" w:type="dxa"/>
            <w:vAlign w:val="bottom"/>
          </w:tcPr>
          <w:p>
            <w:pPr>
              <w:spacing w:after="0"/>
              <w:rPr>
                <w:sz w:val="22"/>
                <w:szCs w:val="22"/>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4,263</w:t>
            </w:r>
          </w:p>
        </w:tc>
        <w:tc>
          <w:tcPr>
            <w:tcW w:w="100" w:type="dxa"/>
            <w:vAlign w:val="bottom"/>
          </w:tcPr>
          <w:p>
            <w:pPr>
              <w:spacing w:after="0"/>
              <w:rPr>
                <w:sz w:val="22"/>
                <w:szCs w:val="22"/>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2"/>
                <w:szCs w:val="22"/>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12,898</w:t>
            </w:r>
          </w:p>
        </w:tc>
        <w:tc>
          <w:tcPr>
            <w:tcW w:w="100" w:type="dxa"/>
            <w:vAlign w:val="bottom"/>
          </w:tcPr>
          <w:p>
            <w:pPr>
              <w:spacing w:after="0"/>
              <w:rPr>
                <w:sz w:val="22"/>
                <w:szCs w:val="22"/>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12,694</w:t>
            </w:r>
          </w:p>
        </w:tc>
        <w:tc>
          <w:tcPr>
            <w:tcW w:w="100" w:type="dxa"/>
            <w:vAlign w:val="bottom"/>
          </w:tcPr>
          <w:p>
            <w:pPr>
              <w:spacing w:after="0"/>
              <w:rPr>
                <w:sz w:val="22"/>
                <w:szCs w:val="22"/>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204</w:t>
            </w:r>
          </w:p>
        </w:tc>
      </w:tr>
      <w:tr>
        <w:trPr>
          <w:trHeight w:val="245"/>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related to TCCA</w:t>
            </w:r>
          </w:p>
        </w:tc>
        <w:tc>
          <w:tcPr>
            <w:tcW w:w="340" w:type="dxa"/>
            <w:vAlign w:val="bottom"/>
          </w:tcPr>
          <w:p>
            <w:pPr>
              <w:spacing w:after="0"/>
              <w:rPr>
                <w:sz w:val="21"/>
                <w:szCs w:val="21"/>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855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2,552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2,570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13"/>
        </w:trPr>
        <w:tc>
          <w:tcPr>
            <w:tcW w:w="42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deferred guaranty fee income</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868</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794</w:t>
            </w:r>
          </w:p>
        </w:tc>
        <w:tc>
          <w:tcPr>
            <w:tcW w:w="100" w:type="dxa"/>
            <w:vAlign w:val="bottom"/>
          </w:tcPr>
          <w:p>
            <w:pPr>
              <w:spacing w:after="0"/>
              <w:rPr>
                <w:sz w:val="18"/>
                <w:szCs w:val="18"/>
                <w:color w:val="auto"/>
              </w:rPr>
            </w:pPr>
          </w:p>
        </w:tc>
        <w:tc>
          <w:tcPr>
            <w:tcW w:w="4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2,565</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2,396</w:t>
            </w:r>
          </w:p>
        </w:tc>
        <w:tc>
          <w:tcPr>
            <w:tcW w:w="100" w:type="dxa"/>
            <w:vAlign w:val="bottom"/>
          </w:tcPr>
          <w:p>
            <w:pPr>
              <w:spacing w:after="0"/>
              <w:rPr>
                <w:sz w:val="18"/>
                <w:szCs w:val="18"/>
                <w:color w:val="auto"/>
              </w:rPr>
            </w:pPr>
          </w:p>
        </w:tc>
        <w:tc>
          <w:tcPr>
            <w:tcW w:w="4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169</w:t>
            </w:r>
          </w:p>
        </w:tc>
      </w:tr>
      <w:tr>
        <w:trPr>
          <w:trHeight w:val="322"/>
        </w:trPr>
        <w:tc>
          <w:tcPr>
            <w:tcW w:w="4380" w:type="dxa"/>
            <w:vAlign w:val="bottom"/>
            <w:gridSpan w:val="2"/>
          </w:tcPr>
          <w:p>
            <w:pPr>
              <w:ind w:left="320"/>
              <w:spacing w:after="0"/>
              <w:rPr>
                <w:sz w:val="20"/>
                <w:szCs w:val="20"/>
                <w:color w:val="auto"/>
              </w:rPr>
            </w:pPr>
            <w:r>
              <w:rPr>
                <w:rFonts w:ascii="Arial" w:cs="Arial" w:eastAsia="Arial" w:hAnsi="Arial"/>
                <w:sz w:val="15"/>
                <w:szCs w:val="15"/>
                <w:color w:val="auto"/>
              </w:rPr>
              <w:t>Total net interest income from guaranty book of business</w:t>
            </w: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6,040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5,912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18,015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17,660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355</w:t>
            </w:r>
          </w:p>
        </w:tc>
      </w:tr>
      <w:tr>
        <w:trPr>
          <w:trHeight w:val="342"/>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portfolios</w:t>
            </w:r>
            <w:r>
              <w:rPr>
                <w:rFonts w:ascii="Arial" w:cs="Arial" w:eastAsia="Arial" w:hAnsi="Arial"/>
                <w:sz w:val="20"/>
                <w:szCs w:val="20"/>
                <w:color w:val="auto"/>
                <w:vertAlign w:val="superscript"/>
              </w:rPr>
              <w:t>(1)</w:t>
            </w: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1,666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1,417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249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4,716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4,170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546</w:t>
            </w:r>
          </w:p>
        </w:tc>
      </w:tr>
      <w:tr>
        <w:trPr>
          <w:trHeight w:val="218"/>
        </w:trPr>
        <w:tc>
          <w:tcPr>
            <w:tcW w:w="4280" w:type="dxa"/>
            <w:vAlign w:val="bottom"/>
            <w:tcBorders>
              <w:bottom w:val="single" w:sz="8" w:color="2C6937"/>
            </w:tcBorders>
          </w:tcPr>
          <w:p>
            <w:pPr>
              <w:ind w:left="20"/>
              <w:spacing w:after="0" w:line="218" w:lineRule="exact"/>
              <w:rPr>
                <w:sz w:val="20"/>
                <w:szCs w:val="20"/>
                <w:color w:val="auto"/>
              </w:rPr>
            </w:pPr>
            <w:r>
              <w:rPr>
                <w:rFonts w:ascii="Arial" w:cs="Arial" w:eastAsia="Arial" w:hAnsi="Arial"/>
                <w:sz w:val="15"/>
                <w:szCs w:val="15"/>
                <w:color w:val="auto"/>
              </w:rPr>
              <w:t>Income (expense) from hedge accounting</w:t>
            </w:r>
            <w:r>
              <w:rPr>
                <w:rFonts w:ascii="Arial" w:cs="Arial" w:eastAsia="Arial" w:hAnsi="Arial"/>
                <w:sz w:val="20"/>
                <w:szCs w:val="20"/>
                <w:color w:val="auto"/>
                <w:vertAlign w:val="superscript"/>
              </w:rPr>
              <w:t>(2)</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(147)</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(145)</w:t>
            </w:r>
          </w:p>
        </w:tc>
        <w:tc>
          <w:tcPr>
            <w:tcW w:w="100" w:type="dxa"/>
            <w:vAlign w:val="bottom"/>
          </w:tcPr>
          <w:p>
            <w:pPr>
              <w:spacing w:after="0"/>
              <w:rPr>
                <w:sz w:val="18"/>
                <w:szCs w:val="18"/>
                <w:color w:val="auto"/>
              </w:rPr>
            </w:pPr>
          </w:p>
        </w:tc>
        <w:tc>
          <w:tcPr>
            <w:tcW w:w="4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(481)</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(490)</w:t>
            </w:r>
          </w:p>
        </w:tc>
        <w:tc>
          <w:tcPr>
            <w:tcW w:w="100" w:type="dxa"/>
            <w:vAlign w:val="bottom"/>
          </w:tcPr>
          <w:p>
            <w:pPr>
              <w:spacing w:after="0"/>
              <w:rPr>
                <w:sz w:val="18"/>
                <w:szCs w:val="18"/>
                <w:color w:val="auto"/>
              </w:rPr>
            </w:pPr>
          </w:p>
        </w:tc>
        <w:tc>
          <w:tcPr>
            <w:tcW w:w="4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r>
      <w:tr>
        <w:trPr>
          <w:trHeight w:val="289"/>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Total net interest income</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7,559</w:t>
            </w:r>
          </w:p>
        </w:tc>
        <w:tc>
          <w:tcPr>
            <w:tcW w:w="100" w:type="dxa"/>
            <w:vAlign w:val="bottom"/>
          </w:tcPr>
          <w:p>
            <w:pPr>
              <w:spacing w:after="0"/>
              <w:rPr>
                <w:sz w:val="24"/>
                <w:szCs w:val="24"/>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7,184</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375</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22,250</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21,340</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910</w:t>
            </w:r>
          </w:p>
        </w:tc>
      </w:tr>
      <w:tr>
        <w:trPr>
          <w:trHeight w:val="20"/>
        </w:trPr>
        <w:tc>
          <w:tcPr>
            <w:tcW w:w="42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40" w:hanging="237"/>
        <w:spacing w:after="0" w:line="218" w:lineRule="auto"/>
        <w:tabs>
          <w:tab w:leader="none" w:pos="233"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interest income from assets held in our retained mortgage portfolio and our corporate liquidity portfolio, as well as other assets used to support lender liquidity. Also includes interest expense on our funding debt.</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0"/>
        </w:numPr>
        <w:rPr>
          <w:rFonts w:ascii="Arial" w:cs="Arial" w:eastAsia="Arial" w:hAnsi="Arial"/>
          <w:sz w:val="9"/>
          <w:szCs w:val="9"/>
          <w:color w:val="auto"/>
        </w:rPr>
      </w:pPr>
      <w:r>
        <w:rPr>
          <w:rFonts w:ascii="Arial" w:cs="Arial" w:eastAsia="Arial" w:hAnsi="Arial"/>
          <w:sz w:val="14"/>
          <w:szCs w:val="14"/>
          <w:color w:val="auto"/>
        </w:rPr>
        <w:t>For more information about our hedge accounting program, see “Note 9, Derivative Instruments.”</w:t>
      </w:r>
    </w:p>
    <w:p>
      <w:pPr>
        <w:spacing w:after="0" w:line="70"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Net interest income increased by $375 million in the third quarter of 2026 compared with the third quarter of 2025, and by $910 million in the first nine months of 2026 compared with the first nine months of 2025, primarily driven by higher net interest income from portfolios. Higher base guaranty fee income and higher net deferred guaranty fee income also contributed to the increase in net interest income in the first nine months of 2026 compared with the first nine months of 2025.</w:t>
      </w:r>
    </w:p>
    <w:p>
      <w:pPr>
        <w:spacing w:after="0" w:line="33" w:lineRule="exact"/>
        <w:rPr>
          <w:sz w:val="20"/>
          <w:szCs w:val="20"/>
          <w:color w:val="auto"/>
        </w:rPr>
      </w:pPr>
    </w:p>
    <w:p>
      <w:pPr>
        <w:ind w:left="620" w:right="120" w:hanging="307"/>
        <w:spacing w:after="0" w:line="263" w:lineRule="auto"/>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Higher net interest income from portfolios. </w:t>
      </w:r>
      <w:r>
        <w:rPr>
          <w:rFonts w:ascii="Arial" w:cs="Arial" w:eastAsia="Arial" w:hAnsi="Arial"/>
          <w:sz w:val="16"/>
          <w:szCs w:val="16"/>
          <w:color w:val="auto"/>
        </w:rPr>
        <w:t>Higher net interest income from portfolios in the third quarter and first nine months of 2026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third quarter and first nine months of 2025 was primarily driven by higher average balances of our retained mortgage portfolio, reflecting acquisitions of agency MBS during 2026. This increase was partially offset by higher interest expense on funding debt due to higher average balances and lower net interest income from our corporate liquidity portfolio due to lower average balances. See “Retained Mortgage Portfolio” for more information about our retained mortgage portfolio and “Liquidity and Capital Management—Liquidity Management—Corporate Liquidity Portfolio” for more information about our corporate liquidity portfolio.</w:t>
      </w:r>
    </w:p>
    <w:p>
      <w:pPr>
        <w:spacing w:after="0" w:line="40" w:lineRule="exact"/>
        <w:rPr>
          <w:rFonts w:ascii="Arial" w:cs="Arial" w:eastAsia="Arial" w:hAnsi="Arial"/>
          <w:sz w:val="16"/>
          <w:szCs w:val="16"/>
          <w:color w:val="auto"/>
        </w:rPr>
      </w:pPr>
    </w:p>
    <w:p>
      <w:pPr>
        <w:ind w:left="620" w:right="180" w:hanging="307"/>
        <w:spacing w:after="0" w:line="272" w:lineRule="auto"/>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Higher base guaranty fee income. </w:t>
      </w:r>
      <w:r>
        <w:rPr>
          <w:rFonts w:ascii="Arial" w:cs="Arial" w:eastAsia="Arial" w:hAnsi="Arial"/>
          <w:sz w:val="16"/>
          <w:szCs w:val="16"/>
          <w:color w:val="auto"/>
        </w:rPr>
        <w:t>Higher base guaranty fee income in the first nine months of 2026 compared with the first nine months of 2025</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higher average guaranty fees on our single-family conventional guaranty book of business and an increase in the size of our multifamily guaranty book of business.</w:t>
      </w:r>
    </w:p>
    <w:p>
      <w:pPr>
        <w:spacing w:after="0" w:line="44" w:lineRule="exact"/>
        <w:rPr>
          <w:rFonts w:ascii="Arial" w:cs="Arial" w:eastAsia="Arial" w:hAnsi="Arial"/>
          <w:sz w:val="16"/>
          <w:szCs w:val="16"/>
          <w:color w:val="auto"/>
        </w:rPr>
      </w:pPr>
    </w:p>
    <w:p>
      <w:pPr>
        <w:ind w:left="620" w:right="360" w:hanging="307"/>
        <w:spacing w:after="0" w:line="293" w:lineRule="auto"/>
        <w:tabs>
          <w:tab w:leader="none" w:pos="612"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Higher net deferred guaranty fee income</w:t>
      </w:r>
      <w:r>
        <w:rPr>
          <w:rFonts w:ascii="Arial" w:cs="Arial" w:eastAsia="Arial" w:hAnsi="Arial"/>
          <w:sz w:val="16"/>
          <w:szCs w:val="16"/>
          <w:color w:val="auto"/>
        </w:rPr>
        <w:t>. Higher net deferred guaranty fee income in the first nine months of 2026 compared with the first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2025 was largely driven by higher single-family prepayment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367030</wp:posOffset>
            </wp:positionV>
            <wp:extent cx="7007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40" w:type="dxa"/>
            <w:vAlign w:val="bottom"/>
          </w:tcPr>
          <w:p>
            <w:pPr>
              <w:jc w:val="right"/>
              <w:ind w:right="51"/>
              <w:spacing w:after="0"/>
              <w:rPr>
                <w:sz w:val="20"/>
                <w:szCs w:val="20"/>
                <w:color w:val="auto"/>
              </w:rPr>
            </w:pPr>
            <w:r>
              <w:rPr>
                <w:rFonts w:ascii="Arial" w:cs="Arial" w:eastAsia="Arial" w:hAnsi="Arial"/>
                <w:sz w:val="14"/>
                <w:szCs w:val="14"/>
                <w:color w:val="05314D"/>
              </w:rPr>
              <w:t>6</w:t>
            </w:r>
          </w:p>
        </w:tc>
      </w:tr>
      <w:tr>
        <w:trPr>
          <w:trHeight w:val="207"/>
        </w:trPr>
        <w:tc>
          <w:tcPr>
            <w:tcW w:w="6900" w:type="dxa"/>
            <w:vAlign w:val="bottom"/>
            <w:tcBorders>
              <w:bottom w:val="single" w:sz="8" w:color="9A9A9A"/>
            </w:tcBorders>
          </w:tcPr>
          <w:p>
            <w:pPr>
              <w:spacing w:after="0"/>
              <w:rPr>
                <w:sz w:val="17"/>
                <w:szCs w:val="17"/>
                <w:color w:val="auto"/>
              </w:rPr>
            </w:pPr>
          </w:p>
        </w:tc>
        <w:tc>
          <w:tcPr>
            <w:tcW w:w="4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9" w:name="page10"/>
    <w:bookmarkEnd w:id="9"/>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Unamortized Deferred Guaranty Fees</w:t>
      </w:r>
    </w:p>
    <w:p>
      <w:pPr>
        <w:spacing w:after="0" w:line="80"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The following charts present information about the interest rates of the loans in our single-family conventional guaranty book of business as well as information about our deferred guaranty fees.</w:t>
      </w:r>
    </w:p>
    <w:p>
      <w:pPr>
        <w:spacing w:after="0" w:line="1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As shown in the chart below (on the left), substantially all of our single-family conventional guaranty book of business as of September 30, 2026 had an interest rate lower than the U.S. weekly average 30-year fixed-rate mortgage rate. Per Freddie Mac’s Primary Mortgage Market Survey</w:t>
      </w:r>
      <w:r>
        <w:rPr>
          <w:rFonts w:ascii="Arial" w:cs="Arial" w:eastAsia="Arial" w:hAnsi="Arial"/>
          <w:sz w:val="21"/>
          <w:szCs w:val="21"/>
          <w:b w:val="1"/>
          <w:bCs w:val="1"/>
          <w:color w:val="auto"/>
          <w:vertAlign w:val="superscript"/>
        </w:rPr>
        <w:t>®</w:t>
      </w:r>
      <w:r>
        <w:rPr>
          <w:rFonts w:ascii="Arial" w:cs="Arial" w:eastAsia="Arial" w:hAnsi="Arial"/>
          <w:sz w:val="16"/>
          <w:szCs w:val="16"/>
          <w:color w:val="auto"/>
        </w:rPr>
        <w:t>, as of September 24, 2026, the U.S. weekly average interest rate for a single-family 30-year fixed-rate mortgage was 7.03%. Even if interest rates decline to 5%, a majority of the borrowers whose mortgage loans are in our single-family conventional guaranty book of business still would not be incentivized to refinance.</w:t>
      </w:r>
    </w:p>
    <w:p>
      <w:pPr>
        <w:spacing w:after="0" w:line="5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The other chart below (on the right) presents guaranty fees that will be amortized into deferred guaranty fee income in future periods, which we refer to as “unamortized deferred guaranty fees,” as described in “MD&amp;A—Consolidated Results of Operations—Net Interest Income—Analysis of Unamortized Deferred Guaranty Fees” in our 2025 Form 10-K.</w:t>
      </w:r>
    </w:p>
    <w:p>
      <w:pPr>
        <w:sectPr>
          <w:pgSz w:w="11900" w:h="16838" w:orient="portrait"/>
          <w:cols w:equalWidth="0" w:num="1">
            <w:col w:w="11240"/>
          </w:cols>
          <w:pgMar w:left="320" w:top="261" w:right="339" w:bottom="1440" w:gutter="0" w:footer="0" w:header="0"/>
        </w:sectPr>
      </w:pPr>
    </w:p>
    <w:p>
      <w:pPr>
        <w:spacing w:after="0" w:line="216" w:lineRule="exact"/>
        <w:rPr>
          <w:sz w:val="20"/>
          <w:szCs w:val="20"/>
          <w:color w:val="auto"/>
        </w:rPr>
      </w:pPr>
    </w:p>
    <w:p>
      <w:pPr>
        <w:jc w:val="center"/>
        <w:ind w:left="160" w:right="400"/>
        <w:spacing w:after="0" w:line="255" w:lineRule="auto"/>
        <w:rPr>
          <w:sz w:val="20"/>
          <w:szCs w:val="20"/>
          <w:color w:val="auto"/>
        </w:rPr>
      </w:pPr>
      <w:r>
        <w:rPr>
          <w:rFonts w:ascii="Georgia" w:cs="Georgia" w:eastAsia="Georgia" w:hAnsi="Georgia"/>
          <w:sz w:val="19"/>
          <w:szCs w:val="19"/>
          <w:b w:val="1"/>
          <w:bCs w:val="1"/>
          <w:color w:val="001543"/>
        </w:rPr>
        <w:t>Interest Rates of Single-Family Conventional Guaranty Book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05314D"/>
        </w:rPr>
        <w:t>Unamortized Deferred Guaranty Fees</w:t>
      </w:r>
    </w:p>
    <w:p>
      <w:pPr>
        <w:spacing w:after="0" w:line="79" w:lineRule="exact"/>
        <w:rPr>
          <w:sz w:val="20"/>
          <w:szCs w:val="20"/>
          <w:color w:val="auto"/>
        </w:rPr>
      </w:pPr>
    </w:p>
    <w:p>
      <w:pPr>
        <w:sectPr>
          <w:pgSz w:w="11900" w:h="16838" w:orient="portrait"/>
          <w:cols w:equalWidth="0" w:num="2">
            <w:col w:w="5880" w:space="720"/>
            <w:col w:w="4640"/>
          </w:cols>
          <w:pgMar w:left="320" w:top="261" w:right="339" w:bottom="1440" w:gutter="0" w:footer="0" w:header="0"/>
          <w:type w:val="continuous"/>
        </w:sectPr>
      </w:pPr>
    </w:p>
    <w:p>
      <w:pPr>
        <w:ind w:left="1560"/>
        <w:spacing w:after="0"/>
        <w:rPr>
          <w:sz w:val="20"/>
          <w:szCs w:val="20"/>
          <w:color w:val="auto"/>
        </w:rPr>
      </w:pPr>
      <w:r>
        <w:rPr>
          <w:rFonts w:ascii="Georgia" w:cs="Georgia" w:eastAsia="Georgia" w:hAnsi="Georgia"/>
          <w:sz w:val="18"/>
          <w:szCs w:val="18"/>
          <w:b w:val="1"/>
          <w:bCs w:val="1"/>
          <w:color w:val="05314D"/>
        </w:rPr>
        <w:t>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127635</wp:posOffset>
            </wp:positionV>
            <wp:extent cx="2701290" cy="2120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01290" cy="2120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Georgia" w:cs="Georgia" w:eastAsia="Georgia" w:hAnsi="Georgia"/>
          <w:sz w:val="18"/>
          <w:szCs w:val="18"/>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283210</wp:posOffset>
            </wp:positionV>
            <wp:extent cx="2701290" cy="1964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01290" cy="1964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60" w:space="720"/>
            <w:col w:w="3760"/>
          </w:cols>
          <w:pgMar w:left="320" w:top="2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240" w:type="dxa"/>
        <w:tblCellMar>
          <w:top w:w="0" w:type="dxa"/>
          <w:left w:w="0" w:type="dxa"/>
          <w:bottom w:w="0" w:type="dxa"/>
          <w:right w:w="0" w:type="dxa"/>
        </w:tblCellMar>
      </w:tblPr>
      <w:tr>
        <w:trPr>
          <w:trHeight w:val="175"/>
        </w:trPr>
        <w:tc>
          <w:tcPr>
            <w:tcW w:w="4280" w:type="dxa"/>
            <w:vAlign w:val="bottom"/>
          </w:tcPr>
          <w:p>
            <w:pPr>
              <w:ind w:left="1420"/>
              <w:spacing w:after="0"/>
              <w:rPr>
                <w:sz w:val="20"/>
                <w:szCs w:val="20"/>
                <w:color w:val="auto"/>
              </w:rPr>
            </w:pPr>
            <w:r>
              <w:rPr>
                <w:rFonts w:ascii="Arial" w:cs="Arial" w:eastAsia="Arial" w:hAnsi="Arial"/>
                <w:sz w:val="14"/>
                <w:szCs w:val="14"/>
                <w:color w:val="auto"/>
              </w:rPr>
              <w:t>Represents the percentage of single-family</w:t>
            </w:r>
          </w:p>
        </w:tc>
        <w:tc>
          <w:tcPr>
            <w:tcW w:w="4460" w:type="dxa"/>
            <w:vAlign w:val="bottom"/>
          </w:tcPr>
          <w:p>
            <w:pPr>
              <w:ind w:left="1660"/>
              <w:spacing w:after="0"/>
              <w:rPr>
                <w:sz w:val="20"/>
                <w:szCs w:val="20"/>
                <w:color w:val="auto"/>
              </w:rPr>
            </w:pPr>
            <w:r>
              <w:rPr>
                <w:rFonts w:ascii="Arial" w:cs="Arial" w:eastAsia="Arial" w:hAnsi="Arial"/>
                <w:sz w:val="14"/>
                <w:szCs w:val="14"/>
                <w:color w:val="auto"/>
              </w:rPr>
              <w:t>Represents the net unamortized cost basis</w:t>
            </w:r>
          </w:p>
        </w:tc>
        <w:tc>
          <w:tcPr>
            <w:tcW w:w="0" w:type="dxa"/>
            <w:vAlign w:val="bottom"/>
          </w:tcPr>
          <w:p>
            <w:pPr>
              <w:spacing w:after="0"/>
              <w:rPr>
                <w:sz w:val="1"/>
                <w:szCs w:val="1"/>
                <w:color w:val="auto"/>
              </w:rPr>
            </w:pPr>
          </w:p>
        </w:tc>
      </w:tr>
      <w:tr>
        <w:trPr>
          <w:trHeight w:val="96"/>
        </w:trPr>
        <w:tc>
          <w:tcPr>
            <w:tcW w:w="4280" w:type="dxa"/>
            <w:vAlign w:val="bottom"/>
            <w:vMerge w:val="restart"/>
          </w:tcPr>
          <w:p>
            <w:pPr>
              <w:ind w:left="1420"/>
              <w:spacing w:after="0"/>
              <w:rPr>
                <w:sz w:val="20"/>
                <w:szCs w:val="20"/>
                <w:color w:val="auto"/>
              </w:rPr>
            </w:pPr>
            <w:r>
              <w:rPr>
                <w:rFonts w:ascii="Arial" w:cs="Arial" w:eastAsia="Arial" w:hAnsi="Arial"/>
                <w:sz w:val="14"/>
                <w:szCs w:val="14"/>
                <w:color w:val="auto"/>
              </w:rPr>
              <w:t>conventional guaranty book of business by</w:t>
            </w:r>
          </w:p>
        </w:tc>
        <w:tc>
          <w:tcPr>
            <w:tcW w:w="4460" w:type="dxa"/>
            <w:vAlign w:val="bottom"/>
          </w:tcPr>
          <w:p>
            <w:pPr>
              <w:ind w:left="1660"/>
              <w:spacing w:after="0" w:line="96" w:lineRule="exact"/>
              <w:rPr>
                <w:sz w:val="20"/>
                <w:szCs w:val="20"/>
                <w:color w:val="auto"/>
              </w:rPr>
            </w:pPr>
            <w:r>
              <w:rPr>
                <w:rFonts w:ascii="Arial" w:cs="Arial" w:eastAsia="Arial" w:hAnsi="Arial"/>
                <w:sz w:val="11"/>
                <w:szCs w:val="11"/>
                <w:color w:val="auto"/>
              </w:rPr>
              <w:t>adjustment balance that will be amortized and</w:t>
            </w:r>
          </w:p>
        </w:tc>
        <w:tc>
          <w:tcPr>
            <w:tcW w:w="0" w:type="dxa"/>
            <w:vAlign w:val="bottom"/>
          </w:tcPr>
          <w:p>
            <w:pPr>
              <w:spacing w:after="0"/>
              <w:rPr>
                <w:sz w:val="1"/>
                <w:szCs w:val="1"/>
                <w:color w:val="auto"/>
              </w:rPr>
            </w:pPr>
          </w:p>
        </w:tc>
      </w:tr>
      <w:tr>
        <w:trPr>
          <w:trHeight w:val="77"/>
        </w:trPr>
        <w:tc>
          <w:tcPr>
            <w:tcW w:w="4280" w:type="dxa"/>
            <w:vAlign w:val="bottom"/>
            <w:vMerge w:val="continue"/>
          </w:tcPr>
          <w:p>
            <w:pPr>
              <w:spacing w:after="0"/>
              <w:rPr>
                <w:sz w:val="6"/>
                <w:szCs w:val="6"/>
                <w:color w:val="auto"/>
              </w:rPr>
            </w:pPr>
          </w:p>
        </w:tc>
        <w:tc>
          <w:tcPr>
            <w:tcW w:w="4460" w:type="dxa"/>
            <w:vAlign w:val="bottom"/>
            <w:vMerge w:val="restart"/>
          </w:tcPr>
          <w:p>
            <w:pPr>
              <w:ind w:left="1660"/>
              <w:spacing w:after="0" w:line="142" w:lineRule="exact"/>
              <w:rPr>
                <w:sz w:val="20"/>
                <w:szCs w:val="20"/>
                <w:color w:val="auto"/>
              </w:rPr>
            </w:pPr>
            <w:r>
              <w:rPr>
                <w:rFonts w:ascii="Arial" w:cs="Arial" w:eastAsia="Arial" w:hAnsi="Arial"/>
                <w:sz w:val="14"/>
                <w:szCs w:val="14"/>
                <w:color w:val="auto"/>
              </w:rPr>
              <w:t>recognized through deferred guaranty fee</w:t>
            </w:r>
          </w:p>
        </w:tc>
        <w:tc>
          <w:tcPr>
            <w:tcW w:w="0" w:type="dxa"/>
            <w:vAlign w:val="bottom"/>
          </w:tcPr>
          <w:p>
            <w:pPr>
              <w:spacing w:after="0"/>
              <w:rPr>
                <w:sz w:val="1"/>
                <w:szCs w:val="1"/>
                <w:color w:val="auto"/>
              </w:rPr>
            </w:pPr>
          </w:p>
        </w:tc>
      </w:tr>
      <w:tr>
        <w:trPr>
          <w:trHeight w:val="64"/>
        </w:trPr>
        <w:tc>
          <w:tcPr>
            <w:tcW w:w="4280" w:type="dxa"/>
            <w:vAlign w:val="bottom"/>
            <w:vMerge w:val="restart"/>
          </w:tcPr>
          <w:p>
            <w:pPr>
              <w:ind w:left="1420"/>
              <w:spacing w:after="0" w:line="137" w:lineRule="exact"/>
              <w:rPr>
                <w:sz w:val="20"/>
                <w:szCs w:val="20"/>
                <w:color w:val="auto"/>
              </w:rPr>
            </w:pPr>
            <w:r>
              <w:rPr>
                <w:rFonts w:ascii="Arial" w:cs="Arial" w:eastAsia="Arial" w:hAnsi="Arial"/>
                <w:sz w:val="14"/>
                <w:szCs w:val="14"/>
                <w:color w:val="auto"/>
              </w:rPr>
              <w:t>select interest rate band based on the</w:t>
            </w:r>
          </w:p>
        </w:tc>
        <w:tc>
          <w:tcPr>
            <w:tcW w:w="4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4280" w:type="dxa"/>
            <w:vAlign w:val="bottom"/>
            <w:vMerge w:val="continue"/>
          </w:tcPr>
          <w:p>
            <w:pPr>
              <w:spacing w:after="0"/>
              <w:rPr>
                <w:sz w:val="6"/>
                <w:szCs w:val="6"/>
                <w:color w:val="auto"/>
              </w:rPr>
            </w:pPr>
          </w:p>
        </w:tc>
        <w:tc>
          <w:tcPr>
            <w:tcW w:w="4460" w:type="dxa"/>
            <w:vAlign w:val="bottom"/>
            <w:vMerge w:val="restart"/>
          </w:tcPr>
          <w:p>
            <w:pPr>
              <w:ind w:left="1660"/>
              <w:spacing w:after="0" w:line="137" w:lineRule="exact"/>
              <w:rPr>
                <w:sz w:val="20"/>
                <w:szCs w:val="20"/>
                <w:color w:val="auto"/>
              </w:rPr>
            </w:pPr>
            <w:r>
              <w:rPr>
                <w:rFonts w:ascii="Arial" w:cs="Arial" w:eastAsia="Arial" w:hAnsi="Arial"/>
                <w:sz w:val="14"/>
                <w:szCs w:val="14"/>
                <w:color w:val="auto"/>
              </w:rPr>
              <w:t>income over the remaining contractual life of</w:t>
            </w:r>
          </w:p>
        </w:tc>
        <w:tc>
          <w:tcPr>
            <w:tcW w:w="0" w:type="dxa"/>
            <w:vAlign w:val="bottom"/>
          </w:tcPr>
          <w:p>
            <w:pPr>
              <w:spacing w:after="0"/>
              <w:rPr>
                <w:sz w:val="1"/>
                <w:szCs w:val="1"/>
                <w:color w:val="auto"/>
              </w:rPr>
            </w:pPr>
          </w:p>
        </w:tc>
      </w:tr>
      <w:tr>
        <w:trPr>
          <w:trHeight w:val="64"/>
        </w:trPr>
        <w:tc>
          <w:tcPr>
            <w:tcW w:w="4280" w:type="dxa"/>
            <w:vAlign w:val="bottom"/>
            <w:vMerge w:val="restart"/>
          </w:tcPr>
          <w:p>
            <w:pPr>
              <w:spacing w:after="0" w:line="677" w:lineRule="exact"/>
              <w:rPr>
                <w:sz w:val="20"/>
                <w:szCs w:val="20"/>
                <w:color w:val="auto"/>
              </w:rPr>
            </w:pPr>
            <w:r>
              <w:rPr>
                <w:rFonts w:ascii="Arial" w:cs="Arial" w:eastAsia="Arial" w:hAnsi="Arial"/>
                <w:sz w:val="78"/>
                <w:szCs w:val="78"/>
                <w:b w:val="1"/>
                <w:bCs w:val="1"/>
                <w:color w:val="05314D"/>
              </w:rPr>
              <w:t xml:space="preserve">— </w:t>
            </w:r>
            <w:r>
              <w:rPr>
                <w:rFonts w:ascii="Arial" w:cs="Arial" w:eastAsia="Arial" w:hAnsi="Arial"/>
                <w:sz w:val="12"/>
                <w:szCs w:val="12"/>
                <w:color w:val="000000"/>
              </w:rPr>
              <w:t>current interest rate of the mortgage loans.</w:t>
            </w:r>
          </w:p>
        </w:tc>
        <w:tc>
          <w:tcPr>
            <w:tcW w:w="4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3"/>
        </w:trPr>
        <w:tc>
          <w:tcPr>
            <w:tcW w:w="4280" w:type="dxa"/>
            <w:vAlign w:val="bottom"/>
            <w:vMerge w:val="continue"/>
          </w:tcPr>
          <w:p>
            <w:pPr>
              <w:spacing w:after="0"/>
              <w:rPr>
                <w:sz w:val="24"/>
                <w:szCs w:val="24"/>
                <w:color w:val="auto"/>
              </w:rPr>
            </w:pPr>
          </w:p>
        </w:tc>
        <w:tc>
          <w:tcPr>
            <w:tcW w:w="4460" w:type="dxa"/>
            <w:vAlign w:val="bottom"/>
          </w:tcPr>
          <w:p>
            <w:pPr>
              <w:ind w:left="240"/>
              <w:spacing w:after="0" w:line="613" w:lineRule="exact"/>
              <w:rPr>
                <w:sz w:val="20"/>
                <w:szCs w:val="20"/>
                <w:color w:val="auto"/>
              </w:rPr>
            </w:pPr>
            <w:r>
              <w:rPr>
                <w:rFonts w:ascii="Arial" w:cs="Arial" w:eastAsia="Arial" w:hAnsi="Arial"/>
                <w:sz w:val="71"/>
                <w:szCs w:val="71"/>
                <w:b w:val="1"/>
                <w:bCs w:val="1"/>
                <w:color w:val="2C6937"/>
              </w:rPr>
              <w:t xml:space="preserve">— </w:t>
            </w:r>
            <w:r>
              <w:rPr>
                <w:rFonts w:ascii="Arial" w:cs="Arial" w:eastAsia="Arial" w:hAnsi="Arial"/>
                <w:sz w:val="12"/>
                <w:szCs w:val="12"/>
                <w:color w:val="000000"/>
              </w:rPr>
              <w:t>the mortgage loans or debt.</w:t>
            </w:r>
          </w:p>
        </w:tc>
        <w:tc>
          <w:tcPr>
            <w:tcW w:w="0" w:type="dxa"/>
            <w:vAlign w:val="bottom"/>
          </w:tcPr>
          <w:p>
            <w:pPr>
              <w:spacing w:after="0"/>
              <w:rPr>
                <w:sz w:val="1"/>
                <w:szCs w:val="1"/>
                <w:color w:val="auto"/>
              </w:rPr>
            </w:pPr>
          </w:p>
        </w:tc>
      </w:tr>
    </w:tbl>
    <w:p>
      <w:pPr>
        <w:ind w:right="80"/>
        <w:spacing w:after="0" w:line="259" w:lineRule="auto"/>
        <w:rPr>
          <w:sz w:val="20"/>
          <w:szCs w:val="20"/>
          <w:color w:val="auto"/>
        </w:rPr>
      </w:pPr>
      <w:r>
        <w:rPr>
          <w:rFonts w:ascii="Arial" w:cs="Arial" w:eastAsia="Arial" w:hAnsi="Arial"/>
          <w:sz w:val="16"/>
          <w:szCs w:val="16"/>
          <w:color w:val="auto"/>
        </w:rPr>
        <w:t>The amount of deferred guaranty fee income we record can vary and is primarily impacted by: (1) the amount of upfront fees we charge on single-family mortgage loans, (2) changes in interest rates, which affect the premiums and discounts we record on newly acquired mortgage loans and newly created debt of consolidated trusts, and (3) the amount by which premiums and discounts on existing loans and debt of consolidated trusts are different compared to newly acquired loans and debt. The balance of our unamortized deferred guaranty fees decreased as of September 30, 2026, compared with December 31, 2025, largely as a result of amortization of existing upfront fees on single-family loans and premiums on existing MBS debt. In addition, rising interest rates lowered pricing on newly issued MBS debt, resulting in net discounts that further reduced the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393065</wp:posOffset>
            </wp:positionV>
            <wp:extent cx="7007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40" w:type="dxa"/>
            <w:vAlign w:val="bottom"/>
          </w:tcPr>
          <w:p>
            <w:pPr>
              <w:jc w:val="right"/>
              <w:ind w:right="51"/>
              <w:spacing w:after="0"/>
              <w:rPr>
                <w:sz w:val="20"/>
                <w:szCs w:val="20"/>
                <w:color w:val="auto"/>
              </w:rPr>
            </w:pPr>
            <w:r>
              <w:rPr>
                <w:rFonts w:ascii="Arial" w:cs="Arial" w:eastAsia="Arial" w:hAnsi="Arial"/>
                <w:sz w:val="14"/>
                <w:szCs w:val="14"/>
                <w:color w:val="05314D"/>
              </w:rPr>
              <w:t>7</w:t>
            </w:r>
          </w:p>
        </w:tc>
      </w:tr>
      <w:tr>
        <w:trPr>
          <w:trHeight w:val="194"/>
        </w:trPr>
        <w:tc>
          <w:tcPr>
            <w:tcW w:w="6900" w:type="dxa"/>
            <w:vAlign w:val="bottom"/>
            <w:tcBorders>
              <w:bottom w:val="single" w:sz="8" w:color="9A9A9A"/>
            </w:tcBorders>
          </w:tcPr>
          <w:p>
            <w:pPr>
              <w:spacing w:after="0"/>
              <w:rPr>
                <w:sz w:val="16"/>
                <w:szCs w:val="16"/>
                <w:color w:val="auto"/>
              </w:rPr>
            </w:pPr>
          </w:p>
        </w:tc>
        <w:tc>
          <w:tcPr>
            <w:tcW w:w="43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10" w:name="page11"/>
    <w:bookmarkEnd w:id="10"/>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Net Interest Income</w:t>
      </w:r>
    </w:p>
    <w:p>
      <w:pPr>
        <w:spacing w:after="0" w:line="80"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color w:val="auto"/>
        </w:rPr>
        <w:t>The table below displays an analysis of our net interest income, average balances and related yields earned on assets and incurred on liabilities. For most components of the average balances, we use a daily weighted average of the unpaid principal balance (“UPB”) net of unamortized cost basis adjustments. When daily average balance information is not available, such as for mortgage loans, we use monthly averages.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Analysis of Net Interest Income and Yield</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5060" w:type="dxa"/>
            <w:vAlign w:val="bottom"/>
            <w:tcBorders>
              <w:bottom w:val="single" w:sz="8" w:color="2C6937"/>
            </w:tcBorders>
            <w:gridSpan w:val="8"/>
          </w:tcPr>
          <w:p>
            <w:pPr>
              <w:jc w:val="right"/>
              <w:ind w:right="883"/>
              <w:spacing w:after="0"/>
              <w:rPr>
                <w:sz w:val="20"/>
                <w:szCs w:val="20"/>
                <w:color w:val="auto"/>
              </w:rPr>
            </w:pPr>
            <w:r>
              <w:rPr>
                <w:rFonts w:ascii="Arial" w:cs="Arial" w:eastAsia="Arial" w:hAnsi="Arial"/>
                <w:sz w:val="15"/>
                <w:szCs w:val="15"/>
                <w:b w:val="1"/>
                <w:bCs w:val="1"/>
                <w:color w:val="auto"/>
              </w:rPr>
              <w:t>For the Three Months Ended September 30,</w:t>
            </w:r>
          </w:p>
        </w:tc>
        <w:tc>
          <w:tcPr>
            <w:tcW w:w="1360" w:type="dxa"/>
            <w:vAlign w:val="bottom"/>
            <w:tcBorders>
              <w:bottom w:val="single" w:sz="8" w:color="2C6937"/>
            </w:tcBorders>
          </w:tcPr>
          <w:p>
            <w:pPr>
              <w:spacing w:after="0"/>
              <w:rPr>
                <w:sz w:val="16"/>
                <w:szCs w:val="16"/>
                <w:color w:val="auto"/>
              </w:rPr>
            </w:pPr>
          </w:p>
        </w:tc>
      </w:tr>
      <w:tr>
        <w:trPr>
          <w:trHeight w:val="212"/>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2026</w:t>
            </w:r>
          </w:p>
        </w:tc>
        <w:tc>
          <w:tcPr>
            <w:tcW w:w="138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2025</w:t>
            </w:r>
          </w:p>
        </w:tc>
        <w:tc>
          <w:tcPr>
            <w:tcW w:w="1360" w:type="dxa"/>
            <w:vAlign w:val="bottom"/>
            <w:tcBorders>
              <w:bottom w:val="single" w:sz="8" w:color="2C6937"/>
            </w:tcBorders>
          </w:tcPr>
          <w:p>
            <w:pPr>
              <w:spacing w:after="0"/>
              <w:rPr>
                <w:sz w:val="18"/>
                <w:szCs w:val="18"/>
                <w:color w:val="auto"/>
              </w:rPr>
            </w:pPr>
          </w:p>
        </w:tc>
      </w:tr>
      <w:tr>
        <w:trPr>
          <w:trHeight w:val="211"/>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ind w:left="200"/>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ind w:left="200"/>
              <w:spacing w:after="0"/>
              <w:rPr>
                <w:sz w:val="20"/>
                <w:szCs w:val="20"/>
                <w:color w:val="auto"/>
              </w:rPr>
            </w:pPr>
            <w:r>
              <w:rPr>
                <w:rFonts w:ascii="Arial" w:cs="Arial" w:eastAsia="Arial" w:hAnsi="Arial"/>
                <w:sz w:val="15"/>
                <w:szCs w:val="15"/>
                <w:b w:val="1"/>
                <w:bCs w:val="1"/>
                <w:color w:val="auto"/>
              </w:rPr>
              <w:t>Average Rates</w:t>
            </w:r>
          </w:p>
        </w:tc>
      </w:tr>
      <w:tr>
        <w:trPr>
          <w:trHeight w:val="217"/>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ind w:left="300"/>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ind w:left="280"/>
              <w:spacing w:after="0"/>
              <w:rPr>
                <w:sz w:val="20"/>
                <w:szCs w:val="20"/>
                <w:color w:val="auto"/>
              </w:rPr>
            </w:pPr>
            <w:r>
              <w:rPr>
                <w:rFonts w:ascii="Arial" w:cs="Arial" w:eastAsia="Arial" w:hAnsi="Arial"/>
                <w:sz w:val="15"/>
                <w:szCs w:val="15"/>
                <w:b w:val="1"/>
                <w:bCs w:val="1"/>
                <w:color w:val="auto"/>
              </w:rPr>
              <w:t>Earned/Paid</w:t>
            </w:r>
          </w:p>
        </w:tc>
      </w:tr>
      <w:tr>
        <w:trPr>
          <w:trHeight w:val="235"/>
        </w:trPr>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720" w:type="dxa"/>
            <w:vAlign w:val="bottom"/>
            <w:gridSpan w:val="5"/>
          </w:tcPr>
          <w:p>
            <w:pPr>
              <w:ind w:left="700"/>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5"/>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10,959</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102</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3.72 %</w:t>
            </w:r>
          </w:p>
        </w:tc>
        <w:tc>
          <w:tcPr>
            <w:tcW w:w="100" w:type="dxa"/>
            <w:vAlign w:val="bottom"/>
          </w:tcPr>
          <w:p>
            <w:pPr>
              <w:spacing w:after="0"/>
              <w:rPr>
                <w:sz w:val="22"/>
                <w:szCs w:val="22"/>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11,618</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129</w:t>
            </w:r>
          </w:p>
        </w:tc>
        <w:tc>
          <w:tcPr>
            <w:tcW w:w="1360" w:type="dxa"/>
            <w:vAlign w:val="bottom"/>
          </w:tcPr>
          <w:p>
            <w:pPr>
              <w:ind w:left="860"/>
              <w:spacing w:after="0"/>
              <w:rPr>
                <w:sz w:val="20"/>
                <w:szCs w:val="20"/>
                <w:color w:val="auto"/>
              </w:rPr>
            </w:pPr>
            <w:r>
              <w:rPr>
                <w:rFonts w:ascii="Arial" w:cs="Arial" w:eastAsia="Arial" w:hAnsi="Arial"/>
                <w:sz w:val="15"/>
                <w:szCs w:val="15"/>
                <w:color w:val="auto"/>
              </w:rPr>
              <w:t>4.44 %</w:t>
            </w:r>
          </w:p>
        </w:tc>
      </w:tr>
      <w:tr>
        <w:trPr>
          <w:trHeight w:val="213"/>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5"/>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62,437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592</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75,484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844</w:t>
            </w:r>
          </w:p>
        </w:tc>
        <w:tc>
          <w:tcPr>
            <w:tcW w:w="1360" w:type="dxa"/>
            <w:vAlign w:val="bottom"/>
          </w:tcPr>
          <w:p>
            <w:pPr>
              <w:ind w:left="860"/>
              <w:spacing w:after="0"/>
              <w:rPr>
                <w:sz w:val="20"/>
                <w:szCs w:val="20"/>
                <w:color w:val="auto"/>
              </w:rPr>
            </w:pPr>
            <w:r>
              <w:rPr>
                <w:rFonts w:ascii="Arial" w:cs="Arial" w:eastAsia="Arial" w:hAnsi="Arial"/>
                <w:sz w:val="15"/>
                <w:szCs w:val="15"/>
                <w:color w:val="auto"/>
              </w:rPr>
              <w:t>4.47</w:t>
            </w: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98,386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938</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76,745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614</w:t>
            </w:r>
          </w:p>
        </w:tc>
        <w:tc>
          <w:tcPr>
            <w:tcW w:w="1360" w:type="dxa"/>
            <w:vAlign w:val="bottom"/>
          </w:tcPr>
          <w:p>
            <w:pPr>
              <w:ind w:left="860"/>
              <w:spacing w:after="0"/>
              <w:rPr>
                <w:sz w:val="20"/>
                <w:szCs w:val="20"/>
                <w:color w:val="auto"/>
              </w:rPr>
            </w:pPr>
            <w:r>
              <w:rPr>
                <w:rFonts w:ascii="Arial" w:cs="Arial" w:eastAsia="Arial" w:hAnsi="Arial"/>
                <w:sz w:val="15"/>
                <w:szCs w:val="15"/>
                <w:color w:val="auto"/>
              </w:rPr>
              <w:t>3.20</w:t>
            </w:r>
          </w:p>
        </w:tc>
      </w:tr>
      <w:tr>
        <w:trPr>
          <w:trHeight w:val="224"/>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6"/>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70,623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697</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55,368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599</w:t>
            </w:r>
          </w:p>
        </w:tc>
        <w:tc>
          <w:tcPr>
            <w:tcW w:w="1360" w:type="dxa"/>
            <w:vAlign w:val="bottom"/>
          </w:tcPr>
          <w:p>
            <w:pPr>
              <w:ind w:left="860"/>
              <w:spacing w:after="0"/>
              <w:rPr>
                <w:sz w:val="20"/>
                <w:szCs w:val="20"/>
                <w:color w:val="auto"/>
              </w:rPr>
            </w:pPr>
            <w:r>
              <w:rPr>
                <w:rFonts w:ascii="Arial" w:cs="Arial" w:eastAsia="Arial" w:hAnsi="Arial"/>
                <w:sz w:val="15"/>
                <w:szCs w:val="15"/>
                <w:color w:val="auto"/>
              </w:rPr>
              <w:t>4.33</w:t>
            </w:r>
          </w:p>
        </w:tc>
      </w:tr>
      <w:tr>
        <w:trPr>
          <w:trHeight w:val="239"/>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4,053,657</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39,265</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3.87</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4,076,794</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37,745</w:t>
            </w:r>
          </w:p>
        </w:tc>
        <w:tc>
          <w:tcPr>
            <w:tcW w:w="1360" w:type="dxa"/>
            <w:vAlign w:val="bottom"/>
          </w:tcPr>
          <w:p>
            <w:pPr>
              <w:ind w:left="860"/>
              <w:spacing w:after="0"/>
              <w:rPr>
                <w:sz w:val="20"/>
                <w:szCs w:val="20"/>
                <w:color w:val="auto"/>
              </w:rPr>
            </w:pPr>
            <w:r>
              <w:rPr>
                <w:rFonts w:ascii="Arial" w:cs="Arial" w:eastAsia="Arial" w:hAnsi="Arial"/>
                <w:sz w:val="15"/>
                <w:szCs w:val="15"/>
                <w:color w:val="auto"/>
              </w:rPr>
              <w:t>3.70</w:t>
            </w:r>
          </w:p>
        </w:tc>
      </w:tr>
      <w:tr>
        <w:trPr>
          <w:trHeight w:val="264"/>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(2)</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4,124,280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39,962</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4,132,162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38,344</w:t>
            </w:r>
          </w:p>
        </w:tc>
        <w:tc>
          <w:tcPr>
            <w:tcW w:w="1360" w:type="dxa"/>
            <w:vAlign w:val="bottom"/>
          </w:tcPr>
          <w:p>
            <w:pPr>
              <w:ind w:left="860"/>
              <w:spacing w:after="0"/>
              <w:rPr>
                <w:sz w:val="20"/>
                <w:szCs w:val="20"/>
                <w:color w:val="auto"/>
              </w:rPr>
            </w:pPr>
            <w:r>
              <w:rPr>
                <w:rFonts w:ascii="Arial" w:cs="Arial" w:eastAsia="Arial" w:hAnsi="Arial"/>
                <w:sz w:val="15"/>
                <w:szCs w:val="15"/>
                <w:color w:val="auto"/>
              </w:rPr>
              <w:t>3.71</w:t>
            </w:r>
          </w:p>
        </w:tc>
      </w:tr>
      <w:tr>
        <w:trPr>
          <w:trHeight w:val="218"/>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2,270</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4.93</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3,262</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46</w:t>
            </w:r>
          </w:p>
        </w:tc>
        <w:tc>
          <w:tcPr>
            <w:tcW w:w="1360" w:type="dxa"/>
            <w:vAlign w:val="bottom"/>
          </w:tcPr>
          <w:p>
            <w:pPr>
              <w:ind w:left="860"/>
              <w:spacing w:after="0"/>
              <w:rPr>
                <w:sz w:val="20"/>
                <w:szCs w:val="20"/>
                <w:color w:val="auto"/>
              </w:rPr>
            </w:pPr>
            <w:r>
              <w:rPr>
                <w:rFonts w:ascii="Arial" w:cs="Arial" w:eastAsia="Arial" w:hAnsi="Arial"/>
                <w:sz w:val="15"/>
                <w:szCs w:val="15"/>
                <w:color w:val="auto"/>
              </w:rPr>
              <w:t>5.64</w:t>
            </w:r>
          </w:p>
        </w:tc>
      </w:tr>
      <w:tr>
        <w:trPr>
          <w:trHeight w:val="238"/>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4,298,332</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41,622</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3.87 %</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4,299,271</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39,977</w:t>
            </w:r>
          </w:p>
        </w:tc>
        <w:tc>
          <w:tcPr>
            <w:tcW w:w="1360" w:type="dxa"/>
            <w:vAlign w:val="bottom"/>
          </w:tcPr>
          <w:p>
            <w:pPr>
              <w:ind w:left="860"/>
              <w:spacing w:after="0"/>
              <w:rPr>
                <w:sz w:val="20"/>
                <w:szCs w:val="20"/>
                <w:color w:val="auto"/>
              </w:rPr>
            </w:pPr>
            <w:r>
              <w:rPr>
                <w:rFonts w:ascii="Arial" w:cs="Arial" w:eastAsia="Arial" w:hAnsi="Arial"/>
                <w:sz w:val="15"/>
                <w:szCs w:val="15"/>
                <w:color w:val="auto"/>
              </w:rPr>
              <w:t>3.72 %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34,350</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(323)</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3.76 %</w:t>
            </w:r>
          </w:p>
        </w:tc>
        <w:tc>
          <w:tcPr>
            <w:tcW w:w="100" w:type="dxa"/>
            <w:vAlign w:val="bottom"/>
          </w:tcPr>
          <w:p>
            <w:pPr>
              <w:spacing w:after="0"/>
              <w:rPr>
                <w:sz w:val="22"/>
                <w:szCs w:val="22"/>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14,467</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(154)</w:t>
            </w:r>
          </w:p>
        </w:tc>
        <w:tc>
          <w:tcPr>
            <w:tcW w:w="1360" w:type="dxa"/>
            <w:vAlign w:val="bottom"/>
          </w:tcPr>
          <w:p>
            <w:pPr>
              <w:ind w:left="860"/>
              <w:spacing w:after="0"/>
              <w:rPr>
                <w:sz w:val="20"/>
                <w:szCs w:val="20"/>
                <w:color w:val="auto"/>
              </w:rPr>
            </w:pPr>
            <w:r>
              <w:rPr>
                <w:rFonts w:ascii="Arial" w:cs="Arial" w:eastAsia="Arial" w:hAnsi="Arial"/>
                <w:sz w:val="15"/>
                <w:szCs w:val="15"/>
                <w:color w:val="auto"/>
              </w:rPr>
              <w:t>4.26 %</w:t>
            </w:r>
          </w:p>
        </w:tc>
      </w:tr>
      <w:tr>
        <w:trPr>
          <w:trHeight w:val="239"/>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Long-term funding debt</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144,710</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(1,595)</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4.41</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111,070</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(1,249)</w:t>
            </w:r>
          </w:p>
        </w:tc>
        <w:tc>
          <w:tcPr>
            <w:tcW w:w="1360" w:type="dxa"/>
            <w:vAlign w:val="bottom"/>
          </w:tcPr>
          <w:p>
            <w:pPr>
              <w:ind w:left="860"/>
              <w:spacing w:after="0"/>
              <w:rPr>
                <w:sz w:val="20"/>
                <w:szCs w:val="20"/>
                <w:color w:val="auto"/>
              </w:rPr>
            </w:pPr>
            <w:r>
              <w:rPr>
                <w:rFonts w:ascii="Arial" w:cs="Arial" w:eastAsia="Arial" w:hAnsi="Arial"/>
                <w:sz w:val="15"/>
                <w:szCs w:val="15"/>
                <w:color w:val="auto"/>
              </w:rPr>
              <w:t>4.50</w:t>
            </w:r>
          </w:p>
        </w:tc>
      </w:tr>
      <w:tr>
        <w:trPr>
          <w:trHeight w:val="244"/>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179,060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(1,918)</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125,537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(1,403)</w:t>
            </w:r>
          </w:p>
        </w:tc>
        <w:tc>
          <w:tcPr>
            <w:tcW w:w="1360" w:type="dxa"/>
            <w:vAlign w:val="bottom"/>
          </w:tcPr>
          <w:p>
            <w:pPr>
              <w:ind w:left="860"/>
              <w:spacing w:after="0"/>
              <w:rPr>
                <w:sz w:val="20"/>
                <w:szCs w:val="20"/>
                <w:color w:val="auto"/>
              </w:rPr>
            </w:pPr>
            <w:r>
              <w:rPr>
                <w:rFonts w:ascii="Arial" w:cs="Arial" w:eastAsia="Arial" w:hAnsi="Arial"/>
                <w:sz w:val="15"/>
                <w:szCs w:val="15"/>
                <w:color w:val="auto"/>
              </w:rPr>
              <w:t>4.47</w:t>
            </w:r>
          </w:p>
        </w:tc>
      </w:tr>
      <w:tr>
        <w:trPr>
          <w:trHeight w:val="213"/>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3,989,082</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(32,145)</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3.22</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4,063,137</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(31,390)</w:t>
            </w:r>
          </w:p>
        </w:tc>
        <w:tc>
          <w:tcPr>
            <w:tcW w:w="1360" w:type="dxa"/>
            <w:vAlign w:val="bottom"/>
          </w:tcPr>
          <w:p>
            <w:pPr>
              <w:ind w:left="860"/>
              <w:spacing w:after="0"/>
              <w:rPr>
                <w:sz w:val="20"/>
                <w:szCs w:val="20"/>
                <w:color w:val="auto"/>
              </w:rPr>
            </w:pPr>
            <w:r>
              <w:rPr>
                <w:rFonts w:ascii="Arial" w:cs="Arial" w:eastAsia="Arial" w:hAnsi="Arial"/>
                <w:sz w:val="15"/>
                <w:szCs w:val="15"/>
                <w:color w:val="auto"/>
              </w:rPr>
              <w:t>3.09</w:t>
            </w:r>
          </w:p>
        </w:tc>
      </w:tr>
      <w:tr>
        <w:trPr>
          <w:trHeight w:val="238"/>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4,168,142</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(34,063)</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3.27 %</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4,188,674</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(32,793)</w:t>
            </w:r>
          </w:p>
        </w:tc>
        <w:tc>
          <w:tcPr>
            <w:tcW w:w="1360" w:type="dxa"/>
            <w:vAlign w:val="bottom"/>
          </w:tcPr>
          <w:p>
            <w:pPr>
              <w:ind w:left="860"/>
              <w:spacing w:after="0"/>
              <w:rPr>
                <w:sz w:val="20"/>
                <w:szCs w:val="20"/>
                <w:color w:val="auto"/>
              </w:rPr>
            </w:pPr>
            <w:r>
              <w:rPr>
                <w:rFonts w:ascii="Arial" w:cs="Arial" w:eastAsia="Arial" w:hAnsi="Arial"/>
                <w:sz w:val="15"/>
                <w:szCs w:val="15"/>
                <w:color w:val="auto"/>
              </w:rPr>
              <w:t>3.13 %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191"/>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7,559</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0.70 %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7,184</w:t>
            </w:r>
          </w:p>
        </w:tc>
        <w:tc>
          <w:tcPr>
            <w:tcW w:w="1360" w:type="dxa"/>
            <w:vAlign w:val="bottom"/>
          </w:tcPr>
          <w:p>
            <w:pPr>
              <w:ind w:left="860"/>
              <w:spacing w:after="0"/>
              <w:rPr>
                <w:sz w:val="20"/>
                <w:szCs w:val="20"/>
                <w:color w:val="auto"/>
              </w:rPr>
            </w:pPr>
            <w:r>
              <w:rPr>
                <w:rFonts w:ascii="Arial" w:cs="Arial" w:eastAsia="Arial" w:hAnsi="Arial"/>
                <w:sz w:val="15"/>
                <w:szCs w:val="15"/>
                <w:color w:val="auto"/>
              </w:rPr>
              <w:t>0.67 %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450215</wp:posOffset>
            </wp:positionV>
            <wp:extent cx="7007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40" w:type="dxa"/>
            <w:vAlign w:val="bottom"/>
          </w:tcPr>
          <w:p>
            <w:pPr>
              <w:jc w:val="right"/>
              <w:ind w:right="51"/>
              <w:spacing w:after="0"/>
              <w:rPr>
                <w:sz w:val="20"/>
                <w:szCs w:val="20"/>
                <w:color w:val="auto"/>
              </w:rPr>
            </w:pPr>
            <w:r>
              <w:rPr>
                <w:rFonts w:ascii="Arial" w:cs="Arial" w:eastAsia="Arial" w:hAnsi="Arial"/>
                <w:sz w:val="14"/>
                <w:szCs w:val="14"/>
                <w:color w:val="05314D"/>
              </w:rPr>
              <w:t>8</w:t>
            </w:r>
          </w:p>
        </w:tc>
      </w:tr>
      <w:tr>
        <w:trPr>
          <w:trHeight w:val="207"/>
        </w:trPr>
        <w:tc>
          <w:tcPr>
            <w:tcW w:w="6900" w:type="dxa"/>
            <w:vAlign w:val="bottom"/>
            <w:tcBorders>
              <w:bottom w:val="single" w:sz="8" w:color="9A9A9A"/>
            </w:tcBorders>
          </w:tcPr>
          <w:p>
            <w:pPr>
              <w:spacing w:after="0"/>
              <w:rPr>
                <w:sz w:val="17"/>
                <w:szCs w:val="17"/>
                <w:color w:val="auto"/>
              </w:rPr>
            </w:pPr>
          </w:p>
        </w:tc>
        <w:tc>
          <w:tcPr>
            <w:tcW w:w="4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1" w:name="page12"/>
    <w:bookmarkEnd w:id="11"/>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Analysis of Net Interest Income and Yield</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5060" w:type="dxa"/>
            <w:vAlign w:val="bottom"/>
            <w:tcBorders>
              <w:bottom w:val="single" w:sz="8" w:color="2C6937"/>
            </w:tcBorders>
            <w:gridSpan w:val="8"/>
          </w:tcPr>
          <w:p>
            <w:pPr>
              <w:jc w:val="right"/>
              <w:ind w:right="923"/>
              <w:spacing w:after="0"/>
              <w:rPr>
                <w:sz w:val="20"/>
                <w:szCs w:val="20"/>
                <w:color w:val="auto"/>
              </w:rPr>
            </w:pPr>
            <w:r>
              <w:rPr>
                <w:rFonts w:ascii="Arial" w:cs="Arial" w:eastAsia="Arial" w:hAnsi="Arial"/>
                <w:sz w:val="15"/>
                <w:szCs w:val="15"/>
                <w:b w:val="1"/>
                <w:bCs w:val="1"/>
                <w:color w:val="auto"/>
              </w:rPr>
              <w:t>For the Nine Months Ended September 30,</w:t>
            </w:r>
          </w:p>
        </w:tc>
        <w:tc>
          <w:tcPr>
            <w:tcW w:w="1360" w:type="dxa"/>
            <w:vAlign w:val="bottom"/>
            <w:tcBorders>
              <w:bottom w:val="single" w:sz="8" w:color="2C6937"/>
            </w:tcBorders>
          </w:tcPr>
          <w:p>
            <w:pPr>
              <w:spacing w:after="0"/>
              <w:rPr>
                <w:sz w:val="16"/>
                <w:szCs w:val="16"/>
                <w:color w:val="auto"/>
              </w:rPr>
            </w:pPr>
          </w:p>
        </w:tc>
      </w:tr>
      <w:tr>
        <w:trPr>
          <w:trHeight w:val="212"/>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2026</w:t>
            </w:r>
          </w:p>
        </w:tc>
        <w:tc>
          <w:tcPr>
            <w:tcW w:w="138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2025</w:t>
            </w:r>
          </w:p>
        </w:tc>
        <w:tc>
          <w:tcPr>
            <w:tcW w:w="1360" w:type="dxa"/>
            <w:vAlign w:val="bottom"/>
            <w:tcBorders>
              <w:bottom w:val="single" w:sz="8" w:color="2C6937"/>
            </w:tcBorders>
          </w:tcPr>
          <w:p>
            <w:pPr>
              <w:spacing w:after="0"/>
              <w:rPr>
                <w:sz w:val="18"/>
                <w:szCs w:val="18"/>
                <w:color w:val="auto"/>
              </w:rPr>
            </w:pPr>
          </w:p>
        </w:tc>
      </w:tr>
      <w:tr>
        <w:trPr>
          <w:trHeight w:val="198"/>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ind w:left="200"/>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ind w:left="200"/>
              <w:spacing w:after="0"/>
              <w:rPr>
                <w:sz w:val="20"/>
                <w:szCs w:val="20"/>
                <w:color w:val="auto"/>
              </w:rPr>
            </w:pPr>
            <w:r>
              <w:rPr>
                <w:rFonts w:ascii="Arial" w:cs="Arial" w:eastAsia="Arial" w:hAnsi="Arial"/>
                <w:sz w:val="15"/>
                <w:szCs w:val="15"/>
                <w:b w:val="1"/>
                <w:bCs w:val="1"/>
                <w:color w:val="auto"/>
              </w:rPr>
              <w:t>Average Rates</w:t>
            </w:r>
          </w:p>
        </w:tc>
      </w:tr>
      <w:tr>
        <w:trPr>
          <w:trHeight w:val="226"/>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ind w:left="300"/>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ind w:left="280"/>
              <w:spacing w:after="0"/>
              <w:rPr>
                <w:sz w:val="20"/>
                <w:szCs w:val="20"/>
                <w:color w:val="auto"/>
              </w:rPr>
            </w:pPr>
            <w:r>
              <w:rPr>
                <w:rFonts w:ascii="Arial" w:cs="Arial" w:eastAsia="Arial" w:hAnsi="Arial"/>
                <w:sz w:val="15"/>
                <w:szCs w:val="15"/>
                <w:b w:val="1"/>
                <w:bCs w:val="1"/>
                <w:color w:val="auto"/>
              </w:rPr>
              <w:t>Earned/Paid</w:t>
            </w:r>
          </w:p>
        </w:tc>
      </w:tr>
      <w:tr>
        <w:trPr>
          <w:trHeight w:val="238"/>
        </w:trPr>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720" w:type="dxa"/>
            <w:vAlign w:val="bottom"/>
            <w:gridSpan w:val="5"/>
          </w:tcPr>
          <w:p>
            <w:pPr>
              <w:ind w:left="700"/>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5"/>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11,033</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303</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3.66 %</w:t>
            </w:r>
          </w:p>
        </w:tc>
        <w:tc>
          <w:tcPr>
            <w:tcW w:w="100" w:type="dxa"/>
            <w:vAlign w:val="bottom"/>
          </w:tcPr>
          <w:p>
            <w:pPr>
              <w:spacing w:after="0"/>
              <w:rPr>
                <w:sz w:val="22"/>
                <w:szCs w:val="22"/>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11,614</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382</w:t>
            </w:r>
          </w:p>
        </w:tc>
        <w:tc>
          <w:tcPr>
            <w:tcW w:w="1360" w:type="dxa"/>
            <w:vAlign w:val="bottom"/>
          </w:tcPr>
          <w:p>
            <w:pPr>
              <w:ind w:left="860"/>
              <w:spacing w:after="0"/>
              <w:rPr>
                <w:sz w:val="20"/>
                <w:szCs w:val="20"/>
                <w:color w:val="auto"/>
              </w:rPr>
            </w:pPr>
            <w:r>
              <w:rPr>
                <w:rFonts w:ascii="Arial" w:cs="Arial" w:eastAsia="Arial" w:hAnsi="Arial"/>
                <w:sz w:val="15"/>
                <w:szCs w:val="15"/>
                <w:color w:val="auto"/>
              </w:rPr>
              <w:t>4.39 %</w:t>
            </w:r>
          </w:p>
        </w:tc>
      </w:tr>
      <w:tr>
        <w:trPr>
          <w:trHeight w:val="20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8"/>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63,185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1,770</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79,324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2,640</w:t>
            </w:r>
          </w:p>
        </w:tc>
        <w:tc>
          <w:tcPr>
            <w:tcW w:w="1360" w:type="dxa"/>
            <w:vAlign w:val="bottom"/>
          </w:tcPr>
          <w:p>
            <w:pPr>
              <w:ind w:left="860"/>
              <w:spacing w:after="0"/>
              <w:rPr>
                <w:sz w:val="20"/>
                <w:szCs w:val="20"/>
                <w:color w:val="auto"/>
              </w:rPr>
            </w:pPr>
            <w:r>
              <w:rPr>
                <w:rFonts w:ascii="Arial" w:cs="Arial" w:eastAsia="Arial" w:hAnsi="Arial"/>
                <w:sz w:val="15"/>
                <w:szCs w:val="15"/>
                <w:color w:val="auto"/>
              </w:rPr>
              <w:t>4.44</w:t>
            </w: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84,479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2,310</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79,916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1,818</w:t>
            </w:r>
          </w:p>
        </w:tc>
        <w:tc>
          <w:tcPr>
            <w:tcW w:w="1360" w:type="dxa"/>
            <w:vAlign w:val="bottom"/>
          </w:tcPr>
          <w:p>
            <w:pPr>
              <w:ind w:left="860"/>
              <w:spacing w:after="0"/>
              <w:rPr>
                <w:sz w:val="20"/>
                <w:szCs w:val="20"/>
                <w:color w:val="auto"/>
              </w:rPr>
            </w:pPr>
            <w:r>
              <w:rPr>
                <w:rFonts w:ascii="Arial" w:cs="Arial" w:eastAsia="Arial" w:hAnsi="Arial"/>
                <w:sz w:val="15"/>
                <w:szCs w:val="15"/>
                <w:color w:val="auto"/>
              </w:rPr>
              <w:t>3.03</w:t>
            </w:r>
          </w:p>
        </w:tc>
      </w:tr>
      <w:tr>
        <w:trPr>
          <w:trHeight w:val="224"/>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6"/>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65,416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2,052</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4.18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52,430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1,640</w:t>
            </w:r>
          </w:p>
        </w:tc>
        <w:tc>
          <w:tcPr>
            <w:tcW w:w="1360" w:type="dxa"/>
            <w:vAlign w:val="bottom"/>
          </w:tcPr>
          <w:p>
            <w:pPr>
              <w:ind w:left="860"/>
              <w:spacing w:after="0"/>
              <w:rPr>
                <w:sz w:val="20"/>
                <w:szCs w:val="20"/>
                <w:color w:val="auto"/>
              </w:rPr>
            </w:pPr>
            <w:r>
              <w:rPr>
                <w:rFonts w:ascii="Arial" w:cs="Arial" w:eastAsia="Arial" w:hAnsi="Arial"/>
                <w:sz w:val="15"/>
                <w:szCs w:val="15"/>
                <w:color w:val="auto"/>
              </w:rPr>
              <w:t>4.17</w:t>
            </w:r>
          </w:p>
        </w:tc>
      </w:tr>
      <w:tr>
        <w:trPr>
          <w:trHeight w:val="239"/>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4,062,655</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116,109</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3.81</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4,084,093</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111,796</w:t>
            </w:r>
          </w:p>
        </w:tc>
        <w:tc>
          <w:tcPr>
            <w:tcW w:w="1360" w:type="dxa"/>
            <w:vAlign w:val="bottom"/>
          </w:tcPr>
          <w:p>
            <w:pPr>
              <w:ind w:left="860"/>
              <w:spacing w:after="0"/>
              <w:rPr>
                <w:sz w:val="20"/>
                <w:szCs w:val="20"/>
                <w:color w:val="auto"/>
              </w:rPr>
            </w:pPr>
            <w:r>
              <w:rPr>
                <w:rFonts w:ascii="Arial" w:cs="Arial" w:eastAsia="Arial" w:hAnsi="Arial"/>
                <w:sz w:val="15"/>
                <w:szCs w:val="15"/>
                <w:color w:val="auto"/>
              </w:rPr>
              <w:t>3.65</w:t>
            </w:r>
          </w:p>
        </w:tc>
      </w:tr>
      <w:tr>
        <w:trPr>
          <w:trHeight w:val="264"/>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(2)</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4,128,071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118,161</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4,136,523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113,436</w:t>
            </w:r>
          </w:p>
        </w:tc>
        <w:tc>
          <w:tcPr>
            <w:tcW w:w="1360" w:type="dxa"/>
            <w:vAlign w:val="bottom"/>
          </w:tcPr>
          <w:p>
            <w:pPr>
              <w:ind w:left="860"/>
              <w:spacing w:after="0"/>
              <w:rPr>
                <w:sz w:val="20"/>
                <w:szCs w:val="20"/>
                <w:color w:val="auto"/>
              </w:rPr>
            </w:pPr>
            <w:r>
              <w:rPr>
                <w:rFonts w:ascii="Arial" w:cs="Arial" w:eastAsia="Arial" w:hAnsi="Arial"/>
                <w:sz w:val="15"/>
                <w:szCs w:val="15"/>
                <w:color w:val="auto"/>
              </w:rPr>
              <w:t>3.66</w:t>
            </w:r>
          </w:p>
        </w:tc>
      </w:tr>
      <w:tr>
        <w:trPr>
          <w:trHeight w:val="218"/>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2,925</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108</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4.92</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3,023</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128</w:t>
            </w:r>
          </w:p>
        </w:tc>
        <w:tc>
          <w:tcPr>
            <w:tcW w:w="1360" w:type="dxa"/>
            <w:vAlign w:val="bottom"/>
          </w:tcPr>
          <w:p>
            <w:pPr>
              <w:ind w:left="860"/>
              <w:spacing w:after="0"/>
              <w:rPr>
                <w:sz w:val="20"/>
                <w:szCs w:val="20"/>
                <w:color w:val="auto"/>
              </w:rPr>
            </w:pPr>
            <w:r>
              <w:rPr>
                <w:rFonts w:ascii="Arial" w:cs="Arial" w:eastAsia="Arial" w:hAnsi="Arial"/>
                <w:sz w:val="15"/>
                <w:szCs w:val="15"/>
                <w:color w:val="auto"/>
              </w:rPr>
              <w:t>5.65</w:t>
            </w:r>
          </w:p>
        </w:tc>
      </w:tr>
      <w:tr>
        <w:trPr>
          <w:trHeight w:val="238"/>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4,289,693</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122,652</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3.81 %</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4,310,400</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118,404</w:t>
            </w:r>
          </w:p>
        </w:tc>
        <w:tc>
          <w:tcPr>
            <w:tcW w:w="1360" w:type="dxa"/>
            <w:vAlign w:val="bottom"/>
          </w:tcPr>
          <w:p>
            <w:pPr>
              <w:ind w:left="860"/>
              <w:spacing w:after="0"/>
              <w:rPr>
                <w:sz w:val="20"/>
                <w:szCs w:val="20"/>
                <w:color w:val="auto"/>
              </w:rPr>
            </w:pPr>
            <w:r>
              <w:rPr>
                <w:rFonts w:ascii="Arial" w:cs="Arial" w:eastAsia="Arial" w:hAnsi="Arial"/>
                <w:sz w:val="15"/>
                <w:szCs w:val="15"/>
                <w:color w:val="auto"/>
              </w:rPr>
              <w:t>3.66 %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27,845</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(771)</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3.69 %</w:t>
            </w:r>
          </w:p>
        </w:tc>
        <w:tc>
          <w:tcPr>
            <w:tcW w:w="100" w:type="dxa"/>
            <w:vAlign w:val="bottom"/>
          </w:tcPr>
          <w:p>
            <w:pPr>
              <w:spacing w:after="0"/>
              <w:rPr>
                <w:sz w:val="22"/>
                <w:szCs w:val="22"/>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11,363</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(362)</w:t>
            </w:r>
          </w:p>
        </w:tc>
        <w:tc>
          <w:tcPr>
            <w:tcW w:w="1360" w:type="dxa"/>
            <w:vAlign w:val="bottom"/>
          </w:tcPr>
          <w:p>
            <w:pPr>
              <w:ind w:left="860"/>
              <w:spacing w:after="0"/>
              <w:rPr>
                <w:sz w:val="20"/>
                <w:szCs w:val="20"/>
                <w:color w:val="auto"/>
              </w:rPr>
            </w:pPr>
            <w:r>
              <w:rPr>
                <w:rFonts w:ascii="Arial" w:cs="Arial" w:eastAsia="Arial" w:hAnsi="Arial"/>
                <w:sz w:val="15"/>
                <w:szCs w:val="15"/>
                <w:color w:val="auto"/>
              </w:rPr>
              <w:t>4.25 %</w:t>
            </w:r>
          </w:p>
        </w:tc>
      </w:tr>
      <w:tr>
        <w:trPr>
          <w:trHeight w:val="239"/>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Long-term funding debt</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134,314</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(4,437)</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4.40</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119,675</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(3,832)</w:t>
            </w:r>
          </w:p>
        </w:tc>
        <w:tc>
          <w:tcPr>
            <w:tcW w:w="1360" w:type="dxa"/>
            <w:vAlign w:val="bottom"/>
          </w:tcPr>
          <w:p>
            <w:pPr>
              <w:ind w:left="860"/>
              <w:spacing w:after="0"/>
              <w:rPr>
                <w:sz w:val="20"/>
                <w:szCs w:val="20"/>
                <w:color w:val="auto"/>
              </w:rPr>
            </w:pPr>
            <w:r>
              <w:rPr>
                <w:rFonts w:ascii="Arial" w:cs="Arial" w:eastAsia="Arial" w:hAnsi="Arial"/>
                <w:sz w:val="15"/>
                <w:szCs w:val="15"/>
                <w:color w:val="auto"/>
              </w:rPr>
              <w:t>4.27</w:t>
            </w:r>
          </w:p>
        </w:tc>
      </w:tr>
      <w:tr>
        <w:trPr>
          <w:trHeight w:val="244"/>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162,159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(5,208)</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131,038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(4,194)</w:t>
            </w:r>
          </w:p>
        </w:tc>
        <w:tc>
          <w:tcPr>
            <w:tcW w:w="1360" w:type="dxa"/>
            <w:vAlign w:val="bottom"/>
          </w:tcPr>
          <w:p>
            <w:pPr>
              <w:ind w:left="860"/>
              <w:spacing w:after="0"/>
              <w:rPr>
                <w:sz w:val="20"/>
                <w:szCs w:val="20"/>
                <w:color w:val="auto"/>
              </w:rPr>
            </w:pPr>
            <w:r>
              <w:rPr>
                <w:rFonts w:ascii="Arial" w:cs="Arial" w:eastAsia="Arial" w:hAnsi="Arial"/>
                <w:sz w:val="15"/>
                <w:szCs w:val="15"/>
                <w:color w:val="auto"/>
              </w:rPr>
              <w:t>4.27</w:t>
            </w:r>
          </w:p>
        </w:tc>
      </w:tr>
      <w:tr>
        <w:trPr>
          <w:trHeight w:val="20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1"/>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4,002,581</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(95,194)</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3.17</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4,070,846</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(92,870)</w:t>
            </w:r>
          </w:p>
        </w:tc>
        <w:tc>
          <w:tcPr>
            <w:tcW w:w="1360" w:type="dxa"/>
            <w:vAlign w:val="bottom"/>
          </w:tcPr>
          <w:p>
            <w:pPr>
              <w:ind w:left="860"/>
              <w:spacing w:after="0"/>
              <w:rPr>
                <w:sz w:val="20"/>
                <w:szCs w:val="20"/>
                <w:color w:val="auto"/>
              </w:rPr>
            </w:pPr>
            <w:r>
              <w:rPr>
                <w:rFonts w:ascii="Arial" w:cs="Arial" w:eastAsia="Arial" w:hAnsi="Arial"/>
                <w:sz w:val="15"/>
                <w:szCs w:val="15"/>
                <w:color w:val="auto"/>
              </w:rPr>
              <w:t>3.04</w:t>
            </w:r>
          </w:p>
        </w:tc>
      </w:tr>
      <w:tr>
        <w:trPr>
          <w:trHeight w:val="238"/>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4,164,740</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(100,402)</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3.21 %</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4,201,884</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(97,064)</w:t>
            </w:r>
          </w:p>
        </w:tc>
        <w:tc>
          <w:tcPr>
            <w:tcW w:w="1360" w:type="dxa"/>
            <w:vAlign w:val="bottom"/>
          </w:tcPr>
          <w:p>
            <w:pPr>
              <w:ind w:left="860"/>
              <w:spacing w:after="0"/>
              <w:rPr>
                <w:sz w:val="20"/>
                <w:szCs w:val="20"/>
                <w:color w:val="auto"/>
              </w:rPr>
            </w:pPr>
            <w:r>
              <w:rPr>
                <w:rFonts w:ascii="Arial" w:cs="Arial" w:eastAsia="Arial" w:hAnsi="Arial"/>
                <w:sz w:val="15"/>
                <w:szCs w:val="15"/>
                <w:color w:val="auto"/>
              </w:rPr>
              <w:t>3.08 %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191"/>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22,250</w:t>
            </w:r>
          </w:p>
        </w:tc>
        <w:tc>
          <w:tcPr>
            <w:tcW w:w="1380" w:type="dxa"/>
            <w:vAlign w:val="bottom"/>
          </w:tcPr>
          <w:p>
            <w:pPr>
              <w:ind w:left="880"/>
              <w:spacing w:after="0"/>
              <w:rPr>
                <w:sz w:val="20"/>
                <w:szCs w:val="20"/>
                <w:color w:val="auto"/>
              </w:rPr>
            </w:pPr>
            <w:r>
              <w:rPr>
                <w:rFonts w:ascii="Arial" w:cs="Arial" w:eastAsia="Arial" w:hAnsi="Arial"/>
                <w:sz w:val="15"/>
                <w:szCs w:val="15"/>
                <w:b w:val="1"/>
                <w:bCs w:val="1"/>
                <w:color w:val="auto"/>
              </w:rPr>
              <w:t>0.69 %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21,340</w:t>
            </w:r>
          </w:p>
        </w:tc>
        <w:tc>
          <w:tcPr>
            <w:tcW w:w="1360" w:type="dxa"/>
            <w:vAlign w:val="bottom"/>
          </w:tcPr>
          <w:p>
            <w:pPr>
              <w:ind w:left="860"/>
              <w:spacing w:after="0"/>
              <w:rPr>
                <w:sz w:val="20"/>
                <w:szCs w:val="20"/>
                <w:color w:val="auto"/>
              </w:rPr>
            </w:pPr>
            <w:r>
              <w:rPr>
                <w:rFonts w:ascii="Arial" w:cs="Arial" w:eastAsia="Arial" w:hAnsi="Arial"/>
                <w:sz w:val="15"/>
                <w:szCs w:val="15"/>
                <w:color w:val="auto"/>
              </w:rPr>
              <w:t>0.66 %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the effects of discounts, premiums and other cost basis adjustments, including basis adjustments related to hedge accounting.</w:t>
      </w:r>
    </w:p>
    <w:p>
      <w:pPr>
        <w:spacing w:after="0" w:line="37" w:lineRule="exact"/>
        <w:rPr>
          <w:rFonts w:ascii="Arial" w:cs="Arial" w:eastAsia="Arial" w:hAnsi="Arial"/>
          <w:sz w:val="18"/>
          <w:szCs w:val="18"/>
          <w:color w:val="auto"/>
          <w:vertAlign w:val="superscript"/>
        </w:rPr>
      </w:pPr>
    </w:p>
    <w:p>
      <w:pPr>
        <w:ind w:left="240" w:right="100" w:hanging="237"/>
        <w:spacing w:after="0" w:line="238" w:lineRule="auto"/>
        <w:tabs>
          <w:tab w:leader="none" w:pos="216"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Average balance includes mortgage loans on nonaccrual status. Interest income includes loan fees of $742 million and $2.3 billion, respectively, for the third quarter of 2026 and the first nine months of 2026, compared with $767 million and $2.2 billion, respectively, for the third quarter of 2025 and first nine months of 2025. Loan fees primarily consist of the amortization of upfront cash fees exchanged when we acquire the mortgage loan and yield maintenance revenue we recognized on the prepayment of multifamily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389890</wp:posOffset>
            </wp:positionV>
            <wp:extent cx="7007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40" w:type="dxa"/>
            <w:vAlign w:val="bottom"/>
          </w:tcPr>
          <w:p>
            <w:pPr>
              <w:jc w:val="right"/>
              <w:ind w:right="51"/>
              <w:spacing w:after="0"/>
              <w:rPr>
                <w:sz w:val="20"/>
                <w:szCs w:val="20"/>
                <w:color w:val="auto"/>
              </w:rPr>
            </w:pPr>
            <w:r>
              <w:rPr>
                <w:rFonts w:ascii="Arial" w:cs="Arial" w:eastAsia="Arial" w:hAnsi="Arial"/>
                <w:sz w:val="14"/>
                <w:szCs w:val="14"/>
                <w:color w:val="05314D"/>
              </w:rPr>
              <w:t>9</w:t>
            </w:r>
          </w:p>
        </w:tc>
      </w:tr>
      <w:tr>
        <w:trPr>
          <w:trHeight w:val="207"/>
        </w:trPr>
        <w:tc>
          <w:tcPr>
            <w:tcW w:w="6900" w:type="dxa"/>
            <w:vAlign w:val="bottom"/>
            <w:tcBorders>
              <w:bottom w:val="single" w:sz="8" w:color="9A9A9A"/>
            </w:tcBorders>
          </w:tcPr>
          <w:p>
            <w:pPr>
              <w:spacing w:after="0"/>
              <w:rPr>
                <w:sz w:val="17"/>
                <w:szCs w:val="17"/>
                <w:color w:val="auto"/>
              </w:rPr>
            </w:pPr>
          </w:p>
        </w:tc>
        <w:tc>
          <w:tcPr>
            <w:tcW w:w="4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2" w:name="page13"/>
    <w:bookmarkEnd w:id="12"/>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(Provision) Benefit for Credit Losses</w:t>
      </w:r>
    </w:p>
    <w:p>
      <w:pPr>
        <w:spacing w:after="0" w:line="6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table below presents our single-family and multifamily benefit or provision for credit losses and the change in expected credit enhancement recoveries. The benefit or provision for credit losses includes our benefit or provision for loan losses, advances of pre-foreclosure costs, accrued interest receivable losses, our guaranty loss reserves and credit losses on our available-for-sale (“AFS”) debt securities.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(Provision) Benefit for Credit Losses and Change in Expected Credit Enhancement Recoveries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0565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16510"/>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6"/>
          </w:tcPr>
          <w:p>
            <w:pPr>
              <w:ind w:left="380"/>
              <w:spacing w:after="0"/>
              <w:rPr>
                <w:sz w:val="20"/>
                <w:szCs w:val="20"/>
                <w:color w:val="auto"/>
              </w:rPr>
            </w:pPr>
            <w:r>
              <w:rPr>
                <w:rFonts w:ascii="Arial" w:cs="Arial" w:eastAsia="Arial" w:hAnsi="Arial"/>
                <w:sz w:val="15"/>
                <w:szCs w:val="15"/>
                <w:b w:val="1"/>
                <w:bCs w:val="1"/>
                <w:color w:val="auto"/>
              </w:rPr>
              <w:t>For the Three Months Ended</w:t>
            </w:r>
          </w:p>
        </w:tc>
        <w:tc>
          <w:tcPr>
            <w:tcW w:w="260" w:type="dxa"/>
            <w:vAlign w:val="bottom"/>
          </w:tcPr>
          <w:p>
            <w:pPr>
              <w:spacing w:after="0"/>
              <w:rPr>
                <w:sz w:val="15"/>
                <w:szCs w:val="15"/>
                <w:color w:val="auto"/>
              </w:rPr>
            </w:pPr>
          </w:p>
        </w:tc>
        <w:tc>
          <w:tcPr>
            <w:tcW w:w="2620" w:type="dxa"/>
            <w:vAlign w:val="bottom"/>
            <w:gridSpan w:val="4"/>
          </w:tcPr>
          <w:p>
            <w:pPr>
              <w:jc w:val="right"/>
              <w:ind w:right="363"/>
              <w:spacing w:after="0"/>
              <w:rPr>
                <w:sz w:val="20"/>
                <w:szCs w:val="20"/>
                <w:color w:val="auto"/>
              </w:rPr>
            </w:pPr>
            <w:r>
              <w:rPr>
                <w:rFonts w:ascii="Arial" w:cs="Arial" w:eastAsia="Arial" w:hAnsi="Arial"/>
                <w:sz w:val="15"/>
                <w:szCs w:val="15"/>
                <w:b w:val="1"/>
                <w:bCs w:val="1"/>
                <w:color w:val="auto"/>
              </w:rPr>
              <w:t>For the Nine Months Ended</w:t>
            </w:r>
          </w:p>
        </w:tc>
      </w:tr>
      <w:tr>
        <w:trPr>
          <w:trHeight w:val="226"/>
        </w:trPr>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172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2C6937"/>
            </w:tcBorders>
          </w:tcPr>
          <w:p>
            <w:pPr>
              <w:spacing w:after="0"/>
              <w:rPr>
                <w:sz w:val="19"/>
                <w:szCs w:val="19"/>
                <w:color w:val="auto"/>
              </w:rPr>
            </w:pPr>
          </w:p>
        </w:tc>
      </w:tr>
      <w:tr>
        <w:trPr>
          <w:trHeight w:val="242"/>
        </w:trPr>
        <w:tc>
          <w:tcPr>
            <w:tcW w:w="5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2026</w:t>
            </w:r>
          </w:p>
        </w:tc>
        <w:tc>
          <w:tcPr>
            <w:tcW w:w="520" w:type="dxa"/>
            <w:vAlign w:val="bottom"/>
            <w:tcBorders>
              <w:bottom w:val="single" w:sz="8" w:color="2C6937"/>
            </w:tcBorders>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500" w:type="dxa"/>
            <w:vAlign w:val="bottom"/>
            <w:tcBorders>
              <w:bottom w:val="single" w:sz="8" w:color="2C6937"/>
            </w:tcBorders>
          </w:tcPr>
          <w:p>
            <w:pPr>
              <w:spacing w:after="0"/>
              <w:rPr>
                <w:sz w:val="21"/>
                <w:szCs w:val="21"/>
                <w:color w:val="auto"/>
              </w:rPr>
            </w:pPr>
          </w:p>
        </w:tc>
        <w:tc>
          <w:tcPr>
            <w:tcW w:w="880" w:type="dxa"/>
            <w:vAlign w:val="bottom"/>
            <w:tcBorders>
              <w:bottom w:val="single" w:sz="8" w:color="2C6937"/>
            </w:tcBorders>
          </w:tcPr>
          <w:p>
            <w:pPr>
              <w:jc w:val="right"/>
              <w:ind w:right="443"/>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2C6937"/>
            </w:tcBorders>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1140" w:type="dxa"/>
            <w:vAlign w:val="bottom"/>
            <w:tcBorders>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bottom w:val="single" w:sz="8" w:color="2C6937"/>
            </w:tcBorders>
          </w:tcPr>
          <w:p>
            <w:pPr>
              <w:spacing w:after="0"/>
              <w:rPr>
                <w:sz w:val="21"/>
                <w:szCs w:val="21"/>
                <w:color w:val="auto"/>
              </w:rPr>
            </w:pPr>
          </w:p>
        </w:tc>
        <w:tc>
          <w:tcPr>
            <w:tcW w:w="500" w:type="dxa"/>
            <w:vAlign w:val="bottom"/>
            <w:tcBorders>
              <w:bottom w:val="single" w:sz="8" w:color="2C6937"/>
            </w:tcBorders>
          </w:tcPr>
          <w:p>
            <w:pPr>
              <w:spacing w:after="0"/>
              <w:rPr>
                <w:sz w:val="21"/>
                <w:szCs w:val="21"/>
                <w:color w:val="auto"/>
              </w:rPr>
            </w:pPr>
          </w:p>
        </w:tc>
        <w:tc>
          <w:tcPr>
            <w:tcW w:w="900" w:type="dxa"/>
            <w:vAlign w:val="bottom"/>
            <w:tcBorders>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2025</w:t>
            </w:r>
          </w:p>
        </w:tc>
      </w:tr>
      <w:tr>
        <w:trPr>
          <w:trHeight w:val="312"/>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gridSpan w:val="5"/>
          </w:tcPr>
          <w:p>
            <w:pPr>
              <w:ind w:left="220"/>
              <w:spacing w:after="0"/>
              <w:rPr>
                <w:sz w:val="20"/>
                <w:szCs w:val="20"/>
                <w:color w:val="auto"/>
              </w:rPr>
            </w:pPr>
            <w:r>
              <w:rPr>
                <w:rFonts w:ascii="Arial" w:cs="Arial" w:eastAsia="Arial" w:hAnsi="Arial"/>
                <w:sz w:val="15"/>
                <w:szCs w:val="15"/>
                <w:b w:val="1"/>
                <w:bCs w:val="1"/>
                <w:color w:val="auto"/>
              </w:rPr>
              <w:t>(Dollars in millions)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2"/>
        </w:trPr>
        <w:tc>
          <w:tcPr>
            <w:tcW w:w="5360" w:type="dxa"/>
            <w:vAlign w:val="bottom"/>
            <w:gridSpan w:val="2"/>
          </w:tcPr>
          <w:p>
            <w:pPr>
              <w:ind w:left="20"/>
              <w:spacing w:after="0"/>
              <w:rPr>
                <w:sz w:val="20"/>
                <w:szCs w:val="20"/>
                <w:color w:val="auto"/>
              </w:rPr>
            </w:pPr>
            <w:r>
              <w:rPr>
                <w:rFonts w:ascii="Arial" w:cs="Arial" w:eastAsia="Arial" w:hAnsi="Arial"/>
                <w:sz w:val="15"/>
                <w:szCs w:val="15"/>
                <w:b w:val="1"/>
                <w:bCs w:val="1"/>
                <w:color w:val="auto"/>
              </w:rPr>
              <w:t>(Provision) benefit for credit losses: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2"/>
        </w:trPr>
        <w:tc>
          <w:tcPr>
            <w:tcW w:w="5360" w:type="dxa"/>
            <w:vAlign w:val="bottom"/>
            <w:gridSpan w:val="2"/>
          </w:tcPr>
          <w:p>
            <w:pPr>
              <w:ind w:left="20"/>
              <w:spacing w:after="0"/>
              <w:rPr>
                <w:sz w:val="20"/>
                <w:szCs w:val="20"/>
                <w:color w:val="auto"/>
              </w:rPr>
            </w:pPr>
            <w:r>
              <w:rPr>
                <w:rFonts w:ascii="Arial" w:cs="Arial" w:eastAsia="Arial" w:hAnsi="Arial"/>
                <w:sz w:val="15"/>
                <w:szCs w:val="15"/>
                <w:color w:val="auto"/>
              </w:rPr>
              <w:t>Single-family (provision) benefit for credit losses</w:t>
            </w:r>
          </w:p>
        </w:tc>
        <w:tc>
          <w:tcPr>
            <w:tcW w:w="860" w:type="dxa"/>
            <w:vAlign w:val="bottom"/>
          </w:tcPr>
          <w:p>
            <w:pPr>
              <w:jc w:val="right"/>
              <w:ind w:right="683"/>
              <w:spacing w:after="0"/>
              <w:rPr>
                <w:sz w:val="20"/>
                <w:szCs w:val="20"/>
                <w:color w:val="auto"/>
              </w:rPr>
            </w:pPr>
            <w:r>
              <w:rPr>
                <w:rFonts w:ascii="Arial" w:cs="Arial" w:eastAsia="Arial" w:hAnsi="Arial"/>
                <w:sz w:val="15"/>
                <w:szCs w:val="15"/>
                <w:b w:val="1"/>
                <w:bCs w:val="1"/>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(694)</w:t>
            </w:r>
          </w:p>
        </w:tc>
        <w:tc>
          <w:tcPr>
            <w:tcW w:w="100" w:type="dxa"/>
            <w:vAlign w:val="bottom"/>
          </w:tcPr>
          <w:p>
            <w:pPr>
              <w:spacing w:after="0"/>
              <w:rPr>
                <w:sz w:val="20"/>
                <w:szCs w:val="20"/>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(269)</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(1,023)</w:t>
            </w:r>
          </w:p>
        </w:tc>
        <w:tc>
          <w:tcPr>
            <w:tcW w:w="80" w:type="dxa"/>
            <w:vAlign w:val="bottom"/>
          </w:tcPr>
          <w:p>
            <w:pPr>
              <w:spacing w:after="0"/>
              <w:rPr>
                <w:sz w:val="20"/>
                <w:szCs w:val="20"/>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(1,030)</w:t>
            </w:r>
          </w:p>
        </w:tc>
      </w:tr>
      <w:tr>
        <w:trPr>
          <w:trHeight w:val="316"/>
        </w:trPr>
        <w:tc>
          <w:tcPr>
            <w:tcW w:w="526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Multifamily (provision) benefit for credit losses</w:t>
            </w:r>
          </w:p>
        </w:tc>
        <w:tc>
          <w:tcPr>
            <w:tcW w:w="100" w:type="dxa"/>
            <w:vAlign w:val="bottom"/>
          </w:tcPr>
          <w:p>
            <w:pPr>
              <w:spacing w:after="0"/>
              <w:rPr>
                <w:sz w:val="24"/>
                <w:szCs w:val="24"/>
                <w:color w:val="auto"/>
              </w:rPr>
            </w:pPr>
          </w:p>
        </w:tc>
        <w:tc>
          <w:tcPr>
            <w:tcW w:w="860" w:type="dxa"/>
            <w:vAlign w:val="bottom"/>
            <w:tcBorders>
              <w:bottom w:val="single" w:sz="8" w:color="216C2B"/>
            </w:tcBorders>
          </w:tcPr>
          <w:p>
            <w:pPr>
              <w:spacing w:after="0"/>
              <w:rPr>
                <w:sz w:val="24"/>
                <w:szCs w:val="24"/>
                <w:color w:val="auto"/>
              </w:rPr>
            </w:pPr>
          </w:p>
        </w:tc>
        <w:tc>
          <w:tcPr>
            <w:tcW w:w="52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(446)</w:t>
            </w:r>
          </w:p>
        </w:tc>
        <w:tc>
          <w:tcPr>
            <w:tcW w:w="100" w:type="dxa"/>
            <w:vAlign w:val="bottom"/>
          </w:tcPr>
          <w:p>
            <w:pPr>
              <w:spacing w:after="0"/>
              <w:rPr>
                <w:sz w:val="24"/>
                <w:szCs w:val="24"/>
                <w:color w:val="auto"/>
              </w:rPr>
            </w:pPr>
          </w:p>
        </w:tc>
        <w:tc>
          <w:tcPr>
            <w:tcW w:w="500" w:type="dxa"/>
            <w:vAlign w:val="bottom"/>
            <w:tcBorders>
              <w:bottom w:val="single" w:sz="8" w:color="216C2B"/>
            </w:tcBorders>
          </w:tcPr>
          <w:p>
            <w:pPr>
              <w:spacing w:after="0"/>
              <w:rPr>
                <w:sz w:val="24"/>
                <w:szCs w:val="24"/>
                <w:color w:val="auto"/>
              </w:rPr>
            </w:pPr>
          </w:p>
        </w:tc>
        <w:tc>
          <w:tcPr>
            <w:tcW w:w="88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24"/>
                <w:szCs w:val="24"/>
                <w:color w:val="auto"/>
              </w:rPr>
            </w:pPr>
          </w:p>
        </w:tc>
        <w:tc>
          <w:tcPr>
            <w:tcW w:w="260" w:type="dxa"/>
            <w:vAlign w:val="bottom"/>
            <w:tcBorders>
              <w:bottom w:val="single" w:sz="8" w:color="216C2B"/>
            </w:tcBorders>
          </w:tcPr>
          <w:p>
            <w:pPr>
              <w:spacing w:after="0"/>
              <w:rPr>
                <w:sz w:val="24"/>
                <w:szCs w:val="24"/>
                <w:color w:val="auto"/>
              </w:rPr>
            </w:pPr>
          </w:p>
        </w:tc>
        <w:tc>
          <w:tcPr>
            <w:tcW w:w="114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(879)</w:t>
            </w:r>
          </w:p>
        </w:tc>
        <w:tc>
          <w:tcPr>
            <w:tcW w:w="80" w:type="dxa"/>
            <w:vAlign w:val="bottom"/>
          </w:tcPr>
          <w:p>
            <w:pPr>
              <w:spacing w:after="0"/>
              <w:rPr>
                <w:sz w:val="24"/>
                <w:szCs w:val="24"/>
                <w:color w:val="auto"/>
              </w:rPr>
            </w:pPr>
          </w:p>
        </w:tc>
        <w:tc>
          <w:tcPr>
            <w:tcW w:w="500" w:type="dxa"/>
            <w:vAlign w:val="bottom"/>
            <w:tcBorders>
              <w:bottom w:val="single" w:sz="8" w:color="216C2B"/>
            </w:tcBorders>
          </w:tcPr>
          <w:p>
            <w:pPr>
              <w:spacing w:after="0"/>
              <w:rPr>
                <w:sz w:val="24"/>
                <w:szCs w:val="24"/>
                <w:color w:val="auto"/>
              </w:rPr>
            </w:pPr>
          </w:p>
        </w:tc>
        <w:tc>
          <w:tcPr>
            <w:tcW w:w="90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(278)</w:t>
            </w:r>
          </w:p>
        </w:tc>
      </w:tr>
      <w:tr>
        <w:trPr>
          <w:trHeight w:val="315"/>
        </w:trPr>
        <w:tc>
          <w:tcPr>
            <w:tcW w:w="52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(provision) benefit for credit losses</w:t>
            </w:r>
          </w:p>
        </w:tc>
        <w:tc>
          <w:tcPr>
            <w:tcW w:w="100" w:type="dxa"/>
            <w:vAlign w:val="bottom"/>
          </w:tcPr>
          <w:p>
            <w:pPr>
              <w:spacing w:after="0"/>
              <w:rPr>
                <w:sz w:val="24"/>
                <w:szCs w:val="24"/>
                <w:color w:val="auto"/>
              </w:rPr>
            </w:pPr>
          </w:p>
        </w:tc>
        <w:tc>
          <w:tcPr>
            <w:tcW w:w="860" w:type="dxa"/>
            <w:vAlign w:val="bottom"/>
            <w:tcBorders>
              <w:bottom w:val="single" w:sz="8" w:color="2C6937"/>
            </w:tcBorders>
          </w:tcPr>
          <w:p>
            <w:pPr>
              <w:jc w:val="right"/>
              <w:ind w:right="683"/>
              <w:spacing w:after="0"/>
              <w:rPr>
                <w:sz w:val="20"/>
                <w:szCs w:val="20"/>
                <w:color w:val="auto"/>
              </w:rPr>
            </w:pPr>
            <w:r>
              <w:rPr>
                <w:rFonts w:ascii="Arial" w:cs="Arial" w:eastAsia="Arial" w:hAnsi="Arial"/>
                <w:sz w:val="15"/>
                <w:szCs w:val="15"/>
                <w:b w:val="1"/>
                <w:bCs w:val="1"/>
                <w:color w:val="auto"/>
                <w:w w:val="95"/>
              </w:rPr>
              <w:t>$</w:t>
            </w: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(1,140)</w:t>
            </w:r>
          </w:p>
        </w:tc>
        <w:tc>
          <w:tcPr>
            <w:tcW w:w="100" w:type="dxa"/>
            <w:vAlign w:val="bottom"/>
          </w:tcPr>
          <w:p>
            <w:pPr>
              <w:spacing w:after="0"/>
              <w:rPr>
                <w:sz w:val="24"/>
                <w:szCs w:val="24"/>
                <w:color w:val="auto"/>
              </w:rPr>
            </w:pPr>
          </w:p>
        </w:tc>
        <w:tc>
          <w:tcPr>
            <w:tcW w:w="50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(338)</w:t>
            </w:r>
          </w:p>
        </w:tc>
        <w:tc>
          <w:tcPr>
            <w:tcW w:w="100" w:type="dxa"/>
            <w:vAlign w:val="bottom"/>
          </w:tcPr>
          <w:p>
            <w:pPr>
              <w:spacing w:after="0"/>
              <w:rPr>
                <w:sz w:val="24"/>
                <w:szCs w:val="24"/>
                <w:color w:val="auto"/>
              </w:rPr>
            </w:pPr>
          </w:p>
        </w:tc>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(1,902)</w:t>
            </w:r>
          </w:p>
        </w:tc>
        <w:tc>
          <w:tcPr>
            <w:tcW w:w="80" w:type="dxa"/>
            <w:vAlign w:val="bottom"/>
          </w:tcPr>
          <w:p>
            <w:pPr>
              <w:spacing w:after="0"/>
              <w:rPr>
                <w:sz w:val="24"/>
                <w:szCs w:val="24"/>
                <w:color w:val="auto"/>
              </w:rPr>
            </w:pPr>
          </w:p>
        </w:tc>
        <w:tc>
          <w:tcPr>
            <w:tcW w:w="50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(1,308)</w:t>
            </w:r>
          </w:p>
        </w:tc>
      </w:tr>
      <w:tr>
        <w:trPr>
          <w:trHeight w:val="20"/>
        </w:trPr>
        <w:tc>
          <w:tcPr>
            <w:tcW w:w="5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900" w:type="dxa"/>
            <w:vAlign w:val="bottom"/>
            <w:tcBorders>
              <w:bottom w:val="single" w:sz="8" w:color="2C6937"/>
            </w:tcBorders>
          </w:tcPr>
          <w:p>
            <w:pPr>
              <w:spacing w:after="0" w:line="20" w:lineRule="exact"/>
              <w:rPr>
                <w:sz w:val="1"/>
                <w:szCs w:val="1"/>
                <w:color w:val="auto"/>
              </w:rPr>
            </w:pPr>
          </w:p>
        </w:tc>
      </w:tr>
      <w:tr>
        <w:trPr>
          <w:trHeight w:val="370"/>
        </w:trPr>
        <w:tc>
          <w:tcPr>
            <w:tcW w:w="536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 in expected credit enhancement recoveries:</w:t>
            </w:r>
            <w:r>
              <w:rPr>
                <w:rFonts w:ascii="Arial" w:cs="Arial" w:eastAsia="Arial" w:hAnsi="Arial"/>
                <w:sz w:val="20"/>
                <w:szCs w:val="20"/>
                <w:b w:val="1"/>
                <w:bCs w:val="1"/>
                <w:color w:val="auto"/>
                <w:vertAlign w:val="superscript"/>
              </w:rPr>
              <w:t>(1)</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5360" w:type="dxa"/>
            <w:vAlign w:val="bottom"/>
            <w:gridSpan w:val="2"/>
          </w:tcPr>
          <w:p>
            <w:pPr>
              <w:ind w:left="180"/>
              <w:spacing w:after="0"/>
              <w:rPr>
                <w:sz w:val="20"/>
                <w:szCs w:val="20"/>
                <w:color w:val="auto"/>
              </w:rPr>
            </w:pPr>
            <w:r>
              <w:rPr>
                <w:rFonts w:ascii="Arial" w:cs="Arial" w:eastAsia="Arial" w:hAnsi="Arial"/>
                <w:sz w:val="15"/>
                <w:szCs w:val="15"/>
                <w:color w:val="auto"/>
              </w:rPr>
              <w:t>Single-family</w:t>
            </w:r>
          </w:p>
        </w:tc>
        <w:tc>
          <w:tcPr>
            <w:tcW w:w="860" w:type="dxa"/>
            <w:vAlign w:val="bottom"/>
          </w:tcPr>
          <w:p>
            <w:pPr>
              <w:jc w:val="right"/>
              <w:ind w:right="683"/>
              <w:spacing w:after="0"/>
              <w:rPr>
                <w:sz w:val="20"/>
                <w:szCs w:val="20"/>
                <w:color w:val="auto"/>
              </w:rPr>
            </w:pPr>
            <w:r>
              <w:rPr>
                <w:rFonts w:ascii="Arial" w:cs="Arial" w:eastAsia="Arial" w:hAnsi="Arial"/>
                <w:sz w:val="15"/>
                <w:szCs w:val="15"/>
                <w:b w:val="1"/>
                <w:bCs w:val="1"/>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3"/>
                <w:szCs w:val="23"/>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3"/>
                <w:szCs w:val="23"/>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ind w:right="3"/>
              <w:spacing w:after="0"/>
              <w:rPr>
                <w:sz w:val="20"/>
                <w:szCs w:val="20"/>
                <w:color w:val="auto"/>
              </w:rPr>
            </w:pPr>
            <w:r>
              <w:rPr>
                <w:rFonts w:ascii="Arial" w:cs="Arial" w:eastAsia="Arial" w:hAnsi="Arial"/>
                <w:sz w:val="15"/>
                <w:szCs w:val="15"/>
                <w:b w:val="1"/>
                <w:bCs w:val="1"/>
                <w:color w:val="auto"/>
              </w:rPr>
              <w:t>11</w:t>
            </w:r>
          </w:p>
        </w:tc>
        <w:tc>
          <w:tcPr>
            <w:tcW w:w="80" w:type="dxa"/>
            <w:vAlign w:val="bottom"/>
          </w:tcPr>
          <w:p>
            <w:pPr>
              <w:spacing w:after="0"/>
              <w:rPr>
                <w:sz w:val="23"/>
                <w:szCs w:val="23"/>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316"/>
        </w:trPr>
        <w:tc>
          <w:tcPr>
            <w:tcW w:w="52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170</w:t>
            </w:r>
          </w:p>
        </w:tc>
        <w:tc>
          <w:tcPr>
            <w:tcW w:w="100" w:type="dxa"/>
            <w:vAlign w:val="bottom"/>
          </w:tcPr>
          <w:p>
            <w:pPr>
              <w:spacing w:after="0"/>
              <w:rPr>
                <w:sz w:val="24"/>
                <w:szCs w:val="24"/>
                <w:color w:val="auto"/>
              </w:rPr>
            </w:pPr>
          </w:p>
        </w:tc>
        <w:tc>
          <w:tcPr>
            <w:tcW w:w="50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373</w:t>
            </w:r>
          </w:p>
        </w:tc>
        <w:tc>
          <w:tcPr>
            <w:tcW w:w="80" w:type="dxa"/>
            <w:vAlign w:val="bottom"/>
          </w:tcPr>
          <w:p>
            <w:pPr>
              <w:spacing w:after="0"/>
              <w:rPr>
                <w:sz w:val="24"/>
                <w:szCs w:val="24"/>
                <w:color w:val="auto"/>
              </w:rPr>
            </w:pPr>
          </w:p>
        </w:tc>
        <w:tc>
          <w:tcPr>
            <w:tcW w:w="50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119</w:t>
            </w:r>
          </w:p>
        </w:tc>
      </w:tr>
      <w:tr>
        <w:trPr>
          <w:trHeight w:val="315"/>
        </w:trPr>
        <w:tc>
          <w:tcPr>
            <w:tcW w:w="5360" w:type="dxa"/>
            <w:vAlign w:val="bottom"/>
            <w:gridSpan w:val="2"/>
          </w:tcPr>
          <w:p>
            <w:pPr>
              <w:ind w:left="20"/>
              <w:spacing w:after="0"/>
              <w:rPr>
                <w:sz w:val="20"/>
                <w:szCs w:val="20"/>
                <w:color w:val="auto"/>
              </w:rPr>
            </w:pPr>
            <w:r>
              <w:rPr>
                <w:rFonts w:ascii="Arial" w:cs="Arial" w:eastAsia="Arial" w:hAnsi="Arial"/>
                <w:sz w:val="15"/>
                <w:szCs w:val="15"/>
                <w:color w:val="auto"/>
              </w:rPr>
              <w:t>Total change in expected credit enhancement recoveries</w:t>
            </w:r>
          </w:p>
        </w:tc>
        <w:tc>
          <w:tcPr>
            <w:tcW w:w="860" w:type="dxa"/>
            <w:vAlign w:val="bottom"/>
          </w:tcPr>
          <w:p>
            <w:pPr>
              <w:jc w:val="right"/>
              <w:ind w:right="683"/>
              <w:spacing w:after="0"/>
              <w:rPr>
                <w:sz w:val="20"/>
                <w:szCs w:val="20"/>
                <w:color w:val="auto"/>
              </w:rPr>
            </w:pPr>
            <w:r>
              <w:rPr>
                <w:rFonts w:ascii="Arial" w:cs="Arial" w:eastAsia="Arial" w:hAnsi="Arial"/>
                <w:sz w:val="15"/>
                <w:szCs w:val="15"/>
                <w:b w:val="1"/>
                <w:bCs w:val="1"/>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175</w:t>
            </w:r>
          </w:p>
        </w:tc>
        <w:tc>
          <w:tcPr>
            <w:tcW w:w="100" w:type="dxa"/>
            <w:vAlign w:val="bottom"/>
          </w:tcPr>
          <w:p>
            <w:pPr>
              <w:spacing w:after="0"/>
              <w:rPr>
                <w:sz w:val="24"/>
                <w:szCs w:val="24"/>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ind w:right="3"/>
              <w:spacing w:after="0"/>
              <w:rPr>
                <w:sz w:val="20"/>
                <w:szCs w:val="20"/>
                <w:color w:val="auto"/>
              </w:rPr>
            </w:pPr>
            <w:r>
              <w:rPr>
                <w:rFonts w:ascii="Arial" w:cs="Arial" w:eastAsia="Arial" w:hAnsi="Arial"/>
                <w:sz w:val="15"/>
                <w:szCs w:val="15"/>
                <w:b w:val="1"/>
                <w:bCs w:val="1"/>
                <w:color w:val="auto"/>
              </w:rPr>
              <w:t>384</w:t>
            </w:r>
          </w:p>
        </w:tc>
        <w:tc>
          <w:tcPr>
            <w:tcW w:w="80" w:type="dxa"/>
            <w:vAlign w:val="bottom"/>
          </w:tcPr>
          <w:p>
            <w:pPr>
              <w:spacing w:after="0"/>
              <w:rPr>
                <w:sz w:val="24"/>
                <w:szCs w:val="24"/>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96</w:t>
            </w:r>
          </w:p>
        </w:tc>
      </w:tr>
      <w:tr>
        <w:trPr>
          <w:trHeight w:val="20"/>
        </w:trPr>
        <w:tc>
          <w:tcPr>
            <w:tcW w:w="526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226600"/>
              <w:bottom w:val="single" w:sz="8" w:color="226600"/>
            </w:tcBorders>
          </w:tcPr>
          <w:p>
            <w:pPr>
              <w:spacing w:after="0" w:line="20" w:lineRule="exact"/>
              <w:rPr>
                <w:sz w:val="1"/>
                <w:szCs w:val="1"/>
                <w:color w:val="auto"/>
              </w:rPr>
            </w:pPr>
          </w:p>
        </w:tc>
        <w:tc>
          <w:tcPr>
            <w:tcW w:w="52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226600"/>
              <w:bottom w:val="single" w:sz="8" w:color="226600"/>
            </w:tcBorders>
          </w:tcPr>
          <w:p>
            <w:pPr>
              <w:spacing w:after="0" w:line="20" w:lineRule="exact"/>
              <w:rPr>
                <w:sz w:val="1"/>
                <w:szCs w:val="1"/>
                <w:color w:val="auto"/>
              </w:rPr>
            </w:pPr>
          </w:p>
        </w:tc>
        <w:tc>
          <w:tcPr>
            <w:tcW w:w="88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26600"/>
              <w:bottom w:val="single" w:sz="8" w:color="226600"/>
            </w:tcBorders>
          </w:tcPr>
          <w:p>
            <w:pPr>
              <w:spacing w:after="0" w:line="20" w:lineRule="exact"/>
              <w:rPr>
                <w:sz w:val="1"/>
                <w:szCs w:val="1"/>
                <w:color w:val="auto"/>
              </w:rPr>
            </w:pPr>
          </w:p>
        </w:tc>
        <w:tc>
          <w:tcPr>
            <w:tcW w:w="1140" w:type="dxa"/>
            <w:vAlign w:val="bottom"/>
            <w:tcBorders>
              <w:top w:val="single" w:sz="8" w:color="226600"/>
              <w:bottom w:val="single" w:sz="8" w:color="2266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226600"/>
              <w:bottom w:val="single" w:sz="8" w:color="226600"/>
            </w:tcBorders>
          </w:tcPr>
          <w:p>
            <w:pPr>
              <w:spacing w:after="0" w:line="20" w:lineRule="exact"/>
              <w:rPr>
                <w:sz w:val="1"/>
                <w:szCs w:val="1"/>
                <w:color w:val="auto"/>
              </w:rPr>
            </w:pPr>
          </w:p>
        </w:tc>
        <w:tc>
          <w:tcPr>
            <w:tcW w:w="900" w:type="dxa"/>
            <w:vAlign w:val="bottom"/>
            <w:tcBorders>
              <w:top w:val="single" w:sz="8" w:color="226600"/>
              <w:bottom w:val="single" w:sz="8" w:color="226600"/>
            </w:tcBorders>
          </w:tcPr>
          <w:p>
            <w:pPr>
              <w:spacing w:after="0" w:line="20" w:lineRule="exact"/>
              <w:rPr>
                <w:sz w:val="1"/>
                <w:szCs w:val="1"/>
                <w:color w:val="auto"/>
              </w:rPr>
            </w:pPr>
          </w:p>
        </w:tc>
      </w:tr>
    </w:tbl>
    <w:p>
      <w:pPr>
        <w:spacing w:after="0" w:line="109" w:lineRule="exact"/>
        <w:rPr>
          <w:sz w:val="20"/>
          <w:szCs w:val="20"/>
          <w:color w:val="auto"/>
        </w:rPr>
      </w:pPr>
    </w:p>
    <w:p>
      <w:pPr>
        <w:ind w:left="240" w:right="320" w:hanging="237"/>
        <w:spacing w:after="0" w:line="278" w:lineRule="auto"/>
        <w:tabs>
          <w:tab w:leader="none" w:pos="233" w:val="left"/>
        </w:tabs>
        <w:numPr>
          <w:ilvl w:val="0"/>
          <w:numId w:val="13"/>
        </w:numPr>
        <w:rPr>
          <w:rFonts w:ascii="Arial" w:cs="Arial" w:eastAsia="Arial" w:hAnsi="Arial"/>
          <w:sz w:val="9"/>
          <w:szCs w:val="9"/>
          <w:color w:val="auto"/>
        </w:rPr>
      </w:pPr>
      <w:r>
        <w:rPr>
          <w:rFonts w:ascii="Arial" w:cs="Arial" w:eastAsia="Arial" w:hAnsi="Arial"/>
          <w:sz w:val="14"/>
          <w:szCs w:val="14"/>
          <w:color w:val="auto"/>
        </w:rPr>
        <w:t>Consists of estimated changes in benefits from our freestanding credit enhancements, which are recognized as a component of “Other income (expense), net” in our condensed consolidated statements of operations and comprehensive income.</w:t>
      </w:r>
    </w:p>
    <w:p>
      <w:pPr>
        <w:spacing w:after="0" w:line="6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(Provision) Benefit for Credit Losses</w:t>
      </w:r>
    </w:p>
    <w:p>
      <w:pPr>
        <w:spacing w:after="0" w:line="8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Our single-family provision for credit losses in the third quarter of 2026 was primarily driven by higher actual and projected interest rates, which extend the expected life of the loans, provision related to loans acquired during the period for our single-family guaranty book of business, and loans that became newly delinquent.</w:t>
      </w:r>
    </w:p>
    <w:p>
      <w:pPr>
        <w:spacing w:after="0" w:line="3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single-family provision for credit losses in the first nine months of 2026 was primarily driven by provision related to loans acquired during the period for our single-family guaranty book of business, loans that became newly delinquent, and higher actual and projected interest rates.</w:t>
      </w:r>
    </w:p>
    <w:p>
      <w:pPr>
        <w:spacing w:after="0" w:line="2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both the third quarter and first nine months 2026, these factors were partially offset by benefits from actual home price growth and loans liquidating from our single-family guaranty book of business.</w:t>
      </w:r>
    </w:p>
    <w:p>
      <w:pPr>
        <w:spacing w:after="0" w:line="1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single-family provision for credit losses in the third quarter of 2025 was primarily driven by provision associated with loans that we acquired during the period, which primarily consisted of purchase loans.</w:t>
      </w:r>
    </w:p>
    <w:p>
      <w:pPr>
        <w:spacing w:after="0" w:line="15"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Our single-family provision for credit losses in the first nine months of 2025 was primarily driven by provision associated with loans that we acquired during the period, which primarily consisted of purchase loans, and by weaker-than-expected home price growth.</w:t>
      </w:r>
    </w:p>
    <w:p>
      <w:pPr>
        <w:spacing w:after="0" w:line="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For further discussion of how our single-family provision is affected by purchase loan acquisitions, loan delinquencies, home prices, and interest rates, see “MD&amp;A—Consolidated Results of Operations—(Provision) Benefit for Credit Losses” in our 2025 Form 10-K. Additional information on home price growth and our home price forecast is provided in “Key Market Economic Indicators” in this report and in our 2025 Form 10-K. Also see “Critical Accounting Estimates” in this report for further discussion of our home price and interest rate forecasts and their impact on our single-family (provision) benefit for credit losses.</w:t>
      </w:r>
    </w:p>
    <w:p>
      <w:pPr>
        <w:spacing w:after="0" w:line="28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(Provision) Benefit for Credit Losses</w:t>
      </w:r>
    </w:p>
    <w:p>
      <w:pPr>
        <w:spacing w:after="0" w:line="6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multifamily provision for credit losses in the third quarter and first nine months of 2026 was primarily driven by weakening credit metrics on loans in our multifamily guaranty book of business and a decline in our near-term forecast for multifamily property values. The deterioration in credit metrics primarily reflected higher mark-to-market loan-to-value (“LTV”) ratios on multifamily properties, loans with lower debt service coverage ratios driven by lower net operating income reported for the underlying properties, and new loan delinquencies. Higher actual and projected interest rates were also a primary driver of provision for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389890</wp:posOffset>
            </wp:positionV>
            <wp:extent cx="7007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10</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3" w:name="page14"/>
    <w:bookmarkEnd w:id="13"/>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See “Multifamily Business—Multifamily Mortgage Credit Risk Management—Multifamily Problem Loan Management” and “Note 11, Concentrations of Credit Risk” for additional information about loan delinquencies in our multifamily guaranty book of business as well as additional information about ongoing multifamily market challenges. Also see “Critical Accounting Estimates” for further discussion of our property value growth rate and net operating income growth rate forecasts and their impact on our multifamily (provision) benefit for credit losses.</w:t>
      </w:r>
    </w:p>
    <w:p>
      <w:pPr>
        <w:spacing w:after="0" w:line="33"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Our multifamily provision for credit losses in the third quarter and first nine months of 2025 was primarily driven by an increase in delinquencies including provision from seriously delinquent loans that were written down to the net recoverable amount of the loans’ collateral during the period.</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Fair Value Gains (Losses), Net</w:t>
      </w:r>
    </w:p>
    <w:p>
      <w:pPr>
        <w:spacing w:after="0" w:line="63"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estimated fair value of our derivatives, trading securities and other financial instruments carried at fair value may fluctuate substantially from period to period because of changes in interest rates, the yield curve, mortgage and credit spreads and implied volatility, as well as activity related to these financial instruments.</w:t>
      </w:r>
    </w:p>
    <w:p>
      <w:pPr>
        <w:spacing w:after="0" w:line="2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hedge accounting program is designed to hedge our exposure to changes in benchmark interest rates, specifically the Secured Overnight Financing Rate (“SOFR”), and cannot be applied to changes in interest rate spreads, convexity, or seasoning (i.e., the effect of financial instruments moving closer to maturity). As a result, our fair value gains and losses after the impact of hedge accounting are impacted by components unrelated to changes in SOFR. See “Note 1, Summary of Significant Accounting Policies—Fair Value Hedge Accounting” in our 2025 Form 10-K for additional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our fair value gains (losses) both before and after the impact of hedge accounting.</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Fair Value Gains (Losses),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0565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1651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6"/>
          </w:tcPr>
          <w:p>
            <w:pPr>
              <w:ind w:left="60"/>
              <w:spacing w:after="0"/>
              <w:rPr>
                <w:sz w:val="20"/>
                <w:szCs w:val="20"/>
                <w:color w:val="auto"/>
              </w:rPr>
            </w:pPr>
            <w:r>
              <w:rPr>
                <w:rFonts w:ascii="Arial" w:cs="Arial" w:eastAsia="Arial" w:hAnsi="Arial"/>
                <w:sz w:val="15"/>
                <w:szCs w:val="15"/>
                <w:b w:val="1"/>
                <w:bCs w:val="1"/>
                <w:color w:val="auto"/>
              </w:rPr>
              <w:t>For the Three Months Ended September</w:t>
            </w:r>
          </w:p>
        </w:tc>
        <w:tc>
          <w:tcPr>
            <w:tcW w:w="3060" w:type="dxa"/>
            <w:vAlign w:val="bottom"/>
            <w:gridSpan w:val="5"/>
          </w:tcPr>
          <w:p>
            <w:pPr>
              <w:jc w:val="right"/>
              <w:ind w:right="23"/>
              <w:spacing w:after="0"/>
              <w:rPr>
                <w:sz w:val="20"/>
                <w:szCs w:val="20"/>
                <w:color w:val="auto"/>
              </w:rPr>
            </w:pPr>
            <w:r>
              <w:rPr>
                <w:rFonts w:ascii="Arial" w:cs="Arial" w:eastAsia="Arial" w:hAnsi="Arial"/>
                <w:sz w:val="15"/>
                <w:szCs w:val="15"/>
                <w:b w:val="1"/>
                <w:bCs w:val="1"/>
                <w:color w:val="auto"/>
              </w:rPr>
              <w:t>For the Nine Months Ended September</w:t>
            </w:r>
          </w:p>
        </w:tc>
      </w:tr>
      <w:tr>
        <w:trPr>
          <w:trHeight w:val="206"/>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gridSpan w:val="3"/>
          </w:tcPr>
          <w:p>
            <w:pPr>
              <w:jc w:val="right"/>
              <w:ind w:right="203"/>
              <w:spacing w:after="0"/>
              <w:rPr>
                <w:sz w:val="20"/>
                <w:szCs w:val="20"/>
                <w:color w:val="auto"/>
              </w:rPr>
            </w:pPr>
            <w:r>
              <w:rPr>
                <w:rFonts w:ascii="Arial" w:cs="Arial" w:eastAsia="Arial" w:hAnsi="Arial"/>
                <w:sz w:val="15"/>
                <w:szCs w:val="15"/>
                <w:b w:val="1"/>
                <w:bCs w:val="1"/>
                <w:color w:val="auto"/>
              </w:rPr>
              <w:t>30,</w:t>
            </w:r>
          </w:p>
        </w:tc>
        <w:tc>
          <w:tcPr>
            <w:tcW w:w="1140" w:type="dxa"/>
            <w:vAlign w:val="bottom"/>
            <w:tcBorders>
              <w:bottom w:val="single" w:sz="8" w:color="2C6937"/>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gridSpan w:val="3"/>
          </w:tcPr>
          <w:p>
            <w:pPr>
              <w:jc w:val="right"/>
              <w:ind w:right="203"/>
              <w:spacing w:after="0"/>
              <w:rPr>
                <w:sz w:val="20"/>
                <w:szCs w:val="20"/>
                <w:color w:val="auto"/>
              </w:rPr>
            </w:pPr>
            <w:r>
              <w:rPr>
                <w:rFonts w:ascii="Arial" w:cs="Arial" w:eastAsia="Arial" w:hAnsi="Arial"/>
                <w:sz w:val="15"/>
                <w:szCs w:val="15"/>
                <w:b w:val="1"/>
                <w:bCs w:val="1"/>
                <w:color w:val="auto"/>
              </w:rPr>
              <w:t>30,</w:t>
            </w:r>
          </w:p>
        </w:tc>
        <w:tc>
          <w:tcPr>
            <w:tcW w:w="1140" w:type="dxa"/>
            <w:vAlign w:val="bottom"/>
            <w:tcBorders>
              <w:bottom w:val="single" w:sz="8" w:color="2C6937"/>
            </w:tcBorders>
          </w:tcPr>
          <w:p>
            <w:pPr>
              <w:spacing w:after="0"/>
              <w:rPr>
                <w:sz w:val="17"/>
                <w:szCs w:val="17"/>
                <w:color w:val="auto"/>
              </w:rPr>
            </w:pPr>
          </w:p>
        </w:tc>
      </w:tr>
      <w:tr>
        <w:trPr>
          <w:trHeight w:val="212"/>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2026</w:t>
            </w:r>
          </w:p>
        </w:tc>
        <w:tc>
          <w:tcPr>
            <w:tcW w:w="54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ind w:right="483"/>
              <w:spacing w:after="0"/>
              <w:rPr>
                <w:sz w:val="20"/>
                <w:szCs w:val="20"/>
                <w:color w:val="auto"/>
              </w:rPr>
            </w:pPr>
            <w:r>
              <w:rPr>
                <w:rFonts w:ascii="Arial" w:cs="Arial" w:eastAsia="Arial" w:hAnsi="Arial"/>
                <w:sz w:val="15"/>
                <w:szCs w:val="15"/>
                <w:b w:val="1"/>
                <w:bCs w:val="1"/>
                <w:color w:val="auto"/>
              </w:rPr>
              <w:t>2025</w:t>
            </w:r>
          </w:p>
        </w:tc>
        <w:tc>
          <w:tcPr>
            <w:tcW w:w="14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2026</w:t>
            </w:r>
          </w:p>
        </w:tc>
        <w:tc>
          <w:tcPr>
            <w:tcW w:w="54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ind w:right="483"/>
              <w:spacing w:after="0"/>
              <w:rPr>
                <w:sz w:val="20"/>
                <w:szCs w:val="20"/>
                <w:color w:val="auto"/>
              </w:rPr>
            </w:pPr>
            <w:r>
              <w:rPr>
                <w:rFonts w:ascii="Arial" w:cs="Arial" w:eastAsia="Arial" w:hAnsi="Arial"/>
                <w:sz w:val="15"/>
                <w:szCs w:val="15"/>
                <w:b w:val="1"/>
                <w:bCs w:val="1"/>
                <w:color w:val="auto"/>
              </w:rPr>
              <w:t>2025</w:t>
            </w:r>
          </w:p>
        </w:tc>
      </w:tr>
      <w:tr>
        <w:trPr>
          <w:trHeight w:val="218"/>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3"/>
          </w:tcPr>
          <w:p>
            <w:pPr>
              <w:jc w:val="right"/>
              <w:ind w:right="203"/>
              <w:spacing w:after="0"/>
              <w:rPr>
                <w:sz w:val="20"/>
                <w:szCs w:val="20"/>
                <w:color w:val="auto"/>
              </w:rPr>
            </w:pPr>
            <w:r>
              <w:rPr>
                <w:rFonts w:ascii="Arial" w:cs="Arial" w:eastAsia="Arial" w:hAnsi="Arial"/>
                <w:sz w:val="15"/>
                <w:szCs w:val="15"/>
                <w:b w:val="1"/>
                <w:bCs w:val="1"/>
                <w:color w:val="auto"/>
              </w:rPr>
              <w:t>(Dollars in millions)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4940" w:type="dxa"/>
            <w:vAlign w:val="bottom"/>
            <w:gridSpan w:val="2"/>
          </w:tcPr>
          <w:p>
            <w:pPr>
              <w:ind w:left="20"/>
              <w:spacing w:after="0"/>
              <w:rPr>
                <w:sz w:val="20"/>
                <w:szCs w:val="20"/>
                <w:color w:val="auto"/>
              </w:rPr>
            </w:pPr>
            <w:r>
              <w:rPr>
                <w:rFonts w:ascii="Arial" w:cs="Arial" w:eastAsia="Arial" w:hAnsi="Arial"/>
                <w:sz w:val="15"/>
                <w:szCs w:val="15"/>
                <w:color w:val="auto"/>
              </w:rPr>
              <w:t>Total pre-hedge accounting fair value gains (losses)</w:t>
            </w:r>
          </w:p>
        </w:tc>
        <w:tc>
          <w:tcPr>
            <w:tcW w:w="920" w:type="dxa"/>
            <w:vAlign w:val="bottom"/>
          </w:tcPr>
          <w:p>
            <w:pPr>
              <w:jc w:val="right"/>
              <w:ind w:right="743"/>
              <w:spacing w:after="0"/>
              <w:rPr>
                <w:sz w:val="20"/>
                <w:szCs w:val="20"/>
                <w:color w:val="auto"/>
              </w:rPr>
            </w:pPr>
            <w:r>
              <w:rPr>
                <w:rFonts w:ascii="Arial" w:cs="Arial" w:eastAsia="Arial" w:hAnsi="Arial"/>
                <w:sz w:val="15"/>
                <w:szCs w:val="15"/>
                <w:b w:val="1"/>
                <w:bCs w:val="1"/>
                <w:color w:val="auto"/>
                <w:w w:val="95"/>
              </w:rPr>
              <w:t>$</w:t>
            </w:r>
          </w:p>
        </w:tc>
        <w:tc>
          <w:tcPr>
            <w:tcW w:w="540" w:type="dxa"/>
            <w:vAlign w:val="bottom"/>
          </w:tcPr>
          <w:p>
            <w:pPr>
              <w:jc w:val="right"/>
              <w:ind w:right="3"/>
              <w:spacing w:after="0"/>
              <w:rPr>
                <w:sz w:val="20"/>
                <w:szCs w:val="20"/>
                <w:color w:val="auto"/>
              </w:rPr>
            </w:pPr>
            <w:r>
              <w:rPr>
                <w:rFonts w:ascii="Arial" w:cs="Arial" w:eastAsia="Arial" w:hAnsi="Arial"/>
                <w:sz w:val="15"/>
                <w:szCs w:val="15"/>
                <w:b w:val="1"/>
                <w:bCs w:val="1"/>
                <w:color w:val="auto"/>
              </w:rPr>
              <w:t>3,352</w:t>
            </w:r>
          </w:p>
        </w:tc>
        <w:tc>
          <w:tcPr>
            <w:tcW w:w="14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center"/>
              <w:ind w:left="743"/>
              <w:spacing w:after="0"/>
              <w:rPr>
                <w:sz w:val="20"/>
                <w:szCs w:val="20"/>
                <w:color w:val="auto"/>
              </w:rPr>
            </w:pPr>
            <w:r>
              <w:rPr>
                <w:rFonts w:ascii="Arial" w:cs="Arial" w:eastAsia="Arial" w:hAnsi="Arial"/>
                <w:sz w:val="15"/>
                <w:szCs w:val="15"/>
                <w:color w:val="auto"/>
              </w:rPr>
              <w:t>(61)</w:t>
            </w:r>
          </w:p>
        </w:tc>
        <w:tc>
          <w:tcPr>
            <w:tcW w:w="140" w:type="dxa"/>
            <w:vAlign w:val="bottom"/>
          </w:tcPr>
          <w:p>
            <w:pPr>
              <w:spacing w:after="0"/>
              <w:rPr>
                <w:sz w:val="19"/>
                <w:szCs w:val="19"/>
                <w:color w:val="auto"/>
              </w:rPr>
            </w:pPr>
          </w:p>
        </w:tc>
        <w:tc>
          <w:tcPr>
            <w:tcW w:w="920" w:type="dxa"/>
            <w:vAlign w:val="bottom"/>
          </w:tcPr>
          <w:p>
            <w:pPr>
              <w:jc w:val="right"/>
              <w:ind w:right="743"/>
              <w:spacing w:after="0"/>
              <w:rPr>
                <w:sz w:val="20"/>
                <w:szCs w:val="20"/>
                <w:color w:val="auto"/>
              </w:rPr>
            </w:pPr>
            <w:r>
              <w:rPr>
                <w:rFonts w:ascii="Arial" w:cs="Arial" w:eastAsia="Arial" w:hAnsi="Arial"/>
                <w:sz w:val="15"/>
                <w:szCs w:val="15"/>
                <w:b w:val="1"/>
                <w:bCs w:val="1"/>
                <w:color w:val="auto"/>
                <w:w w:val="95"/>
              </w:rPr>
              <w:t>$</w:t>
            </w:r>
          </w:p>
        </w:tc>
        <w:tc>
          <w:tcPr>
            <w:tcW w:w="540" w:type="dxa"/>
            <w:vAlign w:val="bottom"/>
          </w:tcPr>
          <w:p>
            <w:pPr>
              <w:jc w:val="right"/>
              <w:ind w:right="3"/>
              <w:spacing w:after="0"/>
              <w:rPr>
                <w:sz w:val="20"/>
                <w:szCs w:val="20"/>
                <w:color w:val="auto"/>
              </w:rPr>
            </w:pPr>
            <w:r>
              <w:rPr>
                <w:rFonts w:ascii="Arial" w:cs="Arial" w:eastAsia="Arial" w:hAnsi="Arial"/>
                <w:sz w:val="15"/>
                <w:szCs w:val="15"/>
                <w:b w:val="1"/>
                <w:bCs w:val="1"/>
                <w:color w:val="auto"/>
              </w:rPr>
              <w:t>3,525</w:t>
            </w:r>
          </w:p>
        </w:tc>
        <w:tc>
          <w:tcPr>
            <w:tcW w:w="14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13"/>
        </w:trPr>
        <w:tc>
          <w:tcPr>
            <w:tcW w:w="4800" w:type="dxa"/>
            <w:vAlign w:val="bottom"/>
            <w:tcBorders>
              <w:bottom w:val="single" w:sz="8" w:color="2C6937"/>
            </w:tcBorders>
          </w:tcPr>
          <w:p>
            <w:pPr>
              <w:ind w:left="20"/>
              <w:spacing w:after="0" w:line="212" w:lineRule="exact"/>
              <w:rPr>
                <w:sz w:val="20"/>
                <w:szCs w:val="20"/>
                <w:color w:val="auto"/>
              </w:rPr>
            </w:pPr>
            <w:r>
              <w:rPr>
                <w:rFonts w:ascii="Arial" w:cs="Arial" w:eastAsia="Arial" w:hAnsi="Arial"/>
                <w:sz w:val="15"/>
                <w:szCs w:val="15"/>
                <w:color w:val="auto"/>
              </w:rPr>
              <w:t>Impact of hedge accounting</w:t>
            </w:r>
            <w:r>
              <w:rPr>
                <w:rFonts w:ascii="Arial" w:cs="Arial" w:eastAsia="Arial" w:hAnsi="Arial"/>
                <w:sz w:val="20"/>
                <w:szCs w:val="20"/>
                <w:color w:val="auto"/>
                <w:vertAlign w:val="superscript"/>
              </w:rPr>
              <w:t>(1)</w:t>
            </w:r>
          </w:p>
        </w:tc>
        <w:tc>
          <w:tcPr>
            <w:tcW w:w="140" w:type="dxa"/>
            <w:vAlign w:val="bottom"/>
          </w:tcPr>
          <w:p>
            <w:pPr>
              <w:spacing w:after="0"/>
              <w:rPr>
                <w:sz w:val="18"/>
                <w:szCs w:val="18"/>
                <w:color w:val="auto"/>
              </w:rPr>
            </w:pPr>
          </w:p>
        </w:tc>
        <w:tc>
          <w:tcPr>
            <w:tcW w:w="920" w:type="dxa"/>
            <w:vAlign w:val="bottom"/>
            <w:tcBorders>
              <w:bottom w:val="single" w:sz="8" w:color="2C6937"/>
            </w:tcBorders>
          </w:tcPr>
          <w:p>
            <w:pPr>
              <w:spacing w:after="0"/>
              <w:rPr>
                <w:sz w:val="18"/>
                <w:szCs w:val="18"/>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(2,722)</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center"/>
              <w:ind w:left="743"/>
              <w:spacing w:after="0"/>
              <w:rPr>
                <w:sz w:val="20"/>
                <w:szCs w:val="20"/>
                <w:color w:val="auto"/>
              </w:rPr>
            </w:pPr>
            <w:r>
              <w:rPr>
                <w:rFonts w:ascii="Arial" w:cs="Arial" w:eastAsia="Arial" w:hAnsi="Arial"/>
                <w:sz w:val="15"/>
                <w:szCs w:val="15"/>
                <w:color w:val="auto"/>
                <w:w w:val="95"/>
              </w:rPr>
              <w:t>74</w:t>
            </w:r>
          </w:p>
        </w:tc>
        <w:tc>
          <w:tcPr>
            <w:tcW w:w="140" w:type="dxa"/>
            <w:vAlign w:val="bottom"/>
          </w:tcPr>
          <w:p>
            <w:pPr>
              <w:spacing w:after="0"/>
              <w:rPr>
                <w:sz w:val="18"/>
                <w:szCs w:val="18"/>
                <w:color w:val="auto"/>
              </w:rPr>
            </w:pPr>
          </w:p>
        </w:tc>
        <w:tc>
          <w:tcPr>
            <w:tcW w:w="920" w:type="dxa"/>
            <w:vAlign w:val="bottom"/>
            <w:tcBorders>
              <w:bottom w:val="single" w:sz="8" w:color="2C6937"/>
            </w:tcBorders>
          </w:tcPr>
          <w:p>
            <w:pPr>
              <w:spacing w:after="0"/>
              <w:rPr>
                <w:sz w:val="18"/>
                <w:szCs w:val="18"/>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(2,850)</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374</w:t>
            </w:r>
          </w:p>
        </w:tc>
      </w:tr>
      <w:tr>
        <w:trPr>
          <w:trHeight w:val="212"/>
        </w:trPr>
        <w:tc>
          <w:tcPr>
            <w:tcW w:w="4940" w:type="dxa"/>
            <w:vAlign w:val="bottom"/>
            <w:gridSpan w:val="2"/>
          </w:tcPr>
          <w:p>
            <w:pPr>
              <w:ind w:left="180"/>
              <w:spacing w:after="0"/>
              <w:rPr>
                <w:sz w:val="20"/>
                <w:szCs w:val="20"/>
                <w:color w:val="auto"/>
              </w:rPr>
            </w:pPr>
            <w:r>
              <w:rPr>
                <w:rFonts w:ascii="Arial" w:cs="Arial" w:eastAsia="Arial" w:hAnsi="Arial"/>
                <w:sz w:val="15"/>
                <w:szCs w:val="15"/>
                <w:color w:val="auto"/>
              </w:rPr>
              <w:t>Total fair value gains (losses), net</w:t>
            </w:r>
          </w:p>
        </w:tc>
        <w:tc>
          <w:tcPr>
            <w:tcW w:w="920" w:type="dxa"/>
            <w:vAlign w:val="bottom"/>
          </w:tcPr>
          <w:p>
            <w:pPr>
              <w:jc w:val="right"/>
              <w:ind w:right="743"/>
              <w:spacing w:after="0"/>
              <w:rPr>
                <w:sz w:val="20"/>
                <w:szCs w:val="20"/>
                <w:color w:val="auto"/>
              </w:rPr>
            </w:pPr>
            <w:r>
              <w:rPr>
                <w:rFonts w:ascii="Arial" w:cs="Arial" w:eastAsia="Arial" w:hAnsi="Arial"/>
                <w:sz w:val="15"/>
                <w:szCs w:val="15"/>
                <w:b w:val="1"/>
                <w:bCs w:val="1"/>
                <w:color w:val="auto"/>
                <w:w w:val="95"/>
              </w:rPr>
              <w:t>$</w:t>
            </w:r>
          </w:p>
        </w:tc>
        <w:tc>
          <w:tcPr>
            <w:tcW w:w="540" w:type="dxa"/>
            <w:vAlign w:val="bottom"/>
          </w:tcPr>
          <w:p>
            <w:pPr>
              <w:jc w:val="right"/>
              <w:ind w:right="3"/>
              <w:spacing w:after="0"/>
              <w:rPr>
                <w:sz w:val="20"/>
                <w:szCs w:val="20"/>
                <w:color w:val="auto"/>
              </w:rPr>
            </w:pPr>
            <w:r>
              <w:rPr>
                <w:rFonts w:ascii="Arial" w:cs="Arial" w:eastAsia="Arial" w:hAnsi="Arial"/>
                <w:sz w:val="15"/>
                <w:szCs w:val="15"/>
                <w:b w:val="1"/>
                <w:bCs w:val="1"/>
                <w:color w:val="auto"/>
              </w:rPr>
              <w:t>630</w:t>
            </w:r>
          </w:p>
        </w:tc>
        <w:tc>
          <w:tcPr>
            <w:tcW w:w="14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center"/>
              <w:ind w:left="743"/>
              <w:spacing w:after="0"/>
              <w:rPr>
                <w:sz w:val="20"/>
                <w:szCs w:val="20"/>
                <w:color w:val="auto"/>
              </w:rPr>
            </w:pPr>
            <w:r>
              <w:rPr>
                <w:rFonts w:ascii="Arial" w:cs="Arial" w:eastAsia="Arial" w:hAnsi="Arial"/>
                <w:sz w:val="15"/>
                <w:szCs w:val="15"/>
                <w:color w:val="auto"/>
                <w:w w:val="95"/>
              </w:rPr>
              <w:t>13</w:t>
            </w:r>
          </w:p>
        </w:tc>
        <w:tc>
          <w:tcPr>
            <w:tcW w:w="140" w:type="dxa"/>
            <w:vAlign w:val="bottom"/>
          </w:tcPr>
          <w:p>
            <w:pPr>
              <w:spacing w:after="0"/>
              <w:rPr>
                <w:sz w:val="18"/>
                <w:szCs w:val="18"/>
                <w:color w:val="auto"/>
              </w:rPr>
            </w:pPr>
          </w:p>
        </w:tc>
        <w:tc>
          <w:tcPr>
            <w:tcW w:w="920" w:type="dxa"/>
            <w:vAlign w:val="bottom"/>
          </w:tcPr>
          <w:p>
            <w:pPr>
              <w:jc w:val="right"/>
              <w:ind w:right="743"/>
              <w:spacing w:after="0"/>
              <w:rPr>
                <w:sz w:val="20"/>
                <w:szCs w:val="20"/>
                <w:color w:val="auto"/>
              </w:rPr>
            </w:pPr>
            <w:r>
              <w:rPr>
                <w:rFonts w:ascii="Arial" w:cs="Arial" w:eastAsia="Arial" w:hAnsi="Arial"/>
                <w:sz w:val="15"/>
                <w:szCs w:val="15"/>
                <w:b w:val="1"/>
                <w:bCs w:val="1"/>
                <w:color w:val="auto"/>
                <w:w w:val="95"/>
              </w:rPr>
              <w:t>$</w:t>
            </w:r>
          </w:p>
        </w:tc>
        <w:tc>
          <w:tcPr>
            <w:tcW w:w="540" w:type="dxa"/>
            <w:vAlign w:val="bottom"/>
          </w:tcPr>
          <w:p>
            <w:pPr>
              <w:jc w:val="right"/>
              <w:ind w:right="3"/>
              <w:spacing w:after="0"/>
              <w:rPr>
                <w:sz w:val="20"/>
                <w:szCs w:val="20"/>
                <w:color w:val="auto"/>
              </w:rPr>
            </w:pPr>
            <w:r>
              <w:rPr>
                <w:rFonts w:ascii="Arial" w:cs="Arial" w:eastAsia="Arial" w:hAnsi="Arial"/>
                <w:sz w:val="15"/>
                <w:szCs w:val="15"/>
                <w:b w:val="1"/>
                <w:bCs w:val="1"/>
                <w:color w:val="auto"/>
              </w:rPr>
              <w:t>675</w:t>
            </w:r>
          </w:p>
        </w:tc>
        <w:tc>
          <w:tcPr>
            <w:tcW w:w="14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347</w:t>
            </w:r>
          </w:p>
        </w:tc>
      </w:tr>
      <w:tr>
        <w:trPr>
          <w:trHeight w:val="20"/>
        </w:trPr>
        <w:tc>
          <w:tcPr>
            <w:tcW w:w="48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20" w:hanging="237"/>
        <w:spacing w:after="0" w:line="226" w:lineRule="auto"/>
        <w:tabs>
          <w:tab w:leader="none" w:pos="233"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“Impact of hedge accounting” reflected in this table shows the net gain or loss from swaps in hedging relationships plus any accrued interest during the applicable periods, which are recognized in “Net interest income.”</w:t>
      </w:r>
    </w:p>
    <w:p>
      <w:pPr>
        <w:spacing w:after="0" w:line="3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the third quarter and first nine months of 2026, fair value gains before the impact of hedge accounting were primarily driven by increasing interest rates, resulting in gains on risk management derivatives and mortgage commitment derivatives, partially offset by losses on fixed-rate trading securities. Our hedge accounting program largely offset targeted benchmark interest rate-driven fair value movements. The net fair value gains recognized after the impact of hedge accounting included gains on mortgage commitment derivatives from changes in secondary spreads and interest rate-driven gains that remained after hedge accounting.</w:t>
      </w:r>
    </w:p>
    <w:p>
      <w:pPr>
        <w:spacing w:after="0" w:line="25"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In the third quarter and first nine months of 2025, our hedge accounting program largely mitigated the impact of benchmark interest rate-driven fair value movements. The net fair value gains recognized in the first nine months of 2025 reflect residual impacts not offset by hedge accounting, including gains on fixed-rate trading securities and risk management derivatives.</w:t>
      </w:r>
    </w:p>
    <w:p>
      <w:pPr>
        <w:spacing w:after="0" w:line="9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Investment Gains (Losses), Net</w:t>
      </w:r>
    </w:p>
    <w:p>
      <w:pPr>
        <w:spacing w:after="0" w:line="6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shifted from investment gains of $100 million in the first nine months of 2025 to investment losses of $130 million in the first nine months of 2026. The investment losses in the first nine months of 2026 were driven by debt extinguishment losses resulting from our acquisitions of consolidated MBS for our retained mortgage portfolio in the first nine months of 2026. See “Note 1, Summary of Significant Accounting Policies—Debt” in our 2025 Form 10-K for more information about how we record debt extinguishment gains or losses.</w:t>
      </w:r>
    </w:p>
    <w:p>
      <w:pPr>
        <w:spacing w:after="0" w:line="9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Administrative Expenses</w:t>
      </w:r>
    </w:p>
    <w:p>
      <w:pPr>
        <w:spacing w:after="0" w:line="6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Administrative expenses decreased by $318 million in the first nine months of 2026 compared with the first nine months of 2025, primarily driven by lower professional services fees, employee headcount, and severance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367030</wp:posOffset>
            </wp:positionV>
            <wp:extent cx="7007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11</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4" w:name="page15"/>
    <w:bookmarkEnd w:id="14"/>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Legislative Assessments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legislative assessments.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Legislative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center"/>
              <w:ind w:right="140"/>
              <w:spacing w:after="0"/>
              <w:rPr>
                <w:sz w:val="20"/>
                <w:szCs w:val="20"/>
                <w:color w:val="auto"/>
              </w:rPr>
            </w:pPr>
            <w:r>
              <w:rPr>
                <w:rFonts w:ascii="Arial" w:cs="Arial" w:eastAsia="Arial" w:hAnsi="Arial"/>
                <w:sz w:val="15"/>
                <w:szCs w:val="15"/>
                <w:b w:val="1"/>
                <w:bCs w:val="1"/>
                <w:color w:val="auto"/>
              </w:rPr>
              <w:t>For the Three Months Ended</w:t>
            </w:r>
          </w:p>
        </w:tc>
        <w:tc>
          <w:tcPr>
            <w:tcW w:w="160" w:type="dxa"/>
            <w:vAlign w:val="bottom"/>
          </w:tcPr>
          <w:p>
            <w:pPr>
              <w:spacing w:after="0"/>
              <w:rPr>
                <w:sz w:val="14"/>
                <w:szCs w:val="14"/>
                <w:color w:val="auto"/>
              </w:rPr>
            </w:pPr>
          </w:p>
        </w:tc>
        <w:tc>
          <w:tcPr>
            <w:tcW w:w="2280" w:type="dxa"/>
            <w:vAlign w:val="bottom"/>
            <w:gridSpan w:val="4"/>
          </w:tcPr>
          <w:p>
            <w:pPr>
              <w:jc w:val="right"/>
              <w:ind w:right="123"/>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6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6"/>
          </w:tcPr>
          <w:p>
            <w:pPr>
              <w:jc w:val="center"/>
              <w:ind w:right="140"/>
              <w:spacing w:after="0"/>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7"/>
                <w:szCs w:val="17"/>
                <w:color w:val="auto"/>
              </w:rPr>
            </w:pPr>
          </w:p>
        </w:tc>
        <w:tc>
          <w:tcPr>
            <w:tcW w:w="2280" w:type="dxa"/>
            <w:vAlign w:val="bottom"/>
            <w:gridSpan w:val="4"/>
          </w:tcPr>
          <w:p>
            <w:pPr>
              <w:jc w:val="right"/>
              <w:ind w:right="603"/>
              <w:spacing w:after="0"/>
              <w:rPr>
                <w:sz w:val="20"/>
                <w:szCs w:val="20"/>
                <w:color w:val="auto"/>
              </w:rPr>
            </w:pPr>
            <w:r>
              <w:rPr>
                <w:rFonts w:ascii="Arial" w:cs="Arial" w:eastAsia="Arial" w:hAnsi="Arial"/>
                <w:sz w:val="15"/>
                <w:szCs w:val="15"/>
                <w:b w:val="1"/>
                <w:bCs w:val="1"/>
                <w:color w:val="auto"/>
              </w:rPr>
              <w:t>September 30,</w:t>
            </w:r>
          </w:p>
        </w:tc>
      </w:tr>
      <w:tr>
        <w:trPr>
          <w:trHeight w:val="212"/>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2026</w:t>
            </w:r>
          </w:p>
        </w:tc>
        <w:tc>
          <w:tcPr>
            <w:tcW w:w="36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240" w:type="dxa"/>
            <w:vAlign w:val="bottom"/>
            <w:tcBorders>
              <w:top w:val="single" w:sz="8" w:color="2C6937"/>
              <w:bottom w:val="single" w:sz="8" w:color="2C6937"/>
            </w:tcBorders>
          </w:tcPr>
          <w:p>
            <w:pPr>
              <w:spacing w:after="0"/>
              <w:rPr>
                <w:sz w:val="18"/>
                <w:szCs w:val="18"/>
                <w:color w:val="auto"/>
              </w:rPr>
            </w:pPr>
          </w:p>
        </w:tc>
        <w:tc>
          <w:tcPr>
            <w:tcW w:w="880" w:type="dxa"/>
            <w:vAlign w:val="bottom"/>
            <w:tcBorders>
              <w:top w:val="single" w:sz="8" w:color="2C6937"/>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2025</w:t>
            </w:r>
          </w:p>
        </w:tc>
        <w:tc>
          <w:tcPr>
            <w:tcW w:w="140" w:type="dxa"/>
            <w:vAlign w:val="bottom"/>
            <w:tcBorders>
              <w:bottom w:val="single" w:sz="8" w:color="2C6937"/>
            </w:tcBorders>
          </w:tcPr>
          <w:p>
            <w:pPr>
              <w:spacing w:after="0"/>
              <w:rPr>
                <w:sz w:val="18"/>
                <w:szCs w:val="18"/>
                <w:color w:val="auto"/>
              </w:rPr>
            </w:pPr>
          </w:p>
        </w:tc>
        <w:tc>
          <w:tcPr>
            <w:tcW w:w="160" w:type="dxa"/>
            <w:vAlign w:val="bottom"/>
            <w:tcBorders>
              <w:top w:val="single" w:sz="8" w:color="2C6937"/>
              <w:bottom w:val="single" w:sz="8" w:color="2C6937"/>
            </w:tcBorders>
          </w:tcPr>
          <w:p>
            <w:pPr>
              <w:spacing w:after="0"/>
              <w:rPr>
                <w:sz w:val="18"/>
                <w:szCs w:val="18"/>
                <w:color w:val="auto"/>
              </w:rPr>
            </w:pPr>
          </w:p>
        </w:tc>
        <w:tc>
          <w:tcPr>
            <w:tcW w:w="1000" w:type="dxa"/>
            <w:vAlign w:val="bottom"/>
            <w:tcBorders>
              <w:top w:val="single" w:sz="8" w:color="2C6937"/>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2026</w:t>
            </w:r>
          </w:p>
        </w:tc>
        <w:tc>
          <w:tcPr>
            <w:tcW w:w="140" w:type="dxa"/>
            <w:vAlign w:val="bottom"/>
            <w:tcBorders>
              <w:top w:val="single" w:sz="8" w:color="2C6937"/>
              <w:bottom w:val="single" w:sz="8" w:color="2C6937"/>
            </w:tcBorders>
          </w:tcPr>
          <w:p>
            <w:pPr>
              <w:spacing w:after="0"/>
              <w:rPr>
                <w:sz w:val="18"/>
                <w:szCs w:val="18"/>
                <w:color w:val="auto"/>
              </w:rPr>
            </w:pPr>
          </w:p>
        </w:tc>
        <w:tc>
          <w:tcPr>
            <w:tcW w:w="240" w:type="dxa"/>
            <w:vAlign w:val="bottom"/>
            <w:tcBorders>
              <w:top w:val="single" w:sz="8" w:color="2C6937"/>
              <w:bottom w:val="single" w:sz="8" w:color="2C6937"/>
            </w:tcBorders>
          </w:tcPr>
          <w:p>
            <w:pPr>
              <w:spacing w:after="0"/>
              <w:rPr>
                <w:sz w:val="18"/>
                <w:szCs w:val="18"/>
                <w:color w:val="auto"/>
              </w:rPr>
            </w:pPr>
          </w:p>
        </w:tc>
        <w:tc>
          <w:tcPr>
            <w:tcW w:w="900" w:type="dxa"/>
            <w:vAlign w:val="bottom"/>
            <w:tcBorders>
              <w:top w:val="single" w:sz="8" w:color="2C6937"/>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2025</w:t>
            </w:r>
          </w:p>
        </w:tc>
      </w:tr>
      <w:tr>
        <w:trPr>
          <w:trHeight w:val="218"/>
        </w:trPr>
        <w:tc>
          <w:tcPr>
            <w:tcW w:w="6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280"/>
              <w:spacing w:after="0"/>
              <w:rPr>
                <w:sz w:val="20"/>
                <w:szCs w:val="20"/>
                <w:color w:val="auto"/>
              </w:rPr>
            </w:pPr>
            <w:r>
              <w:rPr>
                <w:rFonts w:ascii="Arial" w:cs="Arial" w:eastAsia="Arial" w:hAnsi="Arial"/>
                <w:sz w:val="15"/>
                <w:szCs w:val="15"/>
                <w:b w:val="1"/>
                <w:bCs w:val="1"/>
                <w:color w:val="auto"/>
              </w:rPr>
              <w:t>(Dollars in millions)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5"/>
        </w:trPr>
        <w:tc>
          <w:tcPr>
            <w:tcW w:w="6300" w:type="dxa"/>
            <w:vAlign w:val="bottom"/>
            <w:gridSpan w:val="2"/>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(1)</w:t>
            </w:r>
          </w:p>
        </w:tc>
        <w:tc>
          <w:tcPr>
            <w:tcW w:w="760" w:type="dxa"/>
            <w:vAlign w:val="bottom"/>
          </w:tcPr>
          <w:p>
            <w:pPr>
              <w:jc w:val="right"/>
              <w:ind w:right="583"/>
              <w:spacing w:after="0"/>
              <w:rPr>
                <w:sz w:val="20"/>
                <w:szCs w:val="20"/>
                <w:color w:val="auto"/>
              </w:rPr>
            </w:pPr>
            <w:r>
              <w:rPr>
                <w:rFonts w:ascii="Arial" w:cs="Arial" w:eastAsia="Arial" w:hAnsi="Arial"/>
                <w:sz w:val="15"/>
                <w:szCs w:val="15"/>
                <w:b w:val="1"/>
                <w:bCs w:val="1"/>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850</w:t>
            </w:r>
          </w:p>
        </w:tc>
        <w:tc>
          <w:tcPr>
            <w:tcW w:w="12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855</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b w:val="1"/>
                <w:bCs w:val="1"/>
                <w:color w:val="auto"/>
              </w:rPr>
              <w:t>2,552</w:t>
            </w:r>
          </w:p>
        </w:tc>
        <w:tc>
          <w:tcPr>
            <w:tcW w:w="14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2,570</w:t>
            </w:r>
          </w:p>
        </w:tc>
      </w:tr>
      <w:tr>
        <w:trPr>
          <w:trHeight w:val="232"/>
        </w:trPr>
        <w:tc>
          <w:tcPr>
            <w:tcW w:w="6300" w:type="dxa"/>
            <w:vAlign w:val="bottom"/>
            <w:gridSpan w:val="2"/>
          </w:tcPr>
          <w:p>
            <w:pPr>
              <w:ind w:left="20"/>
              <w:spacing w:after="0"/>
              <w:rPr>
                <w:sz w:val="20"/>
                <w:szCs w:val="20"/>
                <w:color w:val="auto"/>
              </w:rPr>
            </w:pPr>
            <w:r>
              <w:rPr>
                <w:rFonts w:ascii="Arial" w:cs="Arial" w:eastAsia="Arial" w:hAnsi="Arial"/>
                <w:sz w:val="15"/>
                <w:szCs w:val="15"/>
                <w:color w:val="auto"/>
              </w:rPr>
              <w:t>FHFA assessments</w:t>
            </w:r>
            <w:r>
              <w:rPr>
                <w:rFonts w:ascii="Arial" w:cs="Arial" w:eastAsia="Arial" w:hAnsi="Arial"/>
                <w:sz w:val="20"/>
                <w:szCs w:val="20"/>
                <w:color w:val="auto"/>
                <w:vertAlign w:val="superscript"/>
              </w:rPr>
              <w:t>(2)</w:t>
            </w:r>
          </w:p>
        </w:tc>
        <w:tc>
          <w:tcPr>
            <w:tcW w:w="7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b w:val="1"/>
                <w:bCs w:val="1"/>
                <w:color w:val="auto"/>
              </w:rPr>
              <w:t>93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217"/>
        </w:trPr>
        <w:tc>
          <w:tcPr>
            <w:tcW w:w="6300" w:type="dxa"/>
            <w:vAlign w:val="bottom"/>
            <w:gridSpan w:val="2"/>
          </w:tcPr>
          <w:p>
            <w:pPr>
              <w:ind w:left="20"/>
              <w:spacing w:after="0" w:line="217" w:lineRule="exact"/>
              <w:rPr>
                <w:sz w:val="20"/>
                <w:szCs w:val="20"/>
                <w:color w:val="auto"/>
              </w:rPr>
            </w:pPr>
            <w:r>
              <w:rPr>
                <w:rFonts w:ascii="Arial" w:cs="Arial" w:eastAsia="Arial" w:hAnsi="Arial"/>
                <w:sz w:val="15"/>
                <w:szCs w:val="15"/>
                <w:color w:val="auto"/>
              </w:rPr>
              <w:t>Affordable housing allocations:</w:t>
            </w:r>
            <w:r>
              <w:rPr>
                <w:rFonts w:ascii="Arial" w:cs="Arial" w:eastAsia="Arial" w:hAnsi="Arial"/>
                <w:sz w:val="20"/>
                <w:szCs w:val="20"/>
                <w:color w:val="auto"/>
                <w:vertAlign w:val="superscript"/>
              </w:rPr>
              <w:t>(3)</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4"/>
        </w:trPr>
        <w:tc>
          <w:tcPr>
            <w:tcW w:w="6300" w:type="dxa"/>
            <w:vAlign w:val="bottom"/>
            <w:gridSpan w:val="2"/>
          </w:tcPr>
          <w:p>
            <w:pPr>
              <w:ind w:left="120"/>
              <w:spacing w:after="0"/>
              <w:rPr>
                <w:sz w:val="20"/>
                <w:szCs w:val="20"/>
                <w:color w:val="auto"/>
              </w:rPr>
            </w:pPr>
            <w:r>
              <w:rPr>
                <w:rFonts w:ascii="Arial" w:cs="Arial" w:eastAsia="Arial" w:hAnsi="Arial"/>
                <w:sz w:val="15"/>
                <w:szCs w:val="15"/>
                <w:color w:val="auto"/>
              </w:rPr>
              <w:t>Treasury’s Capital Magnet Fund</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b w:val="1"/>
                <w:bCs w:val="1"/>
                <w:color w:val="auto"/>
              </w:rPr>
              <w:t>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13"/>
        </w:trPr>
        <w:tc>
          <w:tcPr>
            <w:tcW w:w="620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HUD’s Housing Trust Fund</w:t>
            </w:r>
          </w:p>
        </w:tc>
        <w:tc>
          <w:tcPr>
            <w:tcW w:w="100" w:type="dxa"/>
            <w:vAlign w:val="bottom"/>
          </w:tcPr>
          <w:p>
            <w:pPr>
              <w:spacing w:after="0"/>
              <w:rPr>
                <w:sz w:val="18"/>
                <w:szCs w:val="18"/>
                <w:color w:val="auto"/>
              </w:rPr>
            </w:pPr>
          </w:p>
        </w:tc>
        <w:tc>
          <w:tcPr>
            <w:tcW w:w="760" w:type="dxa"/>
            <w:vAlign w:val="bottom"/>
            <w:tcBorders>
              <w:bottom w:val="single" w:sz="8" w:color="2C6937"/>
            </w:tcBorders>
          </w:tcPr>
          <w:p>
            <w:pPr>
              <w:spacing w:after="0"/>
              <w:rPr>
                <w:sz w:val="18"/>
                <w:szCs w:val="18"/>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w:t>
            </w:r>
          </w:p>
        </w:tc>
        <w:tc>
          <w:tcPr>
            <w:tcW w:w="12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w:t>
            </w: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94</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78</w:t>
            </w:r>
          </w:p>
        </w:tc>
      </w:tr>
      <w:tr>
        <w:trPr>
          <w:trHeight w:val="212"/>
        </w:trPr>
        <w:tc>
          <w:tcPr>
            <w:tcW w:w="620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affordable housing allocations</w:t>
            </w:r>
          </w:p>
        </w:tc>
        <w:tc>
          <w:tcPr>
            <w:tcW w:w="100" w:type="dxa"/>
            <w:vAlign w:val="bottom"/>
          </w:tcPr>
          <w:p>
            <w:pPr>
              <w:spacing w:after="0"/>
              <w:rPr>
                <w:sz w:val="18"/>
                <w:szCs w:val="18"/>
                <w:color w:val="auto"/>
              </w:rPr>
            </w:pPr>
          </w:p>
        </w:tc>
        <w:tc>
          <w:tcPr>
            <w:tcW w:w="760" w:type="dxa"/>
            <w:vAlign w:val="bottom"/>
            <w:tcBorders>
              <w:bottom w:val="single" w:sz="8" w:color="2C6937"/>
            </w:tcBorders>
          </w:tcPr>
          <w:p>
            <w:pPr>
              <w:spacing w:after="0"/>
              <w:rPr>
                <w:sz w:val="18"/>
                <w:szCs w:val="18"/>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w:t>
            </w:r>
          </w:p>
        </w:tc>
        <w:tc>
          <w:tcPr>
            <w:tcW w:w="12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w:t>
            </w: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144</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120</w:t>
            </w:r>
          </w:p>
        </w:tc>
      </w:tr>
      <w:tr>
        <w:trPr>
          <w:trHeight w:val="212"/>
        </w:trPr>
        <w:tc>
          <w:tcPr>
            <w:tcW w:w="6300" w:type="dxa"/>
            <w:vAlign w:val="bottom"/>
            <w:gridSpan w:val="2"/>
          </w:tcPr>
          <w:p>
            <w:pPr>
              <w:ind w:left="20"/>
              <w:spacing w:after="0"/>
              <w:rPr>
                <w:sz w:val="20"/>
                <w:szCs w:val="20"/>
                <w:color w:val="auto"/>
              </w:rPr>
            </w:pPr>
            <w:r>
              <w:rPr>
                <w:rFonts w:ascii="Arial" w:cs="Arial" w:eastAsia="Arial" w:hAnsi="Arial"/>
                <w:sz w:val="15"/>
                <w:szCs w:val="15"/>
                <w:color w:val="auto"/>
              </w:rPr>
              <w:t>Total legislative assessments</w:t>
            </w:r>
          </w:p>
        </w:tc>
        <w:tc>
          <w:tcPr>
            <w:tcW w:w="760" w:type="dxa"/>
            <w:vAlign w:val="bottom"/>
          </w:tcPr>
          <w:p>
            <w:pPr>
              <w:jc w:val="right"/>
              <w:ind w:right="583"/>
              <w:spacing w:after="0"/>
              <w:rPr>
                <w:sz w:val="20"/>
                <w:szCs w:val="20"/>
                <w:color w:val="auto"/>
              </w:rPr>
            </w:pPr>
            <w:r>
              <w:rPr>
                <w:rFonts w:ascii="Arial" w:cs="Arial" w:eastAsia="Arial" w:hAnsi="Arial"/>
                <w:sz w:val="15"/>
                <w:szCs w:val="15"/>
                <w:b w:val="1"/>
                <w:bCs w:val="1"/>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924</w:t>
            </w:r>
          </w:p>
        </w:tc>
        <w:tc>
          <w:tcPr>
            <w:tcW w:w="12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943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b w:val="1"/>
                <w:bCs w:val="1"/>
                <w:color w:val="auto"/>
              </w:rPr>
              <w:t>2,789</w:t>
            </w:r>
          </w:p>
        </w:tc>
        <w:tc>
          <w:tcPr>
            <w:tcW w:w="14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2,813</w:t>
            </w:r>
          </w:p>
        </w:tc>
      </w:tr>
      <w:tr>
        <w:trPr>
          <w:trHeight w:val="20"/>
        </w:trPr>
        <w:tc>
          <w:tcPr>
            <w:tcW w:w="6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r>
    </w:tbl>
    <w:p>
      <w:pPr>
        <w:spacing w:after="0" w:line="186" w:lineRule="exact"/>
        <w:rPr>
          <w:sz w:val="20"/>
          <w:szCs w:val="20"/>
          <w:color w:val="auto"/>
        </w:rPr>
      </w:pPr>
    </w:p>
    <w:p>
      <w:pPr>
        <w:ind w:left="240" w:right="40" w:hanging="237"/>
        <w:spacing w:after="0" w:line="226"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TCCA fees are expenses recognized as a result of the 10 basis point increase in guaranty fees on all single-family mortgages delivered to us on or after April 1, 2012 pursuant to the Temporary Payroll Tax Cut Continuation Act of 2011 and as extended by the Infrastructure Investment and Jobs Act, which we pay to Treasury.</w:t>
      </w:r>
    </w:p>
    <w:p>
      <w:pPr>
        <w:spacing w:after="0" w:line="27" w:lineRule="exact"/>
        <w:rPr>
          <w:rFonts w:ascii="Arial" w:cs="Arial" w:eastAsia="Arial" w:hAnsi="Arial"/>
          <w:sz w:val="18"/>
          <w:szCs w:val="18"/>
          <w:color w:val="auto"/>
          <w:vertAlign w:val="superscript"/>
        </w:rPr>
      </w:pPr>
    </w:p>
    <w:p>
      <w:pPr>
        <w:ind w:left="240" w:right="60" w:hanging="237"/>
        <w:spacing w:after="0" w:line="218"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FHFA assessments are expenses relating to our obligation under the Federal Housing Enterprises Financial Safety and Soundness Act of 1992, as amended (the “GSE Act”), to pay FHFA to cover a portion of its costs, expenses and working capital.</w:t>
      </w:r>
    </w:p>
    <w:p>
      <w:pPr>
        <w:spacing w:after="0" w:line="26" w:lineRule="exact"/>
        <w:rPr>
          <w:rFonts w:ascii="Arial" w:cs="Arial" w:eastAsia="Arial" w:hAnsi="Arial"/>
          <w:sz w:val="18"/>
          <w:szCs w:val="18"/>
          <w:color w:val="auto"/>
          <w:vertAlign w:val="superscript"/>
        </w:rPr>
      </w:pPr>
    </w:p>
    <w:p>
      <w:pPr>
        <w:ind w:left="240" w:right="80" w:hanging="237"/>
        <w:spacing w:after="0" w:line="257" w:lineRule="auto"/>
        <w:tabs>
          <w:tab w:leader="none" w:pos="233" w:val="left"/>
        </w:tabs>
        <w:numPr>
          <w:ilvl w:val="0"/>
          <w:numId w:val="15"/>
        </w:numPr>
        <w:rPr>
          <w:rFonts w:ascii="Arial" w:cs="Arial" w:eastAsia="Arial" w:hAnsi="Arial"/>
          <w:sz w:val="9"/>
          <w:szCs w:val="9"/>
          <w:color w:val="auto"/>
        </w:rPr>
      </w:pPr>
      <w:r>
        <w:rPr>
          <w:rFonts w:ascii="Arial" w:cs="Arial" w:eastAsia="Arial" w:hAnsi="Arial"/>
          <w:sz w:val="14"/>
          <w:szCs w:val="14"/>
          <w:color w:val="auto"/>
        </w:rPr>
        <w:t>Affordable housing allocations relates to the GSE Act requirement to set aside each year an amount equal to 4.2 basis points of the UPB of our new business purchases and to pay this amount to specified U.S. Department of Housing and Urban Development (“HUD”) and Treasury funds in support of affordable housing. In March 2026, we paid $171 million to the HUD and Treasury funds based on $408.2 billion in new business purchases in 2025. For the first nine months of 2026, we recognized expenses of $144 million related to this obligation based on $343.5 billion in new business purchases during the period. We expect to pay this amount to the funds in 2027, plus additional amounts to be accrued based on our new business purchases in the fourth quarter of 2026.</w:t>
      </w:r>
    </w:p>
    <w:p>
      <w:pPr>
        <w:spacing w:after="0" w:line="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Other Income (Expense), Net</w:t>
      </w:r>
    </w:p>
    <w:p>
      <w:pPr>
        <w:spacing w:after="0" w:line="7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Other expense, net decreased by $285 million in the first nine months of 2026 compared with the first nine months of 2025. This decrease was primarily driven by an increase in benefits we expect to receive from our multifamily freestanding credit enhancements resulting from the larger multifamily provision for credit losses in the first nine months of 2026 compared with the first nine months of 2025. Also contributing to the decrease was a decrease in single-family foreclosed property expense. These decreases were partially offset by an increase in multifamily property foreclosure expense, as described further in "Business Segment Financial Results."</w:t>
      </w:r>
    </w:p>
    <w:p>
      <w:pPr>
        <w:spacing w:after="0" w:line="8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Other Comprehensive Income (Loss), Net</w:t>
      </w:r>
    </w:p>
    <w:p>
      <w:pPr>
        <w:spacing w:after="0" w:line="7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increase in other comprehensive loss for the third quarter and first nine months of 2026 compared with the third quarter and first nine months of 2025 was primarily driven by increased unrealized losses on our fixed-rate U.S. Treasury security investments designated as AFS in our corporate liquidity portfolio, reflecting increases in interest rates and, for the first nine months of 2026, higher average balances of these investments. Pursuant to our interest rate risk management strategy, we increased our investments in these U.S. Treasury securities during the first nine months of 2026. Rising interest rates in the third quarter of 2026 decreased the fair value of these investments, resulting in unrealized losses recorded in accumulated other comprehensive income (loss). See “Liquidity and Capital Management—Liquidity Management—Corporate Liquidity Portfolio” and “Risk Management—Market Risk Management, including Interest-Rate Risk Management” for additional information. Also see “Note 6, Investments in Securities”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385445</wp:posOffset>
            </wp:positionV>
            <wp:extent cx="7007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12</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5" w:name="page16"/>
    <w:bookmarkEnd w:id="15"/>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section discusses our condensed consolidated balance sheets and should be read together with our condensed consolidated financial statements and the accompanying notes.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gridSpan w:val="3"/>
          </w:tcPr>
          <w:p>
            <w:pPr>
              <w:jc w:val="right"/>
              <w:ind w:right="187"/>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9"/>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September 30, 2026</w:t>
            </w:r>
          </w:p>
        </w:tc>
        <w:tc>
          <w:tcPr>
            <w:tcW w:w="10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Variance</w:t>
            </w:r>
          </w:p>
        </w:tc>
      </w:tr>
      <w:tr>
        <w:trPr>
          <w:trHeight w:val="198"/>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gridSpan w:val="4"/>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7"/>
        </w:trPr>
        <w:tc>
          <w:tcPr>
            <w:tcW w:w="6980" w:type="dxa"/>
            <w:vAlign w:val="bottom"/>
            <w:gridSpan w:val="2"/>
          </w:tcPr>
          <w:p>
            <w:pPr>
              <w:ind w:left="20"/>
              <w:spacing w:after="0"/>
              <w:rPr>
                <w:sz w:val="20"/>
                <w:szCs w:val="20"/>
                <w:color w:val="auto"/>
              </w:rPr>
            </w:pPr>
            <w:r>
              <w:rPr>
                <w:rFonts w:ascii="Arial" w:cs="Arial" w:eastAsia="Arial" w:hAnsi="Arial"/>
                <w:sz w:val="15"/>
                <w:szCs w:val="15"/>
                <w:b w:val="1"/>
                <w:bCs w:val="1"/>
                <w:color w:val="auto"/>
              </w:rPr>
              <w:t>Assets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9"/>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Cash</w:t>
            </w:r>
          </w:p>
        </w:tc>
        <w:tc>
          <w:tcPr>
            <w:tcW w:w="380" w:type="dxa"/>
            <w:vAlign w:val="bottom"/>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10,918</w:t>
            </w:r>
          </w:p>
        </w:tc>
        <w:tc>
          <w:tcPr>
            <w:tcW w:w="440" w:type="dxa"/>
            <w:vAlign w:val="bottom"/>
            <w:gridSpan w:val="2"/>
          </w:tcPr>
          <w:p>
            <w:pPr>
              <w:jc w:val="right"/>
              <w:ind w:right="167"/>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11,452</w:t>
            </w:r>
          </w:p>
        </w:tc>
        <w:tc>
          <w:tcPr>
            <w:tcW w:w="1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(534)</w:t>
            </w:r>
          </w:p>
        </w:tc>
      </w:tr>
      <w:tr>
        <w:trPr>
          <w:trHeight w:val="219"/>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Restricted cash</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25,425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31,131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(5,706)</w:t>
            </w:r>
          </w:p>
        </w:tc>
      </w:tr>
      <w:tr>
        <w:trPr>
          <w:trHeight w:val="219"/>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Securities purchased under agreements to resell</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33,450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45,650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(12,200)</w:t>
            </w:r>
          </w:p>
        </w:tc>
      </w:tr>
      <w:tr>
        <w:trPr>
          <w:trHeight w:val="219"/>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100,723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69,889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30,834</w:t>
            </w:r>
          </w:p>
        </w:tc>
      </w:tr>
      <w:tr>
        <w:trPr>
          <w:trHeight w:val="211"/>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Mortgage loans: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7"/>
        </w:trPr>
        <w:tc>
          <w:tcPr>
            <w:tcW w:w="698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66,945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58,173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8,772</w:t>
            </w:r>
          </w:p>
        </w:tc>
      </w:tr>
      <w:tr>
        <w:trPr>
          <w:trHeight w:val="219"/>
        </w:trPr>
        <w:tc>
          <w:tcPr>
            <w:tcW w:w="698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4,049,101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4,069,504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(20,403)</w:t>
            </w:r>
          </w:p>
        </w:tc>
      </w:tr>
      <w:tr>
        <w:trPr>
          <w:trHeight w:val="213"/>
        </w:trPr>
        <w:tc>
          <w:tcPr>
            <w:tcW w:w="6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(9,415)</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(8,364)</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(1,051)</w:t>
            </w:r>
          </w:p>
        </w:tc>
      </w:tr>
      <w:tr>
        <w:trPr>
          <w:trHeight w:val="218"/>
        </w:trPr>
        <w:tc>
          <w:tcPr>
            <w:tcW w:w="6980" w:type="dxa"/>
            <w:vAlign w:val="bottom"/>
            <w:gridSpan w:val="2"/>
          </w:tcPr>
          <w:p>
            <w:pPr>
              <w:ind w:left="180"/>
              <w:spacing w:after="0"/>
              <w:rPr>
                <w:sz w:val="20"/>
                <w:szCs w:val="20"/>
                <w:color w:val="auto"/>
              </w:rPr>
            </w:pPr>
            <w:r>
              <w:rPr>
                <w:rFonts w:ascii="Arial" w:cs="Arial" w:eastAsia="Arial" w:hAnsi="Arial"/>
                <w:sz w:val="15"/>
                <w:szCs w:val="15"/>
                <w:color w:val="auto"/>
              </w:rPr>
              <w:t>Mortgage loans, net of allowance for loan losses</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4,106,631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4,119,313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(12,682)</w:t>
            </w:r>
          </w:p>
        </w:tc>
      </w:tr>
      <w:tr>
        <w:trPr>
          <w:trHeight w:val="219"/>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Deferred tax assets, net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9,707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9,828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(121)</w:t>
            </w:r>
          </w:p>
        </w:tc>
      </w:tr>
      <w:tr>
        <w:trPr>
          <w:trHeight w:val="213"/>
        </w:trPr>
        <w:tc>
          <w:tcPr>
            <w:tcW w:w="6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31,033</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30,275</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758</w:t>
            </w:r>
          </w:p>
        </w:tc>
      </w:tr>
      <w:tr>
        <w:trPr>
          <w:trHeight w:val="212"/>
        </w:trPr>
        <w:tc>
          <w:tcPr>
            <w:tcW w:w="6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assets</w:t>
            </w:r>
          </w:p>
        </w:tc>
        <w:tc>
          <w:tcPr>
            <w:tcW w:w="100" w:type="dxa"/>
            <w:vAlign w:val="bottom"/>
          </w:tcPr>
          <w:p>
            <w:pPr>
              <w:spacing w:after="0"/>
              <w:rPr>
                <w:sz w:val="18"/>
                <w:szCs w:val="18"/>
                <w:color w:val="auto"/>
              </w:rPr>
            </w:pPr>
          </w:p>
        </w:tc>
        <w:tc>
          <w:tcPr>
            <w:tcW w:w="380" w:type="dxa"/>
            <w:vAlign w:val="bottom"/>
            <w:tcBorders>
              <w:bottom w:val="single" w:sz="8" w:color="2C6937"/>
            </w:tcBorders>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4,317,887</w:t>
            </w:r>
          </w:p>
        </w:tc>
        <w:tc>
          <w:tcPr>
            <w:tcW w:w="100" w:type="dxa"/>
            <w:vAlign w:val="bottom"/>
          </w:tcPr>
          <w:p>
            <w:pPr>
              <w:spacing w:after="0"/>
              <w:rPr>
                <w:sz w:val="18"/>
                <w:szCs w:val="18"/>
                <w:color w:val="auto"/>
              </w:rPr>
            </w:pPr>
          </w:p>
        </w:tc>
        <w:tc>
          <w:tcPr>
            <w:tcW w:w="340" w:type="dxa"/>
            <w:vAlign w:val="bottom"/>
            <w:tcBorders>
              <w:bottom w:val="single" w:sz="8" w:color="2C6937"/>
            </w:tcBorders>
          </w:tcPr>
          <w:p>
            <w:pPr>
              <w:jc w:val="right"/>
              <w:ind w:right="16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4,317,538</w:t>
            </w:r>
          </w:p>
        </w:tc>
        <w:tc>
          <w:tcPr>
            <w:tcW w:w="100" w:type="dxa"/>
            <w:vAlign w:val="bottom"/>
          </w:tcPr>
          <w:p>
            <w:pPr>
              <w:spacing w:after="0"/>
              <w:rPr>
                <w:sz w:val="18"/>
                <w:szCs w:val="18"/>
                <w:color w:val="auto"/>
              </w:rPr>
            </w:pPr>
          </w:p>
        </w:tc>
        <w:tc>
          <w:tcPr>
            <w:tcW w:w="24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349</w:t>
            </w:r>
          </w:p>
        </w:tc>
      </w:tr>
      <w:tr>
        <w:trPr>
          <w:trHeight w:val="20"/>
        </w:trPr>
        <w:tc>
          <w:tcPr>
            <w:tcW w:w="6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r>
      <w:tr>
        <w:trPr>
          <w:trHeight w:val="217"/>
        </w:trPr>
        <w:tc>
          <w:tcPr>
            <w:tcW w:w="6980" w:type="dxa"/>
            <w:vAlign w:val="bottom"/>
            <w:gridSpan w:val="2"/>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1"/>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Debt: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7"/>
        </w:trPr>
        <w:tc>
          <w:tcPr>
            <w:tcW w:w="698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380" w:type="dxa"/>
            <w:vAlign w:val="bottom"/>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168,731</w:t>
            </w:r>
          </w:p>
        </w:tc>
        <w:tc>
          <w:tcPr>
            <w:tcW w:w="440" w:type="dxa"/>
            <w:vAlign w:val="bottom"/>
            <w:gridSpan w:val="2"/>
          </w:tcPr>
          <w:p>
            <w:pPr>
              <w:jc w:val="right"/>
              <w:ind w:right="167"/>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127,289</w:t>
            </w:r>
          </w:p>
        </w:tc>
        <w:tc>
          <w:tcPr>
            <w:tcW w:w="1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41,442</w:t>
            </w:r>
          </w:p>
        </w:tc>
      </w:tr>
      <w:tr>
        <w:trPr>
          <w:trHeight w:val="219"/>
        </w:trPr>
        <w:tc>
          <w:tcPr>
            <w:tcW w:w="698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4,000,518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4,053,140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(52,622)</w:t>
            </w:r>
          </w:p>
        </w:tc>
      </w:tr>
      <w:tr>
        <w:trPr>
          <w:trHeight w:val="213"/>
        </w:trPr>
        <w:tc>
          <w:tcPr>
            <w:tcW w:w="6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29,001</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28,097</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904</w:t>
            </w:r>
          </w:p>
        </w:tc>
      </w:tr>
      <w:tr>
        <w:trPr>
          <w:trHeight w:val="218"/>
        </w:trPr>
        <w:tc>
          <w:tcPr>
            <w:tcW w:w="6980" w:type="dxa"/>
            <w:vAlign w:val="bottom"/>
            <w:gridSpan w:val="2"/>
          </w:tcPr>
          <w:p>
            <w:pPr>
              <w:ind w:left="140"/>
              <w:spacing w:after="0"/>
              <w:rPr>
                <w:sz w:val="20"/>
                <w:szCs w:val="20"/>
                <w:color w:val="auto"/>
              </w:rPr>
            </w:pPr>
            <w:r>
              <w:rPr>
                <w:rFonts w:ascii="Arial" w:cs="Arial" w:eastAsia="Arial" w:hAnsi="Arial"/>
                <w:sz w:val="15"/>
                <w:szCs w:val="15"/>
                <w:color w:val="auto"/>
              </w:rPr>
              <w:t>Total liabilities</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4,198,250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4,208,526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(10,276)</w:t>
            </w:r>
          </w:p>
        </w:tc>
      </w:tr>
      <w:tr>
        <w:trPr>
          <w:trHeight w:val="213"/>
        </w:trPr>
        <w:tc>
          <w:tcPr>
            <w:tcW w:w="6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stockholders’ equity</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119,637</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109,012</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10,625</w:t>
            </w:r>
          </w:p>
        </w:tc>
      </w:tr>
      <w:tr>
        <w:trPr>
          <w:trHeight w:val="212"/>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Total liabilities and equity</w:t>
            </w:r>
          </w:p>
        </w:tc>
        <w:tc>
          <w:tcPr>
            <w:tcW w:w="380" w:type="dxa"/>
            <w:vAlign w:val="bottom"/>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4,317,887</w:t>
            </w:r>
          </w:p>
        </w:tc>
        <w:tc>
          <w:tcPr>
            <w:tcW w:w="440" w:type="dxa"/>
            <w:vAlign w:val="bottom"/>
            <w:gridSpan w:val="2"/>
          </w:tcPr>
          <w:p>
            <w:pPr>
              <w:jc w:val="right"/>
              <w:ind w:right="167"/>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4,317,538</w:t>
            </w:r>
          </w:p>
        </w:tc>
        <w:tc>
          <w:tcPr>
            <w:tcW w:w="10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349</w:t>
            </w:r>
          </w:p>
        </w:tc>
      </w:tr>
      <w:tr>
        <w:trPr>
          <w:trHeight w:val="20"/>
        </w:trPr>
        <w:tc>
          <w:tcPr>
            <w:tcW w:w="6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Restricted Cash</w:t>
      </w:r>
    </w:p>
    <w:p>
      <w:pPr>
        <w:spacing w:after="0" w:line="6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The decrease in restricted cash from December 31, 2025 to September 30, 2026, was primarily driven by a decrease in prepayments of loans held in consolidated trusts, resulting in lower cash balances held in trusts at period end. For information on our accounting policy for restricted cash, see “Note 1, Summary of Significant Accounting Policies” in our 2025 Form 10-K.</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Securities Purchased Under Agreements to Resell</w:t>
      </w:r>
    </w:p>
    <w:p>
      <w:pPr>
        <w:spacing w:after="0" w:line="63" w:lineRule="exact"/>
        <w:rPr>
          <w:sz w:val="20"/>
          <w:szCs w:val="20"/>
          <w:color w:val="auto"/>
        </w:rPr>
      </w:pPr>
    </w:p>
    <w:p>
      <w:pPr>
        <w:jc w:val="both"/>
        <w:ind w:right="300"/>
        <w:spacing w:after="0" w:line="293" w:lineRule="auto"/>
        <w:rPr>
          <w:sz w:val="20"/>
          <w:szCs w:val="20"/>
          <w:color w:val="auto"/>
        </w:rPr>
      </w:pPr>
      <w:r>
        <w:rPr>
          <w:rFonts w:ascii="Arial" w:cs="Arial" w:eastAsia="Arial" w:hAnsi="Arial"/>
          <w:sz w:val="16"/>
          <w:szCs w:val="16"/>
          <w:color w:val="auto"/>
        </w:rPr>
        <w:t>The decrease in securities purchased under agreements to resell from December 31, 2025 to September 30, 2026, was primarily due to maturities, with proceeds reinvested into agency MBS investments held in our retained mortgage portfolio. See “Retained Mortgage Portfolio” for additional information.</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Investments in Securities, at Fair Value</w:t>
      </w:r>
    </w:p>
    <w:p>
      <w:pPr>
        <w:spacing w:after="0" w:line="7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primary driver of the increase in investments in securities, at fair value, from December 31, 2025 to September 30, 2026, was purchases of U.S. Treasury securities held in our corporate liquidity portfolio and agency MBS securities held in our retained mortgage portfolio. See “Note 6, Investments in Securities,” “Retained Mortgage Portfolio,” and “Liquidity and Capital Management—Liquidity Management—Corporate Liquidity Portfolio" for additional information.</w:t>
      </w:r>
    </w:p>
    <w:p>
      <w:pPr>
        <w:spacing w:after="0" w:line="8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Mortgage Loans, Net of Allowance for Loan Losses</w:t>
      </w:r>
    </w:p>
    <w:p>
      <w:pPr>
        <w:spacing w:after="0" w:line="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mortgage loans reported in our condensed consolidated balance sheets are classified as either held for sale (“HFS”) or held for investment (“HFI”) and include loans owned by Fannie Mae and loans held in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367030</wp:posOffset>
            </wp:positionV>
            <wp:extent cx="7007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13</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6" w:name="page17"/>
    <w:bookmarkEnd w:id="16"/>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40"/>
        <w:spacing w:after="0" w:line="272" w:lineRule="auto"/>
        <w:rPr>
          <w:sz w:val="20"/>
          <w:szCs w:val="20"/>
          <w:color w:val="auto"/>
        </w:rPr>
      </w:pPr>
      <w:r>
        <w:rPr>
          <w:rFonts w:ascii="Arial" w:cs="Arial" w:eastAsia="Arial" w:hAnsi="Arial"/>
          <w:sz w:val="16"/>
          <w:szCs w:val="16"/>
          <w:color w:val="auto"/>
        </w:rPr>
        <w:t>The decrease in mortgage loans, net of allowance for loan losses, from December 31, 2025 to September 30, 2026, was primarily driven by loan paydowns and liquidations from our single-family guaranty book of business outpacing acquisitions. This was partially offset by an increase in our multifamily guaranty book of business.</w:t>
      </w:r>
    </w:p>
    <w:p>
      <w:pPr>
        <w:spacing w:after="0" w:line="4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additional information on our mortgage loans, see “Note 4, Mortgage Loans,” and for additional information on changes in our allowance for loan losses, see “Note 5, Allowance for Credit Losses.”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Debt</w:t>
      </w:r>
    </w:p>
    <w:p>
      <w:pPr>
        <w:spacing w:after="0" w:line="6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increase in debt of Fannie Mae from December 31, 2025 to September 30, 2026 was primarily driven by long-term debt issuances to support balance sheet growth and to replace debt scheduled to mature. The decrease in debt of consolidated trusts from December 31, 2025 to September 30, 2026 was primarily driven by an increase in Fannie Mae MBS held in our retained mortgage portfolio and liquidations of single-family Fannie Mae MBS outpacing issuances. Purchases of Fannie Mae MBS from consolidated trusts for our retained mortgage portfolio result in the derecognition of related balances in debt of consolidated trusts. See “Liquidity and Capital Management—Liquidity Management—Debt Funding” for a summary of activity in debt of Fannie Mae and information on our outstanding short-term and long-term debt. Also see “Note 8, Short-Term and Long-Term Debt” for additional information on our total outstanding debt.</w:t>
      </w:r>
    </w:p>
    <w:p>
      <w:pPr>
        <w:spacing w:after="0" w:line="9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Stockholders’ Equity</w:t>
      </w:r>
    </w:p>
    <w:p>
      <w:pPr>
        <w:spacing w:after="0" w:line="76"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Our stockholders’ equity (also referred to as our net worth) increased to $119.6 billion as of September 30, 2026, compared with $109.0 billion as of December 31, 2025, due to the $10.6 billion in total comprehensive income recognized during the first nine months of 2026. See “Consolidated Results of Operations” for additional information on the activity during the period impacting our total comprehensive income.</w:t>
      </w:r>
    </w:p>
    <w:p>
      <w:pPr>
        <w:spacing w:after="0" w:line="78"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retained mortgage portfolio consists of mortgage loans and mortgage-related securities that we own, including Fannie Mae MBS and non-Fannie Mae mortgage-related securities. It excludes the portion of assets held by consolidated MBS trusts that back securities owned by third parties.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We classify our retained mortgage portfolio into three categories:</w:t>
      </w:r>
    </w:p>
    <w:p>
      <w:pPr>
        <w:spacing w:after="0" w:line="61" w:lineRule="exact"/>
        <w:rPr>
          <w:sz w:val="20"/>
          <w:szCs w:val="20"/>
          <w:color w:val="auto"/>
        </w:rPr>
      </w:pPr>
    </w:p>
    <w:p>
      <w:pPr>
        <w:ind w:left="620" w:right="200" w:hanging="307"/>
        <w:spacing w:after="0" w:line="285"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Agency MBS investments and lender liquidity </w:t>
      </w:r>
      <w:r>
        <w:rPr>
          <w:rFonts w:ascii="Arial" w:cs="Arial" w:eastAsia="Arial" w:hAnsi="Arial"/>
          <w:sz w:val="16"/>
          <w:szCs w:val="16"/>
          <w:color w:val="auto"/>
        </w:rPr>
        <w:t>consists of agency MBS we have purchased for investment purposes and mortgage-related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our portfolio securitization activities, which provide liquidity to the single-family and multifamily mortgage markets.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Loss mitigation </w:t>
      </w:r>
      <w:r>
        <w:rPr>
          <w:rFonts w:ascii="Arial" w:cs="Arial" w:eastAsia="Arial" w:hAnsi="Arial"/>
          <w:sz w:val="16"/>
          <w:szCs w:val="16"/>
          <w:color w:val="auto"/>
        </w:rPr>
        <w:t>consists of delinquent mortgage loans we purchased from our MBS trusts to support certain loss mitigation efforts.</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primarily consists of legacy assets that we purchased for investment purposes prior to our entry into conservatorship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421005</wp:posOffset>
            </wp:positionV>
            <wp:extent cx="7007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14</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7" w:name="page18"/>
    <w:bookmarkEnd w:id="17"/>
    <w:p>
      <w:pPr>
        <w:ind w:left="9020"/>
        <w:spacing w:after="0"/>
        <w:rPr>
          <w:sz w:val="20"/>
          <w:szCs w:val="20"/>
          <w:color w:val="auto"/>
        </w:rPr>
      </w:pPr>
      <w:r>
        <w:rPr>
          <w:rFonts w:ascii="Arial" w:cs="Arial" w:eastAsia="Arial" w:hAnsi="Arial"/>
          <w:sz w:val="13"/>
          <w:szCs w:val="13"/>
          <w:color w:val="05314D"/>
        </w:rPr>
        <w:t>MD&amp;A |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24130</wp:posOffset>
            </wp:positionV>
            <wp:extent cx="7122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right="100"/>
        <w:spacing w:after="0" w:line="268" w:lineRule="auto"/>
        <w:rPr>
          <w:sz w:val="20"/>
          <w:szCs w:val="20"/>
          <w:color w:val="auto"/>
        </w:rPr>
      </w:pPr>
      <w:r>
        <w:rPr>
          <w:rFonts w:ascii="Arial" w:cs="Arial" w:eastAsia="Arial" w:hAnsi="Arial"/>
          <w:sz w:val="16"/>
          <w:szCs w:val="16"/>
          <w:color w:val="auto"/>
        </w:rPr>
        <w:t>The following table displays the components of our retained mortgage portfolio, based on UPB. Depending on the nature of the asset, these balances are reported as either mortgage loans or mortgage-related securities in our condensed consolidated balance sheets. For mortgage-related securities, purchases of Fannie Mae MBS for our retained mortgage portfolio result in the derecognition of related balances in debt of consolidated trusts, and therefore remain in “Mortgage loans, net of allowance for loan losses,” while purchases of non-Fannie Mae MBS are included in “Investments in securities, at fair value.”</w:t>
      </w: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b w:val="1"/>
          <w:bCs w:val="1"/>
          <w:color w:val="001543"/>
        </w:rPr>
        <w:t>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38735</wp:posOffset>
            </wp:positionV>
            <wp:extent cx="713867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2080" w:type="dxa"/>
            <w:vAlign w:val="bottom"/>
            <w:tcBorders>
              <w:bottom w:val="single" w:sz="8" w:color="2C6937"/>
            </w:tcBorders>
            <w:gridSpan w:val="2"/>
          </w:tcPr>
          <w:p>
            <w:pPr>
              <w:ind w:left="1700"/>
              <w:spacing w:after="0"/>
              <w:rPr>
                <w:sz w:val="20"/>
                <w:szCs w:val="20"/>
                <w:color w:val="auto"/>
              </w:rPr>
            </w:pPr>
            <w:r>
              <w:rPr>
                <w:rFonts w:ascii="Arial" w:cs="Arial" w:eastAsia="Arial" w:hAnsi="Arial"/>
                <w:sz w:val="15"/>
                <w:szCs w:val="15"/>
                <w:b w:val="1"/>
                <w:bCs w:val="1"/>
                <w:color w:val="auto"/>
                <w:w w:val="95"/>
              </w:rPr>
              <w:t>As of</w:t>
            </w:r>
          </w:p>
        </w:tc>
        <w:tc>
          <w:tcPr>
            <w:tcW w:w="18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spacing w:after="0"/>
              <w:rPr>
                <w:sz w:val="18"/>
                <w:szCs w:val="18"/>
                <w:color w:val="auto"/>
              </w:rPr>
            </w:pPr>
          </w:p>
        </w:tc>
      </w:tr>
      <w:tr>
        <w:trPr>
          <w:trHeight w:val="212"/>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2080" w:type="dxa"/>
            <w:vAlign w:val="bottom"/>
            <w:tcBorders>
              <w:bottom w:val="single" w:sz="8" w:color="2C6937"/>
            </w:tcBorders>
            <w:gridSpan w:val="2"/>
          </w:tcPr>
          <w:p>
            <w:pPr>
              <w:ind w:left="140"/>
              <w:spacing w:after="0"/>
              <w:rPr>
                <w:sz w:val="20"/>
                <w:szCs w:val="20"/>
                <w:color w:val="auto"/>
              </w:rPr>
            </w:pPr>
            <w:r>
              <w:rPr>
                <w:rFonts w:ascii="Arial" w:cs="Arial" w:eastAsia="Arial" w:hAnsi="Arial"/>
                <w:sz w:val="15"/>
                <w:szCs w:val="15"/>
                <w:b w:val="1"/>
                <w:bCs w:val="1"/>
                <w:color w:val="auto"/>
              </w:rPr>
              <w:t>September 30, 2026</w:t>
            </w:r>
          </w:p>
        </w:tc>
        <w:tc>
          <w:tcPr>
            <w:tcW w:w="18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December 31, 2025</w:t>
            </w:r>
          </w:p>
        </w:tc>
      </w:tr>
      <w:tr>
        <w:trPr>
          <w:trHeight w:val="218"/>
        </w:trPr>
        <w:tc>
          <w:tcPr>
            <w:tcW w:w="6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0" w:type="dxa"/>
            <w:vAlign w:val="bottom"/>
            <w:gridSpan w:val="4"/>
          </w:tcPr>
          <w:p>
            <w:pPr>
              <w:jc w:val="right"/>
              <w:ind w:right="1323"/>
              <w:spacing w:after="0"/>
              <w:rPr>
                <w:sz w:val="20"/>
                <w:szCs w:val="20"/>
                <w:color w:val="auto"/>
              </w:rPr>
            </w:pPr>
            <w:r>
              <w:rPr>
                <w:rFonts w:ascii="Arial" w:cs="Arial" w:eastAsia="Arial" w:hAnsi="Arial"/>
                <w:sz w:val="15"/>
                <w:szCs w:val="15"/>
                <w:b w:val="1"/>
                <w:bCs w:val="1"/>
                <w:color w:val="auto"/>
              </w:rPr>
              <w:t>(Dollars in millions)</w:t>
            </w:r>
          </w:p>
        </w:tc>
      </w:tr>
      <w:tr>
        <w:trPr>
          <w:trHeight w:val="219"/>
        </w:trPr>
        <w:tc>
          <w:tcPr>
            <w:tcW w:w="7000" w:type="dxa"/>
            <w:vAlign w:val="bottom"/>
            <w:gridSpan w:val="2"/>
          </w:tcPr>
          <w:p>
            <w:pPr>
              <w:ind w:left="20"/>
              <w:spacing w:after="0"/>
              <w:rPr>
                <w:sz w:val="20"/>
                <w:szCs w:val="20"/>
                <w:color w:val="auto"/>
              </w:rPr>
            </w:pPr>
            <w:r>
              <w:rPr>
                <w:rFonts w:ascii="Arial" w:cs="Arial" w:eastAsia="Arial" w:hAnsi="Arial"/>
                <w:sz w:val="15"/>
                <w:szCs w:val="15"/>
                <w:b w:val="1"/>
                <w:bCs w:val="1"/>
                <w:color w:val="auto"/>
              </w:rPr>
              <w:t>Agency MBS investments and lender liquidity:</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4"/>
        </w:trPr>
        <w:tc>
          <w:tcPr>
            <w:tcW w:w="7000" w:type="dxa"/>
            <w:vAlign w:val="bottom"/>
            <w:gridSpan w:val="2"/>
          </w:tcPr>
          <w:p>
            <w:pPr>
              <w:ind w:left="220"/>
              <w:spacing w:after="0" w:line="225" w:lineRule="exact"/>
              <w:rPr>
                <w:sz w:val="20"/>
                <w:szCs w:val="20"/>
                <w:color w:val="auto"/>
              </w:rPr>
            </w:pPr>
            <w:r>
              <w:rPr>
                <w:rFonts w:ascii="Arial" w:cs="Arial" w:eastAsia="Arial" w:hAnsi="Arial"/>
                <w:sz w:val="15"/>
                <w:szCs w:val="15"/>
                <w:color w:val="auto"/>
              </w:rPr>
              <w:t>Agency securities</w:t>
            </w:r>
            <w:r>
              <w:rPr>
                <w:rFonts w:ascii="Arial" w:cs="Arial" w:eastAsia="Arial" w:hAnsi="Arial"/>
                <w:sz w:val="20"/>
                <w:szCs w:val="20"/>
                <w:color w:val="auto"/>
                <w:vertAlign w:val="superscript"/>
              </w:rPr>
              <w:t>(1)</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940" w:type="dxa"/>
            <w:vAlign w:val="bottom"/>
          </w:tcPr>
          <w:p>
            <w:pPr>
              <w:jc w:val="right"/>
              <w:spacing w:after="0"/>
              <w:rPr>
                <w:sz w:val="20"/>
                <w:szCs w:val="20"/>
                <w:color w:val="auto"/>
              </w:rPr>
            </w:pPr>
            <w:r>
              <w:rPr>
                <w:rFonts w:ascii="Arial" w:cs="Arial" w:eastAsia="Arial" w:hAnsi="Arial"/>
                <w:sz w:val="15"/>
                <w:szCs w:val="15"/>
                <w:b w:val="1"/>
                <w:bCs w:val="1"/>
                <w:color w:val="auto"/>
              </w:rPr>
              <w:t>108,776</w:t>
            </w:r>
          </w:p>
        </w:tc>
        <w:tc>
          <w:tcPr>
            <w:tcW w:w="14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70,416</w:t>
            </w:r>
          </w:p>
        </w:tc>
      </w:tr>
      <w:tr>
        <w:trPr>
          <w:trHeight w:val="208"/>
        </w:trPr>
        <w:tc>
          <w:tcPr>
            <w:tcW w:w="688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Mortgage loans</w:t>
            </w:r>
          </w:p>
        </w:tc>
        <w:tc>
          <w:tcPr>
            <w:tcW w:w="12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12,844</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7,821</w:t>
            </w:r>
          </w:p>
        </w:tc>
      </w:tr>
      <w:tr>
        <w:trPr>
          <w:trHeight w:val="218"/>
        </w:trPr>
        <w:tc>
          <w:tcPr>
            <w:tcW w:w="7000" w:type="dxa"/>
            <w:vAlign w:val="bottom"/>
            <w:gridSpan w:val="2"/>
          </w:tcPr>
          <w:p>
            <w:pPr>
              <w:ind w:left="120"/>
              <w:spacing w:after="0"/>
              <w:rPr>
                <w:sz w:val="20"/>
                <w:szCs w:val="20"/>
                <w:color w:val="auto"/>
              </w:rPr>
            </w:pPr>
            <w:r>
              <w:rPr>
                <w:rFonts w:ascii="Arial" w:cs="Arial" w:eastAsia="Arial" w:hAnsi="Arial"/>
                <w:sz w:val="15"/>
                <w:szCs w:val="15"/>
                <w:color w:val="auto"/>
              </w:rPr>
              <w:t>Total agency MBS investments and lender liquidity</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b w:val="1"/>
                <w:bCs w:val="1"/>
                <w:color w:val="auto"/>
              </w:rPr>
              <w:t>121,620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78,237</w:t>
            </w:r>
          </w:p>
        </w:tc>
      </w:tr>
      <w:tr>
        <w:trPr>
          <w:trHeight w:val="224"/>
        </w:trPr>
        <w:tc>
          <w:tcPr>
            <w:tcW w:w="7000" w:type="dxa"/>
            <w:vAlign w:val="bottom"/>
            <w:gridSpan w:val="2"/>
          </w:tcPr>
          <w:p>
            <w:pPr>
              <w:ind w:left="20"/>
              <w:spacing w:after="0" w:line="225" w:lineRule="exact"/>
              <w:rPr>
                <w:sz w:val="20"/>
                <w:szCs w:val="20"/>
                <w:color w:val="auto"/>
              </w:rPr>
            </w:pPr>
            <w:r>
              <w:rPr>
                <w:rFonts w:ascii="Arial" w:cs="Arial" w:eastAsia="Arial" w:hAnsi="Arial"/>
                <w:sz w:val="15"/>
                <w:szCs w:val="15"/>
                <w:b w:val="1"/>
                <w:bCs w:val="1"/>
                <w:color w:val="auto"/>
              </w:rPr>
              <w:t>Loss mitigation mortgage loans</w:t>
            </w:r>
            <w:r>
              <w:rPr>
                <w:rFonts w:ascii="Arial" w:cs="Arial" w:eastAsia="Arial" w:hAnsi="Arial"/>
                <w:sz w:val="20"/>
                <w:szCs w:val="20"/>
                <w:b w:val="1"/>
                <w:bCs w:val="1"/>
                <w:color w:val="auto"/>
                <w:vertAlign w:val="superscript"/>
              </w:rPr>
              <w:t>(2)</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5"/>
                <w:szCs w:val="15"/>
                <w:b w:val="1"/>
                <w:bCs w:val="1"/>
                <w:color w:val="auto"/>
              </w:rPr>
              <w:t>54,522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48,594</w:t>
            </w:r>
          </w:p>
        </w:tc>
      </w:tr>
      <w:tr>
        <w:trPr>
          <w:trHeight w:val="214"/>
        </w:trPr>
        <w:tc>
          <w:tcPr>
            <w:tcW w:w="700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4"/>
        </w:trPr>
        <w:tc>
          <w:tcPr>
            <w:tcW w:w="7000" w:type="dxa"/>
            <w:vAlign w:val="bottom"/>
            <w:gridSpan w:val="2"/>
          </w:tcPr>
          <w:p>
            <w:pPr>
              <w:ind w:left="220"/>
              <w:spacing w:after="0" w:line="225" w:lineRule="exact"/>
              <w:rPr>
                <w:sz w:val="20"/>
                <w:szCs w:val="20"/>
                <w:color w:val="auto"/>
              </w:rPr>
            </w:pPr>
            <w:r>
              <w:rPr>
                <w:rFonts w:ascii="Arial" w:cs="Arial" w:eastAsia="Arial" w:hAnsi="Arial"/>
                <w:sz w:val="15"/>
                <w:szCs w:val="15"/>
                <w:color w:val="auto"/>
              </w:rPr>
              <w:t>Reverse mortgage loans and securities</w:t>
            </w:r>
            <w:r>
              <w:rPr>
                <w:rFonts w:ascii="Arial" w:cs="Arial" w:eastAsia="Arial" w:hAnsi="Arial"/>
                <w:sz w:val="20"/>
                <w:szCs w:val="20"/>
                <w:color w:val="auto"/>
                <w:vertAlign w:val="superscript"/>
              </w:rPr>
              <w:t>(3)</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5"/>
                <w:szCs w:val="15"/>
                <w:b w:val="1"/>
                <w:bCs w:val="1"/>
                <w:color w:val="auto"/>
              </w:rPr>
              <w:t>2,324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2,709</w:t>
            </w:r>
          </w:p>
        </w:tc>
      </w:tr>
      <w:tr>
        <w:trPr>
          <w:trHeight w:val="208"/>
        </w:trPr>
        <w:tc>
          <w:tcPr>
            <w:tcW w:w="6880" w:type="dxa"/>
            <w:vAlign w:val="bottom"/>
            <w:tcBorders>
              <w:bottom w:val="single" w:sz="8" w:color="2C6937"/>
            </w:tcBorders>
          </w:tcPr>
          <w:p>
            <w:pPr>
              <w:ind w:left="220"/>
              <w:spacing w:after="0" w:line="207" w:lineRule="exact"/>
              <w:rPr>
                <w:sz w:val="20"/>
                <w:szCs w:val="20"/>
                <w:color w:val="auto"/>
              </w:rPr>
            </w:pPr>
            <w:r>
              <w:rPr>
                <w:rFonts w:ascii="Arial" w:cs="Arial" w:eastAsia="Arial" w:hAnsi="Arial"/>
                <w:sz w:val="15"/>
                <w:szCs w:val="15"/>
                <w:color w:val="auto"/>
              </w:rPr>
              <w:t>Other mortgage loans and securities</w:t>
            </w:r>
            <w:r>
              <w:rPr>
                <w:rFonts w:ascii="Arial" w:cs="Arial" w:eastAsia="Arial" w:hAnsi="Arial"/>
                <w:sz w:val="20"/>
                <w:szCs w:val="20"/>
                <w:color w:val="auto"/>
                <w:vertAlign w:val="superscript"/>
              </w:rPr>
              <w:t>(4)</w:t>
            </w:r>
          </w:p>
        </w:tc>
        <w:tc>
          <w:tcPr>
            <w:tcW w:w="12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1,762</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2,921</w:t>
            </w:r>
          </w:p>
        </w:tc>
      </w:tr>
      <w:tr>
        <w:trPr>
          <w:trHeight w:val="212"/>
        </w:trPr>
        <w:tc>
          <w:tcPr>
            <w:tcW w:w="688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Total other</w:t>
            </w:r>
          </w:p>
        </w:tc>
        <w:tc>
          <w:tcPr>
            <w:tcW w:w="12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4,086</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5,630</w:t>
            </w:r>
          </w:p>
        </w:tc>
      </w:tr>
      <w:tr>
        <w:trPr>
          <w:trHeight w:val="212"/>
        </w:trPr>
        <w:tc>
          <w:tcPr>
            <w:tcW w:w="7000" w:type="dxa"/>
            <w:vAlign w:val="bottom"/>
            <w:gridSpan w:val="2"/>
          </w:tcPr>
          <w:p>
            <w:pPr>
              <w:ind w:left="20"/>
              <w:spacing w:after="0"/>
              <w:rPr>
                <w:sz w:val="20"/>
                <w:szCs w:val="20"/>
                <w:color w:val="auto"/>
              </w:rPr>
            </w:pPr>
            <w:r>
              <w:rPr>
                <w:rFonts w:ascii="Arial" w:cs="Arial" w:eastAsia="Arial" w:hAnsi="Arial"/>
                <w:sz w:val="15"/>
                <w:szCs w:val="15"/>
                <w:color w:val="auto"/>
              </w:rPr>
              <w:t>Total retained mortgage portfolio</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940" w:type="dxa"/>
            <w:vAlign w:val="bottom"/>
          </w:tcPr>
          <w:p>
            <w:pPr>
              <w:jc w:val="right"/>
              <w:spacing w:after="0"/>
              <w:rPr>
                <w:sz w:val="20"/>
                <w:szCs w:val="20"/>
                <w:color w:val="auto"/>
              </w:rPr>
            </w:pPr>
            <w:r>
              <w:rPr>
                <w:rFonts w:ascii="Arial" w:cs="Arial" w:eastAsia="Arial" w:hAnsi="Arial"/>
                <w:sz w:val="15"/>
                <w:szCs w:val="15"/>
                <w:b w:val="1"/>
                <w:bCs w:val="1"/>
                <w:color w:val="auto"/>
              </w:rPr>
              <w:t>180,228</w:t>
            </w:r>
          </w:p>
        </w:tc>
        <w:tc>
          <w:tcPr>
            <w:tcW w:w="14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132,461</w:t>
            </w:r>
          </w:p>
        </w:tc>
      </w:tr>
      <w:tr>
        <w:trPr>
          <w:trHeight w:val="20"/>
        </w:trPr>
        <w:tc>
          <w:tcPr>
            <w:tcW w:w="6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9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740" w:type="dxa"/>
            <w:vAlign w:val="bottom"/>
            <w:tcBorders>
              <w:top w:val="single" w:sz="8" w:color="2C6937"/>
              <w:bottom w:val="single" w:sz="8" w:color="2C6937"/>
            </w:tcBorders>
          </w:tcPr>
          <w:p>
            <w:pPr>
              <w:spacing w:after="0" w:line="20" w:lineRule="exact"/>
              <w:rPr>
                <w:sz w:val="1"/>
                <w:szCs w:val="1"/>
                <w:color w:val="auto"/>
              </w:rPr>
            </w:pPr>
          </w:p>
        </w:tc>
      </w:tr>
      <w:tr>
        <w:trPr>
          <w:trHeight w:val="295"/>
        </w:trPr>
        <w:tc>
          <w:tcPr>
            <w:tcW w:w="7000" w:type="dxa"/>
            <w:vAlign w:val="bottom"/>
            <w:gridSpan w:val="2"/>
          </w:tcPr>
          <w:p>
            <w:pPr>
              <w:ind w:left="20"/>
              <w:spacing w:after="0"/>
              <w:rPr>
                <w:sz w:val="20"/>
                <w:szCs w:val="20"/>
                <w:color w:val="auto"/>
              </w:rPr>
            </w:pPr>
            <w:r>
              <w:rPr>
                <w:rFonts w:ascii="Arial" w:cs="Arial" w:eastAsia="Arial" w:hAnsi="Arial"/>
                <w:sz w:val="15"/>
                <w:szCs w:val="15"/>
                <w:b w:val="1"/>
                <w:bCs w:val="1"/>
                <w:color w:val="auto"/>
              </w:rPr>
              <w:t>Retained mortgage portfolio by segment:</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9"/>
        </w:trPr>
        <w:tc>
          <w:tcPr>
            <w:tcW w:w="7000" w:type="dxa"/>
            <w:vAlign w:val="bottom"/>
            <w:gridSpan w:val="2"/>
          </w:tcPr>
          <w:p>
            <w:pPr>
              <w:ind w:left="220"/>
              <w:spacing w:after="0"/>
              <w:rPr>
                <w:sz w:val="20"/>
                <w:szCs w:val="20"/>
                <w:color w:val="auto"/>
              </w:rPr>
            </w:pPr>
            <w:r>
              <w:rPr>
                <w:rFonts w:ascii="Arial" w:cs="Arial" w:eastAsia="Arial" w:hAnsi="Arial"/>
                <w:sz w:val="15"/>
                <w:szCs w:val="15"/>
                <w:color w:val="auto"/>
              </w:rPr>
              <w:t>Single-family mortgage loans and mortgage-related securities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940" w:type="dxa"/>
            <w:vAlign w:val="bottom"/>
          </w:tcPr>
          <w:p>
            <w:pPr>
              <w:jc w:val="right"/>
              <w:spacing w:after="0"/>
              <w:rPr>
                <w:sz w:val="20"/>
                <w:szCs w:val="20"/>
                <w:color w:val="auto"/>
              </w:rPr>
            </w:pPr>
            <w:r>
              <w:rPr>
                <w:rFonts w:ascii="Arial" w:cs="Arial" w:eastAsia="Arial" w:hAnsi="Arial"/>
                <w:sz w:val="15"/>
                <w:szCs w:val="15"/>
                <w:b w:val="1"/>
                <w:bCs w:val="1"/>
                <w:color w:val="auto"/>
              </w:rPr>
              <w:t>162,960</w:t>
            </w:r>
          </w:p>
        </w:tc>
        <w:tc>
          <w:tcPr>
            <w:tcW w:w="14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123,426</w:t>
            </w:r>
          </w:p>
        </w:tc>
      </w:tr>
      <w:tr>
        <w:trPr>
          <w:trHeight w:val="219"/>
        </w:trPr>
        <w:tc>
          <w:tcPr>
            <w:tcW w:w="7000" w:type="dxa"/>
            <w:vAlign w:val="bottom"/>
            <w:gridSpan w:val="2"/>
          </w:tcPr>
          <w:p>
            <w:pPr>
              <w:ind w:left="220"/>
              <w:spacing w:after="0"/>
              <w:rPr>
                <w:sz w:val="20"/>
                <w:szCs w:val="20"/>
                <w:color w:val="auto"/>
              </w:rPr>
            </w:pPr>
            <w:r>
              <w:rPr>
                <w:rFonts w:ascii="Arial" w:cs="Arial" w:eastAsia="Arial" w:hAnsi="Arial"/>
                <w:sz w:val="15"/>
                <w:szCs w:val="15"/>
                <w:color w:val="auto"/>
              </w:rPr>
              <w:t>Multifamily mortgage loans and mortgage-related securities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940" w:type="dxa"/>
            <w:vAlign w:val="bottom"/>
          </w:tcPr>
          <w:p>
            <w:pPr>
              <w:jc w:val="right"/>
              <w:spacing w:after="0"/>
              <w:rPr>
                <w:sz w:val="20"/>
                <w:szCs w:val="20"/>
                <w:color w:val="auto"/>
              </w:rPr>
            </w:pPr>
            <w:r>
              <w:rPr>
                <w:rFonts w:ascii="Arial" w:cs="Arial" w:eastAsia="Arial" w:hAnsi="Arial"/>
                <w:sz w:val="15"/>
                <w:szCs w:val="15"/>
                <w:b w:val="1"/>
                <w:bCs w:val="1"/>
                <w:color w:val="auto"/>
              </w:rPr>
              <w:t>17,268</w:t>
            </w:r>
          </w:p>
        </w:tc>
        <w:tc>
          <w:tcPr>
            <w:tcW w:w="14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9,035</w:t>
            </w:r>
          </w:p>
        </w:tc>
      </w:tr>
    </w:tbl>
    <w:p>
      <w:pPr>
        <w:spacing w:after="0" w:line="128" w:lineRule="exact"/>
        <w:rPr>
          <w:sz w:val="20"/>
          <w:szCs w:val="20"/>
          <w:color w:val="auto"/>
        </w:rPr>
      </w:pPr>
    </w:p>
    <w:p>
      <w:pPr>
        <w:ind w:left="260" w:right="200" w:hanging="237"/>
        <w:spacing w:after="0" w:line="218" w:lineRule="auto"/>
        <w:tabs>
          <w:tab w:leader="none" w:pos="253"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Consists of Fannie Mae, Freddie Mac and Ginnie Mae mortgage-related securities, including Freddie Mac securities guaranteed by Fannie Mae. Excludes Fannie Mae and Ginnie Mae reverse mortgage securities and Fannie Mae-wrapped private-label securities.</w:t>
      </w:r>
    </w:p>
    <w:p>
      <w:pPr>
        <w:spacing w:after="0" w:line="26" w:lineRule="exact"/>
        <w:rPr>
          <w:rFonts w:ascii="Arial" w:cs="Arial" w:eastAsia="Arial" w:hAnsi="Arial"/>
          <w:sz w:val="18"/>
          <w:szCs w:val="18"/>
          <w:color w:val="auto"/>
          <w:vertAlign w:val="superscript"/>
        </w:rPr>
      </w:pPr>
    </w:p>
    <w:p>
      <w:pPr>
        <w:ind w:left="260" w:hanging="237"/>
        <w:spacing w:after="0" w:line="275" w:lineRule="auto"/>
        <w:tabs>
          <w:tab w:leader="none" w:pos="253" w:val="left"/>
        </w:tabs>
        <w:numPr>
          <w:ilvl w:val="0"/>
          <w:numId w:val="17"/>
        </w:numPr>
        <w:rPr>
          <w:rFonts w:ascii="Arial" w:cs="Arial" w:eastAsia="Arial" w:hAnsi="Arial"/>
          <w:sz w:val="9"/>
          <w:szCs w:val="9"/>
          <w:color w:val="auto"/>
        </w:rPr>
      </w:pPr>
      <w:r>
        <w:rPr>
          <w:rFonts w:ascii="Arial" w:cs="Arial" w:eastAsia="Arial" w:hAnsi="Arial"/>
          <w:sz w:val="14"/>
          <w:szCs w:val="14"/>
          <w:color w:val="auto"/>
        </w:rPr>
        <w:t>Includes single-family loans on nonaccrual status of $14.7 billion and $12.7 billion as of September 30, 2026 and December 31, 2025, respectively. Also includes multifamily loans on nonaccrual status of $3.1 billion and $3.0 billion as of September 30, 2026 and December 31, 2025, respectively.</w:t>
      </w:r>
    </w:p>
    <w:p>
      <w:pPr>
        <w:ind w:left="240" w:hanging="217"/>
        <w:spacing w:after="0"/>
        <w:tabs>
          <w:tab w:leader="none" w:pos="24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Ginnie Mae reverse mortgage securities.</w:t>
      </w:r>
    </w:p>
    <w:p>
      <w:pPr>
        <w:spacing w:after="0" w:line="37" w:lineRule="exact"/>
        <w:rPr>
          <w:rFonts w:ascii="Arial" w:cs="Arial" w:eastAsia="Arial" w:hAnsi="Arial"/>
          <w:sz w:val="18"/>
          <w:szCs w:val="18"/>
          <w:color w:val="auto"/>
          <w:vertAlign w:val="superscript"/>
        </w:rPr>
      </w:pPr>
    </w:p>
    <w:p>
      <w:pPr>
        <w:ind w:left="260" w:right="300" w:hanging="237"/>
        <w:spacing w:after="0" w:line="219" w:lineRule="auto"/>
        <w:tabs>
          <w:tab w:leader="none" w:pos="253"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Other mortgage loans primarily includes single-family loans that are not included in the loss mitigation or agency MBS investments and lender liquidity categories and multifamily loans on accrual status. Other mortgage securities primarily includes private-label securities and mortgage revenue bonds.</w:t>
      </w:r>
    </w:p>
    <w:p>
      <w:pPr>
        <w:spacing w:after="0" w:line="37" w:lineRule="exact"/>
        <w:rPr>
          <w:sz w:val="20"/>
          <w:szCs w:val="20"/>
          <w:color w:val="auto"/>
        </w:rPr>
      </w:pPr>
    </w:p>
    <w:p>
      <w:pPr>
        <w:ind w:left="20" w:right="100"/>
        <w:spacing w:after="0" w:line="266" w:lineRule="auto"/>
        <w:rPr>
          <w:sz w:val="20"/>
          <w:szCs w:val="20"/>
          <w:color w:val="auto"/>
        </w:rPr>
      </w:pPr>
      <w:r>
        <w:rPr>
          <w:rFonts w:ascii="Arial" w:cs="Arial" w:eastAsia="Arial" w:hAnsi="Arial"/>
          <w:sz w:val="16"/>
          <w:szCs w:val="16"/>
          <w:color w:val="auto"/>
        </w:rPr>
        <w:t>The retained mortgage portfolio increased $47.8 billion in the first nine months of 2026 to $180.2 billion as of September 30, 2026. The increase was primarily driven by our acquisition of agency MBS for investment purposes following FHFA’s January 2026 increase to our agency MBS investment limit to allow us to further support the secondary mortgage market, while generating viable economic returns. Our agency MBS investments may fluctuate based on market conditions and other purchases for our retained mortgage portfolio, such as purchases of loans from our MBS trusts for loss mitigation purposes and to facilitate lender liquidity, as well as other factors.</w:t>
      </w:r>
    </w:p>
    <w:p>
      <w:pPr>
        <w:spacing w:after="0" w:line="38" w:lineRule="exact"/>
        <w:rPr>
          <w:sz w:val="20"/>
          <w:szCs w:val="20"/>
          <w:color w:val="auto"/>
        </w:rPr>
      </w:pPr>
    </w:p>
    <w:p>
      <w:pPr>
        <w:ind w:left="20"/>
        <w:spacing w:after="0" w:line="281" w:lineRule="auto"/>
        <w:rPr>
          <w:sz w:val="20"/>
          <w:szCs w:val="20"/>
          <w:color w:val="auto"/>
        </w:rPr>
      </w:pPr>
      <w:r>
        <w:rPr>
          <w:rFonts w:ascii="Arial" w:cs="Arial" w:eastAsia="Arial" w:hAnsi="Arial"/>
          <w:sz w:val="16"/>
          <w:szCs w:val="16"/>
          <w:color w:val="auto"/>
        </w:rPr>
        <w:t>The amount of mortgage assets that we may own is capped at $225 billion under the terms of our senior preferred stock purchase agreement with Treasury. We are also subject to specified limitations on the composition of our retained mortgage portfolio pursuant to FHFA guidance, which are described in “MD&amp;A—Retained Mortgage Portfolio” in our 2025 Form 10-K.</w:t>
      </w:r>
    </w:p>
    <w:p>
      <w:pPr>
        <w:spacing w:after="0" w:line="24" w:lineRule="exact"/>
        <w:rPr>
          <w:sz w:val="20"/>
          <w:szCs w:val="20"/>
          <w:color w:val="auto"/>
        </w:rPr>
      </w:pPr>
    </w:p>
    <w:p>
      <w:pPr>
        <w:ind w:left="20" w:right="180"/>
        <w:spacing w:after="0" w:line="272" w:lineRule="auto"/>
        <w:rPr>
          <w:sz w:val="20"/>
          <w:szCs w:val="20"/>
          <w:color w:val="auto"/>
        </w:rPr>
      </w:pPr>
      <w:r>
        <w:rPr>
          <w:rFonts w:ascii="Arial" w:cs="Arial" w:eastAsia="Arial" w:hAnsi="Arial"/>
          <w:sz w:val="16"/>
          <w:szCs w:val="16"/>
          <w:color w:val="auto"/>
        </w:rPr>
        <w:t>For the purpose of complying with the senior preferred stock purchase agreement mortgage assets cap and related FHFA instructions, we include 10% of the notional value of the interest-only securities we hold in calculating the size of the retained mortgage portfolio. As of September 30, 2026, 10% of the notional value of our interest-only securities was $2.6 billion, which is not included in the table above.</w:t>
      </w:r>
    </w:p>
    <w:p>
      <w:pPr>
        <w:spacing w:after="0" w:line="32" w:lineRule="exact"/>
        <w:rPr>
          <w:sz w:val="20"/>
          <w:szCs w:val="20"/>
          <w:color w:val="auto"/>
        </w:rPr>
      </w:pPr>
    </w:p>
    <w:p>
      <w:pPr>
        <w:ind w:left="20" w:right="20"/>
        <w:spacing w:after="0" w:line="268" w:lineRule="auto"/>
        <w:rPr>
          <w:sz w:val="20"/>
          <w:szCs w:val="20"/>
          <w:color w:val="auto"/>
        </w:rPr>
      </w:pPr>
      <w:r>
        <w:rPr>
          <w:rFonts w:ascii="Arial" w:cs="Arial" w:eastAsia="Arial" w:hAnsi="Arial"/>
          <w:sz w:val="16"/>
          <w:szCs w:val="16"/>
          <w:color w:val="auto"/>
        </w:rPr>
        <w:t>Under the terms of our MBS trust documents, we have the option or, in some instances, the obligation, to purchase mortgage loans that meet specific criteria from an MBS trust. FHFA has also provided us with instructions on our single-family delinquent loan buyout policy. The purchase price for these loans is the UPB of the loans plus accrued interest. In support of our loss mitigation strategies, we purchased $11.9 billion of loans from our single-family MBS trusts in the first nine months of 2026, the substantial majority of which were delinquent, compared with $11.7 billion of loans in the first nine months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515620</wp:posOffset>
            </wp:positionV>
            <wp:extent cx="7007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15</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61" w:right="339" w:bottom="1440" w:gutter="0" w:footer="0" w:header="0"/>
        </w:sectPr>
      </w:pPr>
    </w:p>
    <w:bookmarkStart w:id="18" w:name="page19"/>
    <w:bookmarkEnd w:id="18"/>
    <w:p>
      <w:pPr>
        <w:ind w:left="894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color w:val="auto"/>
        </w:rPr>
        <w:t>When we securitize mortgage loans originated by lenders into Fannie Mae mortgage-backed securities, we issue guarantees, assuming the credit risk for those mortgage loans. Our guaranty book of business offers insight into both the guarantees we’ve issued and the credit risk of the loans we’ve acquired that back our MBS outstanding or that are held in our retained mortgage portfolio.</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Our “guaranty book of business” consists of: (1) Fannie Mae MBS outstanding, excluding the portions of any structured securities we issue that are backed by Freddie Mac securities, (2) mortgage loans of Fannie Mae held in our retained mortgage portfolio, and (3) other credit enhancements that we provide on mortgage assets. These components are categorized as either conventional or government based on whether the underlying mortgage loans or securities are fully or partially guaranteed or insured by the U.S. government (referred to as “government”) or are not fully or partially guaranteed or insured by the U.S. government (referred to as “conventional”).</w:t>
      </w:r>
    </w:p>
    <w:p>
      <w:pPr>
        <w:spacing w:after="0" w:line="5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use the term “Fannie Mae MBS” or “our MBS” to refer to any type of mortgage-backed security that we issue, including Fannie Mae-issued uniform mortgage-backed securities, or “UMBS</w:t>
      </w:r>
      <w:r>
        <w:rPr>
          <w:rFonts w:ascii="Arial" w:cs="Arial" w:eastAsia="Arial" w:hAnsi="Arial"/>
          <w:sz w:val="21"/>
          <w:szCs w:val="21"/>
          <w:color w:val="auto"/>
          <w:vertAlign w:val="superscript"/>
        </w:rPr>
        <w:t>®</w:t>
      </w:r>
      <w:r>
        <w:rPr>
          <w:rFonts w:ascii="Arial" w:cs="Arial" w:eastAsia="Arial" w:hAnsi="Arial"/>
          <w:sz w:val="16"/>
          <w:szCs w:val="16"/>
          <w:color w:val="auto"/>
        </w:rPr>
        <w:t>,” and structured securities such as Supers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Real Estate Mortgage Investment Conduit securities (“REMICs”).</w:t>
      </w:r>
    </w:p>
    <w:p>
      <w:pPr>
        <w:spacing w:after="0" w:line="1"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We and Freddie Mac each issue single-family UMBS. In some instances, our MBS are resecuritizations of securities backed in whole or in part by Freddie Mac-issued UMBS, in which case our guaranty extends to the underlying Freddie Mac securities, shown as “Freddie Mac securities guaranteed by Fannie Mae” in the table below. The Freddie Mac securities guaranteed by Fannie Mae are included in “Total Fannie Mae guarantees,” but excluded from our “guaranty book of business” because Freddie Mac continues to guarantee the payment of principal and interest on the underlying Freddie Mac securities.</w:t>
      </w:r>
    </w:p>
    <w:p>
      <w:pPr>
        <w:spacing w:after="0" w:line="5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present our guaranty book of business in this section and in our Monthly Summary reports available on our website based on the UPB of our MBS outstanding. In the “Single-Family Business” and “Multifamily Business” sections, we present our single-family conventional guaranty book of business and our multifamily guaranty book of business based on the UPB of mortgage loans underlying our MBS. The difference between these two measures, which is generally less than 1%, is primarily the result of payments we receive on underlying loans that have not yet been paid to the MBS holders or instances where we have advanced missed borrower payments on mortgage loans to make required distributions to MBS holders. Using these two presentations allows us to base the disclosure in this section and in our Monthly Summary reports on the MBS measurement, and disclosures about the composition of loans in our guaranty book of business on the loan measurement. Information in our Monthly Summary reports is not incorporated by reference into this report.</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composition of our guaranty book of business and our total Fannie Mae guarantees based on UPB.</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Composition of Fannie Mae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980" w:type="dxa"/>
            <w:vAlign w:val="bottom"/>
            <w:tcBorders>
              <w:bottom w:val="single" w:sz="8" w:color="2C6937"/>
            </w:tcBorders>
            <w:gridSpan w:val="4"/>
          </w:tcPr>
          <w:p>
            <w:pPr>
              <w:jc w:val="right"/>
              <w:ind w:right="891"/>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r>
      <w:tr>
        <w:trPr>
          <w:trHeight w:val="199"/>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32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w w:val="99"/>
              </w:rPr>
              <w:t>September 30, 2026</w:t>
            </w:r>
          </w:p>
        </w:tc>
        <w:tc>
          <w:tcPr>
            <w:tcW w:w="22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spacing w:after="0"/>
              <w:rPr>
                <w:sz w:val="17"/>
                <w:szCs w:val="17"/>
                <w:color w:val="auto"/>
              </w:rPr>
            </w:pPr>
          </w:p>
        </w:tc>
        <w:tc>
          <w:tcPr>
            <w:tcW w:w="130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spacing w:after="0"/>
              <w:rPr>
                <w:sz w:val="17"/>
                <w:szCs w:val="17"/>
                <w:color w:val="auto"/>
              </w:rPr>
            </w:pPr>
          </w:p>
        </w:tc>
      </w:tr>
      <w:tr>
        <w:trPr>
          <w:trHeight w:val="199"/>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6"/>
              </w:rPr>
              <w:t>Single-Family</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w w:val="96"/>
              </w:rPr>
              <w:t>Single-Family</w:t>
            </w: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98"/>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Conventional guaranty book of business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3,573,348</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548,624</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4,121,972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3,592,548</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537,832</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4,130,380</w:t>
            </w:r>
          </w:p>
        </w:tc>
      </w:tr>
      <w:tr>
        <w:trPr>
          <w:trHeight w:val="207"/>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Government guaranty book of business</w:t>
            </w:r>
          </w:p>
        </w:tc>
        <w:tc>
          <w:tcPr>
            <w:tcW w:w="1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4,196</w:t>
            </w:r>
          </w:p>
        </w:tc>
        <w:tc>
          <w:tcPr>
            <w:tcW w:w="6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430</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4,626</w:t>
            </w:r>
          </w:p>
        </w:tc>
        <w:tc>
          <w:tcPr>
            <w:tcW w:w="1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4,732</w:t>
            </w:r>
          </w:p>
        </w:tc>
        <w:tc>
          <w:tcPr>
            <w:tcW w:w="4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5,205</w:t>
            </w:r>
          </w:p>
        </w:tc>
      </w:tr>
      <w:tr>
        <w:trPr>
          <w:trHeight w:val="198"/>
        </w:trPr>
        <w:tc>
          <w:tcPr>
            <w:tcW w:w="4340" w:type="dxa"/>
            <w:vAlign w:val="bottom"/>
            <w:gridSpan w:val="2"/>
          </w:tcPr>
          <w:p>
            <w:pPr>
              <w:ind w:left="120"/>
              <w:spacing w:after="0"/>
              <w:rPr>
                <w:sz w:val="20"/>
                <w:szCs w:val="20"/>
                <w:color w:val="auto"/>
              </w:rPr>
            </w:pPr>
            <w:r>
              <w:rPr>
                <w:rFonts w:ascii="Arial" w:cs="Arial" w:eastAsia="Arial" w:hAnsi="Arial"/>
                <w:sz w:val="14"/>
                <w:szCs w:val="14"/>
                <w:color w:val="auto"/>
              </w:rPr>
              <w:t>Guaranty book of business</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3,577,544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549,054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4,126,598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3,597,280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538,305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4,135,585</w:t>
            </w:r>
          </w:p>
        </w:tc>
      </w:tr>
      <w:tr>
        <w:trPr>
          <w:trHeight w:val="207"/>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Freddie Mac securities guaranteed by Fannie Mae</w:t>
            </w:r>
            <w:r>
              <w:rPr>
                <w:rFonts w:ascii="Arial" w:cs="Arial" w:eastAsia="Arial" w:hAnsi="Arial"/>
                <w:sz w:val="8"/>
                <w:szCs w:val="8"/>
                <w:color w:val="auto"/>
              </w:rPr>
              <w:t>(1)</w:t>
            </w:r>
          </w:p>
        </w:tc>
        <w:tc>
          <w:tcPr>
            <w:tcW w:w="1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173,565</w:t>
            </w:r>
          </w:p>
        </w:tc>
        <w:tc>
          <w:tcPr>
            <w:tcW w:w="6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173,565</w:t>
            </w:r>
          </w:p>
        </w:tc>
        <w:tc>
          <w:tcPr>
            <w:tcW w:w="1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184,345</w:t>
            </w:r>
          </w:p>
        </w:tc>
        <w:tc>
          <w:tcPr>
            <w:tcW w:w="4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184,345</w:t>
            </w:r>
          </w:p>
        </w:tc>
      </w:tr>
      <w:tr>
        <w:trPr>
          <w:trHeight w:val="199"/>
        </w:trPr>
        <w:tc>
          <w:tcPr>
            <w:tcW w:w="4340" w:type="dxa"/>
            <w:vAlign w:val="bottom"/>
            <w:gridSpan w:val="2"/>
          </w:tcPr>
          <w:p>
            <w:pPr>
              <w:ind w:left="140"/>
              <w:spacing w:after="0"/>
              <w:rPr>
                <w:sz w:val="20"/>
                <w:szCs w:val="20"/>
                <w:color w:val="auto"/>
              </w:rPr>
            </w:pPr>
            <w:r>
              <w:rPr>
                <w:rFonts w:ascii="Arial" w:cs="Arial" w:eastAsia="Arial" w:hAnsi="Arial"/>
                <w:sz w:val="14"/>
                <w:szCs w:val="14"/>
                <w:color w:val="auto"/>
              </w:rPr>
              <w:t>Total Fannie Mae guarantees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3,751,109</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549,054</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4,300,163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3,781,625</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538,305</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4,319,930</w:t>
            </w:r>
          </w:p>
        </w:tc>
      </w:tr>
      <w:tr>
        <w:trPr>
          <w:trHeight w:val="20"/>
        </w:trPr>
        <w:tc>
          <w:tcPr>
            <w:tcW w:w="4240" w:type="dxa"/>
            <w:vAlign w:val="bottom"/>
            <w:tcBorders>
              <w:top w:val="single" w:sz="8" w:color="216C2B"/>
              <w:bottom w:val="single" w:sz="8" w:color="216C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100" w:hanging="237"/>
        <w:spacing w:after="0" w:line="252" w:lineRule="auto"/>
        <w:tabs>
          <w:tab w:leader="none" w:pos="233"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Represents the UPB of Freddie Mac-issued UMBS backing Fannie Mae-issued Supers and REMICs. Because we do not have the power to direct matters (primarily the servicing of mortgage loans) that impact the credit risk to which we are exposed, which constitute control of these securitization trusts, we do not consolidate these trusts in our condensed consolidated balance sheets, giving rise to off-balance sheet exposure. See “Liquidity and Capital Management—Liquidity Management—Off-Balance Sheet Arrangements” and “Note 7, Financial Guarantees” for more information regarding our maximum exposure to loss on unconsolidated Fannie Mae MBS and Freddie Mac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393700</wp:posOffset>
            </wp:positionV>
            <wp:extent cx="7007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16</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9" w:name="page20"/>
    <w:bookmarkEnd w:id="19"/>
    <w:p>
      <w:pPr>
        <w:ind w:left="8400"/>
        <w:spacing w:after="0"/>
        <w:rPr>
          <w:sz w:val="20"/>
          <w:szCs w:val="20"/>
          <w:color w:val="auto"/>
        </w:rPr>
      </w:pPr>
      <w:r>
        <w:rPr>
          <w:rFonts w:ascii="Arial" w:cs="Arial" w:eastAsia="Arial" w:hAnsi="Arial"/>
          <w:sz w:val="13"/>
          <w:szCs w:val="13"/>
          <w:color w:val="05314D"/>
        </w:rPr>
        <w:t>MD&amp;A |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Business Segment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24130</wp:posOffset>
            </wp:positionV>
            <wp:extent cx="711390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151"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We have two reportable business segments: Single-Family and Multifamily. This section discusses the primary components of net income for our Single-Family Business and Multifamily Business segments. This information complements the discussion of our condensed consolidated financial results in “Consolidated Results of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01543"/>
        </w:rPr>
        <w:t>Business Segment Financial Results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9525</wp:posOffset>
            </wp:positionV>
            <wp:extent cx="708088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80885" cy="16510"/>
                    </a:xfrm>
                    <a:prstGeom prst="rect">
                      <a:avLst/>
                    </a:prstGeom>
                    <a:noFill/>
                  </pic:spPr>
                </pic:pic>
              </a:graphicData>
            </a:graphic>
          </wp:anchor>
        </w:drawing>
      </w:r>
    </w:p>
    <w:p>
      <w:pPr>
        <w:spacing w:after="0" w:line="40"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20" w:type="dxa"/>
            <w:vAlign w:val="bottom"/>
            <w:gridSpan w:val="11"/>
          </w:tcPr>
          <w:p>
            <w:pPr>
              <w:jc w:val="center"/>
              <w:ind w:right="460"/>
              <w:spacing w:after="0"/>
              <w:rPr>
                <w:sz w:val="20"/>
                <w:szCs w:val="20"/>
                <w:color w:val="auto"/>
              </w:rPr>
            </w:pPr>
            <w:r>
              <w:rPr>
                <w:rFonts w:ascii="Arial" w:cs="Arial" w:eastAsia="Arial" w:hAnsi="Arial"/>
                <w:sz w:val="15"/>
                <w:szCs w:val="15"/>
                <w:b w:val="1"/>
                <w:bCs w:val="1"/>
                <w:color w:val="auto"/>
                <w:w w:val="97"/>
              </w:rPr>
              <w:t>For the Three Months Ended September 30,</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9"/>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2C6937"/>
              <w:bottom w:val="single" w:sz="8" w:color="2C6937"/>
            </w:tcBorders>
          </w:tcPr>
          <w:p>
            <w:pPr>
              <w:spacing w:after="0"/>
              <w:rPr>
                <w:sz w:val="17"/>
                <w:szCs w:val="17"/>
                <w:color w:val="auto"/>
              </w:rPr>
            </w:pPr>
          </w:p>
        </w:tc>
        <w:tc>
          <w:tcPr>
            <w:tcW w:w="100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2026</w:t>
            </w:r>
          </w:p>
        </w:tc>
        <w:tc>
          <w:tcPr>
            <w:tcW w:w="98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00" w:type="dxa"/>
            <w:vAlign w:val="bottom"/>
            <w:tcBorders>
              <w:top w:val="single" w:sz="8" w:color="2C6937"/>
              <w:bottom w:val="single" w:sz="8" w:color="2C6937"/>
            </w:tcBorders>
          </w:tcPr>
          <w:p>
            <w:pPr>
              <w:spacing w:after="0"/>
              <w:rPr>
                <w:sz w:val="17"/>
                <w:szCs w:val="17"/>
                <w:color w:val="auto"/>
              </w:rPr>
            </w:pPr>
          </w:p>
        </w:tc>
        <w:tc>
          <w:tcPr>
            <w:tcW w:w="106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2025</w:t>
            </w:r>
          </w:p>
        </w:tc>
        <w:tc>
          <w:tcPr>
            <w:tcW w:w="980" w:type="dxa"/>
            <w:vAlign w:val="bottom"/>
            <w:tcBorders>
              <w:top w:val="single" w:sz="8" w:color="2C6937"/>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2000" w:type="dxa"/>
            <w:vAlign w:val="bottom"/>
            <w:tcBorders>
              <w:bottom w:val="single" w:sz="8" w:color="2C6937"/>
            </w:tcBorders>
            <w:gridSpan w:val="4"/>
          </w:tcPr>
          <w:p>
            <w:pPr>
              <w:jc w:val="right"/>
              <w:ind w:right="467"/>
              <w:spacing w:after="0"/>
              <w:rPr>
                <w:sz w:val="20"/>
                <w:szCs w:val="20"/>
                <w:color w:val="auto"/>
              </w:rPr>
            </w:pPr>
            <w:r>
              <w:rPr>
                <w:rFonts w:ascii="Arial" w:cs="Arial" w:eastAsia="Arial" w:hAnsi="Arial"/>
                <w:sz w:val="15"/>
                <w:szCs w:val="15"/>
                <w:b w:val="1"/>
                <w:bCs w:val="1"/>
                <w:color w:val="auto"/>
              </w:rPr>
              <w:t>Segment Variance</w:t>
            </w:r>
          </w:p>
        </w:tc>
      </w:tr>
      <w:tr>
        <w:trPr>
          <w:trHeight w:val="238"/>
        </w:trPr>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2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jc w:val="right"/>
              <w:ind w:right="107"/>
              <w:spacing w:after="0"/>
              <w:rPr>
                <w:sz w:val="20"/>
                <w:szCs w:val="20"/>
                <w:color w:val="auto"/>
              </w:rPr>
            </w:pPr>
            <w:r>
              <w:rPr>
                <w:rFonts w:ascii="Arial" w:cs="Arial" w:eastAsia="Arial" w:hAnsi="Arial"/>
                <w:sz w:val="15"/>
                <w:szCs w:val="15"/>
                <w:b w:val="1"/>
                <w:bCs w:val="1"/>
                <w:color w:val="auto"/>
                <w:w w:val="99"/>
              </w:rPr>
              <w:t>Multifamily</w:t>
            </w:r>
          </w:p>
        </w:tc>
      </w:tr>
      <w:tr>
        <w:trPr>
          <w:trHeight w:val="202"/>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gridSpan w:val="5"/>
          </w:tcPr>
          <w:p>
            <w:pPr>
              <w:ind w:left="200"/>
              <w:spacing w:after="0"/>
              <w:rPr>
                <w:sz w:val="20"/>
                <w:szCs w:val="20"/>
                <w:color w:val="auto"/>
              </w:rPr>
            </w:pPr>
            <w:r>
              <w:rPr>
                <w:rFonts w:ascii="Arial" w:cs="Arial" w:eastAsia="Arial" w:hAnsi="Arial"/>
                <w:sz w:val="15"/>
                <w:szCs w:val="15"/>
                <w:b w:val="1"/>
                <w:bCs w:val="1"/>
                <w:color w:val="auto"/>
              </w:rPr>
              <w:t>(Dollars in millions)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50"/>
        </w:trPr>
        <w:tc>
          <w:tcPr>
            <w:tcW w:w="3960" w:type="dxa"/>
            <w:vAlign w:val="bottom"/>
            <w:gridSpan w:val="2"/>
          </w:tcPr>
          <w:p>
            <w:pPr>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(2)</w:t>
            </w:r>
          </w:p>
        </w:tc>
        <w:tc>
          <w:tcPr>
            <w:tcW w:w="340" w:type="dxa"/>
            <w:vAlign w:val="bottom"/>
          </w:tcPr>
          <w:p>
            <w:pPr>
              <w:jc w:val="right"/>
              <w:ind w:right="167"/>
              <w:spacing w:after="0"/>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6,268</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1,291</w:t>
            </w:r>
          </w:p>
        </w:tc>
        <w:tc>
          <w:tcPr>
            <w:tcW w:w="100" w:type="dxa"/>
            <w:vAlign w:val="bottom"/>
          </w:tcPr>
          <w:p>
            <w:pPr>
              <w:spacing w:after="0"/>
              <w:rPr>
                <w:sz w:val="24"/>
                <w:szCs w:val="24"/>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5,992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1,192</w:t>
            </w:r>
          </w:p>
        </w:tc>
        <w:tc>
          <w:tcPr>
            <w:tcW w:w="100" w:type="dxa"/>
            <w:vAlign w:val="bottom"/>
          </w:tcPr>
          <w:p>
            <w:pPr>
              <w:spacing w:after="0"/>
              <w:rPr>
                <w:sz w:val="24"/>
                <w:szCs w:val="24"/>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276</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292"/>
        </w:trPr>
        <w:tc>
          <w:tcPr>
            <w:tcW w:w="386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68</w:t>
            </w: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w:t>
            </w: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r>
      <w:tr>
        <w:trPr>
          <w:trHeight w:val="202"/>
        </w:trPr>
        <w:tc>
          <w:tcPr>
            <w:tcW w:w="3960" w:type="dxa"/>
            <w:vAlign w:val="bottom"/>
            <w:gridSpan w:val="2"/>
          </w:tcPr>
          <w:p>
            <w:pPr>
              <w:ind w:left="160"/>
              <w:spacing w:after="0"/>
              <w:rPr>
                <w:sz w:val="20"/>
                <w:szCs w:val="20"/>
                <w:color w:val="auto"/>
              </w:rPr>
            </w:pPr>
            <w:r>
              <w:rPr>
                <w:rFonts w:ascii="Arial" w:cs="Arial" w:eastAsia="Arial" w:hAnsi="Arial"/>
                <w:sz w:val="15"/>
                <w:szCs w:val="15"/>
                <w:color w:val="auto"/>
              </w:rPr>
              <w:t>Net revenues</w:t>
            </w:r>
          </w:p>
        </w:tc>
        <w:tc>
          <w:tcPr>
            <w:tcW w:w="340" w:type="dxa"/>
            <w:vAlign w:val="bottom"/>
          </w:tcPr>
          <w:p>
            <w:pPr>
              <w:spacing w:after="0"/>
              <w:rPr>
                <w:sz w:val="17"/>
                <w:szCs w:val="17"/>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6,336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1,315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6,096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1,211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322"/>
        </w:trPr>
        <w:tc>
          <w:tcPr>
            <w:tcW w:w="3960" w:type="dxa"/>
            <w:vAlign w:val="bottom"/>
            <w:gridSpan w:val="2"/>
          </w:tcPr>
          <w:p>
            <w:pPr>
              <w:spacing w:after="0"/>
              <w:rPr>
                <w:sz w:val="20"/>
                <w:szCs w:val="20"/>
                <w:color w:val="auto"/>
              </w:rPr>
            </w:pPr>
            <w:r>
              <w:rPr>
                <w:rFonts w:ascii="Arial" w:cs="Arial" w:eastAsia="Arial" w:hAnsi="Arial"/>
                <w:sz w:val="15"/>
                <w:szCs w:val="15"/>
                <w:color w:val="auto"/>
              </w:rPr>
              <w:t>Fair value gains (losses), net</w:t>
            </w:r>
          </w:p>
        </w:tc>
        <w:tc>
          <w:tcPr>
            <w:tcW w:w="3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658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680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320"/>
        </w:trPr>
        <w:tc>
          <w:tcPr>
            <w:tcW w:w="386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Investment gains (losses), net</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92</w:t>
            </w: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r>
      <w:tr>
        <w:trPr>
          <w:trHeight w:val="202"/>
        </w:trPr>
        <w:tc>
          <w:tcPr>
            <w:tcW w:w="3960" w:type="dxa"/>
            <w:vAlign w:val="bottom"/>
            <w:gridSpan w:val="2"/>
          </w:tcPr>
          <w:p>
            <w:pPr>
              <w:ind w:left="160"/>
              <w:spacing w:after="0"/>
              <w:rPr>
                <w:sz w:val="20"/>
                <w:szCs w:val="20"/>
                <w:color w:val="auto"/>
              </w:rPr>
            </w:pPr>
            <w:r>
              <w:rPr>
                <w:rFonts w:ascii="Arial" w:cs="Arial" w:eastAsia="Arial" w:hAnsi="Arial"/>
                <w:sz w:val="15"/>
                <w:szCs w:val="15"/>
                <w:color w:val="auto"/>
              </w:rPr>
              <w:t>Other gains (losses), net</w:t>
            </w:r>
          </w:p>
        </w:tc>
        <w:tc>
          <w:tcPr>
            <w:tcW w:w="340" w:type="dxa"/>
            <w:vAlign w:val="bottom"/>
          </w:tcPr>
          <w:p>
            <w:pPr>
              <w:spacing w:after="0"/>
              <w:rPr>
                <w:sz w:val="17"/>
                <w:szCs w:val="17"/>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750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645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06"/>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benefit for credit losses</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(694)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(377)</w:t>
            </w:r>
          </w:p>
        </w:tc>
      </w:tr>
      <w:tr>
        <w:trPr>
          <w:trHeight w:val="198"/>
        </w:trPr>
        <w:tc>
          <w:tcPr>
            <w:tcW w:w="3960" w:type="dxa"/>
            <w:vAlign w:val="bottom"/>
            <w:gridSpan w:val="2"/>
          </w:tcPr>
          <w:p>
            <w:pPr>
              <w:spacing w:after="0"/>
              <w:rPr>
                <w:sz w:val="20"/>
                <w:szCs w:val="20"/>
                <w:color w:val="auto"/>
              </w:rPr>
            </w:pPr>
            <w:r>
              <w:rPr>
                <w:rFonts w:ascii="Arial" w:cs="Arial" w:eastAsia="Arial" w:hAnsi="Arial"/>
                <w:sz w:val="15"/>
                <w:szCs w:val="15"/>
                <w:color w:val="auto"/>
              </w:rPr>
              <w:t>Non-interest expense:</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8"/>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(3)</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(630)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97"/>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(4)</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(912)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(929)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01"/>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(5)</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(289)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8"/>
        </w:trPr>
        <w:tc>
          <w:tcPr>
            <w:tcW w:w="3860" w:type="dxa"/>
            <w:vAlign w:val="bottom"/>
            <w:tcBorders>
              <w:bottom w:val="single" w:sz="8" w:color="2C6937"/>
            </w:tcBorders>
          </w:tcPr>
          <w:p>
            <w:pPr>
              <w:ind w:left="10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(6)</w:t>
            </w: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(107)</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63</w:t>
            </w:r>
          </w:p>
        </w:tc>
        <w:tc>
          <w:tcPr>
            <w:tcW w:w="1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w:t>
            </w:r>
          </w:p>
        </w:tc>
      </w:tr>
      <w:tr>
        <w:trPr>
          <w:trHeight w:val="199"/>
        </w:trPr>
        <w:tc>
          <w:tcPr>
            <w:tcW w:w="386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(1,938)</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(185)</w:t>
            </w:r>
          </w:p>
        </w:tc>
        <w:tc>
          <w:tcPr>
            <w:tcW w:w="1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(2,057)</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(210)</w:t>
            </w: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r>
      <w:tr>
        <w:trPr>
          <w:trHeight w:val="202"/>
        </w:trPr>
        <w:tc>
          <w:tcPr>
            <w:tcW w:w="3960" w:type="dxa"/>
            <w:vAlign w:val="bottom"/>
            <w:gridSpan w:val="2"/>
          </w:tcPr>
          <w:p>
            <w:pPr>
              <w:spacing w:after="0"/>
              <w:rPr>
                <w:sz w:val="20"/>
                <w:szCs w:val="20"/>
                <w:color w:val="auto"/>
              </w:rPr>
            </w:pPr>
            <w:r>
              <w:rPr>
                <w:rFonts w:ascii="Arial" w:cs="Arial" w:eastAsia="Arial" w:hAnsi="Arial"/>
                <w:sz w:val="15"/>
                <w:szCs w:val="15"/>
                <w:color w:val="auto"/>
              </w:rPr>
              <w:t>Income before federal income taxes</w:t>
            </w:r>
          </w:p>
        </w:tc>
        <w:tc>
          <w:tcPr>
            <w:tcW w:w="340" w:type="dxa"/>
            <w:vAlign w:val="bottom"/>
          </w:tcPr>
          <w:p>
            <w:pPr>
              <w:spacing w:after="0"/>
              <w:rPr>
                <w:sz w:val="17"/>
                <w:szCs w:val="17"/>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4,454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3,875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960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579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(302)</w:t>
            </w:r>
          </w:p>
        </w:tc>
      </w:tr>
      <w:tr>
        <w:trPr>
          <w:trHeight w:val="204"/>
        </w:trPr>
        <w:tc>
          <w:tcPr>
            <w:tcW w:w="386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(812)</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(123)</w:t>
            </w:r>
          </w:p>
        </w:tc>
        <w:tc>
          <w:tcPr>
            <w:tcW w:w="1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(790)</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(186)</w:t>
            </w: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w:t>
            </w:r>
          </w:p>
        </w:tc>
      </w:tr>
      <w:tr>
        <w:trPr>
          <w:trHeight w:val="199"/>
        </w:trPr>
        <w:tc>
          <w:tcPr>
            <w:tcW w:w="3860" w:type="dxa"/>
            <w:vAlign w:val="bottom"/>
            <w:tcBorders>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7"/>
                <w:szCs w:val="17"/>
                <w:color w:val="auto"/>
              </w:rPr>
            </w:pPr>
          </w:p>
        </w:tc>
        <w:tc>
          <w:tcPr>
            <w:tcW w:w="340" w:type="dxa"/>
            <w:vAlign w:val="bottom"/>
            <w:tcBorders>
              <w:bottom w:val="single" w:sz="8" w:color="2C6937"/>
            </w:tcBorders>
          </w:tcPr>
          <w:p>
            <w:pPr>
              <w:jc w:val="right"/>
              <w:ind w:right="167"/>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3,642</w:t>
            </w:r>
          </w:p>
        </w:tc>
        <w:tc>
          <w:tcPr>
            <w:tcW w:w="80" w:type="dxa"/>
            <w:vAlign w:val="bottom"/>
          </w:tcPr>
          <w:p>
            <w:pPr>
              <w:spacing w:after="0"/>
              <w:rPr>
                <w:sz w:val="17"/>
                <w:szCs w:val="17"/>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535</w:t>
            </w:r>
          </w:p>
        </w:tc>
        <w:tc>
          <w:tcPr>
            <w:tcW w:w="100" w:type="dxa"/>
            <w:vAlign w:val="bottom"/>
          </w:tcPr>
          <w:p>
            <w:pPr>
              <w:spacing w:after="0"/>
              <w:rPr>
                <w:sz w:val="17"/>
                <w:szCs w:val="17"/>
                <w:color w:val="auto"/>
              </w:rPr>
            </w:pPr>
          </w:p>
        </w:tc>
        <w:tc>
          <w:tcPr>
            <w:tcW w:w="300" w:type="dxa"/>
            <w:vAlign w:val="bottom"/>
            <w:tcBorders>
              <w:bottom w:val="single" w:sz="8" w:color="2C6937"/>
            </w:tcBorders>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3,085</w:t>
            </w:r>
          </w:p>
        </w:tc>
        <w:tc>
          <w:tcPr>
            <w:tcW w:w="100" w:type="dxa"/>
            <w:vAlign w:val="bottom"/>
          </w:tcPr>
          <w:p>
            <w:pPr>
              <w:spacing w:after="0"/>
              <w:rPr>
                <w:sz w:val="17"/>
                <w:szCs w:val="17"/>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774</w:t>
            </w:r>
          </w:p>
        </w:tc>
        <w:tc>
          <w:tcPr>
            <w:tcW w:w="100" w:type="dxa"/>
            <w:vAlign w:val="bottom"/>
          </w:tcPr>
          <w:p>
            <w:pPr>
              <w:spacing w:after="0"/>
              <w:rPr>
                <w:sz w:val="17"/>
                <w:szCs w:val="17"/>
                <w:color w:val="auto"/>
              </w:rPr>
            </w:pPr>
          </w:p>
        </w:tc>
        <w:tc>
          <w:tcPr>
            <w:tcW w:w="320" w:type="dxa"/>
            <w:vAlign w:val="bottom"/>
            <w:tcBorders>
              <w:bottom w:val="single" w:sz="8" w:color="2C6937"/>
            </w:tcBorders>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557</w:t>
            </w:r>
          </w:p>
        </w:tc>
        <w:tc>
          <w:tcPr>
            <w:tcW w:w="80" w:type="dxa"/>
            <w:vAlign w:val="bottom"/>
          </w:tcPr>
          <w:p>
            <w:pPr>
              <w:spacing w:after="0"/>
              <w:rPr>
                <w:sz w:val="17"/>
                <w:szCs w:val="17"/>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(239)</w:t>
            </w:r>
          </w:p>
        </w:tc>
      </w:tr>
      <w:tr>
        <w:trPr>
          <w:trHeight w:val="20"/>
        </w:trPr>
        <w:tc>
          <w:tcPr>
            <w:tcW w:w="3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r>
      <w:tr>
        <w:trPr>
          <w:trHeight w:val="378"/>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gridSpan w:val="11"/>
          </w:tcPr>
          <w:p>
            <w:pPr>
              <w:jc w:val="center"/>
              <w:ind w:right="460"/>
              <w:spacing w:after="0"/>
              <w:rPr>
                <w:sz w:val="20"/>
                <w:szCs w:val="20"/>
                <w:color w:val="auto"/>
              </w:rPr>
            </w:pPr>
            <w:r>
              <w:rPr>
                <w:rFonts w:ascii="Arial" w:cs="Arial" w:eastAsia="Arial" w:hAnsi="Arial"/>
                <w:sz w:val="15"/>
                <w:szCs w:val="15"/>
                <w:b w:val="1"/>
                <w:bCs w:val="1"/>
                <w:color w:val="auto"/>
                <w:w w:val="97"/>
              </w:rPr>
              <w:t>For the Nine Months Ended September 30,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9"/>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2C6937"/>
              <w:bottom w:val="single" w:sz="8" w:color="2C6937"/>
            </w:tcBorders>
          </w:tcPr>
          <w:p>
            <w:pPr>
              <w:spacing w:after="0"/>
              <w:rPr>
                <w:sz w:val="17"/>
                <w:szCs w:val="17"/>
                <w:color w:val="auto"/>
              </w:rPr>
            </w:pPr>
          </w:p>
        </w:tc>
        <w:tc>
          <w:tcPr>
            <w:tcW w:w="100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2026</w:t>
            </w:r>
          </w:p>
        </w:tc>
        <w:tc>
          <w:tcPr>
            <w:tcW w:w="98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00" w:type="dxa"/>
            <w:vAlign w:val="bottom"/>
            <w:tcBorders>
              <w:top w:val="single" w:sz="8" w:color="2C6937"/>
              <w:bottom w:val="single" w:sz="8" w:color="2C6937"/>
            </w:tcBorders>
          </w:tcPr>
          <w:p>
            <w:pPr>
              <w:spacing w:after="0"/>
              <w:rPr>
                <w:sz w:val="17"/>
                <w:szCs w:val="17"/>
                <w:color w:val="auto"/>
              </w:rPr>
            </w:pPr>
          </w:p>
        </w:tc>
        <w:tc>
          <w:tcPr>
            <w:tcW w:w="106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2025</w:t>
            </w:r>
          </w:p>
        </w:tc>
        <w:tc>
          <w:tcPr>
            <w:tcW w:w="980" w:type="dxa"/>
            <w:vAlign w:val="bottom"/>
            <w:tcBorders>
              <w:top w:val="single" w:sz="8" w:color="2C6937"/>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2000" w:type="dxa"/>
            <w:vAlign w:val="bottom"/>
            <w:tcBorders>
              <w:bottom w:val="single" w:sz="8" w:color="2C6937"/>
            </w:tcBorders>
            <w:gridSpan w:val="4"/>
          </w:tcPr>
          <w:p>
            <w:pPr>
              <w:jc w:val="right"/>
              <w:ind w:right="467"/>
              <w:spacing w:after="0"/>
              <w:rPr>
                <w:sz w:val="20"/>
                <w:szCs w:val="20"/>
                <w:color w:val="auto"/>
              </w:rPr>
            </w:pPr>
            <w:r>
              <w:rPr>
                <w:rFonts w:ascii="Arial" w:cs="Arial" w:eastAsia="Arial" w:hAnsi="Arial"/>
                <w:sz w:val="15"/>
                <w:szCs w:val="15"/>
                <w:b w:val="1"/>
                <w:bCs w:val="1"/>
                <w:color w:val="auto"/>
              </w:rPr>
              <w:t>Segment Variance</w:t>
            </w:r>
          </w:p>
        </w:tc>
      </w:tr>
      <w:tr>
        <w:trPr>
          <w:trHeight w:val="238"/>
        </w:trPr>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2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jc w:val="right"/>
              <w:ind w:right="107"/>
              <w:spacing w:after="0"/>
              <w:rPr>
                <w:sz w:val="20"/>
                <w:szCs w:val="20"/>
                <w:color w:val="auto"/>
              </w:rPr>
            </w:pPr>
            <w:r>
              <w:rPr>
                <w:rFonts w:ascii="Arial" w:cs="Arial" w:eastAsia="Arial" w:hAnsi="Arial"/>
                <w:sz w:val="15"/>
                <w:szCs w:val="15"/>
                <w:b w:val="1"/>
                <w:bCs w:val="1"/>
                <w:color w:val="auto"/>
                <w:w w:val="99"/>
              </w:rPr>
              <w:t>Multifamily</w:t>
            </w:r>
          </w:p>
        </w:tc>
      </w:tr>
      <w:tr>
        <w:trPr>
          <w:trHeight w:val="202"/>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gridSpan w:val="5"/>
          </w:tcPr>
          <w:p>
            <w:pPr>
              <w:ind w:left="200"/>
              <w:spacing w:after="0"/>
              <w:rPr>
                <w:sz w:val="20"/>
                <w:szCs w:val="20"/>
                <w:color w:val="auto"/>
              </w:rPr>
            </w:pPr>
            <w:r>
              <w:rPr>
                <w:rFonts w:ascii="Arial" w:cs="Arial" w:eastAsia="Arial" w:hAnsi="Arial"/>
                <w:sz w:val="15"/>
                <w:szCs w:val="15"/>
                <w:b w:val="1"/>
                <w:bCs w:val="1"/>
                <w:color w:val="auto"/>
              </w:rPr>
              <w:t>(Dollars in millions)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50"/>
        </w:trPr>
        <w:tc>
          <w:tcPr>
            <w:tcW w:w="3960" w:type="dxa"/>
            <w:vAlign w:val="bottom"/>
            <w:gridSpan w:val="2"/>
          </w:tcPr>
          <w:p>
            <w:pPr>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(2)</w:t>
            </w:r>
          </w:p>
        </w:tc>
        <w:tc>
          <w:tcPr>
            <w:tcW w:w="340" w:type="dxa"/>
            <w:vAlign w:val="bottom"/>
          </w:tcPr>
          <w:p>
            <w:pPr>
              <w:jc w:val="right"/>
              <w:ind w:right="167"/>
              <w:spacing w:after="0"/>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18,494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3,756</w:t>
            </w:r>
          </w:p>
        </w:tc>
        <w:tc>
          <w:tcPr>
            <w:tcW w:w="100" w:type="dxa"/>
            <w:vAlign w:val="bottom"/>
          </w:tcPr>
          <w:p>
            <w:pPr>
              <w:spacing w:after="0"/>
              <w:rPr>
                <w:sz w:val="24"/>
                <w:szCs w:val="24"/>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17,850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3,490</w:t>
            </w:r>
          </w:p>
        </w:tc>
        <w:tc>
          <w:tcPr>
            <w:tcW w:w="100" w:type="dxa"/>
            <w:vAlign w:val="bottom"/>
          </w:tcPr>
          <w:p>
            <w:pPr>
              <w:spacing w:after="0"/>
              <w:rPr>
                <w:sz w:val="24"/>
                <w:szCs w:val="24"/>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644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266</w:t>
            </w:r>
          </w:p>
        </w:tc>
      </w:tr>
      <w:tr>
        <w:trPr>
          <w:trHeight w:val="292"/>
        </w:trPr>
        <w:tc>
          <w:tcPr>
            <w:tcW w:w="386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182</w:t>
            </w: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64</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r>
      <w:tr>
        <w:trPr>
          <w:trHeight w:val="202"/>
        </w:trPr>
        <w:tc>
          <w:tcPr>
            <w:tcW w:w="3960" w:type="dxa"/>
            <w:vAlign w:val="bottom"/>
            <w:gridSpan w:val="2"/>
          </w:tcPr>
          <w:p>
            <w:pPr>
              <w:ind w:left="160"/>
              <w:spacing w:after="0"/>
              <w:rPr>
                <w:sz w:val="20"/>
                <w:szCs w:val="20"/>
                <w:color w:val="auto"/>
              </w:rPr>
            </w:pPr>
            <w:r>
              <w:rPr>
                <w:rFonts w:ascii="Arial" w:cs="Arial" w:eastAsia="Arial" w:hAnsi="Arial"/>
                <w:sz w:val="15"/>
                <w:szCs w:val="15"/>
                <w:color w:val="auto"/>
              </w:rPr>
              <w:t>Net revenues</w:t>
            </w:r>
          </w:p>
        </w:tc>
        <w:tc>
          <w:tcPr>
            <w:tcW w:w="340" w:type="dxa"/>
            <w:vAlign w:val="bottom"/>
          </w:tcPr>
          <w:p>
            <w:pPr>
              <w:spacing w:after="0"/>
              <w:rPr>
                <w:sz w:val="17"/>
                <w:szCs w:val="17"/>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18,676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3,820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18,088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3,545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588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275</w:t>
            </w:r>
          </w:p>
        </w:tc>
      </w:tr>
      <w:tr>
        <w:trPr>
          <w:trHeight w:val="322"/>
        </w:trPr>
        <w:tc>
          <w:tcPr>
            <w:tcW w:w="3960" w:type="dxa"/>
            <w:vAlign w:val="bottom"/>
            <w:gridSpan w:val="2"/>
          </w:tcPr>
          <w:p>
            <w:pPr>
              <w:spacing w:after="0"/>
              <w:rPr>
                <w:sz w:val="20"/>
                <w:szCs w:val="20"/>
                <w:color w:val="auto"/>
              </w:rPr>
            </w:pPr>
            <w:r>
              <w:rPr>
                <w:rFonts w:ascii="Arial" w:cs="Arial" w:eastAsia="Arial" w:hAnsi="Arial"/>
                <w:sz w:val="15"/>
                <w:szCs w:val="15"/>
                <w:color w:val="auto"/>
              </w:rPr>
              <w:t>Fair value gains (losses), net</w:t>
            </w:r>
          </w:p>
        </w:tc>
        <w:tc>
          <w:tcPr>
            <w:tcW w:w="3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699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442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320"/>
        </w:trPr>
        <w:tc>
          <w:tcPr>
            <w:tcW w:w="386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Investment gains (losses), net</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(115)</w:t>
            </w: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(223)</w:t>
            </w:r>
          </w:p>
        </w:tc>
        <w:tc>
          <w:tcPr>
            <w:tcW w:w="8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r>
      <w:tr>
        <w:trPr>
          <w:trHeight w:val="202"/>
        </w:trPr>
        <w:tc>
          <w:tcPr>
            <w:tcW w:w="3960" w:type="dxa"/>
            <w:vAlign w:val="bottom"/>
            <w:gridSpan w:val="2"/>
          </w:tcPr>
          <w:p>
            <w:pPr>
              <w:ind w:left="160"/>
              <w:spacing w:after="0"/>
              <w:rPr>
                <w:sz w:val="20"/>
                <w:szCs w:val="20"/>
                <w:color w:val="auto"/>
              </w:rPr>
            </w:pPr>
            <w:r>
              <w:rPr>
                <w:rFonts w:ascii="Arial" w:cs="Arial" w:eastAsia="Arial" w:hAnsi="Arial"/>
                <w:sz w:val="15"/>
                <w:szCs w:val="15"/>
                <w:color w:val="auto"/>
              </w:rPr>
              <w:t>Other gains (losses), net</w:t>
            </w:r>
          </w:p>
        </w:tc>
        <w:tc>
          <w:tcPr>
            <w:tcW w:w="340" w:type="dxa"/>
            <w:vAlign w:val="bottom"/>
          </w:tcPr>
          <w:p>
            <w:pPr>
              <w:spacing w:after="0"/>
              <w:rPr>
                <w:sz w:val="17"/>
                <w:szCs w:val="17"/>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584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(121)</w:t>
            </w:r>
          </w:p>
        </w:tc>
      </w:tr>
      <w:tr>
        <w:trPr>
          <w:trHeight w:val="206"/>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benefit for credit losses</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(601)</w:t>
            </w:r>
          </w:p>
        </w:tc>
      </w:tr>
      <w:tr>
        <w:trPr>
          <w:trHeight w:val="198"/>
        </w:trPr>
        <w:tc>
          <w:tcPr>
            <w:tcW w:w="3960" w:type="dxa"/>
            <w:vAlign w:val="bottom"/>
            <w:gridSpan w:val="2"/>
          </w:tcPr>
          <w:p>
            <w:pPr>
              <w:spacing w:after="0"/>
              <w:rPr>
                <w:sz w:val="20"/>
                <w:szCs w:val="20"/>
                <w:color w:val="auto"/>
              </w:rPr>
            </w:pPr>
            <w:r>
              <w:rPr>
                <w:rFonts w:ascii="Arial" w:cs="Arial" w:eastAsia="Arial" w:hAnsi="Arial"/>
                <w:sz w:val="15"/>
                <w:szCs w:val="15"/>
                <w:color w:val="auto"/>
              </w:rPr>
              <w:t>Non-interest expense:</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8"/>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(3)</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(1,881)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287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97"/>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(4)</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(2,754)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(2,767)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301"/>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(5)</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(847)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(243)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208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98"/>
        </w:trPr>
        <w:tc>
          <w:tcPr>
            <w:tcW w:w="3860" w:type="dxa"/>
            <w:vAlign w:val="bottom"/>
            <w:tcBorders>
              <w:bottom w:val="single" w:sz="8" w:color="2C6937"/>
            </w:tcBorders>
          </w:tcPr>
          <w:p>
            <w:pPr>
              <w:ind w:left="10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(6)</w:t>
            </w: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(284)</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129</w:t>
            </w:r>
          </w:p>
        </w:tc>
        <w:tc>
          <w:tcPr>
            <w:tcW w:w="1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149</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136</w:t>
            </w:r>
          </w:p>
        </w:tc>
      </w:tr>
      <w:tr>
        <w:trPr>
          <w:trHeight w:val="199"/>
        </w:trPr>
        <w:tc>
          <w:tcPr>
            <w:tcW w:w="386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(5,766)</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(608)</w:t>
            </w:r>
          </w:p>
        </w:tc>
        <w:tc>
          <w:tcPr>
            <w:tcW w:w="1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(6,423)</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(776)</w:t>
            </w: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657</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168</w:t>
            </w:r>
          </w:p>
        </w:tc>
      </w:tr>
      <w:tr>
        <w:trPr>
          <w:trHeight w:val="202"/>
        </w:trPr>
        <w:tc>
          <w:tcPr>
            <w:tcW w:w="3960" w:type="dxa"/>
            <w:vAlign w:val="bottom"/>
            <w:gridSpan w:val="2"/>
          </w:tcPr>
          <w:p>
            <w:pPr>
              <w:spacing w:after="0"/>
              <w:rPr>
                <w:sz w:val="20"/>
                <w:szCs w:val="20"/>
                <w:color w:val="auto"/>
              </w:rPr>
            </w:pPr>
            <w:r>
              <w:rPr>
                <w:rFonts w:ascii="Arial" w:cs="Arial" w:eastAsia="Arial" w:hAnsi="Arial"/>
                <w:sz w:val="15"/>
                <w:szCs w:val="15"/>
                <w:color w:val="auto"/>
              </w:rPr>
              <w:t>Income before federal income taxes</w:t>
            </w:r>
          </w:p>
        </w:tc>
        <w:tc>
          <w:tcPr>
            <w:tcW w:w="340" w:type="dxa"/>
            <w:vAlign w:val="bottom"/>
          </w:tcPr>
          <w:p>
            <w:pPr>
              <w:spacing w:after="0"/>
              <w:rPr>
                <w:sz w:val="17"/>
                <w:szCs w:val="17"/>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12,471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2,294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11,000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2,573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1,471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(279)</w:t>
            </w:r>
          </w:p>
        </w:tc>
      </w:tr>
      <w:tr>
        <w:trPr>
          <w:trHeight w:val="204"/>
        </w:trPr>
        <w:tc>
          <w:tcPr>
            <w:tcW w:w="386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(2,492)</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(394)</w:t>
            </w:r>
          </w:p>
        </w:tc>
        <w:tc>
          <w:tcPr>
            <w:tcW w:w="1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(2,261)</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(475)</w:t>
            </w: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(231)</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81</w:t>
            </w:r>
          </w:p>
        </w:tc>
      </w:tr>
      <w:tr>
        <w:trPr>
          <w:trHeight w:val="199"/>
        </w:trPr>
        <w:tc>
          <w:tcPr>
            <w:tcW w:w="3960" w:type="dxa"/>
            <w:vAlign w:val="bottom"/>
            <w:gridSpan w:val="2"/>
          </w:tcPr>
          <w:p>
            <w:pPr>
              <w:ind w:left="16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7"/>
              <w:spacing w:after="0"/>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9,979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1,900</w:t>
            </w:r>
          </w:p>
        </w:tc>
        <w:tc>
          <w:tcPr>
            <w:tcW w:w="100" w:type="dxa"/>
            <w:vAlign w:val="bottom"/>
          </w:tcPr>
          <w:p>
            <w:pPr>
              <w:spacing w:after="0"/>
              <w:rPr>
                <w:sz w:val="17"/>
                <w:szCs w:val="17"/>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8,739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2,098</w:t>
            </w:r>
          </w:p>
        </w:tc>
        <w:tc>
          <w:tcPr>
            <w:tcW w:w="100" w:type="dxa"/>
            <w:vAlign w:val="bottom"/>
          </w:tcPr>
          <w:p>
            <w:pPr>
              <w:spacing w:after="0"/>
              <w:rPr>
                <w:sz w:val="17"/>
                <w:szCs w:val="17"/>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1,240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(198)</w:t>
            </w:r>
          </w:p>
        </w:tc>
      </w:tr>
      <w:tr>
        <w:trPr>
          <w:trHeight w:val="20"/>
        </w:trPr>
        <w:tc>
          <w:tcPr>
            <w:tcW w:w="3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450215</wp:posOffset>
            </wp:positionV>
            <wp:extent cx="7007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ectPr>
          <w:pgSz w:w="11900" w:h="16838" w:orient="portrait"/>
          <w:cols w:equalWidth="0" w:num="1">
            <w:col w:w="11200"/>
          </w:cols>
          <w:pgMar w:left="320" w:top="26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tabs>
          <w:tab w:leader="none" w:pos="10960" w:val="left"/>
        </w:tabs>
        <w:rPr>
          <w:sz w:val="20"/>
          <w:szCs w:val="20"/>
          <w:color w:val="auto"/>
        </w:rPr>
      </w:pPr>
      <w:r>
        <w:rPr>
          <w:rFonts w:ascii="Arial" w:cs="Arial" w:eastAsia="Arial" w:hAnsi="Arial"/>
          <w:sz w:val="14"/>
          <w:szCs w:val="14"/>
          <w:color w:val="05314D"/>
        </w:rPr>
        <w:t>Fannie Mae Third Quarter 2026 Form 10-Q</w:t>
      </w:r>
      <w:r>
        <w:rPr>
          <w:sz w:val="20"/>
          <w:szCs w:val="20"/>
          <w:color w:val="auto"/>
        </w:rPr>
        <w:tab/>
      </w:r>
      <w:r>
        <w:rPr>
          <w:rFonts w:ascii="Arial" w:cs="Arial" w:eastAsia="Arial" w:hAnsi="Arial"/>
          <w:sz w:val="11"/>
          <w:szCs w:val="11"/>
          <w:color w:val="05314D"/>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61" w:right="379" w:bottom="1440" w:gutter="0" w:footer="0" w:header="0"/>
          <w:type w:val="continuous"/>
        </w:sectPr>
      </w:pPr>
    </w:p>
    <w:bookmarkStart w:id="20" w:name="page21"/>
    <w:bookmarkEnd w:id="20"/>
    <w:p>
      <w:pPr>
        <w:ind w:left="8400"/>
        <w:spacing w:after="0"/>
        <w:rPr>
          <w:sz w:val="20"/>
          <w:szCs w:val="20"/>
          <w:color w:val="auto"/>
        </w:rPr>
      </w:pPr>
      <w:r>
        <w:rPr>
          <w:rFonts w:ascii="Arial" w:cs="Arial" w:eastAsia="Arial" w:hAnsi="Arial"/>
          <w:sz w:val="13"/>
          <w:szCs w:val="13"/>
          <w:color w:val="05314D"/>
        </w:rPr>
        <w:t>MD&amp;A |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40" w:right="460" w:hanging="237"/>
        <w:spacing w:after="0" w:line="226" w:lineRule="auto"/>
        <w:tabs>
          <w:tab w:leader="none" w:pos="233"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During the third quarter of 2026, we revised our allocation methodology between our Single-Family and Multifamily business segments. See “Note 10, Segment Reporting” for information about our segment allocation methodology.</w:t>
      </w:r>
    </w:p>
    <w:p>
      <w:pPr>
        <w:spacing w:after="0" w:line="27" w:lineRule="exact"/>
        <w:rPr>
          <w:rFonts w:ascii="Arial" w:cs="Arial" w:eastAsia="Arial" w:hAnsi="Arial"/>
          <w:sz w:val="18"/>
          <w:szCs w:val="18"/>
          <w:color w:val="auto"/>
          <w:vertAlign w:val="superscript"/>
        </w:rPr>
      </w:pPr>
    </w:p>
    <w:p>
      <w:pPr>
        <w:ind w:left="240" w:right="80" w:hanging="237"/>
        <w:spacing w:after="0" w:line="218" w:lineRule="auto"/>
        <w:tabs>
          <w:tab w:leader="none" w:pos="233"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For single-family, includes net interest income generated by the 10 basis point guaranty fee increase we implemented pursuant to the Temporary Payroll Tax Cut Continuation Act of 2011, and as extended by the Infrastructure Investment and Jobs Act, which is paid to Treasury and not retained by us.</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9"/>
        </w:numPr>
        <w:rPr>
          <w:rFonts w:ascii="Arial" w:cs="Arial" w:eastAsia="Arial" w:hAnsi="Arial"/>
          <w:sz w:val="9"/>
          <w:szCs w:val="9"/>
          <w:color w:val="auto"/>
        </w:rPr>
      </w:pPr>
      <w:r>
        <w:rPr>
          <w:rFonts w:ascii="Arial" w:cs="Arial" w:eastAsia="Arial" w:hAnsi="Arial"/>
          <w:sz w:val="14"/>
          <w:szCs w:val="14"/>
          <w:color w:val="auto"/>
        </w:rPr>
        <w:t>Consists of salaries and employee benefits and professional services, technology and occupancy expenses.</w:t>
      </w:r>
    </w:p>
    <w:p>
      <w:pPr>
        <w:spacing w:after="0" w:line="45" w:lineRule="exact"/>
        <w:rPr>
          <w:rFonts w:ascii="Arial" w:cs="Arial" w:eastAsia="Arial" w:hAnsi="Arial"/>
          <w:sz w:val="9"/>
          <w:szCs w:val="9"/>
          <w:color w:val="auto"/>
        </w:rPr>
      </w:pPr>
    </w:p>
    <w:p>
      <w:pPr>
        <w:ind w:left="240" w:right="80" w:hanging="237"/>
        <w:spacing w:after="0" w:line="226" w:lineRule="auto"/>
        <w:tabs>
          <w:tab w:leader="none" w:pos="233"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27" w:lineRule="exact"/>
        <w:rPr>
          <w:rFonts w:ascii="Arial" w:cs="Arial" w:eastAsia="Arial" w:hAnsi="Arial"/>
          <w:sz w:val="18"/>
          <w:szCs w:val="18"/>
          <w:color w:val="auto"/>
          <w:vertAlign w:val="superscript"/>
        </w:rPr>
      </w:pPr>
    </w:p>
    <w:p>
      <w:pPr>
        <w:ind w:left="240" w:right="60" w:hanging="237"/>
        <w:spacing w:after="0" w:line="233" w:lineRule="auto"/>
        <w:tabs>
          <w:tab w:leader="none" w:pos="233"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primarily include our CAS and CIRT programs, enterprise-paid mortgage insurance programs and certain lender risk-sharing programs. Multifamily credit enhancement expense primarily consists of costs associated with our MCIRT and MCAS programs as well as amortization expense for certain lender risk-sharing programs. Excludes CAS transactions accounted for as debt instruments and credit risk transfer programs accounted for as derivative instruments.</w:t>
      </w:r>
    </w:p>
    <w:p>
      <w:pPr>
        <w:spacing w:after="0" w:line="26" w:lineRule="exact"/>
        <w:rPr>
          <w:rFonts w:ascii="Arial" w:cs="Arial" w:eastAsia="Arial" w:hAnsi="Arial"/>
          <w:sz w:val="18"/>
          <w:szCs w:val="18"/>
          <w:color w:val="auto"/>
          <w:vertAlign w:val="superscript"/>
        </w:rPr>
      </w:pPr>
    </w:p>
    <w:p>
      <w:pPr>
        <w:ind w:left="240" w:right="580" w:hanging="237"/>
        <w:spacing w:after="0" w:line="226" w:lineRule="auto"/>
        <w:tabs>
          <w:tab w:leader="none" w:pos="233"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Primarily consists of foreclosed property income (expense), change in the expected benefits from our freestanding credit enhancements and gains (losses) from partnership investments.</w:t>
      </w:r>
    </w:p>
    <w:p>
      <w:pPr>
        <w:spacing w:after="0" w:line="52" w:lineRule="exact"/>
        <w:rPr>
          <w:sz w:val="20"/>
          <w:szCs w:val="20"/>
          <w:color w:val="auto"/>
        </w:rPr>
      </w:pPr>
    </w:p>
    <w:p>
      <w:pPr>
        <w:ind w:right="80"/>
        <w:spacing w:after="0" w:line="199" w:lineRule="exact"/>
        <w:rPr>
          <w:sz w:val="20"/>
          <w:szCs w:val="20"/>
          <w:color w:val="auto"/>
        </w:rPr>
      </w:pPr>
      <w:r>
        <w:rPr>
          <w:rFonts w:ascii="Arial" w:cs="Arial" w:eastAsia="Arial" w:hAnsi="Arial"/>
          <w:sz w:val="16"/>
          <w:szCs w:val="16"/>
          <w:color w:val="auto"/>
        </w:rPr>
        <w:t>We highlight below our segment results for net interest income, fair value gains (losses), net and other income (expense), net. For discussion of our single-family and multifamily (provision) benefit for credit losses, see “Consolidated Results of Operations—(Provision) Benefit for Credit Losses.” Investment gains (losses) and administrative expenses within the Single</w:t>
      </w:r>
      <w:r>
        <w:rPr>
          <w:rFonts w:ascii="MS PGothic" w:cs="MS PGothic" w:eastAsia="MS PGothic" w:hAnsi="MS PGothic"/>
          <w:sz w:val="16"/>
          <w:szCs w:val="16"/>
          <w:color w:val="auto"/>
        </w:rPr>
        <w:t>‑</w:t>
      </w:r>
      <w:r>
        <w:rPr>
          <w:rFonts w:ascii="Arial" w:cs="Arial" w:eastAsia="Arial" w:hAnsi="Arial"/>
          <w:sz w:val="16"/>
          <w:szCs w:val="16"/>
          <w:color w:val="auto"/>
        </w:rPr>
        <w:t>Family business represent the substantial majority of our consolidated results. See our “Consolidated Results of Operations” for a discussion of these line items.</w:t>
      </w:r>
    </w:p>
    <w:p>
      <w:pPr>
        <w:spacing w:after="0" w:line="238" w:lineRule="exact"/>
        <w:rPr>
          <w:sz w:val="20"/>
          <w:szCs w:val="20"/>
          <w:color w:val="auto"/>
        </w:rPr>
      </w:pPr>
    </w:p>
    <w:p>
      <w:pPr>
        <w:ind w:left="4640"/>
        <w:spacing w:after="0"/>
        <w:rPr>
          <w:sz w:val="20"/>
          <w:szCs w:val="20"/>
          <w:color w:val="auto"/>
        </w:rPr>
      </w:pPr>
      <w:r>
        <w:rPr>
          <w:rFonts w:ascii="Georgia" w:cs="Georgia" w:eastAsia="Georgia" w:hAnsi="Georgia"/>
          <w:sz w:val="19"/>
          <w:szCs w:val="19"/>
          <w:b w:val="1"/>
          <w:bCs w:val="1"/>
          <w:color w:val="05314D"/>
        </w:rPr>
        <w:t>Net Interest Income</w:t>
      </w:r>
    </w:p>
    <w:p>
      <w:pPr>
        <w:spacing w:after="0" w:line="16" w:lineRule="exact"/>
        <w:rPr>
          <w:sz w:val="20"/>
          <w:szCs w:val="20"/>
          <w:color w:val="auto"/>
        </w:rPr>
      </w:pPr>
    </w:p>
    <w:p>
      <w:pPr>
        <w:ind w:left="4640"/>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113665</wp:posOffset>
            </wp:positionV>
            <wp:extent cx="5460365" cy="14077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60365" cy="140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w:t>
      </w:r>
    </w:p>
    <w:p>
      <w:pPr>
        <w:spacing w:after="0" w:line="8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Net interest income increased $276 million in the third quarter of 2026 compared with the third quarter of 2025, and $644 million in the first nine months of 2026 compared with the first nine months of 2025, primarily driven by higher net interest income from portfolios, higher base guaranty fee income and higher net deferred guaranty fee income.</w:t>
      </w:r>
    </w:p>
    <w:p>
      <w:pPr>
        <w:spacing w:after="0" w:line="123"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Net interest income increased $99 million in the third quarter of 2026 compared with the third quarter of 2025, and $266 million in the first nine months of 2026 compared with the first nine months of 2025. The increase was primarily driven by higher net interest income from portfolios, reflecting acquisitions of agency MBS. It also reflected higher guaranty fee income resulting from growth in our multifamily guaranty book of business. These increases were partially offset by lower average charged guaranty fees on our multifamily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378460</wp:posOffset>
            </wp:positionV>
            <wp:extent cx="7007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18</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1" w:name="page22"/>
    <w:bookmarkEnd w:id="21"/>
    <w:p>
      <w:pPr>
        <w:ind w:left="8400"/>
        <w:spacing w:after="0"/>
        <w:rPr>
          <w:sz w:val="20"/>
          <w:szCs w:val="20"/>
          <w:color w:val="auto"/>
        </w:rPr>
      </w:pPr>
      <w:r>
        <w:rPr>
          <w:rFonts w:ascii="Arial" w:cs="Arial" w:eastAsia="Arial" w:hAnsi="Arial"/>
          <w:sz w:val="13"/>
          <w:szCs w:val="13"/>
          <w:color w:val="05314D"/>
        </w:rPr>
        <w:t>MD&amp;A |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Fair Value Gains (Losses), Net</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56515</wp:posOffset>
            </wp:positionV>
            <wp:extent cx="5460365" cy="15716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60365" cy="157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Fair value gains (losses), net for the third quarter and first nine months of 2026 were primarily driven by activity within our Single-Family segment. See “Consolidated Results of Operations—Fair Value Gains (Losses), Net” for a discussion of our consolidated fair value gains (losses). See “Note 10, Segment Reporting—Segment Allocations and Results” for information about changes to our segment allocation methodology for fair value gains (losses).</w:t>
      </w:r>
    </w:p>
    <w:p>
      <w:pPr>
        <w:spacing w:after="0" w:line="12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Other Income (Expense), Net</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64770</wp:posOffset>
            </wp:positionV>
            <wp:extent cx="5460365" cy="16452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60365" cy="164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w:t>
      </w:r>
    </w:p>
    <w:p>
      <w:pPr>
        <w:spacing w:after="0" w:line="10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Other expense, net decreased by $149 million in the first nine months of 2026 compared with the first nine months of 2025, primarily due to a decrease in our foreclosed property expense as a result of lower repair costs and increased gains on sales of foreclosed properties.</w:t>
      </w:r>
    </w:p>
    <w:p>
      <w:pPr>
        <w:spacing w:after="0" w:line="10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w:t>
      </w:r>
    </w:p>
    <w:p>
      <w:pPr>
        <w:spacing w:after="0" w:line="10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had other income, net of $129 million for the first nine months of 2026, compared with other expense, net of $7 million for the first nine months of 2025. Other income for the first nine months of 2026 was primarily driven by an increase in benefits we expect to receive from our multifamily freestanding credit enhancements resulting from the larger multifamily provision for credit losses in the first nine months of 2026. This increase was partially offset by higher foreclosed property expense driven by weaker property valuations on multifamily real estate owned (“REO”) properties.</w:t>
      </w:r>
    </w:p>
    <w:p>
      <w:pPr>
        <w:spacing w:after="0" w:line="146"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Single-Family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400"/>
        <w:spacing w:after="0" w:line="272" w:lineRule="auto"/>
        <w:rPr>
          <w:sz w:val="20"/>
          <w:szCs w:val="20"/>
          <w:color w:val="auto"/>
        </w:rPr>
      </w:pPr>
      <w:r>
        <w:rPr>
          <w:rFonts w:ascii="Arial" w:cs="Arial" w:eastAsia="Arial" w:hAnsi="Arial"/>
          <w:sz w:val="16"/>
          <w:szCs w:val="16"/>
          <w:color w:val="auto"/>
        </w:rPr>
        <w:t>This section supplements and updates information regarding our Single-Family business segment in our 2025 Form 10-K. See “MD&amp;A—Single-Family Business” in our 2025 Form 10-K for additional information regarding the primary business activities, lenders, investors and competition of our Single-Family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386080</wp:posOffset>
            </wp:positionV>
            <wp:extent cx="7007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19</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2" w:name="page23"/>
    <w:bookmarkEnd w:id="22"/>
    <w:p>
      <w:pPr>
        <w:ind w:left="7160"/>
        <w:spacing w:after="0"/>
        <w:rPr>
          <w:sz w:val="20"/>
          <w:szCs w:val="20"/>
          <w:color w:val="auto"/>
        </w:rPr>
      </w:pPr>
      <w:r>
        <w:rPr>
          <w:rFonts w:ascii="Arial" w:cs="Arial" w:eastAsia="Arial" w:hAnsi="Arial"/>
          <w:sz w:val="14"/>
          <w:szCs w:val="14"/>
          <w:color w:val="05314D"/>
        </w:rPr>
        <w:t>MD&amp;A | Single-Family Business | Single-Family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Market</w:t>
      </w:r>
    </w:p>
    <w:p>
      <w:pPr>
        <w:spacing w:after="0" w:line="63" w:lineRule="exact"/>
        <w:rPr>
          <w:sz w:val="20"/>
          <w:szCs w:val="20"/>
          <w:color w:val="auto"/>
        </w:rPr>
      </w:pPr>
    </w:p>
    <w:p>
      <w:pPr>
        <w:ind w:right="240"/>
        <w:spacing w:after="0" w:line="243" w:lineRule="auto"/>
        <w:rPr>
          <w:sz w:val="20"/>
          <w:szCs w:val="20"/>
          <w:color w:val="auto"/>
        </w:rPr>
      </w:pPr>
      <w:r>
        <w:rPr>
          <w:rFonts w:ascii="Arial" w:cs="Arial" w:eastAsia="Arial" w:hAnsi="Arial"/>
          <w:sz w:val="16"/>
          <w:szCs w:val="16"/>
          <w:color w:val="auto"/>
        </w:rPr>
        <w:t>Existing single-family home sales decreased to an average of 3.99 million units annualized in the third quarter of 2026, compared with 4.05 million units annualized in the third quarter of 2025, as reported by the National Association of REALTORS</w:t>
      </w:r>
      <w:r>
        <w:rPr>
          <w:rFonts w:ascii="Arial" w:cs="Arial" w:eastAsia="Arial" w:hAnsi="Arial"/>
          <w:sz w:val="21"/>
          <w:szCs w:val="21"/>
          <w:color w:val="auto"/>
          <w:vertAlign w:val="superscript"/>
        </w:rPr>
        <w:t>®</w:t>
      </w:r>
      <w:r>
        <w:rPr>
          <w:rFonts w:ascii="Arial" w:cs="Arial" w:eastAsia="Arial" w:hAnsi="Arial"/>
          <w:sz w:val="16"/>
          <w:szCs w:val="16"/>
          <w:color w:val="auto"/>
        </w:rPr>
        <w:t>. According to the U.S. Census Bureau, new single-family home sales averaged 668,000 units annualized in the third quarter of 2026, compared with 687,000 units annualized in the third quarter of 2025.</w:t>
      </w:r>
    </w:p>
    <w:p>
      <w:pPr>
        <w:spacing w:after="0" w:line="53" w:lineRule="exact"/>
        <w:rPr>
          <w:sz w:val="20"/>
          <w:szCs w:val="20"/>
          <w:color w:val="auto"/>
        </w:rPr>
      </w:pPr>
    </w:p>
    <w:p>
      <w:pPr>
        <w:ind w:right="540"/>
        <w:spacing w:after="0" w:line="265" w:lineRule="auto"/>
        <w:rPr>
          <w:sz w:val="20"/>
          <w:szCs w:val="20"/>
          <w:color w:val="auto"/>
        </w:rPr>
      </w:pPr>
      <w:r>
        <w:rPr>
          <w:rFonts w:ascii="Arial" w:cs="Arial" w:eastAsia="Arial" w:hAnsi="Arial"/>
          <w:sz w:val="16"/>
          <w:szCs w:val="16"/>
          <w:color w:val="auto"/>
        </w:rPr>
        <w:t>The U.S. weekly average 30-year fixed mortgage rate was 7.03% as of September 24, 2026, compared with 6.30% as of September 25, 2025, and averaged 6.68% in the third quarter of 2026, compared with 6.57% in the third quarter of 2025, according to Freddie Mac’s Primary Mortgage Market Survey</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Single-family mortgage market originations increased slightly from an estimated $511 billion in the third quarter of 2025 to an estimated $513 billion in the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third quarter of 2026. According to the October forecast from our Economic and Strategic Research Group, total originations in the U.S. single-family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mortgage market in 2026 are forecasted to increase from 2025 levels by approximately 5%, from an estimated $1.99 trillion in 2025 to $2.09 trillion in 2026,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 the amount of refinance originations in the U.S. single-family mortgage market are forecasted to increase from an estimated $578 billion in 2025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$655 billion in 2026. Our Economic and Strategic Research Group’s October forecast is based on data available as of October 12, 2026. See “Key Market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Economic Indicators” in our 2025 Form 10-K and this report for additional discussion of how housing activity can affect our financial results and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uncertainties that may affect our forecasts and expectations.</w:t>
      </w:r>
    </w:p>
    <w:p>
      <w:pPr>
        <w:spacing w:after="0" w:line="13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Mortgage-Related Securities Issuances Share</w:t>
      </w:r>
    </w:p>
    <w:p>
      <w:pPr>
        <w:spacing w:after="0" w:line="63"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Our single-family Fannie Mae MBS issuances were $90.2 billion for the third quarter of 2026, compared with $90.1 billion for the third quarter of 2025. Based on the latest data available, the charts below display our estimated share of single-family mortgage-related securities issuances as compared with that of our primary competitors for the issuance of single-family mortgage-related securities for the periods indicated.</w:t>
      </w:r>
    </w:p>
    <w:p>
      <w:pPr>
        <w:spacing w:after="0" w:line="12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15240</wp:posOffset>
            </wp:positionV>
            <wp:extent cx="4715510" cy="254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1551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160" w:type="dxa"/>
        <w:tblCellMar>
          <w:top w:w="0" w:type="dxa"/>
          <w:left w:w="0" w:type="dxa"/>
          <w:bottom w:w="0" w:type="dxa"/>
          <w:right w:w="0" w:type="dxa"/>
        </w:tblCellMar>
      </w:tblPr>
      <w:tr>
        <w:trPr>
          <w:trHeight w:val="206"/>
        </w:trPr>
        <w:tc>
          <w:tcPr>
            <w:tcW w:w="4000" w:type="dxa"/>
            <w:vAlign w:val="bottom"/>
          </w:tcPr>
          <w:p>
            <w:pPr>
              <w:spacing w:after="0"/>
              <w:rPr>
                <w:sz w:val="20"/>
                <w:szCs w:val="20"/>
                <w:color w:val="auto"/>
              </w:rPr>
            </w:pPr>
            <w:r>
              <w:rPr>
                <w:rFonts w:ascii="Arial" w:cs="Arial" w:eastAsia="Arial" w:hAnsi="Arial"/>
                <w:sz w:val="14"/>
                <w:szCs w:val="14"/>
                <w:color w:val="auto"/>
              </w:rPr>
              <w:t>Ginnie Mae</w:t>
            </w:r>
          </w:p>
        </w:tc>
        <w:tc>
          <w:tcPr>
            <w:tcW w:w="220" w:type="dxa"/>
            <w:vAlign w:val="bottom"/>
            <w:shd w:val="clear" w:color="auto" w:fill="911A5B"/>
          </w:tcPr>
          <w:p>
            <w:pPr>
              <w:spacing w:after="0"/>
              <w:rPr>
                <w:sz w:val="17"/>
                <w:szCs w:val="17"/>
                <w:color w:val="auto"/>
              </w:rPr>
            </w:pPr>
          </w:p>
        </w:tc>
        <w:tc>
          <w:tcPr>
            <w:tcW w:w="1600" w:type="dxa"/>
            <w:vAlign w:val="bottom"/>
          </w:tcPr>
          <w:p>
            <w:pPr>
              <w:ind w:left="220"/>
              <w:spacing w:after="0"/>
              <w:rPr>
                <w:sz w:val="20"/>
                <w:szCs w:val="20"/>
                <w:color w:val="auto"/>
              </w:rPr>
            </w:pPr>
            <w:r>
              <w:rPr>
                <w:rFonts w:ascii="Arial" w:cs="Arial" w:eastAsia="Arial" w:hAnsi="Arial"/>
                <w:sz w:val="14"/>
                <w:szCs w:val="14"/>
                <w:color w:val="auto"/>
                <w:w w:val="96"/>
              </w:rPr>
              <w:t>Private-label securities</w:t>
            </w:r>
          </w:p>
        </w:tc>
        <w:tc>
          <w:tcPr>
            <w:tcW w:w="0" w:type="dxa"/>
            <w:vAlign w:val="bottom"/>
          </w:tcPr>
          <w:p>
            <w:pPr>
              <w:spacing w:after="0"/>
              <w:rPr>
                <w:sz w:val="1"/>
                <w:szCs w:val="1"/>
                <w:color w:val="auto"/>
              </w:rPr>
            </w:pPr>
          </w:p>
        </w:tc>
      </w:tr>
      <w:tr>
        <w:trPr>
          <w:trHeight w:val="52"/>
        </w:trPr>
        <w:tc>
          <w:tcPr>
            <w:tcW w:w="4000" w:type="dxa"/>
            <w:vAlign w:val="bottom"/>
            <w:vMerge w:val="restart"/>
          </w:tcPr>
          <w:p>
            <w:pPr>
              <w:spacing w:after="0"/>
              <w:rPr>
                <w:sz w:val="20"/>
                <w:szCs w:val="20"/>
                <w:color w:val="auto"/>
              </w:rPr>
            </w:pPr>
            <w:r>
              <w:rPr>
                <w:rFonts w:ascii="Arial" w:cs="Arial" w:eastAsia="Arial" w:hAnsi="Arial"/>
                <w:sz w:val="14"/>
                <w:szCs w:val="14"/>
                <w:color w:val="auto"/>
              </w:rPr>
              <w:t>Fannie Mae</w:t>
            </w:r>
          </w:p>
        </w:tc>
        <w:tc>
          <w:tcPr>
            <w:tcW w:w="220" w:type="dxa"/>
            <w:vAlign w:val="bottom"/>
          </w:tcPr>
          <w:p>
            <w:pPr>
              <w:spacing w:after="0"/>
              <w:rPr>
                <w:sz w:val="4"/>
                <w:szCs w:val="4"/>
                <w:color w:val="auto"/>
              </w:rPr>
            </w:pPr>
          </w:p>
        </w:tc>
        <w:tc>
          <w:tcPr>
            <w:tcW w:w="1600" w:type="dxa"/>
            <w:vAlign w:val="bottom"/>
            <w:vMerge w:val="restart"/>
          </w:tcPr>
          <w:p>
            <w:pPr>
              <w:ind w:left="220"/>
              <w:spacing w:after="0"/>
              <w:rPr>
                <w:sz w:val="20"/>
                <w:szCs w:val="20"/>
                <w:color w:val="auto"/>
              </w:rPr>
            </w:pPr>
            <w:r>
              <w:rPr>
                <w:rFonts w:ascii="Arial" w:cs="Arial" w:eastAsia="Arial" w:hAnsi="Arial"/>
                <w:sz w:val="14"/>
                <w:szCs w:val="14"/>
                <w:color w:val="auto"/>
              </w:rPr>
              <w:t>Freddie Mac</w:t>
            </w:r>
          </w:p>
        </w:tc>
        <w:tc>
          <w:tcPr>
            <w:tcW w:w="0" w:type="dxa"/>
            <w:vAlign w:val="bottom"/>
          </w:tcPr>
          <w:p>
            <w:pPr>
              <w:spacing w:after="0"/>
              <w:rPr>
                <w:sz w:val="1"/>
                <w:szCs w:val="1"/>
                <w:color w:val="auto"/>
              </w:rPr>
            </w:pPr>
          </w:p>
        </w:tc>
      </w:tr>
      <w:tr>
        <w:trPr>
          <w:trHeight w:val="206"/>
        </w:trPr>
        <w:tc>
          <w:tcPr>
            <w:tcW w:w="4000" w:type="dxa"/>
            <w:vAlign w:val="bottom"/>
            <w:vMerge w:val="continue"/>
          </w:tcPr>
          <w:p>
            <w:pPr>
              <w:spacing w:after="0"/>
              <w:rPr>
                <w:sz w:val="17"/>
                <w:szCs w:val="17"/>
                <w:color w:val="auto"/>
              </w:rPr>
            </w:pPr>
          </w:p>
        </w:tc>
        <w:tc>
          <w:tcPr>
            <w:tcW w:w="220" w:type="dxa"/>
            <w:vAlign w:val="bottom"/>
            <w:shd w:val="clear" w:color="auto" w:fill="5587A6"/>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-130175</wp:posOffset>
            </wp:positionV>
            <wp:extent cx="139065" cy="1308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9065" cy="130810"/>
                    </a:xfrm>
                    <a:prstGeom prst="rect">
                      <a:avLst/>
                    </a:prstGeom>
                    <a:noFill/>
                  </pic:spPr>
                </pic:pic>
              </a:graphicData>
            </a:graphic>
          </wp:anchor>
        </w:drawing>
      </w:r>
    </w:p>
    <w:p>
      <w:pPr>
        <w:spacing w:after="0" w:line="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market share is influenced by various factors, primarily the pricing of single-family loans and the competitive market environment. When making pricing and acquisition decisions for single-family loans, we must consider a mix of often competing factors, such as competitive market dynamics, our capital requirements, our housing mission requirements and UMBS market liquidity objectives. Balancing these considerations can sometimes create challenges that impact our ability to compete effectively in the marketplace. For a discussion of factors that affect or could affect our business, our competitive environment, demand for our MBS, or the liquidity and market value of our MBS, as well as the risks associated with our conservatorship, our higher capital requirements under the enterprise regulatory capital framework relative to that of our primary competitor driven primarily by our larger share of U.S. residential mortgage debt outstanding, our housing mission requirements, the UMBS market and the performance of our MBS, see “Business— Conservatorship and Treasury Agreements,” “Business—Legislation and Regulation,” “Risk Factors” and “MD&amp;A—Single-Family Business—Single-Family Competition” in our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387985</wp:posOffset>
            </wp:positionV>
            <wp:extent cx="7007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20</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3" w:name="page24"/>
    <w:bookmarkEnd w:id="23"/>
    <w:p>
      <w:pPr>
        <w:ind w:left="7160"/>
        <w:spacing w:after="0"/>
        <w:rPr>
          <w:sz w:val="20"/>
          <w:szCs w:val="20"/>
          <w:color w:val="auto"/>
        </w:rPr>
      </w:pPr>
      <w:r>
        <w:rPr>
          <w:rFonts w:ascii="Arial" w:cs="Arial" w:eastAsia="Arial" w:hAnsi="Arial"/>
          <w:sz w:val="14"/>
          <w:szCs w:val="14"/>
          <w:color w:val="05314D"/>
        </w:rPr>
        <w:t>MD&amp;A | Single-Family Business | Single-Family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Select Business Metrics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charts below display our average charged guaranty fees, net of TCCA fees, on our single-family conventional guaranty book of business and on new single-family conventional loan acquisitions, along with our average single-family conventional guaranty book of business and our single-family conventional loan acquisitions for the periods presented.</w:t>
      </w:r>
    </w:p>
    <w:p>
      <w:pPr>
        <w:spacing w:after="0" w:line="3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 Single-Family Business Metrics</w:t>
      </w:r>
      <w:r>
        <w:rPr>
          <w:rFonts w:ascii="Georgia" w:cs="Georgia" w:eastAsia="Georgia" w:hAnsi="Georgia"/>
          <w:sz w:val="24"/>
          <w:szCs w:val="24"/>
          <w:b w:val="1"/>
          <w:bCs w:val="1"/>
          <w:color w:val="05314D"/>
          <w:vertAlign w:val="superscript"/>
        </w:rPr>
        <w:t>(1)</w:t>
      </w:r>
    </w:p>
    <w:p>
      <w:pPr>
        <w:jc w:val="center"/>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64770</wp:posOffset>
            </wp:positionV>
            <wp:extent cx="5591175" cy="16211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91175" cy="16211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180" w:right="400"/>
        <w:spacing w:after="0" w:line="295" w:lineRule="auto"/>
        <w:rPr>
          <w:sz w:val="20"/>
          <w:szCs w:val="20"/>
          <w:color w:val="auto"/>
        </w:rPr>
      </w:pPr>
      <w:r>
        <w:rPr>
          <w:rFonts w:ascii="Arial" w:cs="Arial" w:eastAsia="Arial" w:hAnsi="Arial"/>
          <w:sz w:val="14"/>
          <w:szCs w:val="14"/>
          <w:color w:val="auto"/>
        </w:rPr>
        <w:t>Average charged guaranty fee on single-family conventional guaranty book of business,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29210</wp:posOffset>
            </wp:positionV>
            <wp:extent cx="147320" cy="1066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7320" cy="106680"/>
                    </a:xfrm>
                    <a:prstGeom prst="rect">
                      <a:avLst/>
                    </a:prstGeom>
                    <a:noFill/>
                  </pic:spPr>
                </pic:pic>
              </a:graphicData>
            </a:graphic>
          </wp:anchor>
        </w:drawing>
      </w:r>
    </w:p>
    <w:p>
      <w:pPr>
        <w:spacing w:after="0" w:line="58" w:lineRule="exact"/>
        <w:rPr>
          <w:sz w:val="20"/>
          <w:szCs w:val="20"/>
          <w:color w:val="auto"/>
        </w:rPr>
      </w:pPr>
    </w:p>
    <w:p>
      <w:pPr>
        <w:ind w:left="1180" w:right="680"/>
        <w:spacing w:after="0" w:line="295" w:lineRule="auto"/>
        <w:rPr>
          <w:sz w:val="20"/>
          <w:szCs w:val="20"/>
          <w:color w:val="auto"/>
        </w:rPr>
      </w:pPr>
      <w:r>
        <w:rPr>
          <w:rFonts w:ascii="Arial" w:cs="Arial" w:eastAsia="Arial" w:hAnsi="Arial"/>
          <w:sz w:val="14"/>
          <w:szCs w:val="14"/>
          <w:color w:val="auto"/>
        </w:rPr>
        <w:t>Average charged guaranty fee on new single-family conventional acquisitions,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Average single-family conventional guaranty book of business</w:t>
      </w:r>
      <w:r>
        <w:rPr>
          <w:rFonts w:ascii="Arial" w:cs="Arial" w:eastAsia="Arial" w:hAnsi="Arial"/>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193675</wp:posOffset>
            </wp:positionV>
            <wp:extent cx="155575" cy="1066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5575" cy="10668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Single-family conventional acquisitions</w:t>
      </w:r>
    </w:p>
    <w:p>
      <w:pPr>
        <w:spacing w:after="0" w:line="380" w:lineRule="exact"/>
        <w:rPr>
          <w:sz w:val="20"/>
          <w:szCs w:val="20"/>
          <w:color w:val="auto"/>
        </w:rPr>
      </w:pPr>
    </w:p>
    <w:p>
      <w:pPr>
        <w:sectPr>
          <w:pgSz w:w="11900" w:h="16838" w:orient="portrait"/>
          <w:cols w:equalWidth="0" w:num="2">
            <w:col w:w="5800" w:space="720"/>
            <w:col w:w="4720"/>
          </w:cols>
          <w:pgMar w:left="320" w:top="261" w:right="339" w:bottom="1440" w:gutter="0" w:footer="0" w:header="0"/>
          <w:type w:val="continuous"/>
        </w:sectPr>
      </w:pPr>
    </w:p>
    <w:p>
      <w:pPr>
        <w:ind w:left="240" w:right="460" w:hanging="236"/>
        <w:spacing w:after="0" w:line="226" w:lineRule="auto"/>
        <w:tabs>
          <w:tab w:leader="none" w:pos="27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For information reported in this “Single-Family Business” section, our single-family conventional guaranty book of business is measured using the UPB of our mortgage loans underlying Fannie Mae MBS outstanding.</w:t>
      </w:r>
    </w:p>
    <w:p>
      <w:pPr>
        <w:spacing w:after="0" w:line="14" w:lineRule="exact"/>
        <w:rPr>
          <w:rFonts w:ascii="Arial" w:cs="Arial" w:eastAsia="Arial" w:hAnsi="Arial"/>
          <w:sz w:val="18"/>
          <w:szCs w:val="18"/>
          <w:color w:val="auto"/>
          <w:vertAlign w:val="superscript"/>
        </w:rPr>
      </w:pPr>
    </w:p>
    <w:p>
      <w:pPr>
        <w:ind w:left="240" w:right="20" w:hanging="237"/>
        <w:spacing w:after="0" w:line="275" w:lineRule="auto"/>
        <w:tabs>
          <w:tab w:leader="none" w:pos="216" w:val="left"/>
        </w:tabs>
        <w:numPr>
          <w:ilvl w:val="0"/>
          <w:numId w:val="20"/>
        </w:numPr>
        <w:rPr>
          <w:rFonts w:ascii="Arial" w:cs="Arial" w:eastAsia="Arial" w:hAnsi="Arial"/>
          <w:sz w:val="9"/>
          <w:szCs w:val="9"/>
          <w:color w:val="auto"/>
        </w:rPr>
      </w:pPr>
      <w:r>
        <w:rPr>
          <w:rFonts w:ascii="Arial" w:cs="Arial" w:eastAsia="Arial" w:hAnsi="Arial"/>
          <w:sz w:val="14"/>
          <w:szCs w:val="14"/>
          <w:color w:val="auto"/>
        </w:rPr>
        <w:t>Excludes the impact of a 10 basis point (“bps”) guaranty fee increase implemented pursuant to the TCCA, the incremental revenue from which is paid to Treasury and not retained by us.</w:t>
      </w:r>
    </w:p>
    <w:p>
      <w:pPr>
        <w:spacing w:after="0" w:line="4" w:lineRule="exact"/>
        <w:rPr>
          <w:rFonts w:ascii="Arial" w:cs="Arial" w:eastAsia="Arial" w:hAnsi="Arial"/>
          <w:sz w:val="9"/>
          <w:szCs w:val="9"/>
          <w:color w:val="auto"/>
        </w:rPr>
      </w:pPr>
    </w:p>
    <w:p>
      <w:pPr>
        <w:ind w:left="240" w:right="60" w:hanging="237"/>
        <w:spacing w:after="0" w:line="249" w:lineRule="auto"/>
        <w:tabs>
          <w:tab w:leader="none" w:pos="270"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Our single-family conventional guaranty book of business primarily consists of single-family conventional mortgage loans underlying Fannie Mae MBS outstanding. It also includes single-family conventional mortgage loans of Fannie Mae held in our retained mortgage portfolio, and other credit enhancements that we provide on single-family conventional mortgage assets. Our single-family conventional guaranty book of business does not include: (a) mortgage loans guaranteed or insured, in whole or in part, by the U.S. government;</w:t>
      </w:r>
    </w:p>
    <w:p>
      <w:pPr>
        <w:spacing w:after="0" w:line="1" w:lineRule="exact"/>
        <w:rPr>
          <w:rFonts w:ascii="Arial" w:cs="Arial" w:eastAsia="Arial" w:hAnsi="Arial"/>
          <w:sz w:val="17"/>
          <w:szCs w:val="17"/>
          <w:color w:val="auto"/>
          <w:vertAlign w:val="superscript"/>
        </w:rPr>
      </w:pPr>
    </w:p>
    <w:p>
      <w:pPr>
        <w:ind w:left="240" w:right="100"/>
        <w:spacing w:after="0" w:line="245" w:lineRule="auto"/>
        <w:rPr>
          <w:rFonts w:ascii="Arial" w:cs="Arial" w:eastAsia="Arial" w:hAnsi="Arial"/>
          <w:sz w:val="17"/>
          <w:szCs w:val="17"/>
          <w:color w:val="auto"/>
          <w:vertAlign w:val="superscript"/>
        </w:rPr>
      </w:pPr>
      <w:r>
        <w:rPr>
          <w:rFonts w:ascii="Arial" w:cs="Arial" w:eastAsia="Arial" w:hAnsi="Arial"/>
          <w:sz w:val="14"/>
          <w:szCs w:val="14"/>
          <w:color w:val="auto"/>
        </w:rPr>
        <w:t>(b) Freddie Mac-acquired mortgage loans underlying Freddie Mac-issued UMBS that we have resecuritized; or (c) non-Fannie Mae single-family mortgage-related securities held in our retained mortgage portfolio for which we do not provide a guaranty. Our average single-family conventional guaranty book of business is based on the average of quarter-end balances.</w:t>
      </w:r>
    </w:p>
    <w:p>
      <w:pPr>
        <w:spacing w:after="0" w:line="4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Our single-family conventional loan acquisition volume was relatively flat in the third quarter of 2026 compared to the third quarter of 2025. Housing affordability constraints, limited supply, market competition, and the elevated interest rate environment continued to put pressure on the volume of loans we acquired.</w:t>
      </w:r>
    </w:p>
    <w:p>
      <w:pPr>
        <w:spacing w:after="0" w:line="3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Average charged guaranty fee on newly acquired conventional single-family loans and average charged guaranty fee on the single-family guaranty book of business are metrics management uses to measure the amount we earn as compensation for the credit risk we manage and to assess our return. Average charged guaranty fee represents, on an annualized basis, the average of the base guaranty fees charged during the period for our single-family conventional guaranty arrangements, which we receive monthly over the life of the loan, plus the recognition of any upfront cash payments, including loan-level price adjustments, based on an estimated average life at the time of acquisition.</w:t>
      </w:r>
    </w:p>
    <w:p>
      <w:pPr>
        <w:spacing w:after="0" w:line="3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Our average charged guaranty fee on newly acquired conventional single-family loans, net of TCCA fees, decreased in the third quarter of 2026 compared with the third quarter of 2025, primarily as a result of a shift in the mix and profile of loans we acquired. Our average charged guaranty fee on the single-family guaranty book of business increased in the third quarter of 2026 compared with the third quarter of 2025 as a result of higher average charged fees on our acquisitions for the twelve months ended September 30, 2026 as compared with the loans that liquidated from the book during this period.</w:t>
      </w:r>
    </w:p>
    <w:p>
      <w:pPr>
        <w:spacing w:after="0" w:line="7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Credit Risk Management</w:t>
      </w:r>
    </w:p>
    <w:p>
      <w:pPr>
        <w:spacing w:after="0" w:line="63"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auto"/>
        </w:rPr>
        <w:t>This section updates our discussion of single-family mortgage credit risk management in our 2025 Form 10-K. For additional information on our single-family acquisition and servicing policies, underwriting and servicing standards, quality control process, repurchase requests, and representation and warranty framework, see “MD&amp;A—Single-Family Business—Single-Family Mortgage Credit Risk Management” in our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372745</wp:posOffset>
            </wp:positionV>
            <wp:extent cx="70072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21</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24" w:name="page25"/>
    <w:bookmarkEnd w:id="24"/>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100"/>
        <w:spacing w:after="0" w:line="342" w:lineRule="auto"/>
        <w:rPr>
          <w:sz w:val="20"/>
          <w:szCs w:val="20"/>
          <w:color w:val="auto"/>
        </w:rPr>
      </w:pPr>
      <w:r>
        <w:rPr>
          <w:rFonts w:ascii="Georgia" w:cs="Georgia" w:eastAsia="Georgia" w:hAnsi="Georgia"/>
          <w:sz w:val="19"/>
          <w:szCs w:val="19"/>
          <w:b w:val="1"/>
          <w:bCs w:val="1"/>
          <w:i w:val="1"/>
          <w:iCs w:val="1"/>
          <w:color w:val="05314D"/>
        </w:rPr>
        <w:t xml:space="preserve">Single-Family Acquisition and Servicing Policies and Underwriting and Servicing Standards </w:t>
      </w:r>
      <w:r>
        <w:rPr>
          <w:rFonts w:ascii="Georgia" w:cs="Georgia" w:eastAsia="Georgia" w:hAnsi="Georgia"/>
          <w:sz w:val="19"/>
          <w:szCs w:val="19"/>
          <w:i w:val="1"/>
          <w:iCs w:val="1"/>
          <w:color w:val="05314D"/>
        </w:rPr>
        <w:t>New Credit Score Models and Pricing Change</w:t>
      </w:r>
    </w:p>
    <w:p>
      <w:pPr>
        <w:ind w:right="340"/>
        <w:spacing w:after="0" w:line="237" w:lineRule="auto"/>
        <w:rPr>
          <w:sz w:val="20"/>
          <w:szCs w:val="20"/>
          <w:color w:val="auto"/>
        </w:rPr>
      </w:pPr>
      <w:r>
        <w:rPr>
          <w:rFonts w:ascii="Arial" w:cs="Arial" w:eastAsia="Arial" w:hAnsi="Arial"/>
          <w:sz w:val="16"/>
          <w:szCs w:val="16"/>
          <w:color w:val="auto"/>
        </w:rPr>
        <w:t>Fannie Mae uses credit scores to provide a foundation for risk-based pricing and support disclosures to investors. In April 2026, we updated our Selling Guide to allow for two new credit score models—VantageScore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4.0 and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10T—in addition to the classic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from Fair Isaac Corporation that we already use as a credit score model.</w:t>
      </w:r>
    </w:p>
    <w:p>
      <w:pPr>
        <w:spacing w:after="0" w:line="57"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In September 2026, we expanded the availability of VantageScore 4.0 to all Fannie Mae-approved lenders for eligible loans, following the initial limited lender rollout beginning in April 2026. VantageScore 4.0 and classic FICO use different credit scoring models, including differences in the credit information considered and how that information is evaluated. As a result, scores generated by the two models may differ and may not be directly comparable.</w:t>
      </w:r>
    </w:p>
    <w:p>
      <w:pPr>
        <w:spacing w:after="0" w:line="32"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Effective October 1, 2026, we updated our loan-level price adjustment matrix to apply the same pricing adjustments to loans using either VantageScore 4.0 or classic FICO. The adoption of VantageScore 4.0 and the alignment of loan-level pricing adjustments across credit scoring models could affect the composition and credit characteristics of loans we acquire, as well as lower the amount of guaranty fees we receive on newly acquired loans.</w:t>
      </w:r>
    </w:p>
    <w:p>
      <w:pPr>
        <w:spacing w:after="0" w:line="2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continue to work on the implementation of FICO Score 10T and plan to make it available at a later date, with advance notice and implementation guidance to come before launch. To support the industry transitioning to the new credit score models, in July 2026 we published on our website historical credit score data for FICO Score 10T and additional credit score data for VantageScore 4.0 for loans acquired during specified periods. Loans originated using VantageScore 4.0 remain subject to existing tri-merge credit report requirements.</w:t>
      </w:r>
    </w:p>
    <w:p>
      <w:pPr>
        <w:spacing w:after="0" w:line="8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Guaranty Book Diversification and Monitoring</w:t>
      </w:r>
    </w:p>
    <w:p>
      <w:pPr>
        <w:spacing w:after="0" w:line="67"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color w:val="auto"/>
        </w:rPr>
        <w:t>The following table displays our single-family conventional business volumes and our single-family conventional guaranty book of business, based on certain key risk characteristics that we use to evaluate the risk profile and credit quality of our single-family loans. For a description of the key risk characteristics of our single-family conventional guaranty book of business, see “MD&amp;A—Single-Family Business—Single-Family Mortgage Credit Risk Management—Single-Family Guaranty Book Diversification and Monitoring—Overview” in our 2025 Form 10-K.</w:t>
      </w:r>
    </w:p>
    <w:p>
      <w:pPr>
        <w:spacing w:after="0" w:line="33"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We provide additional information on the credit characteristics of our single-family loans in our quarterly earnings presentations and financial supplements, which we furnish to the Securities and Exchange Commission (the “SEC”) with current reports on Form 8-K and make available on our website. Information in our quarterly earnings presentations and financial supplements is not incorporated by reference into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386080</wp:posOffset>
            </wp:positionV>
            <wp:extent cx="7007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22</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5" w:name="page26"/>
    <w:bookmarkEnd w:id="25"/>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Single-Family Conventional Business Volume and Guaranty Book of Business</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60" w:type="dxa"/>
            <w:vAlign w:val="bottom"/>
            <w:gridSpan w:val="10"/>
          </w:tcPr>
          <w:p>
            <w:pPr>
              <w:jc w:val="right"/>
              <w:ind w:right="251"/>
              <w:spacing w:after="0"/>
              <w:rPr>
                <w:sz w:val="20"/>
                <w:szCs w:val="20"/>
                <w:color w:val="auto"/>
              </w:rPr>
            </w:pPr>
            <w:r>
              <w:rPr>
                <w:rFonts w:ascii="Arial" w:cs="Arial" w:eastAsia="Arial" w:hAnsi="Arial"/>
                <w:sz w:val="14"/>
                <w:szCs w:val="14"/>
                <w:b w:val="1"/>
                <w:bCs w:val="1"/>
                <w:color w:val="auto"/>
              </w:rPr>
              <w:t>Percent of Single-Family Conventional Business Volume at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4"/>
          </w:tcPr>
          <w:p>
            <w:pPr>
              <w:jc w:val="right"/>
              <w:ind w:right="571"/>
              <w:spacing w:after="0"/>
              <w:rPr>
                <w:sz w:val="20"/>
                <w:szCs w:val="20"/>
                <w:color w:val="auto"/>
              </w:rPr>
            </w:pPr>
            <w:r>
              <w:rPr>
                <w:rFonts w:ascii="Arial" w:cs="Arial" w:eastAsia="Arial" w:hAnsi="Arial"/>
                <w:sz w:val="14"/>
                <w:szCs w:val="14"/>
                <w:b w:val="1"/>
                <w:bCs w:val="1"/>
                <w:color w:val="auto"/>
              </w:rPr>
              <w:t>Acquisition</w:t>
            </w:r>
            <w:r>
              <w:rPr>
                <w:rFonts w:ascii="Arial" w:cs="Arial" w:eastAsia="Arial" w:hAnsi="Arial"/>
                <w:sz w:val="17"/>
                <w:szCs w:val="17"/>
                <w:b w:val="1"/>
                <w:bCs w:val="1"/>
                <w:color w:val="auto"/>
                <w:vertAlign w:val="superscript"/>
              </w:rPr>
              <w:t>(2)</w:t>
            </w:r>
          </w:p>
        </w:tc>
        <w:tc>
          <w:tcPr>
            <w:tcW w:w="24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gridSpan w:val="4"/>
            <w:vMerge w:val="restart"/>
          </w:tcPr>
          <w:p>
            <w:pPr>
              <w:jc w:val="center"/>
              <w:ind w:left="11"/>
              <w:spacing w:after="0"/>
              <w:rPr>
                <w:sz w:val="20"/>
                <w:szCs w:val="20"/>
                <w:color w:val="auto"/>
              </w:rPr>
            </w:pPr>
            <w:r>
              <w:rPr>
                <w:rFonts w:ascii="Arial" w:cs="Arial" w:eastAsia="Arial" w:hAnsi="Arial"/>
                <w:sz w:val="14"/>
                <w:szCs w:val="14"/>
                <w:b w:val="1"/>
                <w:bCs w:val="1"/>
                <w:color w:val="auto"/>
                <w:w w:val="98"/>
              </w:rPr>
              <w:t>Percent of Single-Family Conventional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4"/>
            <w:vMerge w:val="restart"/>
          </w:tcPr>
          <w:p>
            <w:pPr>
              <w:jc w:val="center"/>
              <w:ind w:right="51"/>
              <w:spacing w:after="0"/>
              <w:rPr>
                <w:sz w:val="20"/>
                <w:szCs w:val="20"/>
                <w:color w:val="auto"/>
              </w:rPr>
            </w:pPr>
            <w:r>
              <w:rPr>
                <w:rFonts w:ascii="Arial" w:cs="Arial" w:eastAsia="Arial" w:hAnsi="Arial"/>
                <w:sz w:val="14"/>
                <w:szCs w:val="14"/>
                <w:b w:val="1"/>
                <w:bCs w:val="1"/>
                <w:color w:val="auto"/>
                <w:w w:val="97"/>
              </w:rPr>
              <w:t>For the Three Months Ended</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4"/>
            <w:vMerge w:val="restart"/>
          </w:tcPr>
          <w:p>
            <w:pPr>
              <w:jc w:val="center"/>
              <w:ind w:right="71"/>
              <w:spacing w:after="0"/>
              <w:rPr>
                <w:sz w:val="20"/>
                <w:szCs w:val="20"/>
                <w:color w:val="auto"/>
              </w:rPr>
            </w:pPr>
            <w:r>
              <w:rPr>
                <w:rFonts w:ascii="Arial" w:cs="Arial" w:eastAsia="Arial" w:hAnsi="Arial"/>
                <w:sz w:val="14"/>
                <w:szCs w:val="14"/>
                <w:b w:val="1"/>
                <w:bCs w:val="1"/>
                <w:color w:val="auto"/>
                <w:w w:val="97"/>
              </w:rPr>
              <w:t>For the Nine Months Ended</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gridSpan w:val="4"/>
          </w:tcPr>
          <w:p>
            <w:pPr>
              <w:jc w:val="center"/>
              <w:ind w:left="11"/>
              <w:spacing w:after="0" w:line="141" w:lineRule="exact"/>
              <w:rPr>
                <w:sz w:val="20"/>
                <w:szCs w:val="20"/>
                <w:color w:val="auto"/>
              </w:rPr>
            </w:pPr>
            <w:r>
              <w:rPr>
                <w:rFonts w:ascii="Arial" w:cs="Arial" w:eastAsia="Arial" w:hAnsi="Arial"/>
                <w:sz w:val="13"/>
                <w:szCs w:val="13"/>
                <w:b w:val="1"/>
                <w:bCs w:val="1"/>
                <w:color w:val="auto"/>
              </w:rPr>
              <w:t>Guaranty Book of Business</w:t>
            </w:r>
            <w:r>
              <w:rPr>
                <w:rFonts w:ascii="Arial" w:cs="Arial" w:eastAsia="Arial" w:hAnsi="Arial"/>
                <w:sz w:val="16"/>
                <w:szCs w:val="16"/>
                <w:b w:val="1"/>
                <w:bCs w:val="1"/>
                <w:color w:val="auto"/>
                <w:vertAlign w:val="superscript"/>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980" w:type="dxa"/>
            <w:vAlign w:val="bottom"/>
            <w:tcBorders>
              <w:bottom w:val="single" w:sz="8" w:color="2C6937"/>
            </w:tcBorders>
            <w:gridSpan w:val="4"/>
          </w:tcPr>
          <w:p>
            <w:pPr>
              <w:jc w:val="center"/>
              <w:ind w:right="51"/>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2000" w:type="dxa"/>
            <w:vAlign w:val="bottom"/>
            <w:tcBorders>
              <w:bottom w:val="single" w:sz="8" w:color="2C6937"/>
            </w:tcBorders>
            <w:gridSpan w:val="4"/>
          </w:tcPr>
          <w:p>
            <w:pPr>
              <w:jc w:val="center"/>
              <w:ind w:right="71"/>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54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7"/>
              </w:rPr>
              <w:t>As of</w:t>
            </w:r>
          </w:p>
        </w:tc>
        <w:tc>
          <w:tcPr>
            <w:tcW w:w="150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rPr>
              <w:t>September 30, 2026</w:t>
            </w:r>
          </w:p>
        </w:tc>
        <w:tc>
          <w:tcPr>
            <w:tcW w:w="24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w w:val="98"/>
              </w:rPr>
              <w:t>December 31, 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Original LTV ratio:</w:t>
            </w:r>
            <w:r>
              <w:rPr>
                <w:rFonts w:ascii="Arial" w:cs="Arial" w:eastAsia="Arial" w:hAnsi="Arial"/>
                <w:sz w:val="17"/>
                <w:szCs w:val="17"/>
                <w:b w:val="1"/>
                <w:bCs w:val="1"/>
                <w:color w:val="auto"/>
                <w:vertAlign w:val="superscript"/>
              </w:rPr>
              <w:t>(4)</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90.01% to 95%</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95.01% to 100%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00" w:type="dxa"/>
            <w:vAlign w:val="bottom"/>
            <w:tcBorders>
              <w:bottom w:val="single" w:sz="8" w:color="2C6937"/>
            </w:tcBorders>
          </w:tcPr>
          <w:p>
            <w:pPr>
              <w:spacing w:after="0"/>
              <w:rPr>
                <w:sz w:val="20"/>
                <w:szCs w:val="20"/>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15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shd w:val="clear" w:color="auto" w:fill="CBC8C3"/>
          </w:tcPr>
          <w:p>
            <w:pPr>
              <w:spacing w:after="0"/>
              <w:rPr>
                <w:sz w:val="19"/>
                <w:szCs w:val="19"/>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40" w:type="dxa"/>
            <w:vAlign w:val="bottom"/>
            <w:shd w:val="clear" w:color="auto" w:fill="CBC8C3"/>
          </w:tcPr>
          <w:p>
            <w:pPr>
              <w:spacing w:after="0"/>
              <w:rPr>
                <w:sz w:val="19"/>
                <w:szCs w:val="19"/>
                <w:color w:val="auto"/>
              </w:rPr>
            </w:pPr>
          </w:p>
        </w:tc>
        <w:tc>
          <w:tcPr>
            <w:tcW w:w="80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78</w:t>
            </w:r>
          </w:p>
        </w:tc>
        <w:tc>
          <w:tcPr>
            <w:tcW w:w="240" w:type="dxa"/>
            <w:vAlign w:val="bottom"/>
            <w:shd w:val="clear" w:color="auto" w:fill="CBC8C3"/>
          </w:tcPr>
          <w:p>
            <w:pPr>
              <w:jc w:val="center"/>
              <w:spacing w:after="0"/>
              <w:rPr>
                <w:sz w:val="20"/>
                <w:szCs w:val="20"/>
                <w:color w:val="auto"/>
              </w:rPr>
            </w:pPr>
            <w:r>
              <w:rPr>
                <w:rFonts w:ascii="Arial" w:cs="Arial" w:eastAsia="Arial" w:hAnsi="Arial"/>
                <w:sz w:val="14"/>
                <w:szCs w:val="14"/>
                <w:b w:val="1"/>
                <w:bCs w:val="1"/>
                <w:i w:val="1"/>
                <w:iCs w:val="1"/>
                <w:color w:val="auto"/>
                <w:w w:val="96"/>
              </w:rPr>
              <w:t>%</w:t>
            </w:r>
          </w:p>
        </w:tc>
        <w:tc>
          <w:tcPr>
            <w:tcW w:w="220" w:type="dxa"/>
            <w:vAlign w:val="bottom"/>
            <w:shd w:val="clear" w:color="auto" w:fill="CBC8C3"/>
          </w:tcPr>
          <w:p>
            <w:pPr>
              <w:spacing w:after="0"/>
              <w:rPr>
                <w:sz w:val="19"/>
                <w:szCs w:val="19"/>
                <w:color w:val="auto"/>
              </w:rPr>
            </w:pPr>
          </w:p>
        </w:tc>
        <w:tc>
          <w:tcPr>
            <w:tcW w:w="7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77</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20" w:type="dxa"/>
            <w:vAlign w:val="bottom"/>
            <w:shd w:val="clear" w:color="auto" w:fill="CBC8C3"/>
          </w:tcPr>
          <w:p>
            <w:pPr>
              <w:spacing w:after="0"/>
              <w:rPr>
                <w:sz w:val="19"/>
                <w:szCs w:val="19"/>
                <w:color w:val="auto"/>
              </w:rPr>
            </w:pPr>
          </w:p>
        </w:tc>
        <w:tc>
          <w:tcPr>
            <w:tcW w:w="8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77</w:t>
            </w:r>
          </w:p>
        </w:tc>
        <w:tc>
          <w:tcPr>
            <w:tcW w:w="240" w:type="dxa"/>
            <w:vAlign w:val="bottom"/>
            <w:shd w:val="clear" w:color="auto" w:fill="CBC8C3"/>
          </w:tcPr>
          <w:p>
            <w:pPr>
              <w:jc w:val="center"/>
              <w:spacing w:after="0"/>
              <w:rPr>
                <w:sz w:val="20"/>
                <w:szCs w:val="20"/>
                <w:color w:val="auto"/>
              </w:rPr>
            </w:pPr>
            <w:r>
              <w:rPr>
                <w:rFonts w:ascii="Arial" w:cs="Arial" w:eastAsia="Arial" w:hAnsi="Arial"/>
                <w:sz w:val="14"/>
                <w:szCs w:val="14"/>
                <w:b w:val="1"/>
                <w:bCs w:val="1"/>
                <w:i w:val="1"/>
                <w:iCs w:val="1"/>
                <w:color w:val="auto"/>
                <w:w w:val="96"/>
              </w:rPr>
              <w:t>%</w:t>
            </w:r>
          </w:p>
        </w:tc>
        <w:tc>
          <w:tcPr>
            <w:tcW w:w="200" w:type="dxa"/>
            <w:vAlign w:val="bottom"/>
            <w:shd w:val="clear" w:color="auto" w:fill="CBC8C3"/>
          </w:tcPr>
          <w:p>
            <w:pPr>
              <w:spacing w:after="0"/>
              <w:rPr>
                <w:sz w:val="19"/>
                <w:szCs w:val="19"/>
                <w:color w:val="auto"/>
              </w:rPr>
            </w:pPr>
          </w:p>
        </w:tc>
        <w:tc>
          <w:tcPr>
            <w:tcW w:w="7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77</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60" w:type="dxa"/>
            <w:vAlign w:val="bottom"/>
            <w:shd w:val="clear" w:color="auto" w:fill="CBC8C3"/>
          </w:tcPr>
          <w:p>
            <w:pPr>
              <w:spacing w:after="0"/>
              <w:rPr>
                <w:sz w:val="19"/>
                <w:szCs w:val="19"/>
                <w:color w:val="auto"/>
              </w:rPr>
            </w:pPr>
          </w:p>
        </w:tc>
        <w:tc>
          <w:tcPr>
            <w:tcW w:w="15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74</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9"/>
                <w:szCs w:val="19"/>
                <w:color w:val="auto"/>
              </w:rPr>
            </w:pPr>
          </w:p>
        </w:tc>
        <w:tc>
          <w:tcPr>
            <w:tcW w:w="15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74</w:t>
            </w:r>
          </w:p>
        </w:tc>
        <w:tc>
          <w:tcPr>
            <w:tcW w:w="240" w:type="dxa"/>
            <w:vAlign w:val="bottom"/>
            <w:gridSpan w:val="2"/>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30"/>
        </w:trPr>
        <w:tc>
          <w:tcPr>
            <w:tcW w:w="2620" w:type="dxa"/>
            <w:vAlign w:val="bottom"/>
            <w:gridSpan w:val="3"/>
          </w:tcPr>
          <w:p>
            <w:pPr>
              <w:ind w:left="20"/>
              <w:spacing w:after="0"/>
              <w:rPr>
                <w:sz w:val="20"/>
                <w:szCs w:val="20"/>
                <w:color w:val="auto"/>
              </w:rPr>
            </w:pPr>
            <w:r>
              <w:rPr>
                <w:rFonts w:ascii="Arial" w:cs="Arial" w:eastAsia="Arial" w:hAnsi="Arial"/>
                <w:sz w:val="14"/>
                <w:szCs w:val="14"/>
                <w:color w:val="auto"/>
              </w:rPr>
              <w:t>Average loan amount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339,254</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336,504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349,746</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334,654</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212,420</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210,595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620" w:type="dxa"/>
            <w:vAlign w:val="bottom"/>
            <w:gridSpan w:val="3"/>
          </w:tcPr>
          <w:p>
            <w:pPr>
              <w:ind w:left="20"/>
              <w:spacing w:after="0"/>
              <w:rPr>
                <w:sz w:val="20"/>
                <w:szCs w:val="20"/>
                <w:color w:val="auto"/>
              </w:rPr>
            </w:pPr>
            <w:r>
              <w:rPr>
                <w:rFonts w:ascii="Arial" w:cs="Arial" w:eastAsia="Arial" w:hAnsi="Arial"/>
                <w:sz w:val="14"/>
                <w:szCs w:val="14"/>
                <w:color w:val="auto"/>
              </w:rPr>
              <w:t>Loan count (in thousands)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260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853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16,769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16,949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mark-to-market LTV ratio:</w:t>
            </w:r>
            <w:r>
              <w:rPr>
                <w:rFonts w:ascii="Arial" w:cs="Arial" w:eastAsia="Arial" w:hAnsi="Arial"/>
                <w:sz w:val="17"/>
                <w:szCs w:val="17"/>
                <w:b w:val="1"/>
                <w:bCs w:val="1"/>
                <w:color w:val="auto"/>
                <w:vertAlign w:val="superscript"/>
              </w:rPr>
              <w:t>(5)</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66</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67</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90.01% to 100%</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00" w:type="dxa"/>
            <w:vAlign w:val="bottom"/>
            <w:tcBorders>
              <w:bottom w:val="single" w:sz="8" w:color="2C6937"/>
            </w:tcBorders>
          </w:tcPr>
          <w:p>
            <w:pPr>
              <w:spacing w:after="0"/>
              <w:rPr>
                <w:sz w:val="20"/>
                <w:szCs w:val="20"/>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80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720" w:type="dxa"/>
            <w:vAlign w:val="bottom"/>
            <w:tcBorders>
              <w:bottom w:val="single" w:sz="8" w:color="CBC8C3"/>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20" w:type="dxa"/>
            <w:vAlign w:val="bottom"/>
            <w:tcBorders>
              <w:bottom w:val="single" w:sz="8" w:color="CBC8C3"/>
            </w:tcBorders>
          </w:tcPr>
          <w:p>
            <w:pPr>
              <w:spacing w:after="0" w:line="20" w:lineRule="exact"/>
              <w:rPr>
                <w:sz w:val="1"/>
                <w:szCs w:val="1"/>
                <w:color w:val="auto"/>
              </w:rPr>
            </w:pPr>
          </w:p>
        </w:tc>
        <w:tc>
          <w:tcPr>
            <w:tcW w:w="82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74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shd w:val="clear" w:color="auto" w:fill="CBC8C3"/>
          </w:tcPr>
          <w:p>
            <w:pPr>
              <w:spacing w:after="0"/>
              <w:rPr>
                <w:sz w:val="19"/>
                <w:szCs w:val="19"/>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40" w:type="dxa"/>
            <w:vAlign w:val="bottom"/>
            <w:shd w:val="clear" w:color="auto" w:fill="CBC8C3"/>
          </w:tcPr>
          <w:p>
            <w:pPr>
              <w:spacing w:after="0"/>
              <w:rPr>
                <w:sz w:val="19"/>
                <w:szCs w:val="19"/>
                <w:color w:val="auto"/>
              </w:rPr>
            </w:pPr>
          </w:p>
        </w:tc>
        <w:tc>
          <w:tcPr>
            <w:tcW w:w="800" w:type="dxa"/>
            <w:vAlign w:val="bottom"/>
            <w:shd w:val="clear" w:color="auto" w:fill="CBC8C3"/>
          </w:tcPr>
          <w:p>
            <w:pPr>
              <w:spacing w:after="0"/>
              <w:rPr>
                <w:sz w:val="19"/>
                <w:szCs w:val="19"/>
                <w:color w:val="auto"/>
              </w:rPr>
            </w:pPr>
          </w:p>
        </w:tc>
        <w:tc>
          <w:tcPr>
            <w:tcW w:w="240" w:type="dxa"/>
            <w:vAlign w:val="bottom"/>
            <w:shd w:val="clear" w:color="auto" w:fill="CBC8C3"/>
          </w:tcPr>
          <w:p>
            <w:pPr>
              <w:spacing w:after="0"/>
              <w:rPr>
                <w:sz w:val="19"/>
                <w:szCs w:val="19"/>
                <w:color w:val="auto"/>
              </w:rPr>
            </w:pPr>
          </w:p>
        </w:tc>
        <w:tc>
          <w:tcPr>
            <w:tcW w:w="220" w:type="dxa"/>
            <w:vAlign w:val="bottom"/>
            <w:shd w:val="clear" w:color="auto" w:fill="CBC8C3"/>
          </w:tcPr>
          <w:p>
            <w:pPr>
              <w:spacing w:after="0"/>
              <w:rPr>
                <w:sz w:val="19"/>
                <w:szCs w:val="19"/>
                <w:color w:val="auto"/>
              </w:rPr>
            </w:pPr>
          </w:p>
        </w:tc>
        <w:tc>
          <w:tcPr>
            <w:tcW w:w="720" w:type="dxa"/>
            <w:vAlign w:val="bottom"/>
            <w:shd w:val="clear" w:color="auto" w:fill="CBC8C3"/>
          </w:tcPr>
          <w:p>
            <w:pPr>
              <w:spacing w:after="0"/>
              <w:rPr>
                <w:sz w:val="19"/>
                <w:szCs w:val="19"/>
                <w:color w:val="auto"/>
              </w:rPr>
            </w:pPr>
          </w:p>
        </w:tc>
        <w:tc>
          <w:tcPr>
            <w:tcW w:w="260" w:type="dxa"/>
            <w:vAlign w:val="bottom"/>
            <w:shd w:val="clear" w:color="auto" w:fill="CBC8C3"/>
          </w:tcPr>
          <w:p>
            <w:pPr>
              <w:spacing w:after="0"/>
              <w:rPr>
                <w:sz w:val="19"/>
                <w:szCs w:val="19"/>
                <w:color w:val="auto"/>
              </w:rPr>
            </w:pPr>
          </w:p>
        </w:tc>
        <w:tc>
          <w:tcPr>
            <w:tcW w:w="120" w:type="dxa"/>
            <w:vAlign w:val="bottom"/>
            <w:shd w:val="clear" w:color="auto" w:fill="CBC8C3"/>
          </w:tcPr>
          <w:p>
            <w:pPr>
              <w:spacing w:after="0"/>
              <w:rPr>
                <w:sz w:val="19"/>
                <w:szCs w:val="19"/>
                <w:color w:val="auto"/>
              </w:rPr>
            </w:pPr>
          </w:p>
        </w:tc>
        <w:tc>
          <w:tcPr>
            <w:tcW w:w="820" w:type="dxa"/>
            <w:vAlign w:val="bottom"/>
            <w:shd w:val="clear" w:color="auto" w:fill="CBC8C3"/>
          </w:tcPr>
          <w:p>
            <w:pPr>
              <w:spacing w:after="0"/>
              <w:rPr>
                <w:sz w:val="19"/>
                <w:szCs w:val="19"/>
                <w:color w:val="auto"/>
              </w:rPr>
            </w:pPr>
          </w:p>
        </w:tc>
        <w:tc>
          <w:tcPr>
            <w:tcW w:w="240" w:type="dxa"/>
            <w:vAlign w:val="bottom"/>
            <w:shd w:val="clear" w:color="auto" w:fill="CBC8C3"/>
          </w:tcPr>
          <w:p>
            <w:pPr>
              <w:spacing w:after="0"/>
              <w:rPr>
                <w:sz w:val="19"/>
                <w:szCs w:val="19"/>
                <w:color w:val="auto"/>
              </w:rPr>
            </w:pPr>
          </w:p>
        </w:tc>
        <w:tc>
          <w:tcPr>
            <w:tcW w:w="200" w:type="dxa"/>
            <w:vAlign w:val="bottom"/>
            <w:shd w:val="clear" w:color="auto" w:fill="CBC8C3"/>
          </w:tcPr>
          <w:p>
            <w:pPr>
              <w:spacing w:after="0"/>
              <w:rPr>
                <w:sz w:val="19"/>
                <w:szCs w:val="19"/>
                <w:color w:val="auto"/>
              </w:rPr>
            </w:pPr>
          </w:p>
        </w:tc>
        <w:tc>
          <w:tcPr>
            <w:tcW w:w="740" w:type="dxa"/>
            <w:vAlign w:val="bottom"/>
            <w:shd w:val="clear" w:color="auto" w:fill="CBC8C3"/>
          </w:tcPr>
          <w:p>
            <w:pPr>
              <w:spacing w:after="0"/>
              <w:rPr>
                <w:sz w:val="19"/>
                <w:szCs w:val="19"/>
                <w:color w:val="auto"/>
              </w:rPr>
            </w:pPr>
          </w:p>
        </w:tc>
        <w:tc>
          <w:tcPr>
            <w:tcW w:w="240" w:type="dxa"/>
            <w:vAlign w:val="bottom"/>
            <w:shd w:val="clear" w:color="auto" w:fill="CBC8C3"/>
          </w:tcPr>
          <w:p>
            <w:pPr>
              <w:spacing w:after="0"/>
              <w:rPr>
                <w:sz w:val="19"/>
                <w:szCs w:val="19"/>
                <w:color w:val="auto"/>
              </w:rPr>
            </w:pPr>
          </w:p>
        </w:tc>
        <w:tc>
          <w:tcPr>
            <w:tcW w:w="160" w:type="dxa"/>
            <w:vAlign w:val="bottom"/>
            <w:shd w:val="clear" w:color="auto" w:fill="CBC8C3"/>
          </w:tcPr>
          <w:p>
            <w:pPr>
              <w:spacing w:after="0"/>
              <w:rPr>
                <w:sz w:val="19"/>
                <w:szCs w:val="19"/>
                <w:color w:val="auto"/>
              </w:rPr>
            </w:pPr>
          </w:p>
        </w:tc>
        <w:tc>
          <w:tcPr>
            <w:tcW w:w="15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51</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9"/>
                <w:szCs w:val="19"/>
                <w:color w:val="auto"/>
              </w:rPr>
            </w:pPr>
          </w:p>
        </w:tc>
        <w:tc>
          <w:tcPr>
            <w:tcW w:w="15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51</w:t>
            </w:r>
          </w:p>
        </w:tc>
        <w:tc>
          <w:tcPr>
            <w:tcW w:w="240" w:type="dxa"/>
            <w:vAlign w:val="bottom"/>
            <w:gridSpan w:val="2"/>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63"/>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Credit score at origination:</w:t>
            </w:r>
            <w:r>
              <w:rPr>
                <w:rFonts w:ascii="Arial" w:cs="Arial" w:eastAsia="Arial" w:hAnsi="Arial"/>
                <w:sz w:val="17"/>
                <w:szCs w:val="17"/>
                <w:b w:val="1"/>
                <w:bCs w:val="1"/>
                <w:color w:val="auto"/>
                <w:vertAlign w:val="superscript"/>
              </w:rPr>
              <w:t>(6)</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Classic FICO</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520" w:type="dxa"/>
            <w:vAlign w:val="bottom"/>
            <w:gridSpan w:val="2"/>
          </w:tcPr>
          <w:p>
            <w:pPr>
              <w:ind w:left="220"/>
              <w:spacing w:after="0"/>
              <w:rPr>
                <w:sz w:val="20"/>
                <w:szCs w:val="20"/>
                <w:color w:val="auto"/>
              </w:rPr>
            </w:pPr>
            <w:r>
              <w:rPr>
                <w:rFonts w:ascii="Arial" w:cs="Arial" w:eastAsia="Arial" w:hAnsi="Arial"/>
                <w:sz w:val="14"/>
                <w:szCs w:val="14"/>
                <w:color w:val="auto"/>
              </w:rPr>
              <w:t>&lt; 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21"/>
                <w:szCs w:val="21"/>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620 to &lt; 660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660 to &lt; 680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680 to &lt; 700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700 to &lt; 740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20" w:type="dxa"/>
            <w:vAlign w:val="bottom"/>
            <w:gridSpan w:val="2"/>
          </w:tcPr>
          <w:p>
            <w:pPr>
              <w:ind w:left="220"/>
              <w:spacing w:after="0"/>
              <w:rPr>
                <w:sz w:val="20"/>
                <w:szCs w:val="20"/>
                <w:color w:val="auto"/>
              </w:rPr>
            </w:pPr>
            <w:r>
              <w:rPr>
                <w:rFonts w:ascii="Arial" w:cs="Arial" w:eastAsia="Arial" w:hAnsi="Arial"/>
                <w:sz w:val="14"/>
                <w:szCs w:val="14"/>
                <w:color w:val="auto"/>
              </w:rPr>
              <w:t>&gt;= 740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70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68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0" w:type="dxa"/>
            <w:vAlign w:val="bottom"/>
            <w:tcBorders>
              <w:bottom w:val="single" w:sz="8" w:color="2C6937"/>
            </w:tcBorders>
          </w:tcPr>
          <w:p>
            <w:pPr>
              <w:spacing w:after="0"/>
              <w:rPr>
                <w:sz w:val="20"/>
                <w:szCs w:val="20"/>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VantageScore 4.0</w:t>
            </w:r>
            <w:r>
              <w:rPr>
                <w:rFonts w:ascii="Arial" w:cs="Arial" w:eastAsia="Arial" w:hAnsi="Arial"/>
                <w:sz w:val="17"/>
                <w:szCs w:val="17"/>
                <w:color w:val="auto"/>
                <w:vertAlign w:val="superscript"/>
              </w:rPr>
              <w:t>(7)</w:t>
            </w: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shd w:val="clear" w:color="auto" w:fill="CBC8C3"/>
          </w:tcPr>
          <w:p>
            <w:pPr>
              <w:spacing w:after="0"/>
              <w:rPr>
                <w:sz w:val="19"/>
                <w:szCs w:val="19"/>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 classic FICO</w:t>
            </w:r>
          </w:p>
        </w:tc>
        <w:tc>
          <w:tcPr>
            <w:tcW w:w="140" w:type="dxa"/>
            <w:vAlign w:val="bottom"/>
            <w:shd w:val="clear" w:color="auto" w:fill="CBC8C3"/>
          </w:tcPr>
          <w:p>
            <w:pPr>
              <w:spacing w:after="0"/>
              <w:rPr>
                <w:sz w:val="19"/>
                <w:szCs w:val="19"/>
                <w:color w:val="auto"/>
              </w:rPr>
            </w:pPr>
          </w:p>
        </w:tc>
        <w:tc>
          <w:tcPr>
            <w:tcW w:w="80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755</w:t>
            </w:r>
          </w:p>
        </w:tc>
        <w:tc>
          <w:tcPr>
            <w:tcW w:w="240" w:type="dxa"/>
            <w:vAlign w:val="bottom"/>
            <w:shd w:val="clear" w:color="auto" w:fill="CBC8C3"/>
          </w:tcPr>
          <w:p>
            <w:pPr>
              <w:spacing w:after="0"/>
              <w:rPr>
                <w:sz w:val="19"/>
                <w:szCs w:val="19"/>
                <w:color w:val="auto"/>
              </w:rPr>
            </w:pPr>
          </w:p>
        </w:tc>
        <w:tc>
          <w:tcPr>
            <w:tcW w:w="220" w:type="dxa"/>
            <w:vAlign w:val="bottom"/>
            <w:shd w:val="clear" w:color="auto" w:fill="CBC8C3"/>
          </w:tcPr>
          <w:p>
            <w:pPr>
              <w:spacing w:after="0"/>
              <w:rPr>
                <w:sz w:val="19"/>
                <w:szCs w:val="19"/>
                <w:color w:val="auto"/>
              </w:rPr>
            </w:pPr>
          </w:p>
        </w:tc>
        <w:tc>
          <w:tcPr>
            <w:tcW w:w="7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756</w:t>
            </w:r>
          </w:p>
        </w:tc>
        <w:tc>
          <w:tcPr>
            <w:tcW w:w="260" w:type="dxa"/>
            <w:vAlign w:val="bottom"/>
            <w:shd w:val="clear" w:color="auto" w:fill="CBC8C3"/>
          </w:tcPr>
          <w:p>
            <w:pPr>
              <w:spacing w:after="0"/>
              <w:rPr>
                <w:sz w:val="19"/>
                <w:szCs w:val="19"/>
                <w:color w:val="auto"/>
              </w:rPr>
            </w:pPr>
          </w:p>
        </w:tc>
        <w:tc>
          <w:tcPr>
            <w:tcW w:w="120" w:type="dxa"/>
            <w:vAlign w:val="bottom"/>
            <w:shd w:val="clear" w:color="auto" w:fill="CBC8C3"/>
          </w:tcPr>
          <w:p>
            <w:pPr>
              <w:spacing w:after="0"/>
              <w:rPr>
                <w:sz w:val="19"/>
                <w:szCs w:val="19"/>
                <w:color w:val="auto"/>
              </w:rPr>
            </w:pPr>
          </w:p>
        </w:tc>
        <w:tc>
          <w:tcPr>
            <w:tcW w:w="8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756</w:t>
            </w:r>
          </w:p>
        </w:tc>
        <w:tc>
          <w:tcPr>
            <w:tcW w:w="240" w:type="dxa"/>
            <w:vAlign w:val="bottom"/>
            <w:shd w:val="clear" w:color="auto" w:fill="CBC8C3"/>
          </w:tcPr>
          <w:p>
            <w:pPr>
              <w:spacing w:after="0"/>
              <w:rPr>
                <w:sz w:val="19"/>
                <w:szCs w:val="19"/>
                <w:color w:val="auto"/>
              </w:rPr>
            </w:pPr>
          </w:p>
        </w:tc>
        <w:tc>
          <w:tcPr>
            <w:tcW w:w="200" w:type="dxa"/>
            <w:vAlign w:val="bottom"/>
            <w:shd w:val="clear" w:color="auto" w:fill="CBC8C3"/>
          </w:tcPr>
          <w:p>
            <w:pPr>
              <w:spacing w:after="0"/>
              <w:rPr>
                <w:sz w:val="19"/>
                <w:szCs w:val="19"/>
                <w:color w:val="auto"/>
              </w:rPr>
            </w:pPr>
          </w:p>
        </w:tc>
        <w:tc>
          <w:tcPr>
            <w:tcW w:w="7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756</w:t>
            </w:r>
          </w:p>
        </w:tc>
        <w:tc>
          <w:tcPr>
            <w:tcW w:w="240" w:type="dxa"/>
            <w:vAlign w:val="bottom"/>
            <w:shd w:val="clear" w:color="auto" w:fill="CBC8C3"/>
          </w:tcPr>
          <w:p>
            <w:pPr>
              <w:spacing w:after="0"/>
              <w:rPr>
                <w:sz w:val="19"/>
                <w:szCs w:val="19"/>
                <w:color w:val="auto"/>
              </w:rPr>
            </w:pPr>
          </w:p>
        </w:tc>
        <w:tc>
          <w:tcPr>
            <w:tcW w:w="160" w:type="dxa"/>
            <w:vAlign w:val="bottom"/>
            <w:shd w:val="clear" w:color="auto" w:fill="CBC8C3"/>
          </w:tcPr>
          <w:p>
            <w:pPr>
              <w:spacing w:after="0"/>
              <w:rPr>
                <w:sz w:val="19"/>
                <w:szCs w:val="19"/>
                <w:color w:val="auto"/>
              </w:rPr>
            </w:pPr>
          </w:p>
        </w:tc>
        <w:tc>
          <w:tcPr>
            <w:tcW w:w="15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753</w:t>
            </w:r>
          </w:p>
        </w:tc>
        <w:tc>
          <w:tcPr>
            <w:tcW w:w="240" w:type="dxa"/>
            <w:vAlign w:val="bottom"/>
            <w:shd w:val="clear" w:color="auto" w:fill="CBC8C3"/>
          </w:tcPr>
          <w:p>
            <w:pPr>
              <w:spacing w:after="0"/>
              <w:rPr>
                <w:sz w:val="19"/>
                <w:szCs w:val="19"/>
                <w:color w:val="auto"/>
              </w:rPr>
            </w:pPr>
          </w:p>
        </w:tc>
        <w:tc>
          <w:tcPr>
            <w:tcW w:w="200" w:type="dxa"/>
            <w:vAlign w:val="bottom"/>
            <w:shd w:val="clear" w:color="auto" w:fill="CBC8C3"/>
          </w:tcPr>
          <w:p>
            <w:pPr>
              <w:spacing w:after="0"/>
              <w:rPr>
                <w:sz w:val="19"/>
                <w:szCs w:val="19"/>
                <w:color w:val="auto"/>
              </w:rPr>
            </w:pPr>
          </w:p>
        </w:tc>
        <w:tc>
          <w:tcPr>
            <w:tcW w:w="15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753</w:t>
            </w:r>
          </w:p>
        </w:tc>
        <w:tc>
          <w:tcPr>
            <w:tcW w:w="140" w:type="dxa"/>
            <w:vAlign w:val="bottom"/>
            <w:shd w:val="clear" w:color="auto" w:fill="CBC8C3"/>
          </w:tcPr>
          <w:p>
            <w:pPr>
              <w:spacing w:after="0"/>
              <w:rPr>
                <w:sz w:val="19"/>
                <w:szCs w:val="19"/>
                <w:color w:val="auto"/>
              </w:rPr>
            </w:pPr>
          </w:p>
        </w:tc>
        <w:tc>
          <w:tcPr>
            <w:tcW w:w="100" w:type="dxa"/>
            <w:vAlign w:val="bottom"/>
            <w:shd w:val="clear" w:color="auto" w:fill="CBC8C3"/>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Debt-to-income (“DTI”) ratio at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(8)</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65</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72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73</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43.01% to 45%</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00" w:type="dxa"/>
            <w:vAlign w:val="bottom"/>
            <w:tcBorders>
              <w:bottom w:val="single" w:sz="8" w:color="2C6937"/>
            </w:tcBorders>
          </w:tcPr>
          <w:p>
            <w:pPr>
              <w:spacing w:after="0"/>
              <w:rPr>
                <w:sz w:val="20"/>
                <w:szCs w:val="20"/>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45%</w:t>
            </w: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15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shd w:val="clear" w:color="auto" w:fill="CBC8C3"/>
          </w:tcPr>
          <w:p>
            <w:pPr>
              <w:spacing w:after="0"/>
              <w:rPr>
                <w:sz w:val="19"/>
                <w:szCs w:val="19"/>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40" w:type="dxa"/>
            <w:vAlign w:val="bottom"/>
            <w:shd w:val="clear" w:color="auto" w:fill="CBC8C3"/>
          </w:tcPr>
          <w:p>
            <w:pPr>
              <w:spacing w:after="0"/>
              <w:rPr>
                <w:sz w:val="19"/>
                <w:szCs w:val="19"/>
                <w:color w:val="auto"/>
              </w:rPr>
            </w:pPr>
          </w:p>
        </w:tc>
        <w:tc>
          <w:tcPr>
            <w:tcW w:w="80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38</w:t>
            </w:r>
          </w:p>
        </w:tc>
        <w:tc>
          <w:tcPr>
            <w:tcW w:w="240" w:type="dxa"/>
            <w:vAlign w:val="bottom"/>
            <w:shd w:val="clear" w:color="auto" w:fill="CBC8C3"/>
          </w:tcPr>
          <w:p>
            <w:pPr>
              <w:jc w:val="center"/>
              <w:spacing w:after="0"/>
              <w:rPr>
                <w:sz w:val="20"/>
                <w:szCs w:val="20"/>
                <w:color w:val="auto"/>
              </w:rPr>
            </w:pPr>
            <w:r>
              <w:rPr>
                <w:rFonts w:ascii="Arial" w:cs="Arial" w:eastAsia="Arial" w:hAnsi="Arial"/>
                <w:sz w:val="14"/>
                <w:szCs w:val="14"/>
                <w:b w:val="1"/>
                <w:bCs w:val="1"/>
                <w:i w:val="1"/>
                <w:iCs w:val="1"/>
                <w:color w:val="auto"/>
                <w:w w:val="96"/>
              </w:rPr>
              <w:t>%</w:t>
            </w:r>
          </w:p>
        </w:tc>
        <w:tc>
          <w:tcPr>
            <w:tcW w:w="220" w:type="dxa"/>
            <w:vAlign w:val="bottom"/>
            <w:shd w:val="clear" w:color="auto" w:fill="CBC8C3"/>
          </w:tcPr>
          <w:p>
            <w:pPr>
              <w:spacing w:after="0"/>
              <w:rPr>
                <w:sz w:val="19"/>
                <w:szCs w:val="19"/>
                <w:color w:val="auto"/>
              </w:rPr>
            </w:pPr>
          </w:p>
        </w:tc>
        <w:tc>
          <w:tcPr>
            <w:tcW w:w="7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20" w:type="dxa"/>
            <w:vAlign w:val="bottom"/>
            <w:shd w:val="clear" w:color="auto" w:fill="CBC8C3"/>
          </w:tcPr>
          <w:p>
            <w:pPr>
              <w:spacing w:after="0"/>
              <w:rPr>
                <w:sz w:val="19"/>
                <w:szCs w:val="19"/>
                <w:color w:val="auto"/>
              </w:rPr>
            </w:pPr>
          </w:p>
        </w:tc>
        <w:tc>
          <w:tcPr>
            <w:tcW w:w="8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38</w:t>
            </w:r>
          </w:p>
        </w:tc>
        <w:tc>
          <w:tcPr>
            <w:tcW w:w="240" w:type="dxa"/>
            <w:vAlign w:val="bottom"/>
            <w:shd w:val="clear" w:color="auto" w:fill="CBC8C3"/>
          </w:tcPr>
          <w:p>
            <w:pPr>
              <w:jc w:val="center"/>
              <w:spacing w:after="0"/>
              <w:rPr>
                <w:sz w:val="20"/>
                <w:szCs w:val="20"/>
                <w:color w:val="auto"/>
              </w:rPr>
            </w:pPr>
            <w:r>
              <w:rPr>
                <w:rFonts w:ascii="Arial" w:cs="Arial" w:eastAsia="Arial" w:hAnsi="Arial"/>
                <w:sz w:val="14"/>
                <w:szCs w:val="14"/>
                <w:b w:val="1"/>
                <w:bCs w:val="1"/>
                <w:i w:val="1"/>
                <w:iCs w:val="1"/>
                <w:color w:val="auto"/>
                <w:w w:val="96"/>
              </w:rPr>
              <w:t>%</w:t>
            </w:r>
          </w:p>
        </w:tc>
        <w:tc>
          <w:tcPr>
            <w:tcW w:w="200" w:type="dxa"/>
            <w:vAlign w:val="bottom"/>
            <w:shd w:val="clear" w:color="auto" w:fill="CBC8C3"/>
          </w:tcPr>
          <w:p>
            <w:pPr>
              <w:spacing w:after="0"/>
              <w:rPr>
                <w:sz w:val="19"/>
                <w:szCs w:val="19"/>
                <w:color w:val="auto"/>
              </w:rPr>
            </w:pPr>
          </w:p>
        </w:tc>
        <w:tc>
          <w:tcPr>
            <w:tcW w:w="7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60" w:type="dxa"/>
            <w:vAlign w:val="bottom"/>
            <w:shd w:val="clear" w:color="auto" w:fill="CBC8C3"/>
          </w:tcPr>
          <w:p>
            <w:pPr>
              <w:spacing w:after="0"/>
              <w:rPr>
                <w:sz w:val="19"/>
                <w:szCs w:val="19"/>
                <w:color w:val="auto"/>
              </w:rPr>
            </w:pPr>
          </w:p>
        </w:tc>
        <w:tc>
          <w:tcPr>
            <w:tcW w:w="15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36</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00" w:type="dxa"/>
            <w:vAlign w:val="bottom"/>
            <w:shd w:val="clear" w:color="auto" w:fill="CBC8C3"/>
          </w:tcPr>
          <w:p>
            <w:pPr>
              <w:spacing w:after="0"/>
              <w:rPr>
                <w:sz w:val="19"/>
                <w:szCs w:val="19"/>
                <w:color w:val="auto"/>
              </w:rPr>
            </w:pPr>
          </w:p>
        </w:tc>
        <w:tc>
          <w:tcPr>
            <w:tcW w:w="150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36</w:t>
            </w:r>
          </w:p>
        </w:tc>
        <w:tc>
          <w:tcPr>
            <w:tcW w:w="240" w:type="dxa"/>
            <w:vAlign w:val="bottom"/>
            <w:gridSpan w:val="2"/>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709"/>
        </w:trPr>
        <w:tc>
          <w:tcPr>
            <w:tcW w:w="100" w:type="dxa"/>
            <w:vAlign w:val="bottom"/>
          </w:tcPr>
          <w:p>
            <w:pPr>
              <w:spacing w:after="0"/>
              <w:rPr>
                <w:sz w:val="24"/>
                <w:szCs w:val="24"/>
                <w:color w:val="auto"/>
              </w:rPr>
            </w:pPr>
          </w:p>
        </w:tc>
        <w:tc>
          <w:tcPr>
            <w:tcW w:w="2660" w:type="dxa"/>
            <w:vAlign w:val="bottom"/>
            <w:tcBorders>
              <w:bottom w:val="single" w:sz="8" w:color="CBC8C3"/>
            </w:tcBorders>
            <w:gridSpan w:val="3"/>
          </w:tcPr>
          <w:p>
            <w:pPr>
              <w:spacing w:after="0"/>
              <w:rPr>
                <w:sz w:val="24"/>
                <w:szCs w:val="24"/>
                <w:color w:val="auto"/>
              </w:rPr>
            </w:pPr>
          </w:p>
        </w:tc>
        <w:tc>
          <w:tcPr>
            <w:tcW w:w="80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20" w:type="dxa"/>
            <w:vAlign w:val="bottom"/>
            <w:tcBorders>
              <w:bottom w:val="single" w:sz="8" w:color="CBC8C3"/>
            </w:tcBorders>
          </w:tcPr>
          <w:p>
            <w:pPr>
              <w:spacing w:after="0"/>
              <w:rPr>
                <w:sz w:val="24"/>
                <w:szCs w:val="24"/>
                <w:color w:val="auto"/>
              </w:rPr>
            </w:pPr>
          </w:p>
        </w:tc>
        <w:tc>
          <w:tcPr>
            <w:tcW w:w="720" w:type="dxa"/>
            <w:vAlign w:val="bottom"/>
            <w:tcBorders>
              <w:bottom w:val="single" w:sz="8" w:color="CBC8C3"/>
            </w:tcBorders>
          </w:tcPr>
          <w:p>
            <w:pPr>
              <w:spacing w:after="0"/>
              <w:rPr>
                <w:sz w:val="24"/>
                <w:szCs w:val="24"/>
                <w:color w:val="auto"/>
              </w:rPr>
            </w:pPr>
          </w:p>
        </w:tc>
        <w:tc>
          <w:tcPr>
            <w:tcW w:w="260" w:type="dxa"/>
            <w:vAlign w:val="bottom"/>
            <w:tcBorders>
              <w:bottom w:val="single" w:sz="8" w:color="CBC8C3"/>
            </w:tcBorders>
          </w:tcPr>
          <w:p>
            <w:pPr>
              <w:spacing w:after="0"/>
              <w:rPr>
                <w:sz w:val="24"/>
                <w:szCs w:val="24"/>
                <w:color w:val="auto"/>
              </w:rPr>
            </w:pPr>
          </w:p>
        </w:tc>
        <w:tc>
          <w:tcPr>
            <w:tcW w:w="120" w:type="dxa"/>
            <w:vAlign w:val="bottom"/>
            <w:tcBorders>
              <w:bottom w:val="single" w:sz="8" w:color="CBC8C3"/>
            </w:tcBorders>
          </w:tcPr>
          <w:p>
            <w:pPr>
              <w:spacing w:after="0"/>
              <w:rPr>
                <w:sz w:val="24"/>
                <w:szCs w:val="24"/>
                <w:color w:val="auto"/>
              </w:rPr>
            </w:pPr>
          </w:p>
        </w:tc>
        <w:tc>
          <w:tcPr>
            <w:tcW w:w="82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7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160" w:type="dxa"/>
            <w:vAlign w:val="bottom"/>
            <w:tcBorders>
              <w:bottom w:val="single" w:sz="8" w:color="CBC8C3"/>
            </w:tcBorders>
          </w:tcPr>
          <w:p>
            <w:pPr>
              <w:spacing w:after="0"/>
              <w:rPr>
                <w:sz w:val="24"/>
                <w:szCs w:val="24"/>
                <w:color w:val="auto"/>
              </w:rPr>
            </w:pPr>
          </w:p>
        </w:tc>
        <w:tc>
          <w:tcPr>
            <w:tcW w:w="15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1640" w:type="dxa"/>
            <w:vAlign w:val="bottom"/>
            <w:tcBorders>
              <w:bottom w:val="single" w:sz="8" w:color="CBC8C3"/>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2660" w:type="dxa"/>
            <w:vAlign w:val="bottom"/>
            <w:gridSpan w:val="3"/>
          </w:tcPr>
          <w:p>
            <w:pPr>
              <w:ind w:left="20"/>
              <w:spacing w:after="0"/>
              <w:rPr>
                <w:sz w:val="20"/>
                <w:szCs w:val="20"/>
                <w:color w:val="auto"/>
              </w:rPr>
            </w:pPr>
            <w:r>
              <w:rPr>
                <w:rFonts w:ascii="Arial" w:cs="Arial" w:eastAsia="Arial" w:hAnsi="Arial"/>
                <w:sz w:val="14"/>
                <w:szCs w:val="14"/>
                <w:color w:val="05314D"/>
                <w:w w:val="97"/>
              </w:rPr>
              <w:t>Fannie Mae Third Quarter 2026 Form 10-Q</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05314D"/>
              </w:rPr>
              <w:t>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24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6" w:name="page27"/>
    <w:bookmarkEnd w:id="26"/>
    <w:p>
      <w:pPr>
        <w:ind w:left="6060"/>
        <w:spacing w:after="0"/>
        <w:rPr>
          <w:sz w:val="20"/>
          <w:szCs w:val="20"/>
          <w:color w:val="auto"/>
        </w:rPr>
      </w:pPr>
      <w:r>
        <w:rPr>
          <w:rFonts w:ascii="Arial" w:cs="Arial" w:eastAsia="Arial" w:hAnsi="Arial"/>
          <w:sz w:val="13"/>
          <w:szCs w:val="13"/>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60" w:type="dxa"/>
            <w:vAlign w:val="bottom"/>
            <w:gridSpan w:val="9"/>
          </w:tcPr>
          <w:p>
            <w:pPr>
              <w:jc w:val="right"/>
              <w:ind w:right="231"/>
              <w:spacing w:after="0"/>
              <w:rPr>
                <w:sz w:val="20"/>
                <w:szCs w:val="20"/>
                <w:color w:val="auto"/>
              </w:rPr>
            </w:pPr>
            <w:r>
              <w:rPr>
                <w:rFonts w:ascii="Arial" w:cs="Arial" w:eastAsia="Arial" w:hAnsi="Arial"/>
                <w:sz w:val="14"/>
                <w:szCs w:val="14"/>
                <w:b w:val="1"/>
                <w:bCs w:val="1"/>
                <w:color w:val="auto"/>
              </w:rPr>
              <w:t>Percent of Single-Family Conventional Business Volume at</w:t>
            </w:r>
          </w:p>
        </w:tc>
        <w:tc>
          <w:tcPr>
            <w:tcW w:w="200" w:type="dxa"/>
            <w:vAlign w:val="bottom"/>
          </w:tcPr>
          <w:p>
            <w:pPr>
              <w:spacing w:after="0"/>
              <w:rPr>
                <w:sz w:val="14"/>
                <w:szCs w:val="14"/>
                <w:color w:val="auto"/>
              </w:rPr>
            </w:pPr>
          </w:p>
        </w:tc>
      </w:tr>
      <w:tr>
        <w:trPr>
          <w:trHeight w:val="205"/>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gridSpan w:val="3"/>
          </w:tcPr>
          <w:p>
            <w:pPr>
              <w:jc w:val="right"/>
              <w:ind w:right="551"/>
              <w:spacing w:after="0"/>
              <w:rPr>
                <w:sz w:val="20"/>
                <w:szCs w:val="20"/>
                <w:color w:val="auto"/>
              </w:rPr>
            </w:pPr>
            <w:r>
              <w:rPr>
                <w:rFonts w:ascii="Arial" w:cs="Arial" w:eastAsia="Arial" w:hAnsi="Arial"/>
                <w:sz w:val="14"/>
                <w:szCs w:val="14"/>
                <w:b w:val="1"/>
                <w:bCs w:val="1"/>
                <w:color w:val="auto"/>
                <w:w w:val="95"/>
              </w:rPr>
              <w:t>Acquisition</w:t>
            </w:r>
            <w:r>
              <w:rPr>
                <w:rFonts w:ascii="Arial" w:cs="Arial" w:eastAsia="Arial" w:hAnsi="Arial"/>
                <w:sz w:val="17"/>
                <w:szCs w:val="17"/>
                <w:b w:val="1"/>
                <w:bCs w:val="1"/>
                <w:color w:val="auto"/>
                <w:w w:val="95"/>
                <w:vertAlign w:val="superscript"/>
              </w:rPr>
              <w:t>(2)</w:t>
            </w:r>
          </w:p>
        </w:tc>
        <w:tc>
          <w:tcPr>
            <w:tcW w:w="2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200" w:type="dxa"/>
            <w:vAlign w:val="bottom"/>
          </w:tcPr>
          <w:p>
            <w:pPr>
              <w:spacing w:after="0"/>
              <w:rPr>
                <w:sz w:val="17"/>
                <w:szCs w:val="17"/>
                <w:color w:val="auto"/>
              </w:rPr>
            </w:pPr>
          </w:p>
        </w:tc>
      </w:tr>
      <w:tr>
        <w:trPr>
          <w:trHeight w:val="151"/>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center"/>
              <w:spacing w:after="0" w:line="151" w:lineRule="exact"/>
              <w:rPr>
                <w:sz w:val="20"/>
                <w:szCs w:val="20"/>
                <w:color w:val="auto"/>
              </w:rPr>
            </w:pPr>
            <w:r>
              <w:rPr>
                <w:rFonts w:ascii="Arial" w:cs="Arial" w:eastAsia="Arial" w:hAnsi="Arial"/>
                <w:sz w:val="14"/>
                <w:szCs w:val="14"/>
                <w:b w:val="1"/>
                <w:bCs w:val="1"/>
                <w:color w:val="auto"/>
                <w:w w:val="97"/>
              </w:rPr>
              <w:t>For the Three Months Ended</w:t>
            </w:r>
          </w:p>
        </w:tc>
        <w:tc>
          <w:tcPr>
            <w:tcW w:w="240" w:type="dxa"/>
            <w:vAlign w:val="bottom"/>
          </w:tcPr>
          <w:p>
            <w:pPr>
              <w:spacing w:after="0"/>
              <w:rPr>
                <w:sz w:val="13"/>
                <w:szCs w:val="13"/>
                <w:color w:val="auto"/>
              </w:rPr>
            </w:pPr>
          </w:p>
        </w:tc>
        <w:tc>
          <w:tcPr>
            <w:tcW w:w="2120" w:type="dxa"/>
            <w:vAlign w:val="bottom"/>
            <w:gridSpan w:val="3"/>
          </w:tcPr>
          <w:p>
            <w:pPr>
              <w:jc w:val="center"/>
              <w:spacing w:after="0" w:line="151" w:lineRule="exact"/>
              <w:rPr>
                <w:sz w:val="20"/>
                <w:szCs w:val="20"/>
                <w:color w:val="auto"/>
              </w:rPr>
            </w:pPr>
            <w:r>
              <w:rPr>
                <w:rFonts w:ascii="Arial" w:cs="Arial" w:eastAsia="Arial" w:hAnsi="Arial"/>
                <w:sz w:val="14"/>
                <w:szCs w:val="14"/>
                <w:b w:val="1"/>
                <w:bCs w:val="1"/>
                <w:color w:val="auto"/>
                <w:w w:val="97"/>
              </w:rPr>
              <w:t>For the Nine Months Ended</w:t>
            </w:r>
          </w:p>
        </w:tc>
        <w:tc>
          <w:tcPr>
            <w:tcW w:w="200" w:type="dxa"/>
            <w:vAlign w:val="bottom"/>
          </w:tcPr>
          <w:p>
            <w:pPr>
              <w:spacing w:after="0"/>
              <w:rPr>
                <w:sz w:val="13"/>
                <w:szCs w:val="13"/>
                <w:color w:val="auto"/>
              </w:rPr>
            </w:pPr>
          </w:p>
        </w:tc>
      </w:tr>
      <w:tr>
        <w:trPr>
          <w:trHeight w:val="189"/>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2C6937"/>
            </w:tcBorders>
            <w:gridSpan w:val="4"/>
          </w:tcPr>
          <w:p>
            <w:pPr>
              <w:jc w:val="center"/>
              <w:ind w:left="251"/>
              <w:spacing w:after="0"/>
              <w:rPr>
                <w:sz w:val="20"/>
                <w:szCs w:val="20"/>
                <w:color w:val="auto"/>
              </w:rPr>
            </w:pPr>
            <w:r>
              <w:rPr>
                <w:rFonts w:ascii="Arial" w:cs="Arial" w:eastAsia="Arial" w:hAnsi="Arial"/>
                <w:sz w:val="14"/>
                <w:szCs w:val="14"/>
                <w:b w:val="1"/>
                <w:bCs w:val="1"/>
                <w:color w:val="auto"/>
                <w:w w:val="98"/>
              </w:rPr>
              <w:t>September 30,</w:t>
            </w:r>
          </w:p>
        </w:tc>
        <w:tc>
          <w:tcPr>
            <w:tcW w:w="32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6"/>
                <w:szCs w:val="16"/>
                <w:color w:val="auto"/>
              </w:rPr>
            </w:pPr>
          </w:p>
        </w:tc>
      </w:tr>
      <w:tr>
        <w:trPr>
          <w:trHeight w:val="199"/>
        </w:trPr>
        <w:tc>
          <w:tcPr>
            <w:tcW w:w="2640" w:type="dxa"/>
            <w:vAlign w:val="bottom"/>
            <w:gridSpan w:val="2"/>
          </w:tcPr>
          <w:p>
            <w:pPr>
              <w:spacing w:after="0"/>
              <w:rPr>
                <w:sz w:val="17"/>
                <w:szCs w:val="17"/>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2C6937"/>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7"/>
                <w:szCs w:val="17"/>
                <w:color w:val="auto"/>
              </w:rPr>
            </w:pPr>
          </w:p>
        </w:tc>
        <w:tc>
          <w:tcPr>
            <w:tcW w:w="9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7"/>
                <w:szCs w:val="17"/>
                <w:color w:val="auto"/>
              </w:rPr>
            </w:pPr>
          </w:p>
        </w:tc>
      </w:tr>
      <w:tr>
        <w:trPr>
          <w:trHeight w:val="198"/>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Product type: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71"/>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Fixed-rate:</w:t>
            </w:r>
            <w:r>
              <w:rPr>
                <w:rFonts w:ascii="Arial" w:cs="Arial" w:eastAsia="Arial" w:hAnsi="Arial"/>
                <w:sz w:val="17"/>
                <w:szCs w:val="17"/>
                <w:color w:val="auto"/>
                <w:vertAlign w:val="superscript"/>
              </w:rPr>
              <w:t>(9)</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14"/>
        </w:trPr>
        <w:tc>
          <w:tcPr>
            <w:tcW w:w="3260" w:type="dxa"/>
            <w:vAlign w:val="bottom"/>
            <w:gridSpan w:val="3"/>
          </w:tcPr>
          <w:p>
            <w:pPr>
              <w:ind w:left="220"/>
              <w:spacing w:after="0"/>
              <w:rPr>
                <w:sz w:val="20"/>
                <w:szCs w:val="20"/>
                <w:color w:val="auto"/>
              </w:rPr>
            </w:pPr>
            <w:r>
              <w:rPr>
                <w:rFonts w:ascii="Arial" w:cs="Arial" w:eastAsia="Arial" w:hAnsi="Arial"/>
                <w:sz w:val="14"/>
                <w:szCs w:val="14"/>
                <w:color w:val="auto"/>
              </w:rPr>
              <w:t>Long-term</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22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93</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Intermediate-term</w:t>
            </w:r>
          </w:p>
        </w:tc>
        <w:tc>
          <w:tcPr>
            <w:tcW w:w="1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9"/>
                <w:szCs w:val="19"/>
                <w:color w:val="auto"/>
              </w:rPr>
            </w:pPr>
          </w:p>
        </w:tc>
      </w:tr>
      <w:tr>
        <w:trPr>
          <w:trHeight w:val="225"/>
        </w:trPr>
        <w:tc>
          <w:tcPr>
            <w:tcW w:w="25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fixed-rate</w:t>
            </w:r>
          </w:p>
        </w:tc>
        <w:tc>
          <w:tcPr>
            <w:tcW w:w="1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98</w:t>
            </w:r>
          </w:p>
        </w:tc>
        <w:tc>
          <w:tcPr>
            <w:tcW w:w="2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98</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98</w:t>
            </w:r>
          </w:p>
        </w:tc>
        <w:tc>
          <w:tcPr>
            <w:tcW w:w="200" w:type="dxa"/>
            <w:vAlign w:val="bottom"/>
          </w:tcPr>
          <w:p>
            <w:pPr>
              <w:spacing w:after="0"/>
              <w:rPr>
                <w:sz w:val="19"/>
                <w:szCs w:val="19"/>
                <w:color w:val="auto"/>
              </w:rPr>
            </w:pPr>
          </w:p>
        </w:tc>
      </w:tr>
      <w:tr>
        <w:trPr>
          <w:trHeight w:val="225"/>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9"/>
                <w:szCs w:val="19"/>
                <w:color w:val="auto"/>
              </w:rPr>
            </w:pPr>
          </w:p>
        </w:tc>
      </w:tr>
      <w:tr>
        <w:trPr>
          <w:trHeight w:val="226"/>
        </w:trPr>
        <w:tc>
          <w:tcPr>
            <w:tcW w:w="25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 of property units: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3"/>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1 unit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22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97</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2-4 units</w:t>
            </w:r>
          </w:p>
        </w:tc>
        <w:tc>
          <w:tcPr>
            <w:tcW w:w="1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9"/>
                <w:szCs w:val="19"/>
                <w:color w:val="auto"/>
              </w:rPr>
            </w:pPr>
          </w:p>
        </w:tc>
      </w:tr>
      <w:tr>
        <w:trPr>
          <w:trHeight w:val="226"/>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Property type: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3"/>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Single-family homes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22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92</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Condo/Co-op</w:t>
            </w:r>
          </w:p>
        </w:tc>
        <w:tc>
          <w:tcPr>
            <w:tcW w:w="1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w:t>
            </w:r>
          </w:p>
        </w:tc>
        <w:tc>
          <w:tcPr>
            <w:tcW w:w="2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9"/>
                <w:szCs w:val="19"/>
                <w:color w:val="auto"/>
              </w:rPr>
            </w:pPr>
          </w:p>
        </w:tc>
      </w:tr>
      <w:tr>
        <w:trPr>
          <w:trHeight w:val="226"/>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Occupancy type: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2"/>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Primary residence</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95</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Second/vacation home</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0"/>
                <w:szCs w:val="20"/>
                <w:color w:val="auto"/>
              </w:rPr>
            </w:pPr>
          </w:p>
        </w:tc>
      </w:tr>
      <w:tr>
        <w:trPr>
          <w:trHeight w:val="233"/>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Investor</w:t>
            </w:r>
          </w:p>
        </w:tc>
        <w:tc>
          <w:tcPr>
            <w:tcW w:w="120" w:type="dxa"/>
            <w:vAlign w:val="bottom"/>
          </w:tcPr>
          <w:p>
            <w:pPr>
              <w:spacing w:after="0"/>
              <w:rPr>
                <w:sz w:val="20"/>
                <w:szCs w:val="20"/>
                <w:color w:val="auto"/>
              </w:rPr>
            </w:pPr>
          </w:p>
        </w:tc>
        <w:tc>
          <w:tcPr>
            <w:tcW w:w="620" w:type="dxa"/>
            <w:vAlign w:val="bottom"/>
            <w:tcBorders>
              <w:bottom w:val="single" w:sz="8" w:color="2C6937"/>
            </w:tcBorders>
          </w:tcPr>
          <w:p>
            <w:pPr>
              <w:spacing w:after="0"/>
              <w:rPr>
                <w:sz w:val="20"/>
                <w:szCs w:val="20"/>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20"/>
                <w:szCs w:val="20"/>
                <w:color w:val="auto"/>
              </w:rPr>
            </w:pPr>
          </w:p>
        </w:tc>
        <w:tc>
          <w:tcPr>
            <w:tcW w:w="620" w:type="dxa"/>
            <w:vAlign w:val="bottom"/>
            <w:tcBorders>
              <w:bottom w:val="single" w:sz="8" w:color="2C6937"/>
            </w:tcBorders>
          </w:tcPr>
          <w:p>
            <w:pPr>
              <w:spacing w:after="0"/>
              <w:rPr>
                <w:sz w:val="20"/>
                <w:szCs w:val="20"/>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0"/>
                <w:szCs w:val="20"/>
                <w:color w:val="auto"/>
              </w:rPr>
            </w:pPr>
          </w:p>
        </w:tc>
      </w:tr>
      <w:tr>
        <w:trPr>
          <w:trHeight w:val="226"/>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Loan purpose: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Purchase</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6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80</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Cash-out refinance</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0"/>
                <w:szCs w:val="20"/>
                <w:color w:val="auto"/>
              </w:rPr>
            </w:pPr>
          </w:p>
        </w:tc>
      </w:tr>
      <w:tr>
        <w:trPr>
          <w:trHeight w:val="233"/>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Other refinance</w:t>
            </w:r>
          </w:p>
        </w:tc>
        <w:tc>
          <w:tcPr>
            <w:tcW w:w="120" w:type="dxa"/>
            <w:vAlign w:val="bottom"/>
          </w:tcPr>
          <w:p>
            <w:pPr>
              <w:spacing w:after="0"/>
              <w:rPr>
                <w:sz w:val="20"/>
                <w:szCs w:val="20"/>
                <w:color w:val="auto"/>
              </w:rPr>
            </w:pPr>
          </w:p>
        </w:tc>
        <w:tc>
          <w:tcPr>
            <w:tcW w:w="620" w:type="dxa"/>
            <w:vAlign w:val="bottom"/>
            <w:tcBorders>
              <w:bottom w:val="single" w:sz="8" w:color="2C6937"/>
            </w:tcBorders>
          </w:tcPr>
          <w:p>
            <w:pPr>
              <w:spacing w:after="0"/>
              <w:rPr>
                <w:sz w:val="20"/>
                <w:szCs w:val="20"/>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tcPr>
          <w:p>
            <w:pPr>
              <w:spacing w:after="0"/>
              <w:rPr>
                <w:sz w:val="20"/>
                <w:szCs w:val="20"/>
                <w:color w:val="auto"/>
              </w:rPr>
            </w:pPr>
          </w:p>
        </w:tc>
        <w:tc>
          <w:tcPr>
            <w:tcW w:w="620" w:type="dxa"/>
            <w:vAlign w:val="bottom"/>
            <w:tcBorders>
              <w:bottom w:val="single" w:sz="8" w:color="2C6937"/>
            </w:tcBorders>
          </w:tcPr>
          <w:p>
            <w:pPr>
              <w:spacing w:after="0"/>
              <w:rPr>
                <w:sz w:val="20"/>
                <w:szCs w:val="20"/>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0"/>
                <w:szCs w:val="20"/>
                <w:color w:val="auto"/>
              </w:rPr>
            </w:pPr>
          </w:p>
        </w:tc>
      </w:tr>
      <w:tr>
        <w:trPr>
          <w:trHeight w:val="226"/>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5"/>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(10)</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199"/>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Midwest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6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Northeast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0"/>
                <w:szCs w:val="20"/>
                <w:color w:val="auto"/>
              </w:rPr>
            </w:pPr>
          </w:p>
        </w:tc>
      </w:tr>
      <w:tr>
        <w:trPr>
          <w:trHeight w:val="232"/>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Southeast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20"/>
                <w:szCs w:val="20"/>
                <w:color w:val="auto"/>
              </w:rPr>
            </w:pPr>
          </w:p>
        </w:tc>
      </w:tr>
      <w:tr>
        <w:trPr>
          <w:trHeight w:val="232"/>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Southwest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20"/>
                <w:szCs w:val="20"/>
                <w:color w:val="auto"/>
              </w:rPr>
            </w:pPr>
          </w:p>
        </w:tc>
      </w:tr>
      <w:tr>
        <w:trPr>
          <w:trHeight w:val="233"/>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20" w:type="dxa"/>
            <w:vAlign w:val="bottom"/>
          </w:tcPr>
          <w:p>
            <w:pPr>
              <w:spacing w:after="0"/>
              <w:rPr>
                <w:sz w:val="20"/>
                <w:szCs w:val="20"/>
                <w:color w:val="auto"/>
              </w:rPr>
            </w:pPr>
          </w:p>
        </w:tc>
        <w:tc>
          <w:tcPr>
            <w:tcW w:w="620" w:type="dxa"/>
            <w:vAlign w:val="bottom"/>
            <w:tcBorders>
              <w:bottom w:val="single" w:sz="8" w:color="2C6937"/>
            </w:tcBorders>
          </w:tcPr>
          <w:p>
            <w:pPr>
              <w:spacing w:after="0"/>
              <w:rPr>
                <w:sz w:val="20"/>
                <w:szCs w:val="20"/>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w:t>
            </w:r>
          </w:p>
        </w:tc>
        <w:tc>
          <w:tcPr>
            <w:tcW w:w="220" w:type="dxa"/>
            <w:vAlign w:val="bottom"/>
          </w:tcPr>
          <w:p>
            <w:pPr>
              <w:spacing w:after="0"/>
              <w:rPr>
                <w:sz w:val="20"/>
                <w:szCs w:val="20"/>
                <w:color w:val="auto"/>
              </w:rPr>
            </w:pPr>
          </w:p>
        </w:tc>
        <w:tc>
          <w:tcPr>
            <w:tcW w:w="620" w:type="dxa"/>
            <w:vAlign w:val="bottom"/>
            <w:tcBorders>
              <w:bottom w:val="single" w:sz="8" w:color="2C6937"/>
            </w:tcBorders>
          </w:tcPr>
          <w:p>
            <w:pPr>
              <w:spacing w:after="0"/>
              <w:rPr>
                <w:sz w:val="20"/>
                <w:szCs w:val="20"/>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20"/>
                <w:szCs w:val="20"/>
                <w:color w:val="auto"/>
              </w:rPr>
            </w:pPr>
          </w:p>
        </w:tc>
      </w:tr>
      <w:tr>
        <w:trPr>
          <w:trHeight w:val="226"/>
        </w:trPr>
        <w:tc>
          <w:tcPr>
            <w:tcW w:w="3260" w:type="dxa"/>
            <w:vAlign w:val="bottom"/>
            <w:gridSpan w:val="3"/>
          </w:tcPr>
          <w:p>
            <w:pPr>
              <w:ind w:left="220"/>
              <w:spacing w:after="0"/>
              <w:rPr>
                <w:sz w:val="20"/>
                <w:szCs w:val="20"/>
                <w:color w:val="auto"/>
              </w:rPr>
            </w:pPr>
            <w:r>
              <w:rPr>
                <w:rFonts w:ascii="Arial" w:cs="Arial" w:eastAsia="Arial" w:hAnsi="Arial"/>
                <w:sz w:val="14"/>
                <w:szCs w:val="14"/>
                <w:color w:val="auto"/>
              </w:rPr>
              <w:t>Total</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Origination year: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3260" w:type="dxa"/>
            <w:vAlign w:val="bottom"/>
            <w:gridSpan w:val="3"/>
          </w:tcPr>
          <w:p>
            <w:pPr>
              <w:ind w:left="120"/>
              <w:spacing w:after="0"/>
              <w:rPr>
                <w:sz w:val="20"/>
                <w:szCs w:val="20"/>
                <w:color w:val="auto"/>
              </w:rPr>
            </w:pPr>
            <w:r>
              <w:rPr>
                <w:rFonts w:ascii="Arial" w:cs="Arial" w:eastAsia="Arial" w:hAnsi="Arial"/>
                <w:sz w:val="14"/>
                <w:szCs w:val="14"/>
                <w:color w:val="auto"/>
              </w:rPr>
              <w:t>2020 and prior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2520" w:type="dxa"/>
            <w:vAlign w:val="bottom"/>
          </w:tcPr>
          <w:p>
            <w:pPr>
              <w:ind w:left="1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5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2022</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2023</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2024</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2025</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6046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604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04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604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spacing w:after="0" w:line="193" w:lineRule="exact"/>
        <w:rPr>
          <w:sz w:val="20"/>
          <w:szCs w:val="20"/>
          <w:color w:val="auto"/>
        </w:rPr>
      </w:pPr>
    </w:p>
    <w:p>
      <w:pPr>
        <w:ind w:left="200" w:hanging="197"/>
        <w:spacing w:after="0"/>
        <w:tabs>
          <w:tab w:leader="none" w:pos="2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business volume or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401955</wp:posOffset>
            </wp:positionV>
            <wp:extent cx="70072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Percent of Single-Family Conventional</w:t>
      </w:r>
    </w:p>
    <w:p>
      <w:pPr>
        <w:ind w:left="980"/>
        <w:spacing w:after="0" w:line="183" w:lineRule="auto"/>
        <w:rPr>
          <w:sz w:val="20"/>
          <w:szCs w:val="20"/>
          <w:color w:val="auto"/>
        </w:rPr>
      </w:pPr>
      <w:r>
        <w:rPr>
          <w:rFonts w:ascii="Arial" w:cs="Arial" w:eastAsia="Arial" w:hAnsi="Arial"/>
          <w:sz w:val="14"/>
          <w:szCs w:val="14"/>
          <w:b w:val="1"/>
          <w:bCs w:val="1"/>
          <w:color w:val="auto"/>
        </w:rPr>
        <w:t>Guaranty Book of Business</w:t>
      </w:r>
      <w:r>
        <w:rPr>
          <w:rFonts w:ascii="Arial" w:cs="Arial" w:eastAsia="Arial" w:hAnsi="Arial"/>
          <w:sz w:val="17"/>
          <w:szCs w:val="17"/>
          <w:b w:val="1"/>
          <w:bCs w:val="1"/>
          <w:color w:val="auto"/>
          <w:vertAlign w:val="superscript"/>
        </w:rPr>
        <w:t>(3)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24720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72055"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Borders>
              <w:bottom w:val="single" w:sz="8" w:color="2C6937"/>
            </w:tcBorders>
          </w:tcPr>
          <w:p>
            <w:pPr>
              <w:jc w:val="right"/>
              <w:ind w:right="151"/>
              <w:spacing w:after="0"/>
              <w:rPr>
                <w:sz w:val="20"/>
                <w:szCs w:val="20"/>
                <w:color w:val="auto"/>
              </w:rPr>
            </w:pPr>
            <w:r>
              <w:rPr>
                <w:rFonts w:ascii="Arial" w:cs="Arial" w:eastAsia="Arial" w:hAnsi="Arial"/>
                <w:sz w:val="14"/>
                <w:szCs w:val="14"/>
                <w:b w:val="1"/>
                <w:bCs w:val="1"/>
                <w:color w:val="auto"/>
              </w:rPr>
              <w:t>September 30, 2026</w:t>
            </w:r>
          </w:p>
        </w:tc>
        <w:tc>
          <w:tcPr>
            <w:tcW w:w="240" w:type="dxa"/>
            <w:vAlign w:val="bottom"/>
          </w:tcPr>
          <w:p>
            <w:pPr>
              <w:spacing w:after="0"/>
              <w:rPr>
                <w:sz w:val="16"/>
                <w:szCs w:val="16"/>
                <w:color w:val="auto"/>
              </w:rPr>
            </w:pPr>
          </w:p>
        </w:tc>
        <w:tc>
          <w:tcPr>
            <w:tcW w:w="1700" w:type="dxa"/>
            <w:vAlign w:val="bottom"/>
            <w:tcBorders>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6"/>
                <w:szCs w:val="16"/>
                <w:color w:val="auto"/>
              </w:rPr>
            </w:pPr>
          </w:p>
        </w:tc>
      </w:tr>
      <w:tr>
        <w:trPr>
          <w:trHeight w:val="675"/>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20"/>
                <w:szCs w:val="20"/>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20"/>
                <w:szCs w:val="20"/>
                <w:color w:val="auto"/>
              </w:rPr>
            </w:pPr>
          </w:p>
        </w:tc>
      </w:tr>
      <w:tr>
        <w:trPr>
          <w:trHeight w:val="225"/>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180" w:type="dxa"/>
            <w:vAlign w:val="bottom"/>
          </w:tcPr>
          <w:p>
            <w:pPr>
              <w:spacing w:after="0"/>
              <w:rPr>
                <w:sz w:val="19"/>
                <w:szCs w:val="19"/>
                <w:color w:val="auto"/>
              </w:rPr>
            </w:pPr>
          </w:p>
        </w:tc>
      </w:tr>
      <w:tr>
        <w:trPr>
          <w:trHeight w:val="225"/>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9"/>
                <w:szCs w:val="19"/>
                <w:color w:val="auto"/>
              </w:rPr>
            </w:pPr>
          </w:p>
        </w:tc>
      </w:tr>
      <w:tr>
        <w:trPr>
          <w:trHeight w:val="226"/>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4"/>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20"/>
                <w:szCs w:val="20"/>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0"/>
                <w:szCs w:val="20"/>
                <w:color w:val="auto"/>
              </w:rPr>
            </w:pPr>
          </w:p>
        </w:tc>
      </w:tr>
      <w:tr>
        <w:trPr>
          <w:trHeight w:val="226"/>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4"/>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20"/>
                <w:szCs w:val="20"/>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20"/>
                <w:szCs w:val="20"/>
                <w:color w:val="auto"/>
              </w:rPr>
            </w:pPr>
          </w:p>
        </w:tc>
      </w:tr>
      <w:tr>
        <w:trPr>
          <w:trHeight w:val="226"/>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0"/>
                <w:szCs w:val="20"/>
                <w:color w:val="auto"/>
              </w:rPr>
            </w:pPr>
          </w:p>
        </w:tc>
      </w:tr>
      <w:tr>
        <w:trPr>
          <w:trHeight w:val="23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20"/>
                <w:szCs w:val="20"/>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20"/>
                <w:szCs w:val="20"/>
                <w:color w:val="auto"/>
              </w:rPr>
            </w:pPr>
          </w:p>
        </w:tc>
      </w:tr>
      <w:tr>
        <w:trPr>
          <w:trHeight w:val="226"/>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4"/>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51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20"/>
                <w:szCs w:val="20"/>
                <w:color w:val="auto"/>
              </w:rPr>
            </w:pPr>
          </w:p>
        </w:tc>
      </w:tr>
      <w:tr>
        <w:trPr>
          <w:trHeight w:val="23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31</w:t>
            </w:r>
          </w:p>
        </w:tc>
        <w:tc>
          <w:tcPr>
            <w:tcW w:w="240" w:type="dxa"/>
            <w:vAlign w:val="bottom"/>
          </w:tcPr>
          <w:p>
            <w:pPr>
              <w:spacing w:after="0"/>
              <w:rPr>
                <w:sz w:val="20"/>
                <w:szCs w:val="20"/>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20"/>
                <w:szCs w:val="20"/>
                <w:color w:val="auto"/>
              </w:rPr>
            </w:pPr>
          </w:p>
        </w:tc>
      </w:tr>
      <w:tr>
        <w:trPr>
          <w:trHeight w:val="226"/>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4"/>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20"/>
                <w:szCs w:val="20"/>
                <w:color w:val="auto"/>
              </w:rPr>
            </w:pPr>
          </w:p>
        </w:tc>
      </w:tr>
      <w:tr>
        <w:trPr>
          <w:trHeight w:val="232"/>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20"/>
                <w:szCs w:val="20"/>
                <w:color w:val="auto"/>
              </w:rPr>
            </w:pPr>
          </w:p>
        </w:tc>
      </w:tr>
      <w:tr>
        <w:trPr>
          <w:trHeight w:val="232"/>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20"/>
                <w:szCs w:val="20"/>
                <w:color w:val="auto"/>
              </w:rPr>
            </w:pPr>
          </w:p>
        </w:tc>
      </w:tr>
      <w:tr>
        <w:trPr>
          <w:trHeight w:val="23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20"/>
                <w:szCs w:val="20"/>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20"/>
                <w:szCs w:val="20"/>
                <w:color w:val="auto"/>
              </w:rPr>
            </w:pPr>
          </w:p>
        </w:tc>
      </w:tr>
      <w:tr>
        <w:trPr>
          <w:trHeight w:val="226"/>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37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20"/>
                <w:szCs w:val="20"/>
                <w:color w:val="auto"/>
              </w:rPr>
            </w:pPr>
          </w:p>
        </w:tc>
      </w:tr>
      <w:tr>
        <w:trPr>
          <w:trHeight w:val="232"/>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20"/>
                <w:szCs w:val="20"/>
                <w:color w:val="auto"/>
              </w:rPr>
            </w:pPr>
          </w:p>
        </w:tc>
      </w:tr>
      <w:tr>
        <w:trPr>
          <w:trHeight w:val="232"/>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20"/>
                <w:szCs w:val="20"/>
                <w:color w:val="auto"/>
              </w:rPr>
            </w:pPr>
          </w:p>
        </w:tc>
      </w:tr>
      <w:tr>
        <w:trPr>
          <w:trHeight w:val="232"/>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20"/>
                <w:szCs w:val="20"/>
                <w:color w:val="auto"/>
              </w:rPr>
            </w:pPr>
          </w:p>
        </w:tc>
      </w:tr>
      <w:tr>
        <w:trPr>
          <w:trHeight w:val="232"/>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20"/>
                <w:szCs w:val="20"/>
                <w:color w:val="auto"/>
              </w:rPr>
            </w:pPr>
          </w:p>
        </w:tc>
      </w:tr>
      <w:tr>
        <w:trPr>
          <w:trHeight w:val="23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20"/>
                <w:szCs w:val="20"/>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r>
      <w:tr>
        <w:trPr>
          <w:trHeight w:val="226"/>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482" w:lineRule="exact"/>
        <w:rPr>
          <w:sz w:val="20"/>
          <w:szCs w:val="20"/>
          <w:color w:val="auto"/>
        </w:rPr>
      </w:pPr>
    </w:p>
    <w:p>
      <w:pPr>
        <w:sectPr>
          <w:pgSz w:w="11900" w:h="16838" w:orient="portrait"/>
          <w:cols w:equalWidth="0" w:num="2">
            <w:col w:w="7300" w:space="60"/>
            <w:col w:w="3880"/>
          </w:cols>
          <w:pgMar w:left="320" w:top="261"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24</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27" w:name="page28"/>
    <w:bookmarkEnd w:id="27"/>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hanging="217"/>
        <w:spacing w:after="0"/>
        <w:tabs>
          <w:tab w:leader="none" w:pos="2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Second-lien mortgage loans held by third parties are not reflected in the original LTV or the estimated mark-to-market LTV ratios in this table.</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UPB of single-family loans for each category at time of acquisition.</w:t>
      </w:r>
    </w:p>
    <w:p>
      <w:pPr>
        <w:spacing w:after="0" w:line="38" w:lineRule="exact"/>
        <w:rPr>
          <w:rFonts w:ascii="Arial" w:cs="Arial" w:eastAsia="Arial" w:hAnsi="Arial"/>
          <w:sz w:val="18"/>
          <w:szCs w:val="18"/>
          <w:color w:val="auto"/>
          <w:vertAlign w:val="superscript"/>
        </w:rPr>
      </w:pPr>
    </w:p>
    <w:p>
      <w:pPr>
        <w:ind w:left="240" w:right="120" w:hanging="237"/>
        <w:spacing w:after="0" w:line="219" w:lineRule="auto"/>
        <w:tabs>
          <w:tab w:leader="none" w:pos="233"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UPB of single-family loans for each category divided by the aggregate UPB of loans in our single-family conventional guaranty book of business as of the end of each period.</w:t>
      </w:r>
    </w:p>
    <w:p>
      <w:pPr>
        <w:spacing w:after="0" w:line="13" w:lineRule="exact"/>
        <w:rPr>
          <w:rFonts w:ascii="Arial" w:cs="Arial" w:eastAsia="Arial" w:hAnsi="Arial"/>
          <w:sz w:val="18"/>
          <w:szCs w:val="18"/>
          <w:color w:val="auto"/>
          <w:vertAlign w:val="superscript"/>
        </w:rPr>
      </w:pPr>
    </w:p>
    <w:p>
      <w:pPr>
        <w:ind w:left="240" w:right="140" w:hanging="237"/>
        <w:spacing w:after="0" w:line="275" w:lineRule="auto"/>
        <w:tabs>
          <w:tab w:leader="none" w:pos="233" w:val="left"/>
        </w:tabs>
        <w:numPr>
          <w:ilvl w:val="0"/>
          <w:numId w:val="22"/>
        </w:numPr>
        <w:rPr>
          <w:rFonts w:ascii="Arial" w:cs="Arial" w:eastAsia="Arial" w:hAnsi="Arial"/>
          <w:sz w:val="9"/>
          <w:szCs w:val="9"/>
          <w:color w:val="auto"/>
        </w:rPr>
      </w:pPr>
      <w:r>
        <w:rPr>
          <w:rFonts w:ascii="Arial" w:cs="Arial" w:eastAsia="Arial" w:hAnsi="Arial"/>
          <w:sz w:val="14"/>
          <w:szCs w:val="14"/>
          <w:color w:val="auto"/>
        </w:rPr>
        <w:t>The original LTV ratio generally is based on the original UPB of the loan divided by the appraised property value reported to us at the time of acquisition of the loan. Excludes loans for which this information is not readily available.</w:t>
      </w:r>
    </w:p>
    <w:p>
      <w:pPr>
        <w:spacing w:after="0" w:line="4" w:lineRule="exact"/>
        <w:rPr>
          <w:rFonts w:ascii="Arial" w:cs="Arial" w:eastAsia="Arial" w:hAnsi="Arial"/>
          <w:sz w:val="9"/>
          <w:szCs w:val="9"/>
          <w:color w:val="auto"/>
        </w:rPr>
      </w:pPr>
    </w:p>
    <w:p>
      <w:pPr>
        <w:ind w:left="240" w:right="60" w:hanging="237"/>
        <w:spacing w:after="0" w:line="233" w:lineRule="auto"/>
        <w:tabs>
          <w:tab w:leader="none" w:pos="233"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aggregate estimated mark-to-market LTV ratio is based on the UPB of the loan as of the end of each reported period divided by the estimated current value of the property, which we calculate using an internal valuation model that is used in our home price forecast to estimate periodic changes in home value. Excludes loans for which this information is not readily available.</w:t>
      </w:r>
    </w:p>
    <w:p>
      <w:pPr>
        <w:spacing w:after="0" w:line="15" w:lineRule="exact"/>
        <w:rPr>
          <w:rFonts w:ascii="Arial" w:cs="Arial" w:eastAsia="Arial" w:hAnsi="Arial"/>
          <w:sz w:val="18"/>
          <w:szCs w:val="18"/>
          <w:color w:val="auto"/>
          <w:vertAlign w:val="superscript"/>
        </w:rPr>
      </w:pPr>
    </w:p>
    <w:p>
      <w:pPr>
        <w:ind w:left="240" w:right="780" w:hanging="237"/>
        <w:spacing w:after="0" w:line="296" w:lineRule="auto"/>
        <w:tabs>
          <w:tab w:leader="none" w:pos="233" w:val="left"/>
        </w:tabs>
        <w:numPr>
          <w:ilvl w:val="0"/>
          <w:numId w:val="22"/>
        </w:numPr>
        <w:rPr>
          <w:rFonts w:ascii="Arial" w:cs="Arial" w:eastAsia="Arial" w:hAnsi="Arial"/>
          <w:sz w:val="8"/>
          <w:szCs w:val="8"/>
          <w:color w:val="auto"/>
        </w:rPr>
      </w:pPr>
      <w:r>
        <w:rPr>
          <w:rFonts w:ascii="Arial" w:cs="Arial" w:eastAsia="Arial" w:hAnsi="Arial"/>
          <w:sz w:val="13"/>
          <w:szCs w:val="13"/>
          <w:color w:val="auto"/>
        </w:rPr>
        <w:t>Credit score at origination is presented based on the score used for loan pricing and eligibility at the time of loan delivery. Excludes loans for which either classic FICO or VantageScore 4.0 credit scores were unavailable, which represented less than 0.5% of single-family conventional business volume or guaranty book of business.</w:t>
      </w:r>
    </w:p>
    <w:p>
      <w:pPr>
        <w:spacing w:after="0" w:line="5" w:lineRule="exact"/>
        <w:rPr>
          <w:rFonts w:ascii="Arial" w:cs="Arial" w:eastAsia="Arial" w:hAnsi="Arial"/>
          <w:sz w:val="8"/>
          <w:szCs w:val="8"/>
          <w:color w:val="auto"/>
        </w:rPr>
      </w:pPr>
    </w:p>
    <w:p>
      <w:pPr>
        <w:ind w:left="240" w:right="120" w:hanging="237"/>
        <w:spacing w:after="0" w:line="226" w:lineRule="auto"/>
        <w:tabs>
          <w:tab w:leader="none" w:pos="233"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Credit score distributions are not presented for VantageScore 4.0 loans because such loans represented only 6% of acquisitions for the third quarter of 2026 and 2% of acquisitions for the first nine months of 2026. We did not acquire any loans using VantageScore 4.0 credit scores in 2025.</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Excludes loans for which this information is not readily available.</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Long-term fixed-rate consists of mortgage loans with maturities greater than 15 years, while intermediate-term fixed-rate loans have maturities equal to or less than 15 years.</w:t>
      </w:r>
    </w:p>
    <w:p>
      <w:pPr>
        <w:spacing w:after="0" w:line="25" w:lineRule="exact"/>
        <w:rPr>
          <w:rFonts w:ascii="Arial" w:cs="Arial" w:eastAsia="Arial" w:hAnsi="Arial"/>
          <w:sz w:val="18"/>
          <w:szCs w:val="18"/>
          <w:color w:val="auto"/>
          <w:vertAlign w:val="superscript"/>
        </w:rPr>
      </w:pPr>
    </w:p>
    <w:p>
      <w:pPr>
        <w:ind w:left="240" w:right="180" w:hanging="237"/>
        <w:spacing w:after="0" w:line="299" w:lineRule="auto"/>
        <w:tabs>
          <w:tab w:leader="none" w:pos="231" w:val="left"/>
        </w:tabs>
        <w:numPr>
          <w:ilvl w:val="0"/>
          <w:numId w:val="22"/>
        </w:numPr>
        <w:rPr>
          <w:rFonts w:ascii="Arial" w:cs="Arial" w:eastAsia="Arial" w:hAnsi="Arial"/>
          <w:sz w:val="8"/>
          <w:szCs w:val="8"/>
          <w:color w:val="auto"/>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14"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The percentage of loans we acquired with FICO credit scores less than 620 increased to 2% of our single-family loan acquisitions in the third quarter of 2026, from less than 0.5% of our third quarter 2025 single-family loan acquisitions, due to our removal of the 620 minimum FICO credit score requirement for loans submitted to Desktop Underwriter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(DU</w:t>
      </w:r>
      <w:r>
        <w:rPr>
          <w:rFonts w:ascii="Arial" w:cs="Arial" w:eastAsia="Arial" w:hAnsi="Arial"/>
          <w:sz w:val="21"/>
          <w:szCs w:val="21"/>
          <w:color w:val="auto"/>
          <w:vertAlign w:val="superscript"/>
        </w:rPr>
        <w:t>®</w:t>
      </w:r>
      <w:r>
        <w:rPr>
          <w:rFonts w:ascii="Arial" w:cs="Arial" w:eastAsia="Arial" w:hAnsi="Arial"/>
          <w:sz w:val="16"/>
          <w:szCs w:val="16"/>
          <w:color w:val="auto"/>
        </w:rPr>
        <w:t>) effective in November 2025; the 620 minimum credit score requirement was replaced with a minimum credit risk standard based on the credit risk factor evaluation within the DU credit risk assessment.</w:t>
      </w:r>
    </w:p>
    <w:p>
      <w:pPr>
        <w:spacing w:after="0" w:line="5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For a discussion of factors that may impact the volume and credit characteristics of loans we acquire in the future, see “MD&amp;A—Single-Family Business— Single-Family Mortgage Credit Risk Management—Single-Family Guaranty Book Diversification and Monitoring” in our 2025 Form 10-K. In this section of our 2025 Form 10-K, we also provide more information on the credit characteristics of loans in our single-family conventional guaranty book of business, including high-balance loans and adjustable-rate mortgages.</w:t>
      </w:r>
    </w:p>
    <w:p>
      <w:pPr>
        <w:spacing w:after="0" w:line="8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Problem Loan Management</w:t>
      </w:r>
    </w:p>
    <w:p>
      <w:pPr>
        <w:spacing w:after="0" w:line="10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Overview</w:t>
      </w:r>
    </w:p>
    <w:p>
      <w:pPr>
        <w:spacing w:after="0" w:line="80"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Our problem loan management strategies focus primarily on reducing defaults to avoid losses that would otherwise occur and pursuing foreclosure alternatives to mitigate the severity of the losses we incur. See “MD&amp;A—Single-Family Business—Single-Family Mortgage Credit Risk Management— Single-Family Problem Loan Management” in our 2025 Form 10-K for a discussion of delinquency statistics on our problem loans, efforts undertaken to manage our problem loans, metrics regarding our loan workout activities, REO management and other single-family credit-related information. The discussion below updates some of that information. We also provide ongoing credit performance information on loans underlying single-family Fannie Mae MBS and loans covered by single-family credit risk transfer transactions. For loans backing Fannie Mae MBS, see the “Forbearance and Delinquency Dashboard” available in the MBS section of our Data Dynamics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which is available at www.fanniemae.com/datadynamics. For loans covered by credit risk transfer transactions, see the “Deal Performance Data” report available in the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Credit Insurance Risk Transfer™ (“CIRT™”) sections of the tool. Information on our website is not incorporated into this report. Information in Data Dynamics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9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Credit Enhancement and Transfer of Mortgage Credit Risk</w:t>
      </w:r>
    </w:p>
    <w:p>
      <w:pPr>
        <w:spacing w:after="0" w:line="6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charter generally requires credit enhancement on any single-family conventional mortgage loan that we purchase or securitize if it has an LTV ratio over 80% at the time of acquisition. We generally achieve this through primary mortgage insurance. We also enter into various other types of transactions in which we transfer mortgage credit risk to third parties. For a discussion of our exposure to and management of the counterparty credit risk associated with the providers of these credit enhancements, see “MD&amp;A—Risk Management—Institutional Counterparty Credit Risk Management,” “Note 14, Concentrations of Credit Risk” and “Risk Factors—Credit Risk” in our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389890</wp:posOffset>
            </wp:positionV>
            <wp:extent cx="7007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25</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8" w:name="page29"/>
    <w:bookmarkEnd w:id="28"/>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20"/>
        <w:spacing w:after="0" w:line="263" w:lineRule="auto"/>
        <w:rPr>
          <w:sz w:val="20"/>
          <w:szCs w:val="20"/>
          <w:color w:val="auto"/>
        </w:rPr>
      </w:pPr>
      <w:r>
        <w:rPr>
          <w:rFonts w:ascii="Arial" w:cs="Arial" w:eastAsia="Arial" w:hAnsi="Arial"/>
          <w:sz w:val="16"/>
          <w:szCs w:val="16"/>
          <w:color w:val="auto"/>
        </w:rPr>
        <w:t>The table below displays information about loans in our single-family conventional guaranty book of business covered by one or more forms of credit enhancement, including mortgage insurance or a credit risk transfer transaction. The risk in force of our back-end single-family credit risk transfer transactions, which refers to the maximum amount of losses that could be absorbed by credit risk transfer investors, was approximately $37 billion as of September 30, 2026, compared with approximately $39 billion as of December 31, 2025. Our mortgage insurance risk in force, which refers to our maximum potential loss recovery under the applicable mortgage insurance policies in force, was approximately $203 billion as of September 30, 2026, compared with approximately $201 billion as of December 31, 2025.</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with Credit 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3"/>
          </w:tcPr>
          <w:p>
            <w:pPr>
              <w:jc w:val="right"/>
              <w:ind w:right="38"/>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2480" w:type="dxa"/>
            <w:vAlign w:val="bottom"/>
            <w:tcBorders>
              <w:bottom w:val="single" w:sz="8" w:color="2C6937"/>
            </w:tcBorders>
            <w:gridSpan w:val="3"/>
          </w:tcPr>
          <w:p>
            <w:pPr>
              <w:jc w:val="right"/>
              <w:ind w:right="645"/>
              <w:spacing w:after="0"/>
              <w:rPr>
                <w:sz w:val="20"/>
                <w:szCs w:val="20"/>
                <w:color w:val="auto"/>
              </w:rPr>
            </w:pPr>
            <w:r>
              <w:rPr>
                <w:rFonts w:ascii="Arial" w:cs="Arial" w:eastAsia="Arial" w:hAnsi="Arial"/>
                <w:sz w:val="14"/>
                <w:szCs w:val="14"/>
                <w:b w:val="1"/>
                <w:bCs w:val="1"/>
                <w:color w:val="auto"/>
              </w:rPr>
              <w:t>September 30, 2026</w:t>
            </w:r>
          </w:p>
        </w:tc>
        <w:tc>
          <w:tcPr>
            <w:tcW w:w="12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248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 Single-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Single-</w:t>
            </w:r>
          </w:p>
        </w:tc>
        <w:tc>
          <w:tcPr>
            <w:tcW w:w="0" w:type="dxa"/>
            <w:vAlign w:val="bottom"/>
          </w:tcPr>
          <w:p>
            <w:pPr>
              <w:spacing w:after="0"/>
              <w:rPr>
                <w:sz w:val="1"/>
                <w:szCs w:val="1"/>
                <w:color w:val="auto"/>
              </w:rPr>
            </w:pPr>
          </w:p>
        </w:tc>
      </w:tr>
      <w:tr>
        <w:trPr>
          <w:trHeight w:val="168"/>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Family Conventional</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Family Conventional</w:t>
            </w:r>
          </w:p>
        </w:tc>
        <w:tc>
          <w:tcPr>
            <w:tcW w:w="0" w:type="dxa"/>
            <w:vAlign w:val="bottom"/>
          </w:tcPr>
          <w:p>
            <w:pPr>
              <w:spacing w:after="0"/>
              <w:rPr>
                <w:sz w:val="1"/>
                <w:szCs w:val="1"/>
                <w:color w:val="auto"/>
              </w:rPr>
            </w:pPr>
          </w:p>
        </w:tc>
      </w:tr>
      <w:tr>
        <w:trPr>
          <w:trHeight w:val="168"/>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UPB</w:t>
            </w:r>
          </w:p>
        </w:tc>
        <w:tc>
          <w:tcPr>
            <w:tcW w:w="100" w:type="dxa"/>
            <w:vAlign w:val="bottom"/>
            <w:vMerge w:val="restart"/>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Guaranty Book of</w:t>
            </w:r>
          </w:p>
        </w:tc>
        <w:tc>
          <w:tcPr>
            <w:tcW w:w="240" w:type="dxa"/>
            <w:vAlign w:val="bottom"/>
          </w:tcPr>
          <w:p>
            <w:pPr>
              <w:spacing w:after="0"/>
              <w:rPr>
                <w:sz w:val="14"/>
                <w:szCs w:val="14"/>
                <w:color w:val="auto"/>
              </w:rPr>
            </w:pPr>
          </w:p>
        </w:tc>
        <w:tc>
          <w:tcPr>
            <w:tcW w:w="80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UPB</w:t>
            </w:r>
          </w:p>
        </w:tc>
        <w:tc>
          <w:tcPr>
            <w:tcW w:w="120" w:type="dxa"/>
            <w:vAlign w:val="bottom"/>
            <w:vMerge w:val="restart"/>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Guaranty Book of</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c>
          <w:tcPr>
            <w:tcW w:w="12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c>
          <w:tcPr>
            <w:tcW w:w="0" w:type="dxa"/>
            <w:vAlign w:val="bottom"/>
          </w:tcPr>
          <w:p>
            <w:pPr>
              <w:spacing w:after="0"/>
              <w:rPr>
                <w:sz w:val="1"/>
                <w:szCs w:val="1"/>
                <w:color w:val="auto"/>
              </w:rPr>
            </w:pPr>
          </w:p>
        </w:tc>
      </w:tr>
      <w:tr>
        <w:trPr>
          <w:trHeight w:val="198"/>
        </w:trPr>
        <w:tc>
          <w:tcPr>
            <w:tcW w:w="5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5"/>
          </w:tcPr>
          <w:p>
            <w:pPr>
              <w:ind w:left="940"/>
              <w:spacing w:after="0"/>
              <w:rPr>
                <w:sz w:val="20"/>
                <w:szCs w:val="20"/>
                <w:color w:val="auto"/>
              </w:rPr>
            </w:pPr>
            <w:r>
              <w:rPr>
                <w:rFonts w:ascii="Arial" w:cs="Arial" w:eastAsia="Arial" w:hAnsi="Arial"/>
                <w:sz w:val="14"/>
                <w:szCs w:val="14"/>
                <w:b w:val="1"/>
                <w:bCs w:val="1"/>
                <w:color w:val="auto"/>
              </w:rPr>
              <w:t>(Dollars in billions)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Primary mortgage insurance</w:t>
            </w:r>
          </w:p>
        </w:tc>
        <w:tc>
          <w:tcPr>
            <w:tcW w:w="240" w:type="dxa"/>
            <w:vAlign w:val="bottom"/>
          </w:tcPr>
          <w:p>
            <w:pPr>
              <w:jc w:val="right"/>
              <w:ind w:right="58"/>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759</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120" w:type="dxa"/>
            <w:vAlign w:val="bottom"/>
          </w:tcPr>
          <w:p>
            <w:pPr>
              <w:spacing w:after="0"/>
              <w:rPr>
                <w:sz w:val="22"/>
                <w:szCs w:val="22"/>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45"/>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Connecticut Avenue Securities</w:t>
            </w:r>
          </w:p>
        </w:tc>
        <w:tc>
          <w:tcPr>
            <w:tcW w:w="2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829</w:t>
            </w:r>
          </w:p>
        </w:tc>
        <w:tc>
          <w:tcPr>
            <w:tcW w:w="100" w:type="dxa"/>
            <w:vAlign w:val="bottom"/>
          </w:tcPr>
          <w:p>
            <w:pPr>
              <w:spacing w:after="0"/>
              <w:rPr>
                <w:sz w:val="21"/>
                <w:szCs w:val="21"/>
                <w:color w:val="auto"/>
              </w:rPr>
            </w:pPr>
          </w:p>
        </w:tc>
        <w:tc>
          <w:tcPr>
            <w:tcW w:w="1560" w:type="dxa"/>
            <w:vAlign w:val="bottom"/>
          </w:tcPr>
          <w:p>
            <w:pPr>
              <w:jc w:val="right"/>
              <w:ind w:right="125"/>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1"/>
                <w:szCs w:val="21"/>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5"/>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Credit Insurance Risk Transfer</w:t>
            </w:r>
          </w:p>
        </w:tc>
        <w:tc>
          <w:tcPr>
            <w:tcW w:w="2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417</w:t>
            </w:r>
          </w:p>
        </w:tc>
        <w:tc>
          <w:tcPr>
            <w:tcW w:w="100" w:type="dxa"/>
            <w:vAlign w:val="bottom"/>
          </w:tcPr>
          <w:p>
            <w:pPr>
              <w:spacing w:after="0"/>
              <w:rPr>
                <w:sz w:val="21"/>
                <w:szCs w:val="21"/>
                <w:color w:val="auto"/>
              </w:rPr>
            </w:pPr>
          </w:p>
        </w:tc>
        <w:tc>
          <w:tcPr>
            <w:tcW w:w="1560" w:type="dxa"/>
            <w:vAlign w:val="bottom"/>
          </w:tcPr>
          <w:p>
            <w:pPr>
              <w:jc w:val="right"/>
              <w:ind w:right="125"/>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1"/>
                <w:szCs w:val="21"/>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5"/>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21"/>
                <w:szCs w:val="21"/>
                <w:color w:val="auto"/>
              </w:rPr>
            </w:pPr>
          </w:p>
        </w:tc>
        <w:tc>
          <w:tcPr>
            <w:tcW w:w="1560" w:type="dxa"/>
            <w:vAlign w:val="bottom"/>
          </w:tcPr>
          <w:p>
            <w:pPr>
              <w:jc w:val="right"/>
              <w:ind w:right="125"/>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1"/>
                <w:szCs w:val="21"/>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7"/>
        </w:trPr>
        <w:tc>
          <w:tcPr>
            <w:tcW w:w="55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covered by multiple credit enhancements</w:t>
            </w:r>
          </w:p>
        </w:tc>
        <w:tc>
          <w:tcPr>
            <w:tcW w:w="140" w:type="dxa"/>
            <w:vAlign w:val="bottom"/>
          </w:tcPr>
          <w:p>
            <w:pPr>
              <w:spacing w:after="0"/>
              <w:rPr>
                <w:sz w:val="21"/>
                <w:szCs w:val="21"/>
                <w:color w:val="auto"/>
              </w:rPr>
            </w:pPr>
          </w:p>
        </w:tc>
        <w:tc>
          <w:tcPr>
            <w:tcW w:w="24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(402)</w:t>
            </w:r>
          </w:p>
        </w:tc>
        <w:tc>
          <w:tcPr>
            <w:tcW w:w="100" w:type="dxa"/>
            <w:vAlign w:val="bottom"/>
          </w:tcPr>
          <w:p>
            <w:pPr>
              <w:spacing w:after="0"/>
              <w:rPr>
                <w:sz w:val="21"/>
                <w:szCs w:val="21"/>
                <w:color w:val="auto"/>
              </w:rPr>
            </w:pPr>
          </w:p>
        </w:tc>
        <w:tc>
          <w:tcPr>
            <w:tcW w:w="1560" w:type="dxa"/>
            <w:vAlign w:val="bottom"/>
            <w:tcBorders>
              <w:bottom w:val="single" w:sz="8" w:color="2C6937"/>
            </w:tcBorders>
          </w:tcPr>
          <w:p>
            <w:pPr>
              <w:jc w:val="right"/>
              <w:ind w:right="85"/>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1"/>
                <w:szCs w:val="21"/>
                <w:color w:val="auto"/>
              </w:rPr>
            </w:pPr>
          </w:p>
        </w:tc>
        <w:tc>
          <w:tcPr>
            <w:tcW w:w="24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1"/>
                <w:szCs w:val="21"/>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8"/>
        </w:trPr>
        <w:tc>
          <w:tcPr>
            <w:tcW w:w="5680" w:type="dxa"/>
            <w:vAlign w:val="bottom"/>
            <w:gridSpan w:val="2"/>
          </w:tcPr>
          <w:p>
            <w:pPr>
              <w:ind w:left="320"/>
              <w:spacing w:after="0"/>
              <w:rPr>
                <w:sz w:val="20"/>
                <w:szCs w:val="20"/>
                <w:color w:val="auto"/>
              </w:rPr>
            </w:pPr>
            <w:r>
              <w:rPr>
                <w:rFonts w:ascii="Arial" w:cs="Arial" w:eastAsia="Arial" w:hAnsi="Arial"/>
                <w:sz w:val="15"/>
                <w:szCs w:val="15"/>
                <w:color w:val="auto"/>
              </w:rPr>
              <w:t>Total single-family loans with credit enhancement</w:t>
            </w:r>
          </w:p>
        </w:tc>
        <w:tc>
          <w:tcPr>
            <w:tcW w:w="240" w:type="dxa"/>
            <w:vAlign w:val="bottom"/>
          </w:tcPr>
          <w:p>
            <w:pPr>
              <w:jc w:val="right"/>
              <w:ind w:right="58"/>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1,627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46 %</w:t>
            </w:r>
          </w:p>
        </w:tc>
        <w:tc>
          <w:tcPr>
            <w:tcW w:w="120" w:type="dxa"/>
            <w:vAlign w:val="bottom"/>
          </w:tcPr>
          <w:p>
            <w:pPr>
              <w:spacing w:after="0"/>
              <w:rPr>
                <w:sz w:val="20"/>
                <w:szCs w:val="20"/>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1,663</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
        </w:trPr>
        <w:tc>
          <w:tcPr>
            <w:tcW w:w="55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See “MD&amp;A—Single-Family Business—Single-Family Credit Enhancement and Transfer of Mortgage Credit Risk" in our 2025 Form 10-K for information about our single-family loans without credit enhancements.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Transfer of Mortgage Credit Risk</w:t>
      </w:r>
    </w:p>
    <w:p>
      <w:pPr>
        <w:spacing w:after="0" w:line="8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addition to primary mortgage insurance, our Single-Family business has developed other risk-sharing capabilities to transfer portions of our single-family mortgage credit risk to the private market. Our two primary single-family credit risk transfer programs are CAS and CIRT™. For a description of our single-family credit risk transfer transactions, see "MD&amp;A—Single-Family Business—Single-Family Mortgage Credit Risk Management—Single-Family Credit Enhancement and Transfer of Mortgage Credit Risk" in our 2025 Form 10-K.</w:t>
      </w:r>
    </w:p>
    <w:p>
      <w:pPr>
        <w:spacing w:after="0" w:line="4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first nine months of 2026, we transferred a portion of the mortgage credit risk on single-family mortgage loans with a UPB of $127.5 billion at the time of the transactions.</w:t>
      </w:r>
    </w:p>
    <w:p>
      <w:pPr>
        <w:spacing w:after="0" w:line="15"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We provide a portion of the guaranty fee to investors in our credit risk transfer transactions as compensation for their taking on a share of the credit risk of the related loans. We record the substantial majority of expenses related to our credit risk transfer transactions in “Credit enhancement expense” within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386080</wp:posOffset>
            </wp:positionV>
            <wp:extent cx="70072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26</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9" w:name="page30"/>
    <w:bookmarkEnd w:id="29"/>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Delinquency</w:t>
      </w:r>
    </w:p>
    <w:p>
      <w:pPr>
        <w:spacing w:after="0" w:line="80" w:lineRule="exact"/>
        <w:rPr>
          <w:sz w:val="20"/>
          <w:szCs w:val="20"/>
          <w:color w:val="auto"/>
        </w:rPr>
      </w:pPr>
    </w:p>
    <w:p>
      <w:pPr>
        <w:ind w:left="20" w:right="20"/>
        <w:spacing w:after="0" w:line="260" w:lineRule="auto"/>
        <w:rPr>
          <w:sz w:val="20"/>
          <w:szCs w:val="20"/>
          <w:color w:val="auto"/>
        </w:rPr>
      </w:pPr>
      <w:r>
        <w:rPr>
          <w:rFonts w:ascii="Arial" w:cs="Arial" w:eastAsia="Arial" w:hAnsi="Arial"/>
          <w:sz w:val="16"/>
          <w:szCs w:val="16"/>
          <w:color w:val="auto"/>
        </w:rPr>
        <w:t>The tables below display the delinquency status of loans and changes in the volume of seriously delinquent loans in our single-family conventional guaranty book of business based on the number of loans. Single-family seriously delinquent loans are loans that are 90 days or more past due or in the foreclosure process. Our single-family serious delinquency rate is expressed as a percentage of our single-family conventional guaranty book of business based on loan count. Management monitors the single-family serious delinquency rate as an indicator of potential future credit losses and loss mitigation activities. Serious delinquency rates are reflective of our performance in assessing and managing credit risk associated with single-family loans in our guaranty book of business. A higher serious delinquency rate may result in a higher allowance for loan losses. For information on our single-family serious delinquency rate based on UPB, see "Note 11, Concentrations of Credit Risk—Risk Characteristics of our Guaranty Book of Business—Single-Family Credit Risk Characteristics."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Delinquency Status and Activity of Single-Family Conventional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38735</wp:posOffset>
            </wp:positionV>
            <wp:extent cx="713867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19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3"/>
          </w:tcPr>
          <w:p>
            <w:pPr>
              <w:jc w:val="center"/>
              <w:ind w:right="220"/>
              <w:spacing w:after="0"/>
              <w:rPr>
                <w:sz w:val="20"/>
                <w:szCs w:val="20"/>
                <w:color w:val="auto"/>
              </w:rPr>
            </w:pPr>
            <w:r>
              <w:rPr>
                <w:rFonts w:ascii="Arial" w:cs="Arial" w:eastAsia="Arial" w:hAnsi="Arial"/>
                <w:sz w:val="14"/>
                <w:szCs w:val="14"/>
                <w:b w:val="1"/>
                <w:bCs w:val="1"/>
                <w:color w:val="auto"/>
                <w:w w:val="97"/>
              </w:rPr>
              <w:t>As of</w:t>
            </w:r>
          </w:p>
        </w:tc>
        <w:tc>
          <w:tcPr>
            <w:tcW w:w="40" w:type="dxa"/>
            <w:vAlign w:val="bottom"/>
            <w:tcBorders>
              <w:bottom w:val="single" w:sz="8" w:color="2C6937"/>
            </w:tcBorders>
          </w:tcPr>
          <w:p>
            <w:pPr>
              <w:spacing w:after="0"/>
              <w:rPr>
                <w:sz w:val="17"/>
                <w:szCs w:val="17"/>
                <w:color w:val="auto"/>
              </w:rPr>
            </w:pPr>
          </w:p>
        </w:tc>
        <w:tc>
          <w:tcPr>
            <w:tcW w:w="1880" w:type="dxa"/>
            <w:vAlign w:val="bottom"/>
            <w:tcBorders>
              <w:bottom w:val="single" w:sz="8" w:color="2C6937"/>
            </w:tcBorders>
          </w:tcPr>
          <w:p>
            <w:pPr>
              <w:spacing w:after="0"/>
              <w:rPr>
                <w:sz w:val="17"/>
                <w:szCs w:val="17"/>
                <w:color w:val="auto"/>
              </w:rPr>
            </w:pPr>
          </w:p>
        </w:tc>
      </w:tr>
      <w:tr>
        <w:trPr>
          <w:trHeight w:val="205"/>
        </w:trPr>
        <w:tc>
          <w:tcPr>
            <w:tcW w:w="5240" w:type="dxa"/>
            <w:vAlign w:val="bottom"/>
          </w:tcPr>
          <w:p>
            <w:pPr>
              <w:spacing w:after="0"/>
              <w:rPr>
                <w:sz w:val="17"/>
                <w:szCs w:val="17"/>
                <w:color w:val="auto"/>
              </w:rPr>
            </w:pPr>
          </w:p>
        </w:tc>
        <w:tc>
          <w:tcPr>
            <w:tcW w:w="2020" w:type="dxa"/>
            <w:vAlign w:val="bottom"/>
            <w:gridSpan w:val="2"/>
          </w:tcPr>
          <w:p>
            <w:pPr>
              <w:ind w:left="320"/>
              <w:spacing w:after="0"/>
              <w:rPr>
                <w:sz w:val="20"/>
                <w:szCs w:val="20"/>
                <w:color w:val="auto"/>
              </w:rPr>
            </w:pPr>
            <w:r>
              <w:rPr>
                <w:rFonts w:ascii="Arial" w:cs="Arial" w:eastAsia="Arial" w:hAnsi="Arial"/>
                <w:sz w:val="14"/>
                <w:szCs w:val="14"/>
                <w:b w:val="1"/>
                <w:bCs w:val="1"/>
                <w:color w:val="auto"/>
              </w:rPr>
              <w:t>September 30, 2026</w:t>
            </w:r>
          </w:p>
        </w:tc>
        <w:tc>
          <w:tcPr>
            <w:tcW w:w="120" w:type="dxa"/>
            <w:vAlign w:val="bottom"/>
          </w:tcPr>
          <w:p>
            <w:pPr>
              <w:spacing w:after="0"/>
              <w:rPr>
                <w:sz w:val="17"/>
                <w:szCs w:val="17"/>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December 31, 2025</w:t>
            </w:r>
          </w:p>
        </w:tc>
        <w:tc>
          <w:tcPr>
            <w:tcW w:w="40" w:type="dxa"/>
            <w:vAlign w:val="bottom"/>
          </w:tcPr>
          <w:p>
            <w:pPr>
              <w:spacing w:after="0"/>
              <w:rPr>
                <w:sz w:val="17"/>
                <w:szCs w:val="17"/>
                <w:color w:val="auto"/>
              </w:rPr>
            </w:pPr>
          </w:p>
        </w:tc>
        <w:tc>
          <w:tcPr>
            <w:tcW w:w="1880" w:type="dxa"/>
            <w:vAlign w:val="bottom"/>
          </w:tcPr>
          <w:p>
            <w:pPr>
              <w:jc w:val="right"/>
              <w:ind w:right="246"/>
              <w:spacing w:after="0"/>
              <w:rPr>
                <w:sz w:val="20"/>
                <w:szCs w:val="20"/>
                <w:color w:val="auto"/>
              </w:rPr>
            </w:pPr>
            <w:r>
              <w:rPr>
                <w:rFonts w:ascii="Arial" w:cs="Arial" w:eastAsia="Arial" w:hAnsi="Arial"/>
                <w:sz w:val="14"/>
                <w:szCs w:val="14"/>
                <w:b w:val="1"/>
                <w:bCs w:val="1"/>
                <w:color w:val="auto"/>
              </w:rPr>
              <w:t>September 30, 2025</w:t>
            </w:r>
          </w:p>
        </w:tc>
      </w:tr>
      <w:tr>
        <w:trPr>
          <w:trHeight w:val="220"/>
        </w:trPr>
        <w:tc>
          <w:tcPr>
            <w:tcW w:w="5240" w:type="dxa"/>
            <w:vAlign w:val="bottom"/>
          </w:tcPr>
          <w:p>
            <w:pPr>
              <w:spacing w:after="0"/>
              <w:rPr>
                <w:sz w:val="20"/>
                <w:szCs w:val="20"/>
                <w:color w:val="auto"/>
              </w:rPr>
            </w:pPr>
            <w:r>
              <w:rPr>
                <w:rFonts w:ascii="Arial" w:cs="Arial" w:eastAsia="Arial" w:hAnsi="Arial"/>
                <w:sz w:val="15"/>
                <w:szCs w:val="15"/>
                <w:b w:val="1"/>
                <w:bCs w:val="1"/>
                <w:color w:val="auto"/>
              </w:rPr>
              <w:t>Delinquency status:</w:t>
            </w:r>
          </w:p>
        </w:tc>
        <w:tc>
          <w:tcPr>
            <w:tcW w:w="192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2C6937"/>
            </w:tcBorders>
          </w:tcPr>
          <w:p>
            <w:pPr>
              <w:spacing w:after="0"/>
              <w:rPr>
                <w:sz w:val="19"/>
                <w:szCs w:val="19"/>
                <w:color w:val="auto"/>
              </w:rPr>
            </w:pPr>
          </w:p>
        </w:tc>
        <w:tc>
          <w:tcPr>
            <w:tcW w:w="1800" w:type="dxa"/>
            <w:vAlign w:val="bottom"/>
            <w:tcBorders>
              <w:top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2C6937"/>
            </w:tcBorders>
          </w:tcPr>
          <w:p>
            <w:pPr>
              <w:spacing w:after="0"/>
              <w:rPr>
                <w:sz w:val="19"/>
                <w:szCs w:val="19"/>
                <w:color w:val="auto"/>
              </w:rPr>
            </w:pPr>
          </w:p>
        </w:tc>
        <w:tc>
          <w:tcPr>
            <w:tcW w:w="1880" w:type="dxa"/>
            <w:vAlign w:val="bottom"/>
            <w:tcBorders>
              <w:top w:val="single" w:sz="8" w:color="2C6937"/>
            </w:tcBorders>
          </w:tcPr>
          <w:p>
            <w:pPr>
              <w:spacing w:after="0"/>
              <w:rPr>
                <w:sz w:val="19"/>
                <w:szCs w:val="19"/>
                <w:color w:val="auto"/>
              </w:rPr>
            </w:pPr>
          </w:p>
        </w:tc>
      </w:tr>
      <w:tr>
        <w:trPr>
          <w:trHeight w:val="258"/>
        </w:trPr>
        <w:tc>
          <w:tcPr>
            <w:tcW w:w="5240" w:type="dxa"/>
            <w:vAlign w:val="bottom"/>
          </w:tcPr>
          <w:p>
            <w:pPr>
              <w:ind w:left="160"/>
              <w:spacing w:after="0"/>
              <w:rPr>
                <w:sz w:val="20"/>
                <w:szCs w:val="20"/>
                <w:color w:val="auto"/>
              </w:rPr>
            </w:pPr>
            <w:r>
              <w:rPr>
                <w:rFonts w:ascii="Arial" w:cs="Arial" w:eastAsia="Arial" w:hAnsi="Arial"/>
                <w:sz w:val="15"/>
                <w:szCs w:val="15"/>
                <w:color w:val="auto"/>
              </w:rPr>
              <w:t>30 to 59 days delinquent</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1.09 %</w:t>
            </w:r>
          </w:p>
        </w:tc>
        <w:tc>
          <w:tcPr>
            <w:tcW w:w="100" w:type="dxa"/>
            <w:vAlign w:val="bottom"/>
          </w:tcPr>
          <w:p>
            <w:pPr>
              <w:spacing w:after="0"/>
              <w:rPr>
                <w:sz w:val="22"/>
                <w:szCs w:val="22"/>
                <w:color w:val="auto"/>
              </w:rPr>
            </w:pPr>
          </w:p>
        </w:tc>
        <w:tc>
          <w:tcPr>
            <w:tcW w:w="1920" w:type="dxa"/>
            <w:vAlign w:val="bottom"/>
            <w:gridSpan w:val="2"/>
          </w:tcPr>
          <w:p>
            <w:pPr>
              <w:jc w:val="right"/>
              <w:spacing w:after="0"/>
              <w:rPr>
                <w:sz w:val="20"/>
                <w:szCs w:val="20"/>
                <w:color w:val="auto"/>
              </w:rPr>
            </w:pPr>
            <w:r>
              <w:rPr>
                <w:rFonts w:ascii="Arial" w:cs="Arial" w:eastAsia="Arial" w:hAnsi="Arial"/>
                <w:sz w:val="15"/>
                <w:szCs w:val="15"/>
                <w:color w:val="auto"/>
              </w:rPr>
              <w:t>1.05 %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gridSpan w:val="2"/>
          </w:tcPr>
          <w:p>
            <w:pPr>
              <w:jc w:val="right"/>
              <w:spacing w:after="0"/>
              <w:rPr>
                <w:sz w:val="20"/>
                <w:szCs w:val="20"/>
                <w:color w:val="auto"/>
              </w:rPr>
            </w:pPr>
            <w:r>
              <w:rPr>
                <w:rFonts w:ascii="Arial" w:cs="Arial" w:eastAsia="Arial" w:hAnsi="Arial"/>
                <w:sz w:val="15"/>
                <w:szCs w:val="15"/>
                <w:color w:val="auto"/>
              </w:rPr>
              <w:t>1.00 %</w:t>
            </w:r>
          </w:p>
        </w:tc>
      </w:tr>
      <w:tr>
        <w:trPr>
          <w:trHeight w:val="245"/>
        </w:trPr>
        <w:tc>
          <w:tcPr>
            <w:tcW w:w="5240" w:type="dxa"/>
            <w:vAlign w:val="bottom"/>
          </w:tcPr>
          <w:p>
            <w:pPr>
              <w:ind w:left="160"/>
              <w:spacing w:after="0"/>
              <w:rPr>
                <w:sz w:val="20"/>
                <w:szCs w:val="20"/>
                <w:color w:val="auto"/>
              </w:rPr>
            </w:pPr>
            <w:r>
              <w:rPr>
                <w:rFonts w:ascii="Arial" w:cs="Arial" w:eastAsia="Arial" w:hAnsi="Arial"/>
                <w:sz w:val="15"/>
                <w:szCs w:val="15"/>
                <w:color w:val="auto"/>
              </w:rPr>
              <w:t>60 to 89 days delinquent</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0.30</w:t>
            </w:r>
          </w:p>
        </w:tc>
        <w:tc>
          <w:tcPr>
            <w:tcW w:w="100" w:type="dxa"/>
            <w:vAlign w:val="bottom"/>
          </w:tcPr>
          <w:p>
            <w:pPr>
              <w:spacing w:after="0"/>
              <w:rPr>
                <w:sz w:val="21"/>
                <w:szCs w:val="21"/>
                <w:color w:val="auto"/>
              </w:rPr>
            </w:pPr>
          </w:p>
        </w:tc>
        <w:tc>
          <w:tcPr>
            <w:tcW w:w="1920" w:type="dxa"/>
            <w:vAlign w:val="bottom"/>
            <w:gridSpan w:val="2"/>
          </w:tcPr>
          <w:p>
            <w:pPr>
              <w:jc w:val="right"/>
              <w:ind w:right="108"/>
              <w:spacing w:after="0"/>
              <w:rPr>
                <w:sz w:val="20"/>
                <w:szCs w:val="20"/>
                <w:color w:val="auto"/>
              </w:rPr>
            </w:pPr>
            <w:r>
              <w:rPr>
                <w:rFonts w:ascii="Arial" w:cs="Arial" w:eastAsia="Arial" w:hAnsi="Arial"/>
                <w:sz w:val="15"/>
                <w:szCs w:val="15"/>
                <w:color w:val="auto"/>
              </w:rPr>
              <w:t>0.30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gridSpan w:val="2"/>
          </w:tcPr>
          <w:p>
            <w:pPr>
              <w:jc w:val="right"/>
              <w:ind w:right="126"/>
              <w:spacing w:after="0"/>
              <w:rPr>
                <w:sz w:val="20"/>
                <w:szCs w:val="20"/>
                <w:color w:val="auto"/>
              </w:rPr>
            </w:pPr>
            <w:r>
              <w:rPr>
                <w:rFonts w:ascii="Arial" w:cs="Arial" w:eastAsia="Arial" w:hAnsi="Arial"/>
                <w:sz w:val="15"/>
                <w:szCs w:val="15"/>
                <w:color w:val="auto"/>
              </w:rPr>
              <w:t>0.27</w:t>
            </w:r>
          </w:p>
        </w:tc>
      </w:tr>
      <w:tr>
        <w:trPr>
          <w:trHeight w:val="245"/>
        </w:trPr>
        <w:tc>
          <w:tcPr>
            <w:tcW w:w="5240" w:type="dxa"/>
            <w:vAlign w:val="bottom"/>
          </w:tcPr>
          <w:p>
            <w:pPr>
              <w:ind w:left="160"/>
              <w:spacing w:after="0"/>
              <w:rPr>
                <w:sz w:val="20"/>
                <w:szCs w:val="20"/>
                <w:color w:val="auto"/>
              </w:rPr>
            </w:pPr>
            <w:r>
              <w:rPr>
                <w:rFonts w:ascii="Arial" w:cs="Arial" w:eastAsia="Arial" w:hAnsi="Arial"/>
                <w:sz w:val="15"/>
                <w:szCs w:val="15"/>
                <w:color w:val="auto"/>
              </w:rPr>
              <w:t>Seriously delinquent (“SDQ”):</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0.62</w:t>
            </w:r>
          </w:p>
        </w:tc>
        <w:tc>
          <w:tcPr>
            <w:tcW w:w="100" w:type="dxa"/>
            <w:vAlign w:val="bottom"/>
          </w:tcPr>
          <w:p>
            <w:pPr>
              <w:spacing w:after="0"/>
              <w:rPr>
                <w:sz w:val="21"/>
                <w:szCs w:val="21"/>
                <w:color w:val="auto"/>
              </w:rPr>
            </w:pPr>
          </w:p>
        </w:tc>
        <w:tc>
          <w:tcPr>
            <w:tcW w:w="1920" w:type="dxa"/>
            <w:vAlign w:val="bottom"/>
            <w:gridSpan w:val="2"/>
          </w:tcPr>
          <w:p>
            <w:pPr>
              <w:jc w:val="right"/>
              <w:ind w:right="108"/>
              <w:spacing w:after="0"/>
              <w:rPr>
                <w:sz w:val="20"/>
                <w:szCs w:val="20"/>
                <w:color w:val="auto"/>
              </w:rPr>
            </w:pPr>
            <w:r>
              <w:rPr>
                <w:rFonts w:ascii="Arial" w:cs="Arial" w:eastAsia="Arial" w:hAnsi="Arial"/>
                <w:sz w:val="15"/>
                <w:szCs w:val="15"/>
                <w:color w:val="auto"/>
              </w:rPr>
              <w:t>0.58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gridSpan w:val="2"/>
          </w:tcPr>
          <w:p>
            <w:pPr>
              <w:jc w:val="right"/>
              <w:ind w:right="126"/>
              <w:spacing w:after="0"/>
              <w:rPr>
                <w:sz w:val="20"/>
                <w:szCs w:val="20"/>
                <w:color w:val="auto"/>
              </w:rPr>
            </w:pPr>
            <w:r>
              <w:rPr>
                <w:rFonts w:ascii="Arial" w:cs="Arial" w:eastAsia="Arial" w:hAnsi="Arial"/>
                <w:sz w:val="15"/>
                <w:szCs w:val="15"/>
                <w:color w:val="auto"/>
              </w:rPr>
              <w:t>0.54</w:t>
            </w:r>
          </w:p>
        </w:tc>
      </w:tr>
      <w:tr>
        <w:trPr>
          <w:trHeight w:val="201"/>
        </w:trPr>
        <w:tc>
          <w:tcPr>
            <w:tcW w:w="5240" w:type="dxa"/>
            <w:vAlign w:val="bottom"/>
          </w:tcPr>
          <w:p>
            <w:pPr>
              <w:ind w:left="300"/>
              <w:spacing w:after="0"/>
              <w:rPr>
                <w:sz w:val="20"/>
                <w:szCs w:val="20"/>
                <w:color w:val="auto"/>
              </w:rPr>
            </w:pPr>
            <w:r>
              <w:rPr>
                <w:rFonts w:ascii="Arial" w:cs="Arial" w:eastAsia="Arial" w:hAnsi="Arial"/>
                <w:sz w:val="15"/>
                <w:szCs w:val="15"/>
                <w:color w:val="auto"/>
              </w:rPr>
              <w:t>Percentage of SDQ loans that have been delinquent for more than</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8"/>
        </w:trPr>
        <w:tc>
          <w:tcPr>
            <w:tcW w:w="5240" w:type="dxa"/>
            <w:vAlign w:val="bottom"/>
          </w:tcPr>
          <w:p>
            <w:pPr>
              <w:ind w:left="460"/>
              <w:spacing w:after="0"/>
              <w:rPr>
                <w:sz w:val="20"/>
                <w:szCs w:val="20"/>
                <w:color w:val="auto"/>
              </w:rPr>
            </w:pPr>
            <w:r>
              <w:rPr>
                <w:rFonts w:ascii="Arial" w:cs="Arial" w:eastAsia="Arial" w:hAnsi="Arial"/>
                <w:sz w:val="15"/>
                <w:szCs w:val="15"/>
                <w:color w:val="auto"/>
              </w:rPr>
              <w:t>180 days</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45</w:t>
            </w:r>
          </w:p>
        </w:tc>
        <w:tc>
          <w:tcPr>
            <w:tcW w:w="100" w:type="dxa"/>
            <w:vAlign w:val="bottom"/>
          </w:tcPr>
          <w:p>
            <w:pPr>
              <w:spacing w:after="0"/>
              <w:rPr>
                <w:sz w:val="20"/>
                <w:szCs w:val="20"/>
                <w:color w:val="auto"/>
              </w:rPr>
            </w:pPr>
          </w:p>
        </w:tc>
        <w:tc>
          <w:tcPr>
            <w:tcW w:w="1920" w:type="dxa"/>
            <w:vAlign w:val="bottom"/>
            <w:gridSpan w:val="2"/>
          </w:tcPr>
          <w:p>
            <w:pPr>
              <w:jc w:val="right"/>
              <w:ind w:right="108"/>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gridSpan w:val="2"/>
          </w:tcPr>
          <w:p>
            <w:pPr>
              <w:jc w:val="right"/>
              <w:ind w:right="126"/>
              <w:spacing w:after="0"/>
              <w:rPr>
                <w:sz w:val="20"/>
                <w:szCs w:val="20"/>
                <w:color w:val="auto"/>
              </w:rPr>
            </w:pPr>
            <w:r>
              <w:rPr>
                <w:rFonts w:ascii="Arial" w:cs="Arial" w:eastAsia="Arial" w:hAnsi="Arial"/>
                <w:sz w:val="15"/>
                <w:szCs w:val="15"/>
                <w:color w:val="auto"/>
              </w:rPr>
              <w:t>45</w:t>
            </w:r>
          </w:p>
        </w:tc>
      </w:tr>
      <w:tr>
        <w:trPr>
          <w:trHeight w:val="201"/>
        </w:trPr>
        <w:tc>
          <w:tcPr>
            <w:tcW w:w="5240" w:type="dxa"/>
            <w:vAlign w:val="bottom"/>
          </w:tcPr>
          <w:p>
            <w:pPr>
              <w:ind w:left="300"/>
              <w:spacing w:after="0"/>
              <w:rPr>
                <w:sz w:val="20"/>
                <w:szCs w:val="20"/>
                <w:color w:val="auto"/>
              </w:rPr>
            </w:pPr>
            <w:r>
              <w:rPr>
                <w:rFonts w:ascii="Arial" w:cs="Arial" w:eastAsia="Arial" w:hAnsi="Arial"/>
                <w:sz w:val="15"/>
                <w:szCs w:val="15"/>
                <w:color w:val="auto"/>
              </w:rPr>
              <w:t>Percentage of SDQ loans that have been delinquent for more than two</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8"/>
        </w:trPr>
        <w:tc>
          <w:tcPr>
            <w:tcW w:w="5240" w:type="dxa"/>
            <w:vAlign w:val="bottom"/>
          </w:tcPr>
          <w:p>
            <w:pPr>
              <w:ind w:left="460"/>
              <w:spacing w:after="0"/>
              <w:rPr>
                <w:sz w:val="20"/>
                <w:szCs w:val="20"/>
                <w:color w:val="auto"/>
              </w:rPr>
            </w:pPr>
            <w:r>
              <w:rPr>
                <w:rFonts w:ascii="Arial" w:cs="Arial" w:eastAsia="Arial" w:hAnsi="Arial"/>
                <w:sz w:val="15"/>
                <w:szCs w:val="15"/>
                <w:color w:val="auto"/>
              </w:rPr>
              <w:t>years</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0"/>
                <w:szCs w:val="20"/>
                <w:color w:val="auto"/>
              </w:rPr>
            </w:pPr>
          </w:p>
        </w:tc>
        <w:tc>
          <w:tcPr>
            <w:tcW w:w="1920" w:type="dxa"/>
            <w:vAlign w:val="bottom"/>
            <w:gridSpan w:val="2"/>
          </w:tcPr>
          <w:p>
            <w:pPr>
              <w:jc w:val="right"/>
              <w:ind w:right="108"/>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gridSpan w:val="2"/>
          </w:tcPr>
          <w:p>
            <w:pPr>
              <w:jc w:val="right"/>
              <w:ind w:right="126"/>
              <w:spacing w:after="0"/>
              <w:rPr>
                <w:sz w:val="20"/>
                <w:szCs w:val="20"/>
                <w:color w:val="auto"/>
              </w:rPr>
            </w:pPr>
            <w:r>
              <w:rPr>
                <w:rFonts w:ascii="Arial" w:cs="Arial" w:eastAsia="Arial" w:hAnsi="Arial"/>
                <w:sz w:val="15"/>
                <w:szCs w:val="15"/>
                <w:color w:val="auto"/>
              </w:rPr>
              <w:t>5</w:t>
            </w:r>
          </w:p>
        </w:tc>
      </w:tr>
      <w:tr>
        <w:trPr>
          <w:trHeight w:val="328"/>
        </w:trPr>
        <w:tc>
          <w:tcPr>
            <w:tcW w:w="5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Borders>
              <w:bottom w:val="single" w:sz="8" w:color="2C6937"/>
            </w:tcBorders>
            <w:gridSpan w:val="5"/>
          </w:tcPr>
          <w:p>
            <w:pPr>
              <w:jc w:val="right"/>
              <w:ind w:right="466"/>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98"/>
        </w:trPr>
        <w:tc>
          <w:tcPr>
            <w:tcW w:w="5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gridSpan w:val="2"/>
          </w:tcPr>
          <w:p>
            <w:pPr>
              <w:jc w:val="right"/>
              <w:ind w:right="706"/>
              <w:spacing w:after="0"/>
              <w:rPr>
                <w:sz w:val="20"/>
                <w:szCs w:val="20"/>
                <w:color w:val="auto"/>
              </w:rPr>
            </w:pPr>
            <w:r>
              <w:rPr>
                <w:rFonts w:ascii="Arial" w:cs="Arial" w:eastAsia="Arial" w:hAnsi="Arial"/>
                <w:sz w:val="14"/>
                <w:szCs w:val="14"/>
                <w:b w:val="1"/>
                <w:bCs w:val="1"/>
                <w:color w:val="auto"/>
              </w:rPr>
              <w:t>2025</w:t>
            </w:r>
          </w:p>
        </w:tc>
      </w:tr>
      <w:tr>
        <w:trPr>
          <w:trHeight w:val="220"/>
        </w:trPr>
        <w:tc>
          <w:tcPr>
            <w:tcW w:w="5240" w:type="dxa"/>
            <w:vAlign w:val="bottom"/>
          </w:tcPr>
          <w:p>
            <w:pPr>
              <w:ind w:left="20"/>
              <w:spacing w:after="0"/>
              <w:rPr>
                <w:sz w:val="20"/>
                <w:szCs w:val="20"/>
                <w:color w:val="auto"/>
              </w:rPr>
            </w:pPr>
            <w:r>
              <w:rPr>
                <w:rFonts w:ascii="Arial" w:cs="Arial" w:eastAsia="Arial" w:hAnsi="Arial"/>
                <w:sz w:val="15"/>
                <w:szCs w:val="15"/>
                <w:b w:val="1"/>
                <w:bCs w:val="1"/>
                <w:color w:val="auto"/>
              </w:rPr>
              <w:t>Single-family SDQ loans (number of loans):</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top w:val="single" w:sz="8" w:color="2C6937"/>
            </w:tcBorders>
          </w:tcPr>
          <w:p>
            <w:pPr>
              <w:spacing w:after="0"/>
              <w:rPr>
                <w:sz w:val="19"/>
                <w:szCs w:val="19"/>
                <w:color w:val="auto"/>
              </w:rPr>
            </w:pPr>
          </w:p>
        </w:tc>
        <w:tc>
          <w:tcPr>
            <w:tcW w:w="80" w:type="dxa"/>
            <w:vAlign w:val="bottom"/>
            <w:tcBorders>
              <w:top w:val="single" w:sz="8" w:color="2C6937"/>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Borders>
              <w:top w:val="single" w:sz="8" w:color="2C6937"/>
            </w:tcBorders>
          </w:tcPr>
          <w:p>
            <w:pPr>
              <w:spacing w:after="0"/>
              <w:rPr>
                <w:sz w:val="19"/>
                <w:szCs w:val="19"/>
                <w:color w:val="auto"/>
              </w:rPr>
            </w:pPr>
          </w:p>
        </w:tc>
      </w:tr>
      <w:tr>
        <w:trPr>
          <w:trHeight w:val="232"/>
        </w:trPr>
        <w:tc>
          <w:tcPr>
            <w:tcW w:w="5240" w:type="dxa"/>
            <w:vAlign w:val="bottom"/>
          </w:tcPr>
          <w:p>
            <w:pPr>
              <w:ind w:left="20"/>
              <w:spacing w:after="0"/>
              <w:rPr>
                <w:sz w:val="20"/>
                <w:szCs w:val="20"/>
                <w:color w:val="auto"/>
              </w:rPr>
            </w:pPr>
            <w:r>
              <w:rPr>
                <w:rFonts w:ascii="Arial" w:cs="Arial" w:eastAsia="Arial" w:hAnsi="Arial"/>
                <w:sz w:val="15"/>
                <w:szCs w:val="15"/>
                <w:color w:val="auto"/>
              </w:rPr>
              <w:t>Beginning balance</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5"/>
                <w:szCs w:val="15"/>
                <w:b w:val="1"/>
                <w:bCs w:val="1"/>
                <w:color w:val="auto"/>
              </w:rPr>
              <w:t>97,885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gridSpan w:val="2"/>
          </w:tcPr>
          <w:p>
            <w:pPr>
              <w:jc w:val="right"/>
              <w:ind w:right="6"/>
              <w:spacing w:after="0"/>
              <w:rPr>
                <w:sz w:val="20"/>
                <w:szCs w:val="20"/>
                <w:color w:val="auto"/>
              </w:rPr>
            </w:pPr>
            <w:r>
              <w:rPr>
                <w:rFonts w:ascii="Arial" w:cs="Arial" w:eastAsia="Arial" w:hAnsi="Arial"/>
                <w:sz w:val="15"/>
                <w:szCs w:val="15"/>
                <w:color w:val="auto"/>
              </w:rPr>
              <w:t>97,129</w:t>
            </w:r>
          </w:p>
        </w:tc>
      </w:tr>
      <w:tr>
        <w:trPr>
          <w:trHeight w:val="245"/>
        </w:trPr>
        <w:tc>
          <w:tcPr>
            <w:tcW w:w="5240" w:type="dxa"/>
            <w:vAlign w:val="bottom"/>
          </w:tcPr>
          <w:p>
            <w:pPr>
              <w:ind w:left="320"/>
              <w:spacing w:after="0"/>
              <w:rPr>
                <w:sz w:val="20"/>
                <w:szCs w:val="20"/>
                <w:color w:val="auto"/>
              </w:rPr>
            </w:pPr>
            <w:r>
              <w:rPr>
                <w:rFonts w:ascii="Arial" w:cs="Arial" w:eastAsia="Arial" w:hAnsi="Arial"/>
                <w:sz w:val="15"/>
                <w:szCs w:val="15"/>
                <w:color w:val="auto"/>
              </w:rPr>
              <w:t>Additions</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5"/>
                <w:szCs w:val="15"/>
                <w:b w:val="1"/>
                <w:bCs w:val="1"/>
                <w:color w:val="auto"/>
              </w:rPr>
              <w:t>148,909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gridSpan w:val="2"/>
          </w:tcPr>
          <w:p>
            <w:pPr>
              <w:jc w:val="right"/>
              <w:ind w:right="6"/>
              <w:spacing w:after="0"/>
              <w:rPr>
                <w:sz w:val="20"/>
                <w:szCs w:val="20"/>
                <w:color w:val="auto"/>
              </w:rPr>
            </w:pPr>
            <w:r>
              <w:rPr>
                <w:rFonts w:ascii="Arial" w:cs="Arial" w:eastAsia="Arial" w:hAnsi="Arial"/>
                <w:sz w:val="15"/>
                <w:szCs w:val="15"/>
                <w:color w:val="auto"/>
              </w:rPr>
              <w:t>135,778</w:t>
            </w:r>
          </w:p>
        </w:tc>
      </w:tr>
      <w:tr>
        <w:trPr>
          <w:trHeight w:val="224"/>
        </w:trPr>
        <w:tc>
          <w:tcPr>
            <w:tcW w:w="5240" w:type="dxa"/>
            <w:vAlign w:val="bottom"/>
          </w:tcPr>
          <w:p>
            <w:pPr>
              <w:ind w:left="320"/>
              <w:spacing w:after="0"/>
              <w:rPr>
                <w:sz w:val="20"/>
                <w:szCs w:val="20"/>
                <w:color w:val="auto"/>
              </w:rPr>
            </w:pPr>
            <w:r>
              <w:rPr>
                <w:rFonts w:ascii="Arial" w:cs="Arial" w:eastAsia="Arial" w:hAnsi="Arial"/>
                <w:sz w:val="15"/>
                <w:szCs w:val="15"/>
                <w:color w:val="auto"/>
              </w:rPr>
              <w:t>Removals:</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66"/>
        </w:trPr>
        <w:tc>
          <w:tcPr>
            <w:tcW w:w="5240" w:type="dxa"/>
            <w:vAlign w:val="bottom"/>
          </w:tcPr>
          <w:p>
            <w:pPr>
              <w:ind w:left="480"/>
              <w:spacing w:after="0"/>
              <w:rPr>
                <w:sz w:val="20"/>
                <w:szCs w:val="20"/>
                <w:color w:val="auto"/>
              </w:rPr>
            </w:pPr>
            <w:r>
              <w:rPr>
                <w:rFonts w:ascii="Arial" w:cs="Arial" w:eastAsia="Arial" w:hAnsi="Arial"/>
                <w:sz w:val="15"/>
                <w:szCs w:val="15"/>
                <w:color w:val="auto"/>
              </w:rPr>
              <w:t>Modifications and other loan workouts</w:t>
            </w: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(56,480)</w:t>
            </w:r>
          </w:p>
        </w:tc>
        <w:tc>
          <w:tcPr>
            <w:tcW w:w="40" w:type="dxa"/>
            <w:vAlign w:val="bottom"/>
          </w:tcPr>
          <w:p>
            <w:pPr>
              <w:spacing w:after="0"/>
              <w:rPr>
                <w:sz w:val="23"/>
                <w:szCs w:val="23"/>
                <w:color w:val="auto"/>
              </w:rPr>
            </w:pPr>
          </w:p>
        </w:tc>
        <w:tc>
          <w:tcPr>
            <w:tcW w:w="1920" w:type="dxa"/>
            <w:vAlign w:val="bottom"/>
            <w:gridSpan w:val="2"/>
          </w:tcPr>
          <w:p>
            <w:pPr>
              <w:jc w:val="right"/>
              <w:spacing w:after="0"/>
              <w:rPr>
                <w:sz w:val="20"/>
                <w:szCs w:val="20"/>
                <w:color w:val="auto"/>
              </w:rPr>
            </w:pPr>
            <w:r>
              <w:rPr>
                <w:rFonts w:ascii="Arial" w:cs="Arial" w:eastAsia="Arial" w:hAnsi="Arial"/>
                <w:sz w:val="15"/>
                <w:szCs w:val="15"/>
                <w:color w:val="auto"/>
              </w:rPr>
              <w:t>(60,234)</w:t>
            </w:r>
          </w:p>
        </w:tc>
      </w:tr>
      <w:tr>
        <w:trPr>
          <w:trHeight w:val="245"/>
        </w:trPr>
        <w:tc>
          <w:tcPr>
            <w:tcW w:w="5240" w:type="dxa"/>
            <w:vAlign w:val="bottom"/>
          </w:tcPr>
          <w:p>
            <w:pPr>
              <w:ind w:left="480"/>
              <w:spacing w:after="0"/>
              <w:rPr>
                <w:sz w:val="20"/>
                <w:szCs w:val="20"/>
                <w:color w:val="auto"/>
              </w:rPr>
            </w:pPr>
            <w:r>
              <w:rPr>
                <w:rFonts w:ascii="Arial" w:cs="Arial" w:eastAsia="Arial" w:hAnsi="Arial"/>
                <w:sz w:val="15"/>
                <w:szCs w:val="15"/>
                <w:color w:val="auto"/>
              </w:rPr>
              <w:t>Liquidations and sales</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(22,690)</w:t>
            </w:r>
          </w:p>
        </w:tc>
        <w:tc>
          <w:tcPr>
            <w:tcW w:w="4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5"/>
                <w:szCs w:val="15"/>
                <w:color w:val="auto"/>
              </w:rPr>
              <w:t>(32,986)</w:t>
            </w:r>
          </w:p>
        </w:tc>
      </w:tr>
      <w:tr>
        <w:trPr>
          <w:trHeight w:val="239"/>
        </w:trPr>
        <w:tc>
          <w:tcPr>
            <w:tcW w:w="524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Cured or less than 90 days delinquent</w:t>
            </w:r>
          </w:p>
        </w:tc>
        <w:tc>
          <w:tcPr>
            <w:tcW w:w="19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b w:val="1"/>
                <w:bCs w:val="1"/>
                <w:color w:val="auto"/>
              </w:rPr>
              <w:t>(64,369)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(47,761)</w:t>
            </w:r>
          </w:p>
        </w:tc>
      </w:tr>
      <w:tr>
        <w:trPr>
          <w:trHeight w:val="238"/>
        </w:trPr>
        <w:tc>
          <w:tcPr>
            <w:tcW w:w="524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 removals</w:t>
            </w:r>
          </w:p>
        </w:tc>
        <w:tc>
          <w:tcPr>
            <w:tcW w:w="19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b w:val="1"/>
                <w:bCs w:val="1"/>
                <w:color w:val="auto"/>
              </w:rPr>
              <w:t>(143,539)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(140,981)</w:t>
            </w:r>
          </w:p>
        </w:tc>
      </w:tr>
      <w:tr>
        <w:trPr>
          <w:trHeight w:val="212"/>
        </w:trPr>
        <w:tc>
          <w:tcPr>
            <w:tcW w:w="5240" w:type="dxa"/>
            <w:vAlign w:val="bottom"/>
          </w:tcPr>
          <w:p>
            <w:pPr>
              <w:ind w:left="20"/>
              <w:spacing w:after="0"/>
              <w:rPr>
                <w:sz w:val="20"/>
                <w:szCs w:val="20"/>
                <w:color w:val="auto"/>
              </w:rPr>
            </w:pPr>
            <w:r>
              <w:rPr>
                <w:rFonts w:ascii="Arial" w:cs="Arial" w:eastAsia="Arial" w:hAnsi="Arial"/>
                <w:sz w:val="15"/>
                <w:szCs w:val="15"/>
                <w:color w:val="auto"/>
              </w:rPr>
              <w:t>Ending balance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5"/>
                <w:szCs w:val="15"/>
                <w:b w:val="1"/>
                <w:bCs w:val="1"/>
                <w:color w:val="auto"/>
              </w:rPr>
              <w:t>103,255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gridSpan w:val="2"/>
          </w:tcPr>
          <w:p>
            <w:pPr>
              <w:jc w:val="right"/>
              <w:ind w:right="6"/>
              <w:spacing w:after="0"/>
              <w:rPr>
                <w:sz w:val="20"/>
                <w:szCs w:val="20"/>
                <w:color w:val="auto"/>
              </w:rPr>
            </w:pPr>
            <w:r>
              <w:rPr>
                <w:rFonts w:ascii="Arial" w:cs="Arial" w:eastAsia="Arial" w:hAnsi="Arial"/>
                <w:sz w:val="15"/>
                <w:szCs w:val="15"/>
                <w:color w:val="auto"/>
              </w:rPr>
              <w:t>91,926</w:t>
            </w:r>
          </w:p>
        </w:tc>
      </w:tr>
      <w:tr>
        <w:trPr>
          <w:trHeight w:val="20"/>
        </w:trPr>
        <w:tc>
          <w:tcPr>
            <w:tcW w:w="5240" w:type="dxa"/>
            <w:vAlign w:val="bottom"/>
            <w:tcBorders>
              <w:top w:val="single" w:sz="8" w:color="2C6937"/>
              <w:bottom w:val="single" w:sz="8" w:color="2C6937"/>
            </w:tcBorders>
          </w:tcPr>
          <w:p>
            <w:pPr>
              <w:spacing w:after="0" w:line="20" w:lineRule="exact"/>
              <w:rPr>
                <w:sz w:val="1"/>
                <w:szCs w:val="1"/>
                <w:color w:val="auto"/>
              </w:rPr>
            </w:pPr>
          </w:p>
        </w:tc>
        <w:tc>
          <w:tcPr>
            <w:tcW w:w="1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Borders>
              <w:top w:val="single" w:sz="8" w:color="2C6937"/>
              <w:bottom w:val="single" w:sz="8" w:color="2C6937"/>
            </w:tcBorders>
          </w:tcPr>
          <w:p>
            <w:pPr>
              <w:spacing w:after="0" w:line="20" w:lineRule="exact"/>
              <w:rPr>
                <w:sz w:val="1"/>
                <w:szCs w:val="1"/>
                <w:color w:val="auto"/>
              </w:rPr>
            </w:pPr>
          </w:p>
        </w:tc>
      </w:tr>
    </w:tbl>
    <w:p>
      <w:pPr>
        <w:spacing w:after="0" w:line="151" w:lineRule="exact"/>
        <w:rPr>
          <w:sz w:val="20"/>
          <w:szCs w:val="20"/>
          <w:color w:val="auto"/>
        </w:rPr>
      </w:pPr>
    </w:p>
    <w:p>
      <w:pPr>
        <w:ind w:left="20"/>
        <w:spacing w:after="0" w:line="258" w:lineRule="auto"/>
        <w:rPr>
          <w:sz w:val="20"/>
          <w:szCs w:val="20"/>
          <w:color w:val="auto"/>
        </w:rPr>
      </w:pPr>
      <w:r>
        <w:rPr>
          <w:rFonts w:ascii="Arial" w:cs="Arial" w:eastAsia="Arial" w:hAnsi="Arial"/>
          <w:sz w:val="16"/>
          <w:szCs w:val="16"/>
          <w:color w:val="auto"/>
        </w:rPr>
        <w:t xml:space="preserve">While our single-family serious delinquency rate remained near historically low levels at 0.62% as of September 30, 2026, it increased by </w:t>
      </w:r>
      <w:r>
        <w:rPr>
          <w:rFonts w:ascii="Arial" w:cs="Arial" w:eastAsia="Arial" w:hAnsi="Arial"/>
          <w:sz w:val="17"/>
          <w:szCs w:val="17"/>
          <w:color w:val="auto"/>
        </w:rPr>
        <w:t>4</w:t>
      </w:r>
      <w:r>
        <w:rPr>
          <w:rFonts w:ascii="Arial" w:cs="Arial" w:eastAsia="Arial" w:hAnsi="Arial"/>
          <w:sz w:val="16"/>
          <w:szCs w:val="16"/>
          <w:color w:val="auto"/>
        </w:rPr>
        <w:t xml:space="preserve"> basis points from December 31, 2025, and by 8 basis points from September 30, 2025, primarily driven by higher additions to the seriously delinquent loan population. We believe these additions were driven in part by adverse macroeconomic conditions, such as higher interest rates and persistent inflation, which can strain household budgets, particularly for lower income borrowers. These and other macroeconomic conditions, such as expected slower home price growth, could further negatively affect the credit performance of loans in our single-family guaranty book of business, potentially resulting in higher delinquencies or a further increase in our single-family serious delinquency rate. For information about factors that affect our single-family serious delinquency rate, see “MD&amp;A—Single-Family Business—Single-Family Mortgage Credit Risk Management—Single-Family Problem Loan Management” in our 2025 Form 10-K. See “Note 11, Concentrations of Credit Risk” and the table below for additional information on the delinquency status and serious delinquency rates for specified loan categories of our single-family conventional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394970</wp:posOffset>
            </wp:positionV>
            <wp:extent cx="70072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27</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61" w:right="339" w:bottom="1440" w:gutter="0" w:footer="0" w:header="0"/>
        </w:sectPr>
      </w:pPr>
    </w:p>
    <w:bookmarkStart w:id="30" w:name="page31"/>
    <w:bookmarkEnd w:id="30"/>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right="100"/>
        <w:spacing w:after="0" w:line="293" w:lineRule="auto"/>
        <w:rPr>
          <w:sz w:val="20"/>
          <w:szCs w:val="20"/>
          <w:color w:val="auto"/>
        </w:rPr>
      </w:pPr>
      <w:r>
        <w:rPr>
          <w:rFonts w:ascii="Arial" w:cs="Arial" w:eastAsia="Arial" w:hAnsi="Arial"/>
          <w:sz w:val="16"/>
          <w:szCs w:val="16"/>
          <w:color w:val="auto"/>
        </w:rPr>
        <w:t>The table below displays the serious delinquency rates for, and the percentage of our seriously delinquent single-family conventional loans represented by, the specified loan categories.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Single-Family Conventional Seriously Delinquent Loan Concentration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38735</wp:posOffset>
            </wp:positionV>
            <wp:extent cx="713867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gridSpan w:val="2"/>
          </w:tcPr>
          <w:p>
            <w:pPr>
              <w:ind w:left="24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360" w:type="dxa"/>
            <w:vAlign w:val="bottom"/>
          </w:tcPr>
          <w:p>
            <w:pPr>
              <w:spacing w:after="0"/>
              <w:rPr>
                <w:sz w:val="17"/>
                <w:szCs w:val="17"/>
                <w:color w:val="auto"/>
              </w:rPr>
            </w:pPr>
          </w:p>
        </w:tc>
        <w:tc>
          <w:tcPr>
            <w:tcW w:w="2340" w:type="dxa"/>
            <w:vAlign w:val="bottom"/>
            <w:tcBorders>
              <w:bottom w:val="single" w:sz="8" w:color="2C6937"/>
            </w:tcBorders>
            <w:gridSpan w:val="4"/>
          </w:tcPr>
          <w:p>
            <w:pPr>
              <w:ind w:left="1000"/>
              <w:spacing w:after="0"/>
              <w:rPr>
                <w:sz w:val="20"/>
                <w:szCs w:val="20"/>
                <w:color w:val="auto"/>
              </w:rPr>
            </w:pPr>
            <w:r>
              <w:rPr>
                <w:rFonts w:ascii="Arial" w:cs="Arial" w:eastAsia="Arial" w:hAnsi="Arial"/>
                <w:sz w:val="14"/>
                <w:szCs w:val="14"/>
                <w:b w:val="1"/>
                <w:bCs w:val="1"/>
                <w:color w:val="auto"/>
              </w:rPr>
              <w:t>September 30, 2026</w:t>
            </w:r>
          </w:p>
        </w:tc>
        <w:tc>
          <w:tcPr>
            <w:tcW w:w="9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2C6937"/>
            </w:tcBorders>
            <w:gridSpan w:val="4"/>
          </w:tcPr>
          <w:p>
            <w:pPr>
              <w:ind w:left="920"/>
              <w:spacing w:after="0"/>
              <w:rPr>
                <w:sz w:val="20"/>
                <w:szCs w:val="20"/>
                <w:color w:val="auto"/>
              </w:rPr>
            </w:pPr>
            <w:r>
              <w:rPr>
                <w:rFonts w:ascii="Arial" w:cs="Arial" w:eastAsia="Arial" w:hAnsi="Arial"/>
                <w:sz w:val="14"/>
                <w:szCs w:val="14"/>
                <w:b w:val="1"/>
                <w:bCs w:val="1"/>
                <w:color w:val="auto"/>
              </w:rPr>
              <w:t>December 31, 2025</w:t>
            </w:r>
          </w:p>
        </w:tc>
        <w:tc>
          <w:tcPr>
            <w:tcW w:w="9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Borders>
              <w:bottom w:val="single" w:sz="8" w:color="2C6937"/>
            </w:tcBorders>
            <w:gridSpan w:val="4"/>
          </w:tcPr>
          <w:p>
            <w:pPr>
              <w:ind w:left="920"/>
              <w:spacing w:after="0"/>
              <w:rPr>
                <w:sz w:val="20"/>
                <w:szCs w:val="20"/>
                <w:color w:val="auto"/>
              </w:rPr>
            </w:pPr>
            <w:r>
              <w:rPr>
                <w:rFonts w:ascii="Arial" w:cs="Arial" w:eastAsia="Arial" w:hAnsi="Arial"/>
                <w:sz w:val="14"/>
                <w:szCs w:val="14"/>
                <w:b w:val="1"/>
                <w:bCs w:val="1"/>
                <w:color w:val="auto"/>
              </w:rPr>
              <w:t>September 30, 2025</w:t>
            </w:r>
          </w:p>
        </w:tc>
        <w:tc>
          <w:tcPr>
            <w:tcW w:w="9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rPr>
              <w:t>Percentage of Book</w:t>
            </w: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Seriously</w:t>
            </w:r>
          </w:p>
        </w:tc>
        <w:tc>
          <w:tcPr>
            <w:tcW w:w="104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Serious</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rPr>
              <w:t>Percentage of Book</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Seriously</w:t>
            </w:r>
          </w:p>
        </w:tc>
        <w:tc>
          <w:tcPr>
            <w:tcW w:w="106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Serious</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rPr>
              <w:t>Percentage of Book</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96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Serious</w:t>
            </w: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0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Delinquent</w:t>
            </w:r>
          </w:p>
        </w:tc>
        <w:tc>
          <w:tcPr>
            <w:tcW w:w="10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36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Arial" w:cs="Arial" w:eastAsia="Arial" w:hAnsi="Arial"/>
                <w:sz w:val="10"/>
                <w:szCs w:val="10"/>
                <w:b w:val="1"/>
                <w:bCs w:val="1"/>
                <w:color w:val="auto"/>
              </w:rPr>
              <w:t>Outstanding</w:t>
            </w:r>
            <w:r>
              <w:rPr>
                <w:rFonts w:ascii="Arial" w:cs="Arial" w:eastAsia="Arial" w:hAnsi="Arial"/>
                <w:sz w:val="13"/>
                <w:szCs w:val="13"/>
                <w:b w:val="1"/>
                <w:bCs w:val="1"/>
                <w:color w:val="auto"/>
                <w:vertAlign w:val="superscript"/>
              </w:rPr>
              <w:t>(1)</w:t>
            </w: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1040" w:type="dxa"/>
            <w:vAlign w:val="bottom"/>
            <w:gridSpan w:val="2"/>
          </w:tcPr>
          <w:p>
            <w:pPr>
              <w:ind w:left="40"/>
              <w:spacing w:after="0"/>
              <w:rPr>
                <w:sz w:val="20"/>
                <w:szCs w:val="20"/>
                <w:color w:val="auto"/>
              </w:rPr>
            </w:pPr>
            <w:r>
              <w:rPr>
                <w:rFonts w:ascii="Arial" w:cs="Arial" w:eastAsia="Arial" w:hAnsi="Arial"/>
                <w:sz w:val="10"/>
                <w:szCs w:val="10"/>
                <w:b w:val="1"/>
                <w:bCs w:val="1"/>
                <w:color w:val="auto"/>
              </w:rPr>
              <w:t>Delinquency Rate</w:t>
            </w:r>
          </w:p>
        </w:tc>
        <w:tc>
          <w:tcPr>
            <w:tcW w:w="11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Outstanding</w:t>
            </w:r>
            <w:r>
              <w:rPr>
                <w:rFonts w:ascii="Arial" w:cs="Arial" w:eastAsia="Arial" w:hAnsi="Arial"/>
                <w:sz w:val="13"/>
                <w:szCs w:val="13"/>
                <w:b w:val="1"/>
                <w:bCs w:val="1"/>
                <w:color w:val="auto"/>
                <w:w w:val="97"/>
                <w:vertAlign w:val="superscript"/>
              </w:rPr>
              <w:t>(1)</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1060" w:type="dxa"/>
            <w:vAlign w:val="bottom"/>
            <w:gridSpan w:val="2"/>
          </w:tcPr>
          <w:p>
            <w:pPr>
              <w:ind w:left="40"/>
              <w:spacing w:after="0"/>
              <w:rPr>
                <w:sz w:val="20"/>
                <w:szCs w:val="20"/>
                <w:color w:val="auto"/>
              </w:rPr>
            </w:pPr>
            <w:r>
              <w:rPr>
                <w:rFonts w:ascii="Arial" w:cs="Arial" w:eastAsia="Arial" w:hAnsi="Arial"/>
                <w:sz w:val="10"/>
                <w:szCs w:val="10"/>
                <w:b w:val="1"/>
                <w:bCs w:val="1"/>
                <w:color w:val="auto"/>
              </w:rPr>
              <w:t>Delinquency Rate</w:t>
            </w:r>
          </w:p>
        </w:tc>
        <w:tc>
          <w:tcPr>
            <w:tcW w:w="1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Outstanding</w:t>
            </w:r>
            <w:r>
              <w:rPr>
                <w:rFonts w:ascii="Arial" w:cs="Arial" w:eastAsia="Arial" w:hAnsi="Arial"/>
                <w:sz w:val="13"/>
                <w:szCs w:val="13"/>
                <w:b w:val="1"/>
                <w:bCs w:val="1"/>
                <w:color w:val="auto"/>
                <w:w w:val="97"/>
                <w:vertAlign w:val="superscript"/>
              </w:rPr>
              <w:t>(1)</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Delinquency Rate</w:t>
            </w:r>
          </w:p>
        </w:tc>
        <w:tc>
          <w:tcPr>
            <w:tcW w:w="0" w:type="dxa"/>
            <w:vAlign w:val="bottom"/>
          </w:tcPr>
          <w:p>
            <w:pPr>
              <w:spacing w:after="0"/>
              <w:rPr>
                <w:sz w:val="1"/>
                <w:szCs w:val="1"/>
                <w:color w:val="auto"/>
              </w:rPr>
            </w:pPr>
          </w:p>
        </w:tc>
      </w:tr>
      <w:tr>
        <w:trPr>
          <w:trHeight w:val="166"/>
        </w:trPr>
        <w:tc>
          <w:tcPr>
            <w:tcW w:w="1360" w:type="dxa"/>
            <w:vAlign w:val="bottom"/>
          </w:tcPr>
          <w:p>
            <w:pPr>
              <w:ind w:left="20"/>
              <w:spacing w:after="0"/>
              <w:rPr>
                <w:sz w:val="20"/>
                <w:szCs w:val="20"/>
                <w:color w:val="auto"/>
              </w:rPr>
            </w:pPr>
            <w:r>
              <w:rPr>
                <w:rFonts w:ascii="Arial" w:cs="Arial" w:eastAsia="Arial" w:hAnsi="Arial"/>
                <w:sz w:val="12"/>
                <w:szCs w:val="12"/>
                <w:b w:val="1"/>
                <w:bCs w:val="1"/>
                <w:color w:val="auto"/>
              </w:rPr>
              <w:t>States:</w:t>
            </w:r>
          </w:p>
        </w:tc>
        <w:tc>
          <w:tcPr>
            <w:tcW w:w="1180" w:type="dxa"/>
            <w:vAlign w:val="bottom"/>
            <w:tcBorders>
              <w:top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top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2C6937"/>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360" w:type="dxa"/>
            <w:vAlign w:val="bottom"/>
          </w:tcPr>
          <w:p>
            <w:pPr>
              <w:ind w:left="120"/>
              <w:spacing w:after="0"/>
              <w:rPr>
                <w:sz w:val="20"/>
                <w:szCs w:val="20"/>
                <w:color w:val="auto"/>
              </w:rPr>
            </w:pPr>
            <w:r>
              <w:rPr>
                <w:rFonts w:ascii="Arial" w:cs="Arial" w:eastAsia="Arial" w:hAnsi="Arial"/>
                <w:sz w:val="12"/>
                <w:szCs w:val="12"/>
                <w:color w:val="auto"/>
              </w:rPr>
              <w:t>California</w:t>
            </w: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18 %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10 %</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0.47 %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0.44 %</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18 %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9 %</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0.43 %</w:t>
            </w:r>
          </w:p>
        </w:tc>
        <w:tc>
          <w:tcPr>
            <w:tcW w:w="0" w:type="dxa"/>
            <w:vAlign w:val="bottom"/>
          </w:tcPr>
          <w:p>
            <w:pPr>
              <w:spacing w:after="0"/>
              <w:rPr>
                <w:sz w:val="1"/>
                <w:szCs w:val="1"/>
                <w:color w:val="auto"/>
              </w:rPr>
            </w:pPr>
          </w:p>
        </w:tc>
      </w:tr>
      <w:tr>
        <w:trPr>
          <w:trHeight w:val="206"/>
        </w:trPr>
        <w:tc>
          <w:tcPr>
            <w:tcW w:w="1360" w:type="dxa"/>
            <w:vAlign w:val="bottom"/>
          </w:tcPr>
          <w:p>
            <w:pPr>
              <w:ind w:left="120"/>
              <w:spacing w:after="0"/>
              <w:rPr>
                <w:sz w:val="20"/>
                <w:szCs w:val="20"/>
                <w:color w:val="auto"/>
              </w:rPr>
            </w:pPr>
            <w:r>
              <w:rPr>
                <w:rFonts w:ascii="Arial" w:cs="Arial" w:eastAsia="Arial" w:hAnsi="Arial"/>
                <w:sz w:val="12"/>
                <w:szCs w:val="12"/>
                <w:color w:val="auto"/>
              </w:rPr>
              <w:t>Florida</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w:t>
            </w:r>
          </w:p>
        </w:tc>
        <w:tc>
          <w:tcPr>
            <w:tcW w:w="1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0.91</w:t>
            </w:r>
          </w:p>
        </w:tc>
        <w:tc>
          <w:tcPr>
            <w:tcW w:w="10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0.85</w:t>
            </w:r>
          </w:p>
        </w:tc>
        <w:tc>
          <w:tcPr>
            <w:tcW w:w="10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0.81</w:t>
            </w:r>
          </w:p>
        </w:tc>
        <w:tc>
          <w:tcPr>
            <w:tcW w:w="0" w:type="dxa"/>
            <w:vAlign w:val="bottom"/>
          </w:tcPr>
          <w:p>
            <w:pPr>
              <w:spacing w:after="0"/>
              <w:rPr>
                <w:sz w:val="1"/>
                <w:szCs w:val="1"/>
                <w:color w:val="auto"/>
              </w:rPr>
            </w:pPr>
          </w:p>
        </w:tc>
      </w:tr>
      <w:tr>
        <w:trPr>
          <w:trHeight w:val="206"/>
        </w:trPr>
        <w:tc>
          <w:tcPr>
            <w:tcW w:w="1360" w:type="dxa"/>
            <w:vAlign w:val="bottom"/>
          </w:tcPr>
          <w:p>
            <w:pPr>
              <w:ind w:left="120"/>
              <w:spacing w:after="0"/>
              <w:rPr>
                <w:sz w:val="20"/>
                <w:szCs w:val="20"/>
                <w:color w:val="auto"/>
              </w:rPr>
            </w:pPr>
            <w:r>
              <w:rPr>
                <w:rFonts w:ascii="Arial" w:cs="Arial" w:eastAsia="Arial" w:hAnsi="Arial"/>
                <w:sz w:val="12"/>
                <w:szCs w:val="12"/>
                <w:color w:val="auto"/>
              </w:rPr>
              <w:t>Illinois</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0.73</w:t>
            </w:r>
          </w:p>
        </w:tc>
        <w:tc>
          <w:tcPr>
            <w:tcW w:w="10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0.68</w:t>
            </w:r>
          </w:p>
        </w:tc>
        <w:tc>
          <w:tcPr>
            <w:tcW w:w="0" w:type="dxa"/>
            <w:vAlign w:val="bottom"/>
          </w:tcPr>
          <w:p>
            <w:pPr>
              <w:spacing w:after="0"/>
              <w:rPr>
                <w:sz w:val="1"/>
                <w:szCs w:val="1"/>
                <w:color w:val="auto"/>
              </w:rPr>
            </w:pPr>
          </w:p>
        </w:tc>
      </w:tr>
      <w:tr>
        <w:trPr>
          <w:trHeight w:val="206"/>
        </w:trPr>
        <w:tc>
          <w:tcPr>
            <w:tcW w:w="1360" w:type="dxa"/>
            <w:vAlign w:val="bottom"/>
          </w:tcPr>
          <w:p>
            <w:pPr>
              <w:ind w:left="120"/>
              <w:spacing w:after="0"/>
              <w:rPr>
                <w:sz w:val="20"/>
                <w:szCs w:val="20"/>
                <w:color w:val="auto"/>
              </w:rPr>
            </w:pPr>
            <w:r>
              <w:rPr>
                <w:rFonts w:ascii="Arial" w:cs="Arial" w:eastAsia="Arial" w:hAnsi="Arial"/>
                <w:sz w:val="12"/>
                <w:szCs w:val="12"/>
                <w:color w:val="auto"/>
              </w:rPr>
              <w:t>New York</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0.82</w:t>
            </w:r>
          </w:p>
        </w:tc>
        <w:tc>
          <w:tcPr>
            <w:tcW w:w="10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0.78</w:t>
            </w:r>
          </w:p>
        </w:tc>
        <w:tc>
          <w:tcPr>
            <w:tcW w:w="10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0.75</w:t>
            </w:r>
          </w:p>
        </w:tc>
        <w:tc>
          <w:tcPr>
            <w:tcW w:w="0" w:type="dxa"/>
            <w:vAlign w:val="bottom"/>
          </w:tcPr>
          <w:p>
            <w:pPr>
              <w:spacing w:after="0"/>
              <w:rPr>
                <w:sz w:val="1"/>
                <w:szCs w:val="1"/>
                <w:color w:val="auto"/>
              </w:rPr>
            </w:pPr>
          </w:p>
        </w:tc>
      </w:tr>
      <w:tr>
        <w:trPr>
          <w:trHeight w:val="206"/>
        </w:trPr>
        <w:tc>
          <w:tcPr>
            <w:tcW w:w="1360" w:type="dxa"/>
            <w:vAlign w:val="bottom"/>
          </w:tcPr>
          <w:p>
            <w:pPr>
              <w:ind w:left="120"/>
              <w:spacing w:after="0"/>
              <w:rPr>
                <w:sz w:val="20"/>
                <w:szCs w:val="20"/>
                <w:color w:val="auto"/>
              </w:rPr>
            </w:pPr>
            <w:r>
              <w:rPr>
                <w:rFonts w:ascii="Arial" w:cs="Arial" w:eastAsia="Arial" w:hAnsi="Arial"/>
                <w:sz w:val="12"/>
                <w:szCs w:val="12"/>
                <w:color w:val="auto"/>
              </w:rPr>
              <w:t>Texas</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0.78</w:t>
            </w:r>
          </w:p>
        </w:tc>
        <w:tc>
          <w:tcPr>
            <w:tcW w:w="10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0.74</w:t>
            </w:r>
          </w:p>
        </w:tc>
        <w:tc>
          <w:tcPr>
            <w:tcW w:w="10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0.68</w:t>
            </w:r>
          </w:p>
        </w:tc>
        <w:tc>
          <w:tcPr>
            <w:tcW w:w="0" w:type="dxa"/>
            <w:vAlign w:val="bottom"/>
          </w:tcPr>
          <w:p>
            <w:pPr>
              <w:spacing w:after="0"/>
              <w:rPr>
                <w:sz w:val="1"/>
                <w:szCs w:val="1"/>
                <w:color w:val="auto"/>
              </w:rPr>
            </w:pPr>
          </w:p>
        </w:tc>
      </w:tr>
      <w:tr>
        <w:trPr>
          <w:trHeight w:val="206"/>
        </w:trPr>
        <w:tc>
          <w:tcPr>
            <w:tcW w:w="1360" w:type="dxa"/>
            <w:vAlign w:val="bottom"/>
          </w:tcPr>
          <w:p>
            <w:pPr>
              <w:ind w:left="120"/>
              <w:spacing w:after="0"/>
              <w:rPr>
                <w:sz w:val="20"/>
                <w:szCs w:val="20"/>
                <w:color w:val="auto"/>
              </w:rPr>
            </w:pPr>
            <w:r>
              <w:rPr>
                <w:rFonts w:ascii="Arial" w:cs="Arial" w:eastAsia="Arial" w:hAnsi="Arial"/>
                <w:sz w:val="12"/>
                <w:szCs w:val="12"/>
                <w:color w:val="auto"/>
              </w:rPr>
              <w:t>All other states</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61</w:t>
            </w:r>
          </w:p>
        </w:tc>
        <w:tc>
          <w:tcPr>
            <w:tcW w:w="1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60</w:t>
            </w:r>
          </w:p>
        </w:tc>
        <w:tc>
          <w:tcPr>
            <w:tcW w:w="1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0.58</w:t>
            </w:r>
          </w:p>
        </w:tc>
        <w:tc>
          <w:tcPr>
            <w:tcW w:w="10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0.54</w:t>
            </w:r>
          </w:p>
        </w:tc>
        <w:tc>
          <w:tcPr>
            <w:tcW w:w="10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83"/>
        </w:trPr>
        <w:tc>
          <w:tcPr>
            <w:tcW w:w="1360" w:type="dxa"/>
            <w:vAlign w:val="bottom"/>
          </w:tcPr>
          <w:p>
            <w:pPr>
              <w:ind w:left="20"/>
              <w:spacing w:after="0"/>
              <w:rPr>
                <w:sz w:val="20"/>
                <w:szCs w:val="20"/>
                <w:color w:val="auto"/>
              </w:rPr>
            </w:pPr>
            <w:r>
              <w:rPr>
                <w:rFonts w:ascii="Arial" w:cs="Arial" w:eastAsia="Arial" w:hAnsi="Arial"/>
                <w:sz w:val="12"/>
                <w:szCs w:val="12"/>
                <w:b w:val="1"/>
                <w:bCs w:val="1"/>
                <w:color w:val="auto"/>
              </w:rPr>
              <w:t>Estimated mark-to-</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60" w:type="dxa"/>
            <w:vAlign w:val="bottom"/>
            <w:tcBorders>
              <w:bottom w:val="single" w:sz="8" w:color="2C6937"/>
            </w:tcBorders>
          </w:tcPr>
          <w:p>
            <w:pPr>
              <w:ind w:left="120"/>
              <w:spacing w:after="0"/>
              <w:rPr>
                <w:sz w:val="20"/>
                <w:szCs w:val="20"/>
                <w:color w:val="auto"/>
              </w:rPr>
            </w:pPr>
            <w:r>
              <w:rPr>
                <w:rFonts w:ascii="Arial" w:cs="Arial" w:eastAsia="Arial" w:hAnsi="Arial"/>
                <w:sz w:val="12"/>
                <w:szCs w:val="12"/>
                <w:b w:val="1"/>
                <w:bCs w:val="1"/>
                <w:color w:val="auto"/>
              </w:rPr>
              <w:t>market LTV ratio:</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60" w:type="dxa"/>
            <w:vAlign w:val="bottom"/>
          </w:tcPr>
          <w:p>
            <w:pPr>
              <w:ind w:left="120"/>
              <w:spacing w:after="0"/>
              <w:rPr>
                <w:sz w:val="20"/>
                <w:szCs w:val="20"/>
                <w:color w:val="auto"/>
              </w:rPr>
            </w:pPr>
            <w:r>
              <w:rPr>
                <w:rFonts w:ascii="Arial" w:cs="Arial" w:eastAsia="Arial" w:hAnsi="Arial"/>
                <w:sz w:val="12"/>
                <w:szCs w:val="12"/>
                <w:color w:val="auto"/>
              </w:rPr>
              <w:t>&lt;= 60%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66</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62</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0.49</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0.47</w:t>
            </w:r>
          </w:p>
        </w:tc>
        <w:tc>
          <w:tcPr>
            <w:tcW w:w="10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0.45</w:t>
            </w:r>
          </w:p>
        </w:tc>
        <w:tc>
          <w:tcPr>
            <w:tcW w:w="0" w:type="dxa"/>
            <w:vAlign w:val="bottom"/>
          </w:tcPr>
          <w:p>
            <w:pPr>
              <w:spacing w:after="0"/>
              <w:rPr>
                <w:sz w:val="1"/>
                <w:szCs w:val="1"/>
                <w:color w:val="auto"/>
              </w:rPr>
            </w:pPr>
          </w:p>
        </w:tc>
      </w:tr>
      <w:tr>
        <w:trPr>
          <w:trHeight w:val="206"/>
        </w:trPr>
        <w:tc>
          <w:tcPr>
            <w:tcW w:w="1360" w:type="dxa"/>
            <w:vAlign w:val="bottom"/>
          </w:tcPr>
          <w:p>
            <w:pPr>
              <w:ind w:left="120"/>
              <w:spacing w:after="0"/>
              <w:rPr>
                <w:sz w:val="20"/>
                <w:szCs w:val="20"/>
                <w:color w:val="auto"/>
              </w:rPr>
            </w:pPr>
            <w:r>
              <w:rPr>
                <w:rFonts w:ascii="Arial" w:cs="Arial" w:eastAsia="Arial" w:hAnsi="Arial"/>
                <w:sz w:val="12"/>
                <w:szCs w:val="12"/>
                <w:color w:val="auto"/>
              </w:rPr>
              <w:t>60.01% to 70%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11</w:t>
            </w:r>
          </w:p>
        </w:tc>
        <w:tc>
          <w:tcPr>
            <w:tcW w:w="1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13</w:t>
            </w:r>
          </w:p>
        </w:tc>
        <w:tc>
          <w:tcPr>
            <w:tcW w:w="1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1.04</w:t>
            </w:r>
          </w:p>
        </w:tc>
        <w:tc>
          <w:tcPr>
            <w:tcW w:w="10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0.98</w:t>
            </w:r>
          </w:p>
        </w:tc>
        <w:tc>
          <w:tcPr>
            <w:tcW w:w="10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0.92</w:t>
            </w:r>
          </w:p>
        </w:tc>
        <w:tc>
          <w:tcPr>
            <w:tcW w:w="0" w:type="dxa"/>
            <w:vAlign w:val="bottom"/>
          </w:tcPr>
          <w:p>
            <w:pPr>
              <w:spacing w:after="0"/>
              <w:rPr>
                <w:sz w:val="1"/>
                <w:szCs w:val="1"/>
                <w:color w:val="auto"/>
              </w:rPr>
            </w:pPr>
          </w:p>
        </w:tc>
      </w:tr>
      <w:tr>
        <w:trPr>
          <w:trHeight w:val="206"/>
        </w:trPr>
        <w:tc>
          <w:tcPr>
            <w:tcW w:w="1360" w:type="dxa"/>
            <w:vAlign w:val="bottom"/>
          </w:tcPr>
          <w:p>
            <w:pPr>
              <w:ind w:left="120"/>
              <w:spacing w:after="0"/>
              <w:rPr>
                <w:sz w:val="20"/>
                <w:szCs w:val="20"/>
                <w:color w:val="auto"/>
              </w:rPr>
            </w:pPr>
            <w:r>
              <w:rPr>
                <w:rFonts w:ascii="Arial" w:cs="Arial" w:eastAsia="Arial" w:hAnsi="Arial"/>
                <w:sz w:val="12"/>
                <w:szCs w:val="12"/>
                <w:color w:val="auto"/>
              </w:rPr>
              <w:t>70.01% to 80%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11</w:t>
            </w:r>
          </w:p>
        </w:tc>
        <w:tc>
          <w:tcPr>
            <w:tcW w:w="1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11</w:t>
            </w:r>
          </w:p>
        </w:tc>
        <w:tc>
          <w:tcPr>
            <w:tcW w:w="1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0.92</w:t>
            </w:r>
          </w:p>
        </w:tc>
        <w:tc>
          <w:tcPr>
            <w:tcW w:w="10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0.88</w:t>
            </w:r>
          </w:p>
        </w:tc>
        <w:tc>
          <w:tcPr>
            <w:tcW w:w="10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0.81</w:t>
            </w:r>
          </w:p>
        </w:tc>
        <w:tc>
          <w:tcPr>
            <w:tcW w:w="0" w:type="dxa"/>
            <w:vAlign w:val="bottom"/>
          </w:tcPr>
          <w:p>
            <w:pPr>
              <w:spacing w:after="0"/>
              <w:rPr>
                <w:sz w:val="1"/>
                <w:szCs w:val="1"/>
                <w:color w:val="auto"/>
              </w:rPr>
            </w:pPr>
          </w:p>
        </w:tc>
      </w:tr>
      <w:tr>
        <w:trPr>
          <w:trHeight w:val="206"/>
        </w:trPr>
        <w:tc>
          <w:tcPr>
            <w:tcW w:w="1360" w:type="dxa"/>
            <w:vAlign w:val="bottom"/>
          </w:tcPr>
          <w:p>
            <w:pPr>
              <w:ind w:left="120"/>
              <w:spacing w:after="0"/>
              <w:rPr>
                <w:sz w:val="20"/>
                <w:szCs w:val="20"/>
                <w:color w:val="auto"/>
              </w:rPr>
            </w:pPr>
            <w:r>
              <w:rPr>
                <w:rFonts w:ascii="Arial" w:cs="Arial" w:eastAsia="Arial" w:hAnsi="Arial"/>
                <w:sz w:val="12"/>
                <w:szCs w:val="12"/>
                <w:color w:val="auto"/>
              </w:rPr>
              <w:t>80.01% to 90%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7</w:t>
            </w:r>
          </w:p>
        </w:tc>
        <w:tc>
          <w:tcPr>
            <w:tcW w:w="1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1.13</w:t>
            </w:r>
          </w:p>
        </w:tc>
        <w:tc>
          <w:tcPr>
            <w:tcW w:w="10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0.94</w:t>
            </w:r>
          </w:p>
        </w:tc>
        <w:tc>
          <w:tcPr>
            <w:tcW w:w="0" w:type="dxa"/>
            <w:vAlign w:val="bottom"/>
          </w:tcPr>
          <w:p>
            <w:pPr>
              <w:spacing w:after="0"/>
              <w:rPr>
                <w:sz w:val="1"/>
                <w:szCs w:val="1"/>
                <w:color w:val="auto"/>
              </w:rPr>
            </w:pPr>
          </w:p>
        </w:tc>
      </w:tr>
      <w:tr>
        <w:trPr>
          <w:trHeight w:val="206"/>
        </w:trPr>
        <w:tc>
          <w:tcPr>
            <w:tcW w:w="1360" w:type="dxa"/>
            <w:vAlign w:val="bottom"/>
          </w:tcPr>
          <w:p>
            <w:pPr>
              <w:ind w:left="120"/>
              <w:spacing w:after="0"/>
              <w:rPr>
                <w:sz w:val="20"/>
                <w:szCs w:val="20"/>
                <w:color w:val="auto"/>
              </w:rPr>
            </w:pPr>
            <w:r>
              <w:rPr>
                <w:rFonts w:ascii="Arial" w:cs="Arial" w:eastAsia="Arial" w:hAnsi="Arial"/>
                <w:sz w:val="12"/>
                <w:szCs w:val="12"/>
                <w:color w:val="auto"/>
              </w:rPr>
              <w:t>90.01% to 100%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1.16</w:t>
            </w:r>
          </w:p>
        </w:tc>
        <w:tc>
          <w:tcPr>
            <w:tcW w:w="10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0.98</w:t>
            </w:r>
          </w:p>
        </w:tc>
        <w:tc>
          <w:tcPr>
            <w:tcW w:w="10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0.87</w:t>
            </w:r>
          </w:p>
        </w:tc>
        <w:tc>
          <w:tcPr>
            <w:tcW w:w="0" w:type="dxa"/>
            <w:vAlign w:val="bottom"/>
          </w:tcPr>
          <w:p>
            <w:pPr>
              <w:spacing w:after="0"/>
              <w:rPr>
                <w:sz w:val="1"/>
                <w:szCs w:val="1"/>
                <w:color w:val="auto"/>
              </w:rPr>
            </w:pPr>
          </w:p>
        </w:tc>
      </w:tr>
      <w:tr>
        <w:trPr>
          <w:trHeight w:val="206"/>
        </w:trPr>
        <w:tc>
          <w:tcPr>
            <w:tcW w:w="1360" w:type="dxa"/>
            <w:vAlign w:val="bottom"/>
          </w:tcPr>
          <w:p>
            <w:pPr>
              <w:ind w:left="120"/>
              <w:spacing w:after="0"/>
              <w:rPr>
                <w:sz w:val="20"/>
                <w:szCs w:val="20"/>
                <w:color w:val="auto"/>
              </w:rPr>
            </w:pPr>
            <w:r>
              <w:rPr>
                <w:rFonts w:ascii="Arial" w:cs="Arial" w:eastAsia="Arial" w:hAnsi="Arial"/>
                <w:sz w:val="12"/>
                <w:szCs w:val="12"/>
                <w:color w:val="auto"/>
              </w:rPr>
              <w:t>Greater than 100%</w:t>
            </w:r>
          </w:p>
        </w:tc>
        <w:tc>
          <w:tcPr>
            <w:tcW w:w="118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4.39</w:t>
            </w:r>
          </w:p>
        </w:tc>
        <w:tc>
          <w:tcPr>
            <w:tcW w:w="10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3.46</w:t>
            </w:r>
          </w:p>
        </w:tc>
        <w:tc>
          <w:tcPr>
            <w:tcW w:w="10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3.46</w:t>
            </w:r>
          </w:p>
        </w:tc>
        <w:tc>
          <w:tcPr>
            <w:tcW w:w="0" w:type="dxa"/>
            <w:vAlign w:val="bottom"/>
          </w:tcPr>
          <w:p>
            <w:pPr>
              <w:spacing w:after="0"/>
              <w:rPr>
                <w:sz w:val="1"/>
                <w:szCs w:val="1"/>
                <w:color w:val="auto"/>
              </w:rPr>
            </w:pPr>
          </w:p>
        </w:tc>
      </w:tr>
      <w:tr>
        <w:trPr>
          <w:trHeight w:val="214"/>
        </w:trPr>
        <w:tc>
          <w:tcPr>
            <w:tcW w:w="1360" w:type="dxa"/>
            <w:vAlign w:val="bottom"/>
            <w:tcBorders>
              <w:bottom w:val="single" w:sz="8" w:color="2C6937"/>
            </w:tcBorders>
          </w:tcPr>
          <w:p>
            <w:pPr>
              <w:ind w:left="20"/>
              <w:spacing w:after="0"/>
              <w:rPr>
                <w:sz w:val="20"/>
                <w:szCs w:val="20"/>
                <w:color w:val="auto"/>
              </w:rPr>
            </w:pPr>
            <w:r>
              <w:rPr>
                <w:rFonts w:ascii="Arial" w:cs="Arial" w:eastAsia="Arial" w:hAnsi="Arial"/>
                <w:sz w:val="12"/>
                <w:szCs w:val="12"/>
                <w:b w:val="1"/>
                <w:bCs w:val="1"/>
                <w:color w:val="auto"/>
              </w:rPr>
              <w:t>Credit enhanced:</w:t>
            </w:r>
            <w:r>
              <w:rPr>
                <w:rFonts w:ascii="Arial" w:cs="Arial" w:eastAsia="Arial" w:hAnsi="Arial"/>
                <w:sz w:val="15"/>
                <w:szCs w:val="15"/>
                <w:b w:val="1"/>
                <w:bCs w:val="1"/>
                <w:color w:val="auto"/>
                <w:vertAlign w:val="superscript"/>
              </w:rPr>
              <w:t>(3)</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60" w:type="dxa"/>
            <w:vAlign w:val="bottom"/>
          </w:tcPr>
          <w:p>
            <w:pPr>
              <w:ind w:left="120"/>
              <w:spacing w:after="0"/>
              <w:rPr>
                <w:sz w:val="20"/>
                <w:szCs w:val="20"/>
                <w:color w:val="auto"/>
              </w:rPr>
            </w:pPr>
            <w:r>
              <w:rPr>
                <w:rFonts w:ascii="Arial" w:cs="Arial" w:eastAsia="Arial" w:hAnsi="Arial"/>
                <w:sz w:val="12"/>
                <w:szCs w:val="12"/>
                <w:color w:val="auto"/>
              </w:rPr>
              <w:t>Primary MI &amp; other</w:t>
            </w:r>
            <w:r>
              <w:rPr>
                <w:rFonts w:ascii="Arial" w:cs="Arial" w:eastAsia="Arial" w:hAnsi="Arial"/>
                <w:sz w:val="15"/>
                <w:szCs w:val="15"/>
                <w:color w:val="auto"/>
                <w:vertAlign w:val="superscript"/>
              </w:rPr>
              <w:t>(4)</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21</w:t>
            </w:r>
          </w:p>
        </w:tc>
        <w:tc>
          <w:tcPr>
            <w:tcW w:w="10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35</w:t>
            </w:r>
          </w:p>
        </w:tc>
        <w:tc>
          <w:tcPr>
            <w:tcW w:w="120" w:type="dxa"/>
            <w:vAlign w:val="bottom"/>
          </w:tcPr>
          <w:p>
            <w:pPr>
              <w:spacing w:after="0"/>
              <w:rPr>
                <w:sz w:val="19"/>
                <w:szCs w:val="19"/>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1.36</w:t>
            </w:r>
          </w:p>
        </w:tc>
        <w:tc>
          <w:tcPr>
            <w:tcW w:w="100" w:type="dxa"/>
            <w:vAlign w:val="bottom"/>
          </w:tcPr>
          <w:p>
            <w:pPr>
              <w:spacing w:after="0"/>
              <w:rPr>
                <w:sz w:val="19"/>
                <w:szCs w:val="19"/>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9"/>
                <w:szCs w:val="19"/>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9"/>
                <w:szCs w:val="19"/>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9"/>
                <w:szCs w:val="19"/>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206"/>
        </w:trPr>
        <w:tc>
          <w:tcPr>
            <w:tcW w:w="1360" w:type="dxa"/>
            <w:vAlign w:val="bottom"/>
          </w:tcPr>
          <w:p>
            <w:pPr>
              <w:ind w:left="120"/>
              <w:spacing w:after="0"/>
              <w:rPr>
                <w:sz w:val="20"/>
                <w:szCs w:val="20"/>
                <w:color w:val="auto"/>
              </w:rPr>
            </w:pPr>
            <w:r>
              <w:rPr>
                <w:rFonts w:ascii="Arial" w:cs="Arial" w:eastAsia="Arial" w:hAnsi="Arial"/>
                <w:sz w:val="12"/>
                <w:szCs w:val="12"/>
                <w:color w:val="auto"/>
              </w:rPr>
              <w:t>Credit risk transfer</w:t>
            </w:r>
            <w:r>
              <w:rPr>
                <w:rFonts w:ascii="Arial" w:cs="Arial" w:eastAsia="Arial" w:hAnsi="Arial"/>
                <w:sz w:val="15"/>
                <w:szCs w:val="15"/>
                <w:color w:val="auto"/>
                <w:vertAlign w:val="superscript"/>
              </w:rPr>
              <w:t>(5)</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36</w:t>
            </w:r>
          </w:p>
        </w:tc>
        <w:tc>
          <w:tcPr>
            <w:tcW w:w="1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31</w:t>
            </w:r>
          </w:p>
        </w:tc>
        <w:tc>
          <w:tcPr>
            <w:tcW w:w="1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0.68</w:t>
            </w:r>
          </w:p>
        </w:tc>
        <w:tc>
          <w:tcPr>
            <w:tcW w:w="10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0.63</w:t>
            </w:r>
          </w:p>
        </w:tc>
        <w:tc>
          <w:tcPr>
            <w:tcW w:w="10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7"/>
                <w:szCs w:val="17"/>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178"/>
        </w:trPr>
        <w:tc>
          <w:tcPr>
            <w:tcW w:w="1360" w:type="dxa"/>
            <w:vAlign w:val="bottom"/>
          </w:tcPr>
          <w:p>
            <w:pPr>
              <w:ind w:left="120"/>
              <w:spacing w:after="0"/>
              <w:rPr>
                <w:sz w:val="20"/>
                <w:szCs w:val="20"/>
                <w:color w:val="auto"/>
              </w:rPr>
            </w:pPr>
            <w:r>
              <w:rPr>
                <w:rFonts w:ascii="Arial" w:cs="Arial" w:eastAsia="Arial" w:hAnsi="Arial"/>
                <w:sz w:val="12"/>
                <w:szCs w:val="12"/>
                <w:color w:val="auto"/>
              </w:rPr>
              <w:t>Non-credit enhanced</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54</w:t>
            </w:r>
          </w:p>
        </w:tc>
        <w:tc>
          <w:tcPr>
            <w:tcW w:w="1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49</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0.47</w:t>
            </w:r>
          </w:p>
        </w:tc>
        <w:tc>
          <w:tcPr>
            <w:tcW w:w="10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0.45</w:t>
            </w:r>
          </w:p>
        </w:tc>
        <w:tc>
          <w:tcPr>
            <w:tcW w:w="100" w:type="dxa"/>
            <w:vAlign w:val="bottom"/>
          </w:tcPr>
          <w:p>
            <w:pPr>
              <w:spacing w:after="0"/>
              <w:rPr>
                <w:sz w:val="15"/>
                <w:szCs w:val="15"/>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0.42</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0" w:hanging="217"/>
        <w:spacing w:after="0"/>
        <w:tabs>
          <w:tab w:leader="none" w:pos="2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19" w:lineRule="exact"/>
        <w:rPr>
          <w:sz w:val="20"/>
          <w:szCs w:val="20"/>
          <w:color w:val="auto"/>
        </w:rPr>
      </w:pPr>
    </w:p>
    <w:p>
      <w:pPr>
        <w:ind w:left="240" w:hanging="217"/>
        <w:spacing w:after="0"/>
        <w:tabs>
          <w:tab w:leader="none" w:pos="24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Percentage of book amounts represent the UPB of loans for each category divided by the UPB of our total single-family conventional guaranty book of business.</w:t>
      </w:r>
    </w:p>
    <w:p>
      <w:pPr>
        <w:spacing w:after="0" w:line="37" w:lineRule="exact"/>
        <w:rPr>
          <w:rFonts w:ascii="Arial" w:cs="Arial" w:eastAsia="Arial" w:hAnsi="Arial"/>
          <w:sz w:val="18"/>
          <w:szCs w:val="18"/>
          <w:color w:val="auto"/>
          <w:vertAlign w:val="superscript"/>
        </w:rPr>
      </w:pPr>
    </w:p>
    <w:p>
      <w:pPr>
        <w:ind w:left="260" w:right="320" w:hanging="237"/>
        <w:spacing w:after="0" w:line="219" w:lineRule="auto"/>
        <w:tabs>
          <w:tab w:leader="none" w:pos="253"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number of single-family loans that were seriously delinquent for each category divided by the total number of single-family conventional loans that were seriously delinquent.</w:t>
      </w:r>
    </w:p>
    <w:p>
      <w:pPr>
        <w:spacing w:after="0" w:line="13" w:lineRule="exact"/>
        <w:rPr>
          <w:rFonts w:ascii="Arial" w:cs="Arial" w:eastAsia="Arial" w:hAnsi="Arial"/>
          <w:sz w:val="18"/>
          <w:szCs w:val="18"/>
          <w:color w:val="auto"/>
          <w:vertAlign w:val="superscript"/>
        </w:rPr>
      </w:pPr>
    </w:p>
    <w:p>
      <w:pPr>
        <w:ind w:left="260" w:right="180" w:hanging="237"/>
        <w:spacing w:after="0" w:line="264" w:lineRule="auto"/>
        <w:tabs>
          <w:tab w:leader="none" w:pos="253" w:val="left"/>
        </w:tabs>
        <w:numPr>
          <w:ilvl w:val="0"/>
          <w:numId w:val="24"/>
        </w:numPr>
        <w:rPr>
          <w:rFonts w:ascii="Arial" w:cs="Arial" w:eastAsia="Arial" w:hAnsi="Arial"/>
          <w:sz w:val="9"/>
          <w:szCs w:val="9"/>
          <w:color w:val="auto"/>
        </w:rPr>
      </w:pPr>
      <w:r>
        <w:rPr>
          <w:rFonts w:ascii="Arial" w:cs="Arial" w:eastAsia="Arial" w:hAnsi="Arial"/>
          <w:sz w:val="14"/>
          <w:szCs w:val="14"/>
          <w:color w:val="auto"/>
        </w:rPr>
        <w:t>The credit-enhanced categories are not mutually exclusive. A loan with primary mortgage insurance that is also covered by a credit risk transfer transaction will be included in both the “Primary MI &amp; other” category and the “Credit risk transfer” category. As a result, the “Credit enhanced” and “Non-credit enhanced” categories do not sum to 100%. The total percentage of our single-family conventional guaranty book of business with some form of credit enhancement as of September 30, 2026 was 46%.</w:t>
      </w:r>
    </w:p>
    <w:p>
      <w:pPr>
        <w:spacing w:after="0" w:line="10" w:lineRule="exact"/>
        <w:rPr>
          <w:rFonts w:ascii="Arial" w:cs="Arial" w:eastAsia="Arial" w:hAnsi="Arial"/>
          <w:sz w:val="9"/>
          <w:szCs w:val="9"/>
          <w:color w:val="auto"/>
        </w:rPr>
      </w:pPr>
    </w:p>
    <w:p>
      <w:pPr>
        <w:ind w:left="260" w:right="140" w:hanging="237"/>
        <w:spacing w:after="0" w:line="228" w:lineRule="auto"/>
        <w:tabs>
          <w:tab w:leader="none" w:pos="253"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an agreement used to reduce credit risk by requiring primary mortgage insurance, collateral, letters of credit, corporate guarantees, or other agreements to provide an entity with some assurance that it will be compensated to some degree in the event of a financial loss. Excludes loans covered by credit risk transfer transactions unless such loans are also covered by primary mortgage insurance.</w:t>
      </w:r>
    </w:p>
    <w:p>
      <w:pPr>
        <w:spacing w:after="0" w:line="26" w:lineRule="exact"/>
        <w:rPr>
          <w:rFonts w:ascii="Arial" w:cs="Arial" w:eastAsia="Arial" w:hAnsi="Arial"/>
          <w:sz w:val="18"/>
          <w:szCs w:val="18"/>
          <w:color w:val="auto"/>
          <w:vertAlign w:val="superscript"/>
        </w:rPr>
      </w:pPr>
    </w:p>
    <w:p>
      <w:pPr>
        <w:ind w:left="260" w:hanging="237"/>
        <w:spacing w:after="0" w:line="264" w:lineRule="auto"/>
        <w:tabs>
          <w:tab w:leader="none" w:pos="253" w:val="left"/>
        </w:tabs>
        <w:numPr>
          <w:ilvl w:val="0"/>
          <w:numId w:val="24"/>
        </w:numPr>
        <w:rPr>
          <w:rFonts w:ascii="Arial" w:cs="Arial" w:eastAsia="Arial" w:hAnsi="Arial"/>
          <w:sz w:val="9"/>
          <w:szCs w:val="9"/>
          <w:color w:val="auto"/>
        </w:rPr>
      </w:pPr>
      <w:r>
        <w:rPr>
          <w:rFonts w:ascii="Arial" w:cs="Arial" w:eastAsia="Arial" w:hAnsi="Arial"/>
          <w:sz w:val="14"/>
          <w:szCs w:val="14"/>
          <w:color w:val="auto"/>
        </w:rPr>
        <w:t>Refers to loans included in reference pools for credit risk transfer transactions, including loans in these transactions that are also covered by primary mortgage insurance. For CAS and some lender risk-sharing transactions, this represents the outstanding UPB of the underlying loans on the single-family mortgage credit book, not the outstanding reference pool, as of the specified date.</w:t>
      </w:r>
    </w:p>
    <w:p>
      <w:pPr>
        <w:spacing w:after="0" w:line="74"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Forbearance Plans and Loan Workouts</w:t>
      </w:r>
    </w:p>
    <w:p>
      <w:pPr>
        <w:spacing w:after="0" w:line="93" w:lineRule="exact"/>
        <w:rPr>
          <w:sz w:val="20"/>
          <w:szCs w:val="20"/>
          <w:color w:val="auto"/>
        </w:rPr>
      </w:pPr>
    </w:p>
    <w:p>
      <w:pPr>
        <w:ind w:left="20" w:right="100"/>
        <w:spacing w:after="0" w:line="271" w:lineRule="auto"/>
        <w:rPr>
          <w:sz w:val="20"/>
          <w:szCs w:val="20"/>
          <w:color w:val="auto"/>
        </w:rPr>
      </w:pPr>
      <w:r>
        <w:rPr>
          <w:rFonts w:ascii="Arial" w:cs="Arial" w:eastAsia="Arial" w:hAnsi="Arial"/>
          <w:sz w:val="16"/>
          <w:szCs w:val="16"/>
          <w:color w:val="auto"/>
        </w:rPr>
        <w:t>As a part of our credit risk management efforts, we offer several types of loss mitigation options to help homeowners stay in their home or to otherwise avoid foreclosure. Loss mitigation options can consist of a forbearance plan or a loan workout. Our loan workouts reflect additional types of home retention solutions that help reinstate loans to current status, including repayment plans, payment deferrals, and loan modifications. Our loan workouts also include foreclosure alternatives, such as short sales and deeds-in-lieu of foreclosure.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378460</wp:posOffset>
            </wp:positionV>
            <wp:extent cx="70072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28</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61" w:right="339" w:bottom="1440" w:gutter="0" w:footer="0" w:header="0"/>
        </w:sectPr>
      </w:pPr>
    </w:p>
    <w:bookmarkStart w:id="31" w:name="page32"/>
    <w:bookmarkEnd w:id="31"/>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chart below displays the UPB of our completed single-family loan workouts by type, as well as the number of loan workouts. This table does not include loans in an active forbearance arrangement, trial modifications, and repayment plans that have been initiated but not completed. As of September 30, 2026, the UPB of single-family loans in forbearance was $6.3 billion, compared with $7.5 billion as of December 31, 2025.</w:t>
      </w:r>
    </w:p>
    <w:p>
      <w:pPr>
        <w:spacing w:after="0" w:line="8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Completed Loan Workout Activity</w:t>
      </w:r>
    </w:p>
    <w:p>
      <w:pPr>
        <w:spacing w:after="0" w:line="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15240</wp:posOffset>
            </wp:positionV>
            <wp:extent cx="5721985" cy="1964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2198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7"/>
        <w:spacing w:after="0"/>
        <w:tabs>
          <w:tab w:leader="none" w:pos="220" w:val="left"/>
        </w:tabs>
        <w:numPr>
          <w:ilvl w:val="0"/>
          <w:numId w:val="25"/>
        </w:numPr>
        <w:rPr>
          <w:rFonts w:ascii="Arial" w:cs="Arial" w:eastAsia="Arial" w:hAnsi="Arial"/>
          <w:sz w:val="9"/>
          <w:szCs w:val="9"/>
          <w:color w:val="auto"/>
        </w:rPr>
      </w:pPr>
      <w:r>
        <w:rPr>
          <w:rFonts w:ascii="Arial" w:cs="Arial" w:eastAsia="Arial" w:hAnsi="Arial"/>
          <w:sz w:val="14"/>
          <w:szCs w:val="14"/>
          <w:color w:val="auto"/>
        </w:rPr>
        <w:t>Excludes approximately 21,100 loans and 22,300 loans in a trial modification period that was not yet complete as of September 30, 2026 and 2025, respectively.</w:t>
      </w:r>
    </w:p>
    <w:p>
      <w:pPr>
        <w:spacing w:after="0" w:line="45" w:lineRule="exact"/>
        <w:rPr>
          <w:rFonts w:ascii="Arial" w:cs="Arial" w:eastAsia="Arial" w:hAnsi="Arial"/>
          <w:sz w:val="9"/>
          <w:szCs w:val="9"/>
          <w:color w:val="auto"/>
        </w:rPr>
      </w:pPr>
    </w:p>
    <w:p>
      <w:pPr>
        <w:ind w:left="240" w:right="780" w:hanging="237"/>
        <w:spacing w:after="0" w:line="278" w:lineRule="auto"/>
        <w:tabs>
          <w:tab w:leader="none" w:pos="233" w:val="left"/>
        </w:tabs>
        <w:numPr>
          <w:ilvl w:val="0"/>
          <w:numId w:val="25"/>
        </w:numPr>
        <w:rPr>
          <w:rFonts w:ascii="Arial" w:cs="Arial" w:eastAsia="Arial" w:hAnsi="Arial"/>
          <w:sz w:val="9"/>
          <w:szCs w:val="9"/>
          <w:color w:val="auto"/>
        </w:rPr>
      </w:pPr>
      <w:r>
        <w:rPr>
          <w:rFonts w:ascii="Arial" w:cs="Arial" w:eastAsia="Arial" w:hAnsi="Arial"/>
          <w:sz w:val="14"/>
          <w:szCs w:val="14"/>
          <w:color w:val="auto"/>
        </w:rPr>
        <w:t>Other was $776 million and $714 million for the first nine months of 2026 and the first nine months of 2025, respectively. Other includes repayment plans and foreclosure alternatives. Repayment plans reflect only those plans associated with loans that were 60 days or more delinquent at the execution of the plan.</w:t>
      </w:r>
    </w:p>
    <w:p>
      <w:pPr>
        <w:spacing w:after="0" w:line="65"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REO Management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If a loan defaults, we may acquire the property through foreclosure or a deed-in-lieu of foreclosure. The table below displays our REO activity by region.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Regional REO acquisition trends generally follow a pattern that is similar to, but lags, that of regional delinquency trends.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REO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3240" w:type="dxa"/>
            <w:vAlign w:val="bottom"/>
            <w:tcBorders>
              <w:bottom w:val="single" w:sz="8" w:color="2C6937"/>
            </w:tcBorders>
            <w:gridSpan w:val="5"/>
          </w:tcPr>
          <w:p>
            <w:pPr>
              <w:jc w:val="right"/>
              <w:ind w:right="183"/>
              <w:spacing w:after="0"/>
              <w:rPr>
                <w:sz w:val="20"/>
                <w:szCs w:val="20"/>
                <w:color w:val="auto"/>
              </w:rPr>
            </w:pPr>
            <w:r>
              <w:rPr>
                <w:rFonts w:ascii="Arial" w:cs="Arial" w:eastAsia="Arial" w:hAnsi="Arial"/>
                <w:sz w:val="14"/>
                <w:szCs w:val="14"/>
                <w:b w:val="1"/>
                <w:bCs w:val="1"/>
                <w:color w:val="auto"/>
              </w:rPr>
              <w:t>For the Nine Months Ended September 30,</w:t>
            </w:r>
          </w:p>
        </w:tc>
        <w:tc>
          <w:tcPr>
            <w:tcW w:w="260" w:type="dxa"/>
            <w:vAlign w:val="bottom"/>
            <w:tcBorders>
              <w:bottom w:val="single" w:sz="8" w:color="2C6937"/>
            </w:tcBorders>
          </w:tcPr>
          <w:p>
            <w:pPr>
              <w:spacing w:after="0"/>
              <w:rPr>
                <w:sz w:val="16"/>
                <w:szCs w:val="16"/>
                <w:color w:val="auto"/>
              </w:rPr>
            </w:pPr>
          </w:p>
        </w:tc>
      </w:tr>
      <w:tr>
        <w:trPr>
          <w:trHeight w:val="198"/>
        </w:trPr>
        <w:tc>
          <w:tcPr>
            <w:tcW w:w="7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jc w:val="right"/>
              <w:ind w:right="444"/>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ind w:right="443"/>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2C6937"/>
            </w:tcBorders>
          </w:tcPr>
          <w:p>
            <w:pPr>
              <w:spacing w:after="0"/>
              <w:rPr>
                <w:sz w:val="17"/>
                <w:szCs w:val="17"/>
                <w:color w:val="auto"/>
              </w:rPr>
            </w:pPr>
          </w:p>
        </w:tc>
      </w:tr>
      <w:tr>
        <w:trPr>
          <w:trHeight w:val="220"/>
        </w:trPr>
        <w:tc>
          <w:tcPr>
            <w:tcW w:w="742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REO properties (number of properties):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76"/>
        </w:trPr>
        <w:tc>
          <w:tcPr>
            <w:tcW w:w="7420" w:type="dxa"/>
            <w:vAlign w:val="bottom"/>
            <w:gridSpan w:val="2"/>
          </w:tcPr>
          <w:p>
            <w:pPr>
              <w:ind w:left="180"/>
              <w:spacing w:after="0"/>
              <w:rPr>
                <w:sz w:val="20"/>
                <w:szCs w:val="20"/>
                <w:color w:val="auto"/>
              </w:rPr>
            </w:pPr>
            <w:r>
              <w:rPr>
                <w:rFonts w:ascii="Arial" w:cs="Arial" w:eastAsia="Arial" w:hAnsi="Arial"/>
                <w:sz w:val="15"/>
                <w:szCs w:val="15"/>
                <w:color w:val="auto"/>
              </w:rPr>
              <w:t>Beginning of period inventory of single-family REO properties</w:t>
            </w:r>
            <w:r>
              <w:rPr>
                <w:rFonts w:ascii="Arial" w:cs="Arial" w:eastAsia="Arial" w:hAnsi="Arial"/>
                <w:sz w:val="20"/>
                <w:szCs w:val="20"/>
                <w:color w:val="auto"/>
                <w:vertAlign w:val="superscript"/>
              </w:rPr>
              <w:t>(1)</w:t>
            </w:r>
          </w:p>
        </w:tc>
        <w:tc>
          <w:tcPr>
            <w:tcW w:w="320" w:type="dxa"/>
            <w:vAlign w:val="bottom"/>
          </w:tcPr>
          <w:p>
            <w:pPr>
              <w:spacing w:after="0"/>
              <w:rPr>
                <w:sz w:val="23"/>
                <w:szCs w:val="23"/>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4,519</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5,895</w:t>
            </w:r>
          </w:p>
        </w:tc>
        <w:tc>
          <w:tcPr>
            <w:tcW w:w="260" w:type="dxa"/>
            <w:vAlign w:val="bottom"/>
          </w:tcPr>
          <w:p>
            <w:pPr>
              <w:spacing w:after="0"/>
              <w:rPr>
                <w:sz w:val="23"/>
                <w:szCs w:val="23"/>
                <w:color w:val="auto"/>
              </w:rPr>
            </w:pPr>
          </w:p>
        </w:tc>
      </w:tr>
      <w:tr>
        <w:trPr>
          <w:trHeight w:val="247"/>
        </w:trPr>
        <w:tc>
          <w:tcPr>
            <w:tcW w:w="7420" w:type="dxa"/>
            <w:vAlign w:val="bottom"/>
            <w:gridSpan w:val="2"/>
          </w:tcPr>
          <w:p>
            <w:pPr>
              <w:ind w:left="320"/>
              <w:spacing w:after="0"/>
              <w:rPr>
                <w:sz w:val="20"/>
                <w:szCs w:val="20"/>
                <w:color w:val="auto"/>
              </w:rPr>
            </w:pPr>
            <w:r>
              <w:rPr>
                <w:rFonts w:ascii="Arial" w:cs="Arial" w:eastAsia="Arial" w:hAnsi="Arial"/>
                <w:sz w:val="15"/>
                <w:szCs w:val="15"/>
                <w:b w:val="1"/>
                <w:bCs w:val="1"/>
                <w:color w:val="auto"/>
              </w:rPr>
              <w:t>Acquisitions by geographic area:</w:t>
            </w:r>
            <w:r>
              <w:rPr>
                <w:rFonts w:ascii="Arial" w:cs="Arial" w:eastAsia="Arial" w:hAnsi="Arial"/>
                <w:sz w:val="20"/>
                <w:szCs w:val="20"/>
                <w:b w:val="1"/>
                <w:bCs w:val="1"/>
                <w:color w:val="auto"/>
                <w:vertAlign w:val="superscript"/>
              </w:rPr>
              <w:t>(2)</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25"/>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Midwest</w:t>
            </w:r>
          </w:p>
        </w:tc>
        <w:tc>
          <w:tcPr>
            <w:tcW w:w="320" w:type="dxa"/>
            <w:vAlign w:val="bottom"/>
          </w:tcPr>
          <w:p>
            <w:pPr>
              <w:spacing w:after="0"/>
              <w:rPr>
                <w:sz w:val="19"/>
                <w:szCs w:val="19"/>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859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517</w:t>
            </w:r>
          </w:p>
        </w:tc>
        <w:tc>
          <w:tcPr>
            <w:tcW w:w="260" w:type="dxa"/>
            <w:vAlign w:val="bottom"/>
          </w:tcPr>
          <w:p>
            <w:pPr>
              <w:spacing w:after="0"/>
              <w:rPr>
                <w:sz w:val="19"/>
                <w:szCs w:val="19"/>
                <w:color w:val="auto"/>
              </w:rPr>
            </w:pPr>
          </w:p>
        </w:tc>
      </w:tr>
      <w:tr>
        <w:trPr>
          <w:trHeight w:val="245"/>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Northeast</w:t>
            </w:r>
          </w:p>
        </w:tc>
        <w:tc>
          <w:tcPr>
            <w:tcW w:w="320" w:type="dxa"/>
            <w:vAlign w:val="bottom"/>
          </w:tcPr>
          <w:p>
            <w:pPr>
              <w:spacing w:after="0"/>
              <w:rPr>
                <w:sz w:val="21"/>
                <w:szCs w:val="21"/>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301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252</w:t>
            </w:r>
          </w:p>
        </w:tc>
        <w:tc>
          <w:tcPr>
            <w:tcW w:w="260" w:type="dxa"/>
            <w:vAlign w:val="bottom"/>
          </w:tcPr>
          <w:p>
            <w:pPr>
              <w:spacing w:after="0"/>
              <w:rPr>
                <w:sz w:val="21"/>
                <w:szCs w:val="21"/>
                <w:color w:val="auto"/>
              </w:rPr>
            </w:pPr>
          </w:p>
        </w:tc>
      </w:tr>
      <w:tr>
        <w:trPr>
          <w:trHeight w:val="245"/>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Southeast</w:t>
            </w:r>
          </w:p>
        </w:tc>
        <w:tc>
          <w:tcPr>
            <w:tcW w:w="320" w:type="dxa"/>
            <w:vAlign w:val="bottom"/>
          </w:tcPr>
          <w:p>
            <w:pPr>
              <w:spacing w:after="0"/>
              <w:rPr>
                <w:sz w:val="21"/>
                <w:szCs w:val="21"/>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997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556</w:t>
            </w:r>
          </w:p>
        </w:tc>
        <w:tc>
          <w:tcPr>
            <w:tcW w:w="260" w:type="dxa"/>
            <w:vAlign w:val="bottom"/>
          </w:tcPr>
          <w:p>
            <w:pPr>
              <w:spacing w:after="0"/>
              <w:rPr>
                <w:sz w:val="21"/>
                <w:szCs w:val="21"/>
                <w:color w:val="auto"/>
              </w:rPr>
            </w:pPr>
          </w:p>
        </w:tc>
      </w:tr>
      <w:tr>
        <w:trPr>
          <w:trHeight w:val="245"/>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Southwest</w:t>
            </w:r>
          </w:p>
        </w:tc>
        <w:tc>
          <w:tcPr>
            <w:tcW w:w="320" w:type="dxa"/>
            <w:vAlign w:val="bottom"/>
          </w:tcPr>
          <w:p>
            <w:pPr>
              <w:spacing w:after="0"/>
              <w:rPr>
                <w:sz w:val="21"/>
                <w:szCs w:val="21"/>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1,081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556</w:t>
            </w:r>
          </w:p>
        </w:tc>
        <w:tc>
          <w:tcPr>
            <w:tcW w:w="260" w:type="dxa"/>
            <w:vAlign w:val="bottom"/>
          </w:tcPr>
          <w:p>
            <w:pPr>
              <w:spacing w:after="0"/>
              <w:rPr>
                <w:sz w:val="21"/>
                <w:szCs w:val="21"/>
                <w:color w:val="auto"/>
              </w:rPr>
            </w:pPr>
          </w:p>
        </w:tc>
      </w:tr>
      <w:tr>
        <w:trPr>
          <w:trHeight w:val="239"/>
        </w:trPr>
        <w:tc>
          <w:tcPr>
            <w:tcW w:w="728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West</w:t>
            </w:r>
          </w:p>
        </w:tc>
        <w:tc>
          <w:tcPr>
            <w:tcW w:w="14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12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511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268</w:t>
            </w:r>
          </w:p>
        </w:tc>
        <w:tc>
          <w:tcPr>
            <w:tcW w:w="260" w:type="dxa"/>
            <w:vAlign w:val="bottom"/>
          </w:tcPr>
          <w:p>
            <w:pPr>
              <w:spacing w:after="0"/>
              <w:rPr>
                <w:sz w:val="20"/>
                <w:szCs w:val="20"/>
                <w:color w:val="auto"/>
              </w:rPr>
            </w:pPr>
          </w:p>
        </w:tc>
      </w:tr>
      <w:tr>
        <w:trPr>
          <w:trHeight w:val="264"/>
        </w:trPr>
        <w:tc>
          <w:tcPr>
            <w:tcW w:w="7420" w:type="dxa"/>
            <w:vAlign w:val="bottom"/>
            <w:gridSpan w:val="2"/>
          </w:tcPr>
          <w:p>
            <w:pPr>
              <w:ind w:left="320"/>
              <w:spacing w:after="0"/>
              <w:rPr>
                <w:sz w:val="20"/>
                <w:szCs w:val="20"/>
                <w:color w:val="auto"/>
              </w:rPr>
            </w:pPr>
            <w:r>
              <w:rPr>
                <w:rFonts w:ascii="Arial" w:cs="Arial" w:eastAsia="Arial" w:hAnsi="Arial"/>
                <w:sz w:val="15"/>
                <w:szCs w:val="15"/>
                <w:color w:val="auto"/>
              </w:rPr>
              <w:t>Total REO acquisitions</w:t>
            </w:r>
            <w:r>
              <w:rPr>
                <w:rFonts w:ascii="Arial" w:cs="Arial" w:eastAsia="Arial" w:hAnsi="Arial"/>
                <w:sz w:val="20"/>
                <w:szCs w:val="20"/>
                <w:color w:val="auto"/>
                <w:vertAlign w:val="superscript"/>
              </w:rPr>
              <w:t>(1)</w:t>
            </w:r>
          </w:p>
        </w:tc>
        <w:tc>
          <w:tcPr>
            <w:tcW w:w="320" w:type="dxa"/>
            <w:vAlign w:val="bottom"/>
          </w:tcPr>
          <w:p>
            <w:pPr>
              <w:spacing w:after="0"/>
              <w:rPr>
                <w:sz w:val="22"/>
                <w:szCs w:val="22"/>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3,749</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2,149</w:t>
            </w:r>
          </w:p>
        </w:tc>
        <w:tc>
          <w:tcPr>
            <w:tcW w:w="260" w:type="dxa"/>
            <w:vAlign w:val="bottom"/>
          </w:tcPr>
          <w:p>
            <w:pPr>
              <w:spacing w:after="0"/>
              <w:rPr>
                <w:sz w:val="22"/>
                <w:szCs w:val="22"/>
                <w:color w:val="auto"/>
              </w:rPr>
            </w:pPr>
          </w:p>
        </w:tc>
      </w:tr>
      <w:tr>
        <w:trPr>
          <w:trHeight w:val="218"/>
        </w:trPr>
        <w:tc>
          <w:tcPr>
            <w:tcW w:w="72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Dispositions of REO</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(3,548)</w:t>
            </w:r>
          </w:p>
        </w:tc>
        <w:tc>
          <w:tcPr>
            <w:tcW w:w="260" w:type="dxa"/>
            <w:vAlign w:val="bottom"/>
          </w:tcPr>
          <w:p>
            <w:pPr>
              <w:spacing w:after="0"/>
              <w:rPr>
                <w:sz w:val="18"/>
                <w:szCs w:val="18"/>
                <w:color w:val="auto"/>
              </w:rPr>
            </w:pPr>
          </w:p>
        </w:tc>
      </w:tr>
      <w:tr>
        <w:trPr>
          <w:trHeight w:val="238"/>
        </w:trPr>
        <w:tc>
          <w:tcPr>
            <w:tcW w:w="72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 of period inventory of single-family REO properties</w:t>
            </w:r>
            <w:r>
              <w:rPr>
                <w:rFonts w:ascii="Arial" w:cs="Arial" w:eastAsia="Arial" w:hAnsi="Arial"/>
                <w:sz w:val="20"/>
                <w:szCs w:val="20"/>
                <w:color w:val="auto"/>
                <w:vertAlign w:val="superscript"/>
              </w:rPr>
              <w:t>(1)</w:t>
            </w:r>
          </w:p>
        </w:tc>
        <w:tc>
          <w:tcPr>
            <w:tcW w:w="14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12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5,475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4,496</w:t>
            </w:r>
          </w:p>
        </w:tc>
        <w:tc>
          <w:tcPr>
            <w:tcW w:w="260" w:type="dxa"/>
            <w:vAlign w:val="bottom"/>
          </w:tcPr>
          <w:p>
            <w:pPr>
              <w:spacing w:after="0"/>
              <w:rPr>
                <w:sz w:val="20"/>
                <w:szCs w:val="20"/>
                <w:color w:val="auto"/>
              </w:rPr>
            </w:pPr>
          </w:p>
        </w:tc>
      </w:tr>
      <w:tr>
        <w:trPr>
          <w:trHeight w:val="20"/>
        </w:trPr>
        <w:tc>
          <w:tcPr>
            <w:tcW w:w="728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128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Carrying value of single-family REO properties (dollars in millions)</w:t>
            </w:r>
          </w:p>
        </w:tc>
        <w:tc>
          <w:tcPr>
            <w:tcW w:w="320" w:type="dxa"/>
            <w:vAlign w:val="bottom"/>
          </w:tcPr>
          <w:p>
            <w:pPr>
              <w:jc w:val="right"/>
              <w:ind w:right="123"/>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1,103</w:t>
            </w:r>
          </w:p>
        </w:tc>
        <w:tc>
          <w:tcPr>
            <w:tcW w:w="80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831</w:t>
            </w:r>
          </w:p>
        </w:tc>
        <w:tc>
          <w:tcPr>
            <w:tcW w:w="260" w:type="dxa"/>
            <w:vAlign w:val="bottom"/>
          </w:tcPr>
          <w:p>
            <w:pPr>
              <w:spacing w:after="0"/>
              <w:rPr>
                <w:sz w:val="21"/>
                <w:szCs w:val="21"/>
                <w:color w:val="auto"/>
              </w:rPr>
            </w:pPr>
          </w:p>
        </w:tc>
      </w:tr>
      <w:tr>
        <w:trPr>
          <w:trHeight w:val="265"/>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Single-family foreclosure rate</w:t>
            </w:r>
            <w:r>
              <w:rPr>
                <w:rFonts w:ascii="Arial" w:cs="Arial" w:eastAsia="Arial" w:hAnsi="Arial"/>
                <w:sz w:val="20"/>
                <w:szCs w:val="20"/>
                <w:color w:val="auto"/>
                <w:vertAlign w:val="superscript"/>
              </w:rPr>
              <w:t>(3)</w:t>
            </w:r>
          </w:p>
        </w:tc>
        <w:tc>
          <w:tcPr>
            <w:tcW w:w="320" w:type="dxa"/>
            <w:vAlign w:val="bottom"/>
          </w:tcPr>
          <w:p>
            <w:pPr>
              <w:spacing w:after="0"/>
              <w:rPr>
                <w:sz w:val="23"/>
                <w:szCs w:val="23"/>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0.03</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0.02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5"/>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UPB</w:t>
            </w:r>
            <w:r>
              <w:rPr>
                <w:rFonts w:ascii="Arial" w:cs="Arial" w:eastAsia="Arial" w:hAnsi="Arial"/>
                <w:sz w:val="20"/>
                <w:szCs w:val="20"/>
                <w:color w:val="auto"/>
                <w:vertAlign w:val="superscript"/>
              </w:rPr>
              <w:t>(4)</w:t>
            </w:r>
          </w:p>
        </w:tc>
        <w:tc>
          <w:tcPr>
            <w:tcW w:w="320" w:type="dxa"/>
            <w:vAlign w:val="bottom"/>
          </w:tcPr>
          <w:p>
            <w:pPr>
              <w:spacing w:after="0"/>
              <w:rPr>
                <w:sz w:val="21"/>
                <w:szCs w:val="21"/>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107</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140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5"/>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UPB and costs to repair</w:t>
            </w:r>
            <w:r>
              <w:rPr>
                <w:rFonts w:ascii="Arial" w:cs="Arial" w:eastAsia="Arial" w:hAnsi="Arial"/>
                <w:sz w:val="20"/>
                <w:szCs w:val="20"/>
                <w:color w:val="auto"/>
                <w:vertAlign w:val="superscript"/>
              </w:rPr>
              <w:t>(5)</w:t>
            </w:r>
          </w:p>
        </w:tc>
        <w:tc>
          <w:tcPr>
            <w:tcW w:w="320" w:type="dxa"/>
            <w:vAlign w:val="bottom"/>
          </w:tcPr>
          <w:p>
            <w:pPr>
              <w:spacing w:after="0"/>
              <w:rPr>
                <w:sz w:val="21"/>
                <w:szCs w:val="21"/>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82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1"/>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Short sales net sales price to UPB</w:t>
            </w:r>
            <w:r>
              <w:rPr>
                <w:rFonts w:ascii="Arial" w:cs="Arial" w:eastAsia="Arial" w:hAnsi="Arial"/>
                <w:sz w:val="20"/>
                <w:szCs w:val="20"/>
                <w:color w:val="auto"/>
                <w:vertAlign w:val="superscript"/>
              </w:rPr>
              <w:t>(6)</w:t>
            </w:r>
          </w:p>
        </w:tc>
        <w:tc>
          <w:tcPr>
            <w:tcW w:w="320" w:type="dxa"/>
            <w:vAlign w:val="bottom"/>
          </w:tcPr>
          <w:p>
            <w:pPr>
              <w:spacing w:after="0"/>
              <w:rPr>
                <w:sz w:val="23"/>
                <w:szCs w:val="23"/>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81</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417195</wp:posOffset>
            </wp:positionV>
            <wp:extent cx="70072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29</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32" w:name="page33"/>
    <w:bookmarkEnd w:id="32"/>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hanging="217"/>
        <w:spacing w:after="0"/>
        <w:tabs>
          <w:tab w:leader="none" w:pos="2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Consists of held-for sale and held-for-use properties, which are reported in our condensed consolidated balance sheets as a component of “Other assets.”</w:t>
      </w:r>
    </w:p>
    <w:p>
      <w:pPr>
        <w:spacing w:after="0" w:line="37" w:lineRule="exact"/>
        <w:rPr>
          <w:rFonts w:ascii="Arial" w:cs="Arial" w:eastAsia="Arial" w:hAnsi="Arial"/>
          <w:sz w:val="18"/>
          <w:szCs w:val="18"/>
          <w:color w:val="auto"/>
          <w:vertAlign w:val="superscript"/>
        </w:rPr>
      </w:pPr>
    </w:p>
    <w:p>
      <w:pPr>
        <w:ind w:left="240" w:right="420" w:hanging="237"/>
        <w:spacing w:after="0" w:line="219" w:lineRule="auto"/>
        <w:tabs>
          <w:tab w:leader="none" w:pos="23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See footnote 10 to the “Key Risk Characteristics of Single-Family Conventional Business Volume and Guaranty Book of Business” table for states included in each geographic region.</w:t>
      </w:r>
    </w:p>
    <w:p>
      <w:pPr>
        <w:spacing w:after="0" w:line="26" w:lineRule="exact"/>
        <w:rPr>
          <w:rFonts w:ascii="Arial" w:cs="Arial" w:eastAsia="Arial" w:hAnsi="Arial"/>
          <w:sz w:val="18"/>
          <w:szCs w:val="18"/>
          <w:color w:val="auto"/>
          <w:vertAlign w:val="superscript"/>
        </w:rPr>
      </w:pPr>
    </w:p>
    <w:p>
      <w:pPr>
        <w:ind w:left="240" w:right="60" w:hanging="237"/>
        <w:spacing w:after="0" w:line="218" w:lineRule="auto"/>
        <w:tabs>
          <w:tab w:leader="none" w:pos="23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Estimated based on the annualized total number of properties acquired through foreclosure or deeds-in-lieu of foreclosure as a percentage of the total number of loans in our single-family conventional guaranty book of business as of the end of each period.</w:t>
      </w:r>
    </w:p>
    <w:p>
      <w:pPr>
        <w:spacing w:after="0" w:line="26" w:lineRule="exact"/>
        <w:rPr>
          <w:rFonts w:ascii="Arial" w:cs="Arial" w:eastAsia="Arial" w:hAnsi="Arial"/>
          <w:sz w:val="18"/>
          <w:szCs w:val="18"/>
          <w:color w:val="auto"/>
          <w:vertAlign w:val="superscript"/>
        </w:rPr>
      </w:pPr>
    </w:p>
    <w:p>
      <w:pPr>
        <w:ind w:left="240" w:right="40" w:hanging="237"/>
        <w:spacing w:after="0" w:line="233" w:lineRule="auto"/>
        <w:tabs>
          <w:tab w:leader="none" w:pos="23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UPB of the related loans at the time of foreclosure. Net sales price represents the contract sales price less selling costs for the property and other charges paid by the seller at closing, and excludes the costs associated with any property repairs.</w:t>
      </w:r>
    </w:p>
    <w:p>
      <w:pPr>
        <w:spacing w:after="0" w:line="27" w:lineRule="exact"/>
        <w:rPr>
          <w:rFonts w:ascii="Arial" w:cs="Arial" w:eastAsia="Arial" w:hAnsi="Arial"/>
          <w:sz w:val="18"/>
          <w:szCs w:val="18"/>
          <w:color w:val="auto"/>
          <w:vertAlign w:val="superscript"/>
        </w:rPr>
      </w:pPr>
    </w:p>
    <w:p>
      <w:pPr>
        <w:ind w:left="240" w:right="140" w:hanging="237"/>
        <w:spacing w:after="0" w:line="228" w:lineRule="auto"/>
        <w:tabs>
          <w:tab w:leader="none" w:pos="23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UPB of the related loans at the time of foreclosure and costs to repair the property. Net sales price represents the contract sales price less selling costs for the property and other charges paid by the seller at closing.</w:t>
      </w:r>
    </w:p>
    <w:p>
      <w:pPr>
        <w:spacing w:after="0" w:line="26" w:lineRule="exact"/>
        <w:rPr>
          <w:rFonts w:ascii="Arial" w:cs="Arial" w:eastAsia="Arial" w:hAnsi="Arial"/>
          <w:sz w:val="18"/>
          <w:szCs w:val="18"/>
          <w:color w:val="auto"/>
          <w:vertAlign w:val="superscript"/>
        </w:rPr>
      </w:pPr>
    </w:p>
    <w:p>
      <w:pPr>
        <w:ind w:left="240" w:right="260" w:hanging="237"/>
        <w:spacing w:after="0" w:line="226" w:lineRule="auto"/>
        <w:tabs>
          <w:tab w:leader="none" w:pos="23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properties sold in short sale transactions during the respective periods divided by the aggregate UPB of the related loans. Net sales price includes borrower relocation incentive payments and subordinate lien(s) negotiated payoffs.</w:t>
      </w:r>
    </w:p>
    <w:p>
      <w:pPr>
        <w:spacing w:after="0" w:line="52"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color w:val="auto"/>
        </w:rPr>
        <w:t>The increase in single-family REO properties in the first nine months of 2026 compared with the first nine months of 2025 was primarily driven by higher REO acquisitions during the period. Foreclosure activity continued to rise from the unusually low levels seen during the pandemic. In addition, a smaller share of foreclosed properties were sold to third parties. Because properties sold to third parties at foreclosure do not enter our REO inventory, this also contributed to the increase in REO acquisitions.</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REO net sales price to UPB, excluding costs to repair, declined to 107% for the first nine months of 2026 compared to 140% for the first nine months of 2025, primarily driven by REO properties with higher LTV ratios at foreclosure, resulting in a higher average UPB of the loan relative to the sales price of the REO.</w:t>
      </w:r>
    </w:p>
    <w:p>
      <w:pPr>
        <w:spacing w:after="0" w:line="115"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Credit Loss Performance Metrics and Loan Sale Performance</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single-family credit loss performance metrics and loan sale performance measures below present information about losses or gains we realized on our single-family loans during the periods presented. For the purposes of our single-family credit loss performance metrics, credit losses or gains represent write-offs net of recoveries on our credit loss reserves as well as foreclosed property income or expense. Our credit loss reserves consists of our allowance for loan losses, accrued interest receivable and our guaranty loss reserves. The amount of these losses or gains in a given period is driven by foreclosures, pre-foreclosure sales, post-foreclosure REO activity, mortgage loan redesignations, and other events that trigger write-offs and recoveries. The single-family credit loss metrics we present are not defined terms and may not be calculated in the same manner as similarly titled measures reported by other companies. Management uses these measures to evaluate the effectiveness of our single-family credit risk management strategies in conjunction with leading indicators such as serious delinquency and forbearance rates, which are potential indicators of future realized single-family credit losses. We believe these measures provide useful information about our single-family credit performance and the factors that impact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393700</wp:posOffset>
            </wp:positionV>
            <wp:extent cx="70072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30</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33" w:name="page34"/>
    <w:bookmarkEnd w:id="33"/>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table below displays the components of our single-family credit loss performance metrics. Because sales of nonperforming and reperforming loans are a part of our credit loss mitigation strategy, we also provide information in the table below on our loan sale performance through the “Gains (losses) on sales and other valuation adjustments” line item.</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Single-Family Credit Loss Performance Metrics and Loan Sale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center"/>
              <w:ind w:right="80"/>
              <w:spacing w:after="0"/>
              <w:rPr>
                <w:sz w:val="20"/>
                <w:szCs w:val="20"/>
                <w:color w:val="auto"/>
              </w:rPr>
            </w:pPr>
            <w:r>
              <w:rPr>
                <w:rFonts w:ascii="Arial" w:cs="Arial" w:eastAsia="Arial" w:hAnsi="Arial"/>
                <w:sz w:val="15"/>
                <w:szCs w:val="15"/>
                <w:b w:val="1"/>
                <w:bCs w:val="1"/>
                <w:color w:val="auto"/>
              </w:rPr>
              <w:t>For the Three Months Ended</w:t>
            </w:r>
          </w:p>
        </w:tc>
        <w:tc>
          <w:tcPr>
            <w:tcW w:w="180" w:type="dxa"/>
            <w:vAlign w:val="bottom"/>
          </w:tcPr>
          <w:p>
            <w:pPr>
              <w:spacing w:after="0"/>
              <w:rPr>
                <w:sz w:val="14"/>
                <w:szCs w:val="14"/>
                <w:color w:val="auto"/>
              </w:rPr>
            </w:pPr>
          </w:p>
        </w:tc>
        <w:tc>
          <w:tcPr>
            <w:tcW w:w="2300" w:type="dxa"/>
            <w:vAlign w:val="bottom"/>
            <w:gridSpan w:val="4"/>
          </w:tcPr>
          <w:p>
            <w:pPr>
              <w:jc w:val="right"/>
              <w:ind w:right="143"/>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6"/>
          </w:tcPr>
          <w:p>
            <w:pPr>
              <w:jc w:val="center"/>
              <w:ind w:right="8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7"/>
                <w:szCs w:val="17"/>
                <w:color w:val="auto"/>
              </w:rPr>
            </w:pPr>
          </w:p>
        </w:tc>
        <w:tc>
          <w:tcPr>
            <w:tcW w:w="2300" w:type="dxa"/>
            <w:vAlign w:val="bottom"/>
            <w:gridSpan w:val="4"/>
          </w:tcPr>
          <w:p>
            <w:pPr>
              <w:jc w:val="right"/>
              <w:ind w:right="623"/>
              <w:spacing w:after="0"/>
              <w:rPr>
                <w:sz w:val="20"/>
                <w:szCs w:val="20"/>
                <w:color w:val="auto"/>
              </w:rPr>
            </w:pPr>
            <w:r>
              <w:rPr>
                <w:rFonts w:ascii="Arial" w:cs="Arial" w:eastAsia="Arial" w:hAnsi="Arial"/>
                <w:sz w:val="15"/>
                <w:szCs w:val="15"/>
                <w:b w:val="1"/>
                <w:bCs w:val="1"/>
                <w:color w:val="auto"/>
              </w:rPr>
              <w:t>September 30,</w:t>
            </w:r>
          </w:p>
        </w:tc>
      </w:tr>
      <w:tr>
        <w:trPr>
          <w:trHeight w:val="212"/>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2026</w:t>
            </w:r>
          </w:p>
        </w:tc>
        <w:tc>
          <w:tcPr>
            <w:tcW w:w="4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6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102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top w:val="single" w:sz="8" w:color="2C6937"/>
              <w:bottom w:val="single" w:sz="8" w:color="2C6937"/>
            </w:tcBorders>
          </w:tcPr>
          <w:p>
            <w:pPr>
              <w:spacing w:after="0"/>
              <w:rPr>
                <w:sz w:val="18"/>
                <w:szCs w:val="18"/>
                <w:color w:val="auto"/>
              </w:rPr>
            </w:pPr>
          </w:p>
        </w:tc>
        <w:tc>
          <w:tcPr>
            <w:tcW w:w="28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2025</w:t>
            </w:r>
          </w:p>
        </w:tc>
      </w:tr>
      <w:tr>
        <w:trPr>
          <w:trHeight w:val="309"/>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5"/>
          </w:tcPr>
          <w:p>
            <w:pPr>
              <w:ind w:left="260"/>
              <w:spacing w:after="0"/>
              <w:rPr>
                <w:sz w:val="20"/>
                <w:szCs w:val="20"/>
                <w:color w:val="auto"/>
              </w:rPr>
            </w:pPr>
            <w:r>
              <w:rPr>
                <w:rFonts w:ascii="Arial" w:cs="Arial" w:eastAsia="Arial" w:hAnsi="Arial"/>
                <w:sz w:val="15"/>
                <w:szCs w:val="15"/>
                <w:b w:val="1"/>
                <w:bCs w:val="1"/>
                <w:color w:val="auto"/>
              </w:rPr>
              <w:t>(Dollars in millions)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5"/>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Write-offs, excluding write-offs on redesignation of mortgage loans from HFI to HFS</w:t>
            </w: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(167)</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(143)</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(450)</w:t>
            </w:r>
          </w:p>
        </w:tc>
        <w:tc>
          <w:tcPr>
            <w:tcW w:w="8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(407)</w:t>
            </w:r>
          </w:p>
        </w:tc>
      </w:tr>
      <w:tr>
        <w:trPr>
          <w:trHeight w:val="322"/>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66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b w:val="1"/>
                <w:bCs w:val="1"/>
                <w:color w:val="auto"/>
              </w:rPr>
              <w:t>174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134</w:t>
            </w:r>
          </w:p>
        </w:tc>
      </w:tr>
      <w:tr>
        <w:trPr>
          <w:trHeight w:val="213"/>
        </w:trPr>
        <w:tc>
          <w:tcPr>
            <w:tcW w:w="6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income (expense)</w:t>
            </w:r>
          </w:p>
        </w:tc>
        <w:tc>
          <w:tcPr>
            <w:tcW w:w="100" w:type="dxa"/>
            <w:vAlign w:val="bottom"/>
          </w:tcPr>
          <w:p>
            <w:pPr>
              <w:spacing w:after="0"/>
              <w:rPr>
                <w:sz w:val="18"/>
                <w:szCs w:val="18"/>
                <w:color w:val="auto"/>
              </w:rPr>
            </w:pPr>
          </w:p>
        </w:tc>
        <w:tc>
          <w:tcPr>
            <w:tcW w:w="780" w:type="dxa"/>
            <w:vAlign w:val="bottom"/>
            <w:tcBorders>
              <w:bottom w:val="single" w:sz="8" w:color="2C6937"/>
            </w:tcBorders>
          </w:tcPr>
          <w:p>
            <w:pPr>
              <w:spacing w:after="0"/>
              <w:rPr>
                <w:sz w:val="18"/>
                <w:szCs w:val="18"/>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(36)</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(99)</w:t>
            </w:r>
          </w:p>
        </w:tc>
        <w:tc>
          <w:tcPr>
            <w:tcW w:w="8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(198)</w:t>
            </w:r>
          </w:p>
        </w:tc>
      </w:tr>
      <w:tr>
        <w:trPr>
          <w:trHeight w:val="322"/>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Credit gains (losses)</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(375)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(471)</w:t>
            </w:r>
          </w:p>
        </w:tc>
      </w:tr>
      <w:tr>
        <w:trPr>
          <w:trHeight w:val="316"/>
        </w:trPr>
        <w:tc>
          <w:tcPr>
            <w:tcW w:w="6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Write-offs on the redesignation of mortgage loans from HFI to HFS</w:t>
            </w:r>
            <w:r>
              <w:rPr>
                <w:rFonts w:ascii="Arial" w:cs="Arial" w:eastAsia="Arial" w:hAnsi="Arial"/>
                <w:sz w:val="20"/>
                <w:szCs w:val="20"/>
                <w:color w:val="auto"/>
                <w:vertAlign w:val="superscript"/>
              </w:rPr>
              <w:t>(1)</w:t>
            </w:r>
          </w:p>
        </w:tc>
        <w:tc>
          <w:tcPr>
            <w:tcW w:w="100" w:type="dxa"/>
            <w:vAlign w:val="bottom"/>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(97)</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(96)</w:t>
            </w:r>
          </w:p>
        </w:tc>
        <w:tc>
          <w:tcPr>
            <w:tcW w:w="8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(187)</w:t>
            </w:r>
          </w:p>
        </w:tc>
      </w:tr>
      <w:tr>
        <w:trPr>
          <w:trHeight w:val="244"/>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Net credit gains (losses) and write-offs on redesignations</w:t>
            </w: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(471)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(658)</w:t>
            </w:r>
          </w:p>
        </w:tc>
      </w:tr>
      <w:tr>
        <w:trPr>
          <w:trHeight w:val="316"/>
        </w:trPr>
        <w:tc>
          <w:tcPr>
            <w:tcW w:w="6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Gains (losses) on sales and other valuation adjustments</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w:t>
            </w:r>
          </w:p>
        </w:tc>
        <w:tc>
          <w:tcPr>
            <w:tcW w:w="8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w:t>
            </w:r>
          </w:p>
        </w:tc>
      </w:tr>
      <w:tr>
        <w:trPr>
          <w:trHeight w:val="200"/>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other valuation adjustments</w:t>
            </w: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(155)</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(237)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(476)</w:t>
            </w:r>
          </w:p>
        </w:tc>
        <w:tc>
          <w:tcPr>
            <w:tcW w:w="80" w:type="dxa"/>
            <w:vAlign w:val="bottom"/>
          </w:tcPr>
          <w:p>
            <w:pPr>
              <w:spacing w:after="0"/>
              <w:rPr>
                <w:sz w:val="20"/>
                <w:szCs w:val="20"/>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(672)</w:t>
            </w:r>
          </w:p>
        </w:tc>
      </w:tr>
      <w:tr>
        <w:trPr>
          <w:trHeight w:val="20"/>
        </w:trPr>
        <w:tc>
          <w:tcPr>
            <w:tcW w:w="6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r>
      <w:tr>
        <w:trPr>
          <w:trHeight w:val="495"/>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0"/>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other valuation adjustments ratio (in bps)</w:t>
            </w:r>
            <w:r>
              <w:rPr>
                <w:rFonts w:ascii="Arial" w:cs="Arial" w:eastAsia="Arial" w:hAnsi="Arial"/>
                <w:sz w:val="20"/>
                <w:szCs w:val="20"/>
                <w:color w:val="auto"/>
                <w:vertAlign w:val="superscript"/>
              </w:rPr>
              <w:t>(4)</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w:t>
            </w:r>
          </w:p>
        </w:tc>
      </w:tr>
    </w:tbl>
    <w:p>
      <w:pPr>
        <w:spacing w:after="0" w:line="69" w:lineRule="exact"/>
        <w:rPr>
          <w:sz w:val="20"/>
          <w:szCs w:val="20"/>
          <w:color w:val="auto"/>
        </w:rPr>
      </w:pPr>
    </w:p>
    <w:p>
      <w:pPr>
        <w:ind w:left="220" w:hanging="217"/>
        <w:spacing w:after="0"/>
        <w:tabs>
          <w:tab w:leader="none" w:pos="220" w:val="left"/>
        </w:tabs>
        <w:numPr>
          <w:ilvl w:val="0"/>
          <w:numId w:val="27"/>
        </w:numPr>
        <w:rPr>
          <w:rFonts w:ascii="Arial" w:cs="Arial" w:eastAsia="Arial" w:hAnsi="Arial"/>
          <w:sz w:val="9"/>
          <w:szCs w:val="9"/>
          <w:color w:val="auto"/>
        </w:rPr>
      </w:pPr>
      <w:r>
        <w:rPr>
          <w:rFonts w:ascii="Arial" w:cs="Arial" w:eastAsia="Arial" w:hAnsi="Arial"/>
          <w:sz w:val="14"/>
          <w:szCs w:val="14"/>
          <w:color w:val="auto"/>
        </w:rPr>
        <w:t>Consists of the lower of cost or fair value adjustment at time of redesignation.</w:t>
      </w:r>
    </w:p>
    <w:p>
      <w:pPr>
        <w:spacing w:after="0" w:line="45" w:lineRule="exact"/>
        <w:rPr>
          <w:rFonts w:ascii="Arial" w:cs="Arial" w:eastAsia="Arial" w:hAnsi="Arial"/>
          <w:sz w:val="9"/>
          <w:szCs w:val="9"/>
          <w:color w:val="auto"/>
        </w:rPr>
      </w:pPr>
    </w:p>
    <w:p>
      <w:pPr>
        <w:ind w:left="240" w:right="220" w:hanging="237"/>
        <w:spacing w:after="0" w:line="226"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Consists of gains or losses realized on the sales of nonperforming and reperforming mortgage loans during the period and temporary lower of cost or market adjustments on HFS loans, which are recognized in “Investment gains (losses), net” in our condensed consolidated statements of operations and comprehensive income.</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divided by the average single-family conventional guaranty book of business during the period.</w:t>
      </w:r>
    </w:p>
    <w:p>
      <w:pPr>
        <w:spacing w:after="0" w:line="37" w:lineRule="exact"/>
        <w:rPr>
          <w:rFonts w:ascii="Arial" w:cs="Arial" w:eastAsia="Arial" w:hAnsi="Arial"/>
          <w:sz w:val="18"/>
          <w:szCs w:val="18"/>
          <w:color w:val="auto"/>
          <w:vertAlign w:val="superscript"/>
        </w:rPr>
      </w:pPr>
    </w:p>
    <w:p>
      <w:pPr>
        <w:ind w:left="240" w:right="240" w:hanging="237"/>
        <w:spacing w:after="0" w:line="210"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“Net credit gains (losses), write-offs on redesignations and gains (losses) on sales and other valuation adjustments” divided by the average single-family conventional guaranty book of business during the period.</w:t>
      </w:r>
    </w:p>
    <w:p>
      <w:pPr>
        <w:spacing w:after="0" w:line="5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decrease in our single-family net credit losses, write-offs on redesignations and losses on sales and other valuation adjustments in the third quarter of 2026 compared with the third quarter of 2025 was primarily driven by fewer mortgage loan redesignations from HFI to HFS.</w:t>
      </w:r>
    </w:p>
    <w:p>
      <w:pPr>
        <w:spacing w:after="0" w:line="2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decrease in our single-family net credit losses, write-offs on redesignations and losses on sales and other valuation adjustments in the first nine months of 2026 compared with the first nine months of 2025 was primarily driven by lower foreclosed property expenses due to reduced repair costs, reduced losses on third-party sales and increased gains on sales of foreclosed properties, as well as fewer redesignations from HFI to HFS.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377825</wp:posOffset>
            </wp:positionV>
            <wp:extent cx="70072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31</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34" w:name="page35"/>
    <w:bookmarkEnd w:id="34"/>
    <w:p>
      <w:pPr>
        <w:ind w:left="7520"/>
        <w:spacing w:after="0"/>
        <w:rPr>
          <w:sz w:val="20"/>
          <w:szCs w:val="20"/>
          <w:color w:val="auto"/>
        </w:rPr>
      </w:pPr>
      <w:r>
        <w:rPr>
          <w:rFonts w:ascii="Arial" w:cs="Arial" w:eastAsia="Arial" w:hAnsi="Arial"/>
          <w:sz w:val="14"/>
          <w:szCs w:val="14"/>
          <w:color w:val="05314D"/>
        </w:rPr>
        <w:t>MD&amp;A | Multifamily Business | Multifamily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This section supplements and updates information regarding our Multifamily business segment in our 2025 Form 10-K. See “MD&amp;A—Multifamily Business” in our 2025 Form 10-K for additional information regarding the primary business activities, lenders, investors and competition of our Multifamily business.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Market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market indicators provide information about conditions in the multifamily mortgage market on a national basis:</w:t>
      </w:r>
    </w:p>
    <w:p>
      <w:pPr>
        <w:spacing w:after="0" w:line="87" w:lineRule="exact"/>
        <w:rPr>
          <w:sz w:val="20"/>
          <w:szCs w:val="20"/>
          <w:color w:val="auto"/>
        </w:rPr>
      </w:pPr>
    </w:p>
    <w:p>
      <w:pPr>
        <w:ind w:left="620" w:right="140" w:hanging="307"/>
        <w:spacing w:after="0" w:line="272" w:lineRule="auto"/>
        <w:tabs>
          <w:tab w:leader="none" w:pos="6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national multifamily vacancy rate for institutional investment-type apartment properties remained elevated as of September 30, 2026 at 6.7%, compared with 6.8% as of June 30, 2026, and 6.6% as of September 30, 2025, based on data from Moody’s Analytics. The estimated average national multifamily vacancy rate over the last 15 years was approximately 5.0%.</w:t>
      </w:r>
    </w:p>
    <w:p>
      <w:pPr>
        <w:spacing w:after="0" w:line="31" w:lineRule="exact"/>
        <w:rPr>
          <w:rFonts w:ascii="Arial" w:cs="Arial" w:eastAsia="Arial" w:hAnsi="Arial"/>
          <w:sz w:val="16"/>
          <w:szCs w:val="16"/>
          <w:color w:val="auto"/>
        </w:rPr>
      </w:pPr>
    </w:p>
    <w:p>
      <w:pPr>
        <w:ind w:left="620" w:right="140" w:hanging="307"/>
        <w:spacing w:after="0" w:line="310" w:lineRule="auto"/>
        <w:tabs>
          <w:tab w:leader="none" w:pos="6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Effective rents increased 0.3% during the third quarter of 2026, following an increase of 0.9% during the second quarter of 2026 and in contrast to the decrease of 0.1% during the third quarter of 2025, based on Moody’s Analytics data.</w:t>
      </w:r>
    </w:p>
    <w:p>
      <w:pPr>
        <w:spacing w:after="0" w:line="1" w:lineRule="exact"/>
        <w:rPr>
          <w:rFonts w:ascii="Arial" w:cs="Arial" w:eastAsia="Arial" w:hAnsi="Arial"/>
          <w:sz w:val="16"/>
          <w:szCs w:val="16"/>
          <w:color w:val="auto"/>
        </w:rPr>
      </w:pPr>
    </w:p>
    <w:p>
      <w:pPr>
        <w:ind w:left="620" w:right="180" w:hanging="307"/>
        <w:spacing w:after="0" w:line="272" w:lineRule="auto"/>
        <w:tabs>
          <w:tab w:leader="none" w:pos="6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Multifamily property values declined as of September 30, 2026 compared to December 31, 2025. See “Critical Accounting Estimates” for the forecasted multifamily property value growth rates used in determining our multifamily allowance for loan losses for the quarter ended September 30, 2026.</w:t>
      </w:r>
    </w:p>
    <w:p>
      <w:pPr>
        <w:spacing w:after="0" w:line="31" w:lineRule="exact"/>
        <w:rPr>
          <w:rFonts w:ascii="Arial" w:cs="Arial" w:eastAsia="Arial" w:hAnsi="Arial"/>
          <w:sz w:val="16"/>
          <w:szCs w:val="16"/>
          <w:color w:val="auto"/>
        </w:rPr>
      </w:pPr>
    </w:p>
    <w:p>
      <w:pPr>
        <w:ind w:left="620" w:right="280" w:hanging="307"/>
        <w:spacing w:after="0" w:line="293" w:lineRule="auto"/>
        <w:tabs>
          <w:tab w:leader="none" w:pos="6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New multifamily rental units were delivered to the U.S. housing market year-to-date through August 2026 at a level higher than the past 10-year average; these deliveries are expected to slow by the end of 2027.</w:t>
      </w:r>
    </w:p>
    <w:p>
      <w:pPr>
        <w:spacing w:after="0" w:line="28"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Vacancy rates and rents are important to loan performance because multifamily loans are generally repaid from the cash flows generated by the underlying property. Property value is important to credit quality because when a multifamily loan matures, a borrower may be required to make up any value shortfalls if the value estimate has declined below the UPB of the loan and the borrower needs new financing for the property. A borrower may default on a loan if the UPB of the loan is significantly higher than the current property value.</w:t>
      </w:r>
    </w:p>
    <w:p>
      <w:pPr>
        <w:spacing w:after="0" w:line="8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Business Metrics</w:t>
      </w:r>
    </w:p>
    <w:p>
      <w:pPr>
        <w:spacing w:after="0" w:line="11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New Business Volume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our multifamily loan acquisitions by UPB and total number of units financed.</w:t>
      </w:r>
    </w:p>
    <w:p>
      <w:pPr>
        <w:spacing w:after="0" w:line="178"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Multifamily New Business Volume</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212090</wp:posOffset>
            </wp:positionV>
            <wp:extent cx="5460365" cy="15716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60365" cy="157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right="140" w:hanging="237"/>
        <w:spacing w:after="0" w:line="264" w:lineRule="auto"/>
        <w:tabs>
          <w:tab w:leader="none" w:pos="233" w:val="left"/>
        </w:tabs>
        <w:numPr>
          <w:ilvl w:val="0"/>
          <w:numId w:val="29"/>
        </w:numPr>
        <w:rPr>
          <w:rFonts w:ascii="Arial" w:cs="Arial" w:eastAsia="Arial" w:hAnsi="Arial"/>
          <w:sz w:val="9"/>
          <w:szCs w:val="9"/>
          <w:color w:val="auto"/>
        </w:rPr>
      </w:pPr>
      <w:r>
        <w:rPr>
          <w:rFonts w:ascii="Arial" w:cs="Arial" w:eastAsia="Arial" w:hAnsi="Arial"/>
          <w:sz w:val="14"/>
          <w:szCs w:val="14"/>
          <w:color w:val="auto"/>
        </w:rPr>
        <w:t>Reflects UPB of new multifamily loans securitized or purchased as well as credit enhancements provided during the period. These figures will not agree to Fannie Mae MBS issued during the period, as Fannie Mae MBS issued also include portfolio securitizations and certain conversions that result in a new Fannie Mae MBS issuance without a newly created loan and exclude bond or mortgage loan credit enhancements.</w:t>
      </w:r>
    </w:p>
    <w:p>
      <w:pPr>
        <w:ind w:left="220" w:hanging="217"/>
        <w:spacing w:after="0"/>
        <w:tabs>
          <w:tab w:leader="none" w:pos="2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Reflects newly acquired units financed by first liens and excludes manufactured housing rentals.</w:t>
      </w:r>
    </w:p>
    <w:p>
      <w:pPr>
        <w:spacing w:after="0" w:line="53"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For 2026, FHFA has capped our multifamily loan purchases at $88 billion. FHFA has exempted from the volume cap loans financing workforce housing properties meeting specified criteria that preserve long-term affordability for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368935</wp:posOffset>
            </wp:positionV>
            <wp:extent cx="70072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32</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35" w:name="page36"/>
    <w:bookmarkEnd w:id="35"/>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of Business and Average Charged Guaranty Fee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the UPB and average charged guaranty fee related to our multifamily guaranty book of business.</w:t>
      </w:r>
    </w:p>
    <w:p>
      <w:pPr>
        <w:spacing w:after="0" w:line="12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 xml:space="preserve">Multifamily Guaranty Book of Business </w:t>
      </w:r>
      <w:r>
        <w:rPr>
          <w:rFonts w:ascii="Georgia" w:cs="Georgia" w:eastAsia="Georgia" w:hAnsi="Georgia"/>
          <w:sz w:val="19"/>
          <w:szCs w:val="19"/>
          <w:b w:val="1"/>
          <w:bCs w:val="1"/>
          <w:color w:val="05314D"/>
        </w:rPr>
        <w:t>and Charged Fee</w:t>
      </w:r>
    </w:p>
    <w:p>
      <w:pPr>
        <w:spacing w:after="0" w:line="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64770</wp:posOffset>
            </wp:positionV>
            <wp:extent cx="5501005" cy="18008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0100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40" w:right="100" w:hanging="237"/>
        <w:spacing w:after="0" w:line="228" w:lineRule="auto"/>
        <w:tabs>
          <w:tab w:leader="none" w:pos="233"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Our multifamily guaranty book of business primarily consists of multifamily mortgage loans underlying Fannie Mae MBS outstanding, multifamily mortgage loans of Fannie Mae held in our retained mortgage portfolio, and other credit enhancements that we provide on multifamily mortgage assets. It does not include non-Fannie Mae multifamily mortgage-related securities held in our retained mortgage portfolio for which we do not provide a guaranty.</w:t>
      </w:r>
    </w:p>
    <w:p>
      <w:pPr>
        <w:spacing w:after="0" w:line="50"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average charged guaranty fee on our multifamily guaranty book of business decreased 2.5 bps as of September 30, 2026 compared with September 30, 2025, due to lower average charged fees on our acquisitions for the twelve months ended September 30, 2026 compared with the existing loans in our multifamily guaranty book of business. For additional information regarding our average charged guaranty fee, see “MD&amp;A—Multifamily Business— Multifamily Business Metrics—Multifamily Guaranty Book of Business and Average Charged Guaranty Fee” in our 2025 Form 10-K.</w:t>
      </w:r>
    </w:p>
    <w:p>
      <w:pPr>
        <w:spacing w:after="0" w:line="7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Credit Risk Management</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This section supplements and updates our discussion of multifamily mortgage credit risk management in our 2025 Form 10-K in “MD&amp;A—Multifamily Business—Multifamily Mortgage Credit Risk Management.” For additional information on the primary components of our strategy for managing multifamily credit risk, the factors that influence the credit risk profile of our multifamily guaranty book of business, our multifamily underwriting standards, our multifamily guaranty book diversification and monitoring, and our transfer of multifamily mortgage credit risk, as well as our reliance on representations from lenders and servicers regarding the accuracy of credit information on loans in our guaranty book of business, see the discussion in our 2025 Form 10-K.</w:t>
      </w:r>
    </w:p>
    <w:p>
      <w:pPr>
        <w:spacing w:after="0" w:line="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Diversification and Monitoring</w:t>
      </w:r>
    </w:p>
    <w:p>
      <w:pPr>
        <w:spacing w:after="0" w:line="80"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following table displays our multifamily business volumes and our multifamily guaranty book of business, based on certain key risk characteristics that we use to evaluate the risk profile and credit quality of our multifamily loans. For additional information on our multifamily guaranty book diversification and monitoring, see “MD&amp;A—Multifamily Business—Multifamily Mortgage Credit Risk Management—Multifamily Guaranty Book Diversification and Monitoring” in our 2025 Form 10-K.</w:t>
      </w:r>
    </w:p>
    <w:p>
      <w:pPr>
        <w:spacing w:after="0" w:line="35"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We provide additional information on the credit characteristics of our multifamily loans in our quarterly earnings presentations and financial supplements, which we furnish to the SEC with current reports on Form 8-K and make available on our website. Information in our quarterly earnings presentations and financial supplements is not incorporated by reference into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372745</wp:posOffset>
            </wp:positionV>
            <wp:extent cx="70072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33</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36" w:name="page37"/>
    <w:bookmarkEnd w:id="36"/>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5314D"/>
        </w:rPr>
        <w:t>Key Risk Characteristics of Multifamily Business Volume and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2216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2C6937"/>
            </w:tcBorders>
          </w:tcPr>
          <w:p>
            <w:pPr>
              <w:spacing w:after="0"/>
              <w:rPr>
                <w:sz w:val="17"/>
                <w:szCs w:val="17"/>
                <w:color w:val="auto"/>
              </w:rPr>
            </w:pPr>
          </w:p>
        </w:tc>
        <w:tc>
          <w:tcPr>
            <w:tcW w:w="3220" w:type="dxa"/>
            <w:vAlign w:val="bottom"/>
            <w:tcBorders>
              <w:bottom w:val="single" w:sz="8" w:color="2C6937"/>
            </w:tcBorders>
            <w:gridSpan w:val="9"/>
          </w:tcPr>
          <w:p>
            <w:pPr>
              <w:jc w:val="center"/>
              <w:ind w:left="11"/>
              <w:spacing w:after="0"/>
              <w:rPr>
                <w:sz w:val="20"/>
                <w:szCs w:val="20"/>
                <w:color w:val="auto"/>
              </w:rPr>
            </w:pPr>
            <w:r>
              <w:rPr>
                <w:rFonts w:ascii="Arial" w:cs="Arial" w:eastAsia="Arial" w:hAnsi="Arial"/>
                <w:sz w:val="14"/>
                <w:szCs w:val="14"/>
                <w:b w:val="1"/>
                <w:bCs w:val="1"/>
                <w:color w:val="auto"/>
                <w:w w:val="96"/>
              </w:rPr>
              <w:t>Multifamily Business Volume at Acquisition</w:t>
            </w:r>
            <w:r>
              <w:rPr>
                <w:rFonts w:ascii="Arial" w:cs="Arial" w:eastAsia="Arial" w:hAnsi="Arial"/>
                <w:sz w:val="17"/>
                <w:szCs w:val="17"/>
                <w:b w:val="1"/>
                <w:bCs w:val="1"/>
                <w:color w:val="auto"/>
                <w:w w:val="96"/>
                <w:vertAlign w:val="superscript"/>
              </w:rPr>
              <w:t>(1)</w:t>
            </w:r>
          </w:p>
        </w:tc>
        <w:tc>
          <w:tcPr>
            <w:tcW w:w="740" w:type="dxa"/>
            <w:vAlign w:val="bottom"/>
            <w:tcBorders>
              <w:bottom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7"/>
              </w:rPr>
              <w:t>For the Three Months Ended</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4"/>
            <w:vMerge w:val="restart"/>
          </w:tcPr>
          <w:p>
            <w:pPr>
              <w:jc w:val="right"/>
              <w:ind w:right="131"/>
              <w:spacing w:after="0"/>
              <w:rPr>
                <w:sz w:val="20"/>
                <w:szCs w:val="20"/>
                <w:color w:val="auto"/>
              </w:rPr>
            </w:pPr>
            <w:r>
              <w:rPr>
                <w:rFonts w:ascii="Arial" w:cs="Arial" w:eastAsia="Arial" w:hAnsi="Arial"/>
                <w:sz w:val="14"/>
                <w:szCs w:val="14"/>
                <w:b w:val="1"/>
                <w:bCs w:val="1"/>
                <w:color w:val="auto"/>
                <w:w w:val="99"/>
              </w:rPr>
              <w:t>For the Nine Months Ended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4"/>
          </w:tcPr>
          <w:p>
            <w:pPr>
              <w:jc w:val="center"/>
              <w:ind w:right="51"/>
              <w:spacing w:after="0"/>
              <w:rPr>
                <w:sz w:val="20"/>
                <w:szCs w:val="20"/>
                <w:color w:val="auto"/>
              </w:rPr>
            </w:pPr>
            <w:r>
              <w:rPr>
                <w:rFonts w:ascii="Arial" w:cs="Arial" w:eastAsia="Arial" w:hAnsi="Arial"/>
                <w:sz w:val="14"/>
                <w:szCs w:val="14"/>
                <w:b w:val="1"/>
                <w:bCs w:val="1"/>
                <w:color w:val="auto"/>
                <w:w w:val="98"/>
              </w:rPr>
              <w:t>Multifamily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8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gridSpan w:val="4"/>
            <w:vMerge w:val="restart"/>
          </w:tcPr>
          <w:p>
            <w:pPr>
              <w:jc w:val="center"/>
              <w:ind w:right="51"/>
              <w:spacing w:after="0" w:line="170" w:lineRule="exact"/>
              <w:rPr>
                <w:sz w:val="20"/>
                <w:szCs w:val="20"/>
                <w:color w:val="auto"/>
              </w:rPr>
            </w:pPr>
            <w:r>
              <w:rPr>
                <w:rFonts w:ascii="Arial" w:cs="Arial" w:eastAsia="Arial" w:hAnsi="Arial"/>
                <w:sz w:val="14"/>
                <w:szCs w:val="14"/>
                <w:b w:val="1"/>
                <w:bCs w:val="1"/>
                <w:color w:val="auto"/>
                <w:w w:val="97"/>
              </w:rPr>
              <w:t>Guaranty Book of Business</w:t>
            </w:r>
            <w:r>
              <w:rPr>
                <w:rFonts w:ascii="Arial" w:cs="Arial" w:eastAsia="Arial" w:hAnsi="Arial"/>
                <w:sz w:val="17"/>
                <w:szCs w:val="17"/>
                <w:b w:val="1"/>
                <w:bCs w:val="1"/>
                <w:color w:val="auto"/>
                <w:w w:val="97"/>
                <w:vertAlign w:val="superscript"/>
              </w:rPr>
              <w:t>(2)</w:t>
            </w: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80" w:type="dxa"/>
            <w:vAlign w:val="bottom"/>
            <w:gridSpan w:val="4"/>
            <w:vMerge w:val="restart"/>
          </w:tcPr>
          <w:p>
            <w:pPr>
              <w:jc w:val="center"/>
              <w:ind w:left="231"/>
              <w:spacing w:after="0"/>
              <w:rPr>
                <w:sz w:val="20"/>
                <w:szCs w:val="20"/>
                <w:color w:val="auto"/>
              </w:rPr>
            </w:pPr>
            <w:r>
              <w:rPr>
                <w:rFonts w:ascii="Arial" w:cs="Arial" w:eastAsia="Arial" w:hAnsi="Arial"/>
                <w:sz w:val="14"/>
                <w:szCs w:val="14"/>
                <w:b w:val="1"/>
                <w:bCs w:val="1"/>
                <w:color w:val="auto"/>
                <w:w w:val="98"/>
              </w:rPr>
              <w:t>September 30,</w:t>
            </w: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4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4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4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gridSpan w:val="3"/>
            <w:vMerge w:val="restart"/>
          </w:tcPr>
          <w:p>
            <w:pPr>
              <w:jc w:val="center"/>
              <w:ind w:left="912"/>
              <w:spacing w:after="0"/>
              <w:rPr>
                <w:sz w:val="20"/>
                <w:szCs w:val="20"/>
                <w:color w:val="auto"/>
              </w:rPr>
            </w:pPr>
            <w:r>
              <w:rPr>
                <w:rFonts w:ascii="Arial" w:cs="Arial" w:eastAsia="Arial" w:hAnsi="Arial"/>
                <w:sz w:val="14"/>
                <w:szCs w:val="14"/>
                <w:b w:val="1"/>
                <w:bCs w:val="1"/>
                <w:color w:val="auto"/>
                <w:w w:val="97"/>
              </w:rPr>
              <w:t>As of</w:t>
            </w: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2C6937"/>
            </w:tcBorders>
          </w:tcPr>
          <w:p>
            <w:pPr>
              <w:spacing w:after="0"/>
              <w:rPr>
                <w:sz w:val="7"/>
                <w:szCs w:val="7"/>
                <w:color w:val="auto"/>
              </w:rPr>
            </w:pPr>
          </w:p>
        </w:tc>
        <w:tc>
          <w:tcPr>
            <w:tcW w:w="320" w:type="dxa"/>
            <w:vAlign w:val="bottom"/>
            <w:tcBorders>
              <w:bottom w:val="single" w:sz="8" w:color="2C6937"/>
            </w:tcBorders>
          </w:tcPr>
          <w:p>
            <w:pPr>
              <w:spacing w:after="0"/>
              <w:rPr>
                <w:sz w:val="7"/>
                <w:szCs w:val="7"/>
                <w:color w:val="auto"/>
              </w:rPr>
            </w:pPr>
          </w:p>
        </w:tc>
        <w:tc>
          <w:tcPr>
            <w:tcW w:w="240" w:type="dxa"/>
            <w:vAlign w:val="bottom"/>
            <w:tcBorders>
              <w:bottom w:val="single" w:sz="8" w:color="2C6937"/>
            </w:tcBorders>
          </w:tcPr>
          <w:p>
            <w:pPr>
              <w:spacing w:after="0"/>
              <w:rPr>
                <w:sz w:val="7"/>
                <w:szCs w:val="7"/>
                <w:color w:val="auto"/>
              </w:rPr>
            </w:pPr>
          </w:p>
        </w:tc>
        <w:tc>
          <w:tcPr>
            <w:tcW w:w="660" w:type="dxa"/>
            <w:vAlign w:val="bottom"/>
            <w:tcBorders>
              <w:bottom w:val="single" w:sz="8" w:color="2C6937"/>
            </w:tcBorders>
          </w:tcPr>
          <w:p>
            <w:pPr>
              <w:spacing w:after="0"/>
              <w:rPr>
                <w:sz w:val="7"/>
                <w:szCs w:val="7"/>
                <w:color w:val="auto"/>
              </w:rPr>
            </w:pPr>
          </w:p>
        </w:tc>
        <w:tc>
          <w:tcPr>
            <w:tcW w:w="300" w:type="dxa"/>
            <w:vAlign w:val="bottom"/>
            <w:tcBorders>
              <w:bottom w:val="single" w:sz="8" w:color="2C6937"/>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2C6937"/>
            </w:tcBorders>
          </w:tcPr>
          <w:p>
            <w:pPr>
              <w:spacing w:after="0"/>
              <w:rPr>
                <w:sz w:val="7"/>
                <w:szCs w:val="7"/>
                <w:color w:val="auto"/>
              </w:rPr>
            </w:pPr>
          </w:p>
        </w:tc>
        <w:tc>
          <w:tcPr>
            <w:tcW w:w="820" w:type="dxa"/>
            <w:vAlign w:val="bottom"/>
            <w:tcBorders>
              <w:bottom w:val="single" w:sz="8" w:color="2C6937"/>
            </w:tcBorders>
          </w:tcPr>
          <w:p>
            <w:pPr>
              <w:spacing w:after="0"/>
              <w:rPr>
                <w:sz w:val="7"/>
                <w:szCs w:val="7"/>
                <w:color w:val="auto"/>
              </w:rPr>
            </w:pPr>
          </w:p>
        </w:tc>
        <w:tc>
          <w:tcPr>
            <w:tcW w:w="240" w:type="dxa"/>
            <w:vAlign w:val="bottom"/>
            <w:tcBorders>
              <w:bottom w:val="single" w:sz="8" w:color="2C6937"/>
            </w:tcBorders>
          </w:tcPr>
          <w:p>
            <w:pPr>
              <w:spacing w:after="0"/>
              <w:rPr>
                <w:sz w:val="7"/>
                <w:szCs w:val="7"/>
                <w:color w:val="auto"/>
              </w:rPr>
            </w:pPr>
          </w:p>
        </w:tc>
        <w:tc>
          <w:tcPr>
            <w:tcW w:w="240" w:type="dxa"/>
            <w:vAlign w:val="bottom"/>
            <w:tcBorders>
              <w:bottom w:val="single" w:sz="8" w:color="2C6937"/>
            </w:tcBorders>
          </w:tcPr>
          <w:p>
            <w:pPr>
              <w:spacing w:after="0"/>
              <w:rPr>
                <w:sz w:val="7"/>
                <w:szCs w:val="7"/>
                <w:color w:val="auto"/>
              </w:rPr>
            </w:pPr>
          </w:p>
        </w:tc>
        <w:tc>
          <w:tcPr>
            <w:tcW w:w="740" w:type="dxa"/>
            <w:vAlign w:val="bottom"/>
            <w:tcBorders>
              <w:bottom w:val="single" w:sz="8" w:color="2C6937"/>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2C6937"/>
            </w:tcBorders>
          </w:tcPr>
          <w:p>
            <w:pPr>
              <w:spacing w:after="0"/>
              <w:rPr>
                <w:sz w:val="7"/>
                <w:szCs w:val="7"/>
                <w:color w:val="auto"/>
              </w:rPr>
            </w:pPr>
          </w:p>
        </w:tc>
        <w:tc>
          <w:tcPr>
            <w:tcW w:w="1520" w:type="dxa"/>
            <w:vAlign w:val="bottom"/>
            <w:tcBorders>
              <w:bottom w:val="single" w:sz="8" w:color="2C6937"/>
            </w:tcBorders>
            <w:gridSpan w:val="3"/>
            <w:vMerge w:val="continue"/>
          </w:tcPr>
          <w:p>
            <w:pPr>
              <w:spacing w:after="0"/>
              <w:rPr>
                <w:sz w:val="7"/>
                <w:szCs w:val="7"/>
                <w:color w:val="auto"/>
              </w:rPr>
            </w:pPr>
          </w:p>
        </w:tc>
        <w:tc>
          <w:tcPr>
            <w:tcW w:w="1120" w:type="dxa"/>
            <w:vAlign w:val="bottom"/>
            <w:tcBorders>
              <w:bottom w:val="single" w:sz="8" w:color="2C6937"/>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13"/>
                <w:szCs w:val="13"/>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92"/>
              <w:spacing w:after="0" w:line="152"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111"/>
              <w:spacing w:after="0" w:line="152"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LTV ratio:</w:t>
            </w:r>
          </w:p>
        </w:tc>
        <w:tc>
          <w:tcPr>
            <w:tcW w:w="660" w:type="dxa"/>
            <w:vAlign w:val="bottom"/>
            <w:tcBorders>
              <w:top w:val="single" w:sz="8" w:color="2C6937"/>
            </w:tcBorders>
          </w:tcPr>
          <w:p>
            <w:pPr>
              <w:spacing w:after="0"/>
              <w:rPr>
                <w:sz w:val="17"/>
                <w:szCs w:val="17"/>
                <w:color w:val="auto"/>
              </w:rPr>
            </w:pPr>
          </w:p>
        </w:tc>
        <w:tc>
          <w:tcPr>
            <w:tcW w:w="320" w:type="dxa"/>
            <w:vAlign w:val="bottom"/>
            <w:tcBorders>
              <w:top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top w:val="single" w:sz="8" w:color="2C6937"/>
            </w:tcBorders>
          </w:tcPr>
          <w:p>
            <w:pPr>
              <w:spacing w:after="0"/>
              <w:rPr>
                <w:sz w:val="17"/>
                <w:szCs w:val="17"/>
                <w:color w:val="auto"/>
              </w:rPr>
            </w:pPr>
          </w:p>
        </w:tc>
        <w:tc>
          <w:tcPr>
            <w:tcW w:w="300" w:type="dxa"/>
            <w:vAlign w:val="bottom"/>
            <w:tcBorders>
              <w:top w:val="single" w:sz="8" w:color="2C6937"/>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820" w:type="dxa"/>
            <w:vAlign w:val="bottom"/>
            <w:tcBorders>
              <w:top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2C6937"/>
            </w:tcBorders>
          </w:tcPr>
          <w:p>
            <w:pPr>
              <w:spacing w:after="0"/>
              <w:rPr>
                <w:sz w:val="17"/>
                <w:szCs w:val="17"/>
                <w:color w:val="auto"/>
              </w:rPr>
            </w:pPr>
          </w:p>
        </w:tc>
        <w:tc>
          <w:tcPr>
            <w:tcW w:w="740" w:type="dxa"/>
            <w:vAlign w:val="bottom"/>
            <w:tcBorders>
              <w:top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20" w:type="dxa"/>
            <w:vAlign w:val="bottom"/>
            <w:tcBorders>
              <w:top w:val="single" w:sz="8" w:color="2C6937"/>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Weighted-average original LTV ratio</w:t>
            </w:r>
          </w:p>
        </w:tc>
        <w:tc>
          <w:tcPr>
            <w:tcW w:w="6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62 %</w:t>
            </w:r>
          </w:p>
        </w:tc>
        <w:tc>
          <w:tcPr>
            <w:tcW w:w="6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64</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62 %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63 %</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Service Coverage Ratio (“DSCR”):</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Weighted-average DSCR</w:t>
            </w:r>
            <w:r>
              <w:rPr>
                <w:rFonts w:ascii="Arial" w:cs="Arial" w:eastAsia="Arial" w:hAnsi="Arial"/>
                <w:sz w:val="17"/>
                <w:szCs w:val="17"/>
                <w:color w:val="auto"/>
                <w:vertAlign w:val="superscript"/>
              </w:rPr>
              <w:t>(3)</w:t>
            </w:r>
          </w:p>
        </w:tc>
        <w:tc>
          <w:tcPr>
            <w:tcW w:w="6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Current DSCR below 1.0</w:t>
            </w:r>
            <w:r>
              <w:rPr>
                <w:rFonts w:ascii="Arial" w:cs="Arial" w:eastAsia="Arial" w:hAnsi="Arial"/>
                <w:sz w:val="17"/>
                <w:szCs w:val="17"/>
                <w:color w:val="auto"/>
                <w:vertAlign w:val="superscript"/>
              </w:rPr>
              <w:t>(3)</w:t>
            </w:r>
          </w:p>
        </w:tc>
        <w:tc>
          <w:tcPr>
            <w:tcW w:w="6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 amount and count:</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Average loan amount (in millions)</w:t>
            </w:r>
          </w:p>
        </w:tc>
        <w:tc>
          <w:tcPr>
            <w:tcW w:w="660" w:type="dxa"/>
            <w:vAlign w:val="bottom"/>
          </w:tcPr>
          <w:p>
            <w:pPr>
              <w:jc w:val="right"/>
              <w:ind w:right="49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90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22</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21</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Loan count</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613</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4"/>
              </w:rPr>
              <w:t>848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1,930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2,320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30,462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30,593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rate type:</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Fixed-rate</w:t>
            </w:r>
          </w:p>
        </w:tc>
        <w:tc>
          <w:tcPr>
            <w:tcW w:w="6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99</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99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2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8"/>
                <w:szCs w:val="18"/>
                <w:color w:val="auto"/>
              </w:rPr>
            </w:pPr>
          </w:p>
        </w:tc>
        <w:tc>
          <w:tcPr>
            <w:tcW w:w="66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8"/>
                <w:szCs w:val="18"/>
                <w:color w:val="auto"/>
              </w:rPr>
            </w:pPr>
          </w:p>
        </w:tc>
        <w:tc>
          <w:tcPr>
            <w:tcW w:w="66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2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66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94"/>
              </w:rPr>
              <w:t>100</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type:</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Full interest-only</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68</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63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Partial interest-only</w:t>
            </w:r>
            <w:r>
              <w:rPr>
                <w:rFonts w:ascii="Arial" w:cs="Arial" w:eastAsia="Arial" w:hAnsi="Arial"/>
                <w:sz w:val="17"/>
                <w:szCs w:val="17"/>
                <w:color w:val="auto"/>
                <w:vertAlign w:val="superscript"/>
              </w:rPr>
              <w:t>(4)</w:t>
            </w:r>
          </w:p>
        </w:tc>
        <w:tc>
          <w:tcPr>
            <w:tcW w:w="6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2C6937"/>
            </w:tcBorders>
          </w:tcPr>
          <w:p>
            <w:pPr>
              <w:ind w:left="140"/>
              <w:spacing w:after="0"/>
              <w:rPr>
                <w:sz w:val="20"/>
                <w:szCs w:val="20"/>
                <w:color w:val="auto"/>
              </w:rPr>
            </w:pPr>
            <w:r>
              <w:rPr>
                <w:rFonts w:ascii="Arial" w:cs="Arial" w:eastAsia="Arial" w:hAnsi="Arial"/>
                <w:sz w:val="14"/>
                <w:szCs w:val="14"/>
                <w:color w:val="auto"/>
              </w:rPr>
              <w:t>Fully amortizing</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4"/>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380" w:type="dxa"/>
            <w:vAlign w:val="bottom"/>
            <w:gridSpan w:val="2"/>
          </w:tcPr>
          <w:p>
            <w:pPr>
              <w:jc w:val="right"/>
              <w:ind w:right="31"/>
              <w:spacing w:after="0" w:line="200" w:lineRule="exact"/>
              <w:rPr>
                <w:sz w:val="20"/>
                <w:szCs w:val="20"/>
                <w:color w:val="auto"/>
              </w:rPr>
            </w:pPr>
            <w:r>
              <w:rPr>
                <w:rFonts w:ascii="Arial" w:cs="Arial" w:eastAsia="Arial" w:hAnsi="Arial"/>
                <w:sz w:val="12"/>
                <w:szCs w:val="12"/>
                <w:b w:val="1"/>
                <w:bCs w:val="1"/>
                <w:color w:val="auto"/>
              </w:rPr>
              <w:t xml:space="preserve">100 </w:t>
            </w:r>
            <w:r>
              <w:rPr>
                <w:rFonts w:ascii="Arial" w:cs="Arial" w:eastAsia="Arial" w:hAnsi="Arial"/>
                <w:sz w:val="23"/>
                <w:szCs w:val="23"/>
                <w:b w:val="1"/>
                <w:bCs w:val="1"/>
                <w:color w:val="auto"/>
                <w:vertAlign w:val="subscript"/>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class type:</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Conventional/co-op</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96</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95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Seniors housing</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Student housing</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Manufactured housing</w:t>
            </w:r>
          </w:p>
        </w:tc>
        <w:tc>
          <w:tcPr>
            <w:tcW w:w="100" w:type="dxa"/>
            <w:vAlign w:val="bottom"/>
          </w:tcPr>
          <w:p>
            <w:pPr>
              <w:spacing w:after="0"/>
              <w:rPr>
                <w:sz w:val="18"/>
                <w:szCs w:val="18"/>
                <w:color w:val="auto"/>
              </w:rPr>
            </w:pPr>
          </w:p>
        </w:tc>
        <w:tc>
          <w:tcPr>
            <w:tcW w:w="66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8"/>
                <w:szCs w:val="18"/>
                <w:color w:val="auto"/>
              </w:rPr>
            </w:pPr>
          </w:p>
        </w:tc>
        <w:tc>
          <w:tcPr>
            <w:tcW w:w="66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2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4"/>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40" w:type="dxa"/>
            <w:vAlign w:val="bottom"/>
          </w:tcPr>
          <w:p>
            <w:pPr>
              <w:spacing w:after="0"/>
              <w:rPr>
                <w:sz w:val="17"/>
                <w:szCs w:val="17"/>
                <w:color w:val="auto"/>
              </w:rPr>
            </w:pPr>
          </w:p>
        </w:tc>
        <w:tc>
          <w:tcPr>
            <w:tcW w:w="1060" w:type="dxa"/>
            <w:vAlign w:val="bottom"/>
            <w:gridSpan w:val="2"/>
          </w:tcPr>
          <w:p>
            <w:pPr>
              <w:jc w:val="right"/>
              <w:spacing w:after="0" w:line="200" w:lineRule="exact"/>
              <w:rPr>
                <w:sz w:val="20"/>
                <w:szCs w:val="20"/>
                <w:color w:val="auto"/>
              </w:rPr>
            </w:pPr>
            <w:r>
              <w:rPr>
                <w:rFonts w:ascii="Arial" w:cs="Arial" w:eastAsia="Arial" w:hAnsi="Arial"/>
                <w:sz w:val="12"/>
                <w:szCs w:val="12"/>
                <w:b w:val="1"/>
                <w:bCs w:val="1"/>
                <w:color w:val="auto"/>
              </w:rPr>
              <w:t xml:space="preserve">100 </w:t>
            </w:r>
            <w:r>
              <w:rPr>
                <w:rFonts w:ascii="Arial" w:cs="Arial" w:eastAsia="Arial" w:hAnsi="Arial"/>
                <w:sz w:val="23"/>
                <w:szCs w:val="23"/>
                <w:b w:val="1"/>
                <w:bCs w:val="1"/>
                <w:color w:val="auto"/>
                <w:vertAlign w:val="subscript"/>
              </w:rPr>
              <w:t>%</w:t>
            </w: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380" w:type="dxa"/>
            <w:vAlign w:val="bottom"/>
            <w:gridSpan w:val="2"/>
          </w:tcPr>
          <w:p>
            <w:pPr>
              <w:jc w:val="right"/>
              <w:ind w:right="31"/>
              <w:spacing w:after="0" w:line="200" w:lineRule="exact"/>
              <w:rPr>
                <w:sz w:val="20"/>
                <w:szCs w:val="20"/>
                <w:color w:val="auto"/>
              </w:rPr>
            </w:pPr>
            <w:r>
              <w:rPr>
                <w:rFonts w:ascii="Arial" w:cs="Arial" w:eastAsia="Arial" w:hAnsi="Arial"/>
                <w:sz w:val="12"/>
                <w:szCs w:val="12"/>
                <w:b w:val="1"/>
                <w:bCs w:val="1"/>
                <w:color w:val="auto"/>
              </w:rPr>
              <w:t xml:space="preserve">100 </w:t>
            </w:r>
            <w:r>
              <w:rPr>
                <w:rFonts w:ascii="Arial" w:cs="Arial" w:eastAsia="Arial" w:hAnsi="Arial"/>
                <w:sz w:val="23"/>
                <w:szCs w:val="23"/>
                <w:b w:val="1"/>
                <w:bCs w:val="1"/>
                <w:color w:val="auto"/>
                <w:vertAlign w:val="subscript"/>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Affordable</w:t>
            </w:r>
            <w:r>
              <w:rPr>
                <w:rFonts w:ascii="Arial" w:cs="Arial" w:eastAsia="Arial" w:hAnsi="Arial"/>
                <w:sz w:val="17"/>
                <w:szCs w:val="17"/>
                <w:color w:val="auto"/>
                <w:vertAlign w:val="superscript"/>
              </w:rPr>
              <w:t>(5)</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tcPr>
          <w:p>
            <w:pPr>
              <w:ind w:left="40"/>
              <w:spacing w:after="0"/>
              <w:rPr>
                <w:sz w:val="20"/>
                <w:szCs w:val="20"/>
                <w:color w:val="auto"/>
              </w:rPr>
            </w:pPr>
            <w:r>
              <w:rPr>
                <w:rFonts w:ascii="Arial" w:cs="Arial" w:eastAsia="Arial" w:hAnsi="Arial"/>
                <w:sz w:val="14"/>
                <w:szCs w:val="14"/>
                <w:color w:val="auto"/>
              </w:rPr>
              <w:t>Small balance loans (based on loan count)</w:t>
            </w:r>
            <w:r>
              <w:rPr>
                <w:rFonts w:ascii="Arial" w:cs="Arial" w:eastAsia="Arial" w:hAnsi="Arial"/>
                <w:sz w:val="17"/>
                <w:szCs w:val="17"/>
                <w:color w:val="auto"/>
                <w:vertAlign w:val="superscript"/>
              </w:rPr>
              <w:t>(6)</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34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(7)</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Midwest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Northeast</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Southeast</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Southwest</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8"/>
                <w:szCs w:val="18"/>
                <w:color w:val="auto"/>
              </w:rPr>
            </w:pPr>
          </w:p>
        </w:tc>
        <w:tc>
          <w:tcPr>
            <w:tcW w:w="66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w:t>
            </w:r>
          </w:p>
        </w:tc>
        <w:tc>
          <w:tcPr>
            <w:tcW w:w="240" w:type="dxa"/>
            <w:vAlign w:val="bottom"/>
          </w:tcPr>
          <w:p>
            <w:pPr>
              <w:spacing w:after="0"/>
              <w:rPr>
                <w:sz w:val="18"/>
                <w:szCs w:val="18"/>
                <w:color w:val="auto"/>
              </w:rPr>
            </w:pPr>
          </w:p>
        </w:tc>
        <w:tc>
          <w:tcPr>
            <w:tcW w:w="66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4"/>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380" w:type="dxa"/>
            <w:vAlign w:val="bottom"/>
            <w:gridSpan w:val="2"/>
          </w:tcPr>
          <w:p>
            <w:pPr>
              <w:jc w:val="right"/>
              <w:ind w:right="31"/>
              <w:spacing w:after="0" w:line="200" w:lineRule="exact"/>
              <w:rPr>
                <w:sz w:val="20"/>
                <w:szCs w:val="20"/>
                <w:color w:val="auto"/>
              </w:rPr>
            </w:pPr>
            <w:r>
              <w:rPr>
                <w:rFonts w:ascii="Arial" w:cs="Arial" w:eastAsia="Arial" w:hAnsi="Arial"/>
                <w:sz w:val="12"/>
                <w:szCs w:val="12"/>
                <w:b w:val="1"/>
                <w:bCs w:val="1"/>
                <w:color w:val="auto"/>
              </w:rPr>
              <w:t xml:space="preserve">100 </w:t>
            </w:r>
            <w:r>
              <w:rPr>
                <w:rFonts w:ascii="Arial" w:cs="Arial" w:eastAsia="Arial" w:hAnsi="Arial"/>
                <w:sz w:val="23"/>
                <w:szCs w:val="23"/>
                <w:b w:val="1"/>
                <w:bCs w:val="1"/>
                <w:color w:val="auto"/>
                <w:vertAlign w:val="subscript"/>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00" w:hanging="197"/>
        <w:spacing w:after="0"/>
        <w:tabs>
          <w:tab w:leader="none" w:pos="2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less than 0.5% of multifamily business volume or guaranty book of business.</w:t>
      </w:r>
    </w:p>
    <w:p>
      <w:pPr>
        <w:spacing w:after="0" w:line="45" w:lineRule="exact"/>
        <w:rPr>
          <w:sz w:val="20"/>
          <w:szCs w:val="20"/>
          <w:color w:val="auto"/>
        </w:rPr>
      </w:pPr>
    </w:p>
    <w:p>
      <w:pPr>
        <w:ind w:left="240" w:right="60" w:hanging="237"/>
        <w:spacing w:after="0" w:line="218" w:lineRule="auto"/>
        <w:tabs>
          <w:tab w:leader="none" w:pos="233"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UPB of multifamily loans for each category divided by the aggregate UPB at time of acquisition, excluding small balance loans which is calculated based on loan count rather than UPB.</w:t>
      </w:r>
    </w:p>
    <w:p>
      <w:pPr>
        <w:spacing w:after="0" w:line="26" w:lineRule="exact"/>
        <w:rPr>
          <w:rFonts w:ascii="Arial" w:cs="Arial" w:eastAsia="Arial" w:hAnsi="Arial"/>
          <w:sz w:val="18"/>
          <w:szCs w:val="18"/>
          <w:color w:val="auto"/>
          <w:vertAlign w:val="superscript"/>
        </w:rPr>
      </w:pPr>
    </w:p>
    <w:p>
      <w:pPr>
        <w:ind w:left="240" w:right="160" w:hanging="237"/>
        <w:spacing w:after="0" w:line="226" w:lineRule="auto"/>
        <w:tabs>
          <w:tab w:leader="none" w:pos="233"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UPB of multifamily loans for each category divided by the aggregate UPB of loans in our multifamily guaranty book of business as of the end of each period, excluding small balance loans which is calculated based on loan count rather than UPB.</w:t>
      </w:r>
    </w:p>
    <w:p>
      <w:pPr>
        <w:spacing w:after="0" w:line="27" w:lineRule="exact"/>
        <w:rPr>
          <w:rFonts w:ascii="Arial" w:cs="Arial" w:eastAsia="Arial" w:hAnsi="Arial"/>
          <w:sz w:val="18"/>
          <w:szCs w:val="18"/>
          <w:color w:val="auto"/>
          <w:vertAlign w:val="superscript"/>
        </w:rPr>
      </w:pPr>
    </w:p>
    <w:p>
      <w:pPr>
        <w:ind w:left="240" w:right="140" w:hanging="237"/>
        <w:spacing w:after="0" w:line="233" w:lineRule="auto"/>
        <w:tabs>
          <w:tab w:leader="none" w:pos="233"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For our business volumes, the DSCR is calculated using the actual debt service payments for the loan. For our book of business, our estimates of current DSCRs are based on the latest available income information, including the related debt service covering a 12-month period, from quarterly and annual statements for these properties. When an annual statement is the latest statement available, it is used. When operating statement information is not available, the underwritten DSCR is used. Co-op loans are excluded from this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389890</wp:posOffset>
            </wp:positionV>
            <wp:extent cx="70072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34</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37" w:name="page38"/>
    <w:bookmarkEnd w:id="37"/>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hanging="217"/>
        <w:spacing w:after="0"/>
        <w:tabs>
          <w:tab w:leader="none" w:pos="2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Consists of mortgage loans that were underwritten with an interest-only term, regardless of whether the loan is currently in its interest-only period.</w:t>
      </w:r>
    </w:p>
    <w:p>
      <w:pPr>
        <w:spacing w:after="0" w:line="37" w:lineRule="exact"/>
        <w:rPr>
          <w:rFonts w:ascii="Arial" w:cs="Arial" w:eastAsia="Arial" w:hAnsi="Arial"/>
          <w:sz w:val="18"/>
          <w:szCs w:val="18"/>
          <w:color w:val="auto"/>
          <w:vertAlign w:val="superscript"/>
        </w:rPr>
      </w:pPr>
    </w:p>
    <w:p>
      <w:pPr>
        <w:ind w:left="240" w:right="260" w:hanging="237"/>
        <w:spacing w:after="0" w:line="219"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Represents Multifamily Affordable Housing (“MAH”) loans, which are defined as financing for properties that are under an agreement that provides long-term affordability, such as properties with rent subsidies or income restrictions. MAH loans are included within the asset class categories referenced above.</w:t>
      </w:r>
    </w:p>
    <w:p>
      <w:pPr>
        <w:spacing w:after="0" w:line="26" w:lineRule="exact"/>
        <w:rPr>
          <w:rFonts w:ascii="Arial" w:cs="Arial" w:eastAsia="Arial" w:hAnsi="Arial"/>
          <w:sz w:val="18"/>
          <w:szCs w:val="18"/>
          <w:color w:val="auto"/>
          <w:vertAlign w:val="superscript"/>
        </w:rPr>
      </w:pPr>
    </w:p>
    <w:p>
      <w:pPr>
        <w:ind w:left="240" w:right="80" w:hanging="237"/>
        <w:spacing w:after="0" w:line="228"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Small balance loans refer to multifamily loans with an original UPB of up to $9 million. Small balance loans are included within the asset class categories referenced above. We present this metric in the table based on loan count rather than UPB. Small balance loans comprised 9% and 10% of our multifamily guaranty book of business as of September 30, 2026 and December 31, 2025, respectively, based on UPB of the loans.</w:t>
      </w:r>
    </w:p>
    <w:p>
      <w:pPr>
        <w:spacing w:after="0" w:line="26" w:lineRule="exact"/>
        <w:rPr>
          <w:rFonts w:ascii="Arial" w:cs="Arial" w:eastAsia="Arial" w:hAnsi="Arial"/>
          <w:sz w:val="18"/>
          <w:szCs w:val="18"/>
          <w:color w:val="auto"/>
          <w:vertAlign w:val="superscript"/>
        </w:rPr>
      </w:pPr>
    </w:p>
    <w:p>
      <w:pPr>
        <w:ind w:left="240" w:right="160" w:hanging="237"/>
        <w:spacing w:after="0" w:line="244" w:lineRule="auto"/>
        <w:tabs>
          <w:tab w:leader="none" w:pos="233" w:val="left"/>
        </w:tabs>
        <w:numPr>
          <w:ilvl w:val="0"/>
          <w:numId w:val="33"/>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8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Transfer of Mortgage Credit Risk</w:t>
      </w:r>
    </w:p>
    <w:p>
      <w:pPr>
        <w:spacing w:after="0" w:line="10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Front-End Credit Risk Sharing</w:t>
      </w:r>
    </w:p>
    <w:p>
      <w:pPr>
        <w:spacing w:after="0" w:line="73"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primarily transfer credit risk on the multifamily loans we guarantee through our Delegated Underwriting and Servicing (“DUS</w:t>
      </w:r>
      <w:r>
        <w:rPr>
          <w:rFonts w:ascii="Arial" w:cs="Arial" w:eastAsia="Arial" w:hAnsi="Arial"/>
          <w:sz w:val="21"/>
          <w:szCs w:val="21"/>
          <w:color w:val="auto"/>
          <w:vertAlign w:val="superscript"/>
        </w:rPr>
        <w:t>®</w:t>
      </w:r>
      <w:r>
        <w:rPr>
          <w:rFonts w:ascii="Arial" w:cs="Arial" w:eastAsia="Arial" w:hAnsi="Arial"/>
          <w:sz w:val="16"/>
          <w:szCs w:val="16"/>
          <w:color w:val="auto"/>
        </w:rPr>
        <w:t>”) program, which delegates to DUS lenders the ability to underwrite and service multifamily loans, in accordance with our standards and requirements. Loans serviced by DUS lenders and their affiliates represented substantially all of our multifamily guaranty book of business as of September 30, 2026 and December 31, 2025. See “MD&amp;A—Multifamily Business—Multifamily Mortgage Credit Risk Management—Multifamily Transfer of Mortgage Credit Risk</w:t>
      </w:r>
      <w:r>
        <w:rPr>
          <w:rFonts w:ascii="Arial" w:cs="Arial" w:eastAsia="Arial" w:hAnsi="Arial"/>
          <w:sz w:val="16"/>
          <w:szCs w:val="16"/>
          <w:color w:val="05314D"/>
        </w:rPr>
        <w:t>”</w:t>
      </w:r>
      <w:r>
        <w:rPr>
          <w:rFonts w:ascii="Arial" w:cs="Arial" w:eastAsia="Arial" w:hAnsi="Arial"/>
          <w:sz w:val="16"/>
          <w:szCs w:val="16"/>
          <w:color w:val="auto"/>
        </w:rPr>
        <w:t xml:space="preserve"> in our 2025 Form 10-K for a description of our DUS program.</w:t>
      </w:r>
    </w:p>
    <w:p>
      <w:pPr>
        <w:spacing w:after="0" w:line="8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Back-End Credit Risk Sharing</w:t>
      </w:r>
    </w:p>
    <w:p>
      <w:pPr>
        <w:spacing w:after="0" w:line="67"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To complement our DUS front-end lender-risk sharing program, we also engage in back-end credit risk transfer transactions through our Multifamily CIRT</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(“MCIRT</w:t>
      </w:r>
      <w:r>
        <w:rPr>
          <w:rFonts w:ascii="Arial" w:cs="Arial" w:eastAsia="Arial" w:hAnsi="Arial"/>
          <w:sz w:val="21"/>
          <w:szCs w:val="21"/>
          <w:color w:val="auto"/>
          <w:vertAlign w:val="superscript"/>
        </w:rPr>
        <w:t>TM</w:t>
      </w:r>
      <w:r>
        <w:rPr>
          <w:rFonts w:ascii="Arial" w:cs="Arial" w:eastAsia="Arial" w:hAnsi="Arial"/>
          <w:sz w:val="16"/>
          <w:szCs w:val="16"/>
          <w:color w:val="auto"/>
        </w:rPr>
        <w:t>”) and Multifamily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(“MCAS</w:t>
      </w:r>
      <w:r>
        <w:rPr>
          <w:rFonts w:ascii="Arial" w:cs="Arial" w:eastAsia="Arial" w:hAnsi="Arial"/>
          <w:sz w:val="21"/>
          <w:szCs w:val="21"/>
          <w:color w:val="auto"/>
          <w:vertAlign w:val="superscript"/>
        </w:rPr>
        <w:t>TM</w:t>
      </w:r>
      <w:r>
        <w:rPr>
          <w:rFonts w:ascii="Arial" w:cs="Arial" w:eastAsia="Arial" w:hAnsi="Arial"/>
          <w:sz w:val="16"/>
          <w:szCs w:val="16"/>
          <w:color w:val="auto"/>
        </w:rPr>
        <w:t>”) programs. Our back-end MCIRT and MCAS credit risk transfer programs transfer a portion of the credit risk associated with a reference pool of multifamily mortgage loans to insurers, reinsurers, or investors. During the first nine months of 2026, we entered into two new multifamily credit risk transfer transactions through our MCIRT and MCAS programs.</w:t>
      </w:r>
    </w:p>
    <w:p>
      <w:pPr>
        <w:spacing w:after="0" w:line="55"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table below displays the total UPB of multifamily loans and the percentage of our multifamily guaranty book of business, based on UPB, that is covered by a back-end credit risk transfer transaction. The table does not reflect front-end lender risk-sharing arrangements, as only a small portion of our multifamily guaranty book of business is not covered by these arrangements.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Loans in Back-End Credit Risk Transfer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800" w:type="dxa"/>
            <w:vAlign w:val="bottom"/>
            <w:tcBorders>
              <w:bottom w:val="single" w:sz="8" w:color="2C6937"/>
            </w:tcBorders>
            <w:gridSpan w:val="3"/>
          </w:tcPr>
          <w:p>
            <w:pPr>
              <w:jc w:val="center"/>
              <w:ind w:left="1288"/>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40" w:type="dxa"/>
            <w:vAlign w:val="bottom"/>
            <w:tcBorders>
              <w:bottom w:val="single" w:sz="8" w:color="2C6937"/>
            </w:tcBorders>
          </w:tcPr>
          <w:p>
            <w:pPr>
              <w:spacing w:after="0"/>
              <w:rPr>
                <w:sz w:val="17"/>
                <w:szCs w:val="17"/>
                <w:color w:val="auto"/>
              </w:rPr>
            </w:pPr>
          </w:p>
        </w:tc>
      </w:tr>
      <w:tr>
        <w:trPr>
          <w:trHeight w:val="205"/>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2820" w:type="dxa"/>
            <w:vAlign w:val="bottom"/>
            <w:tcBorders>
              <w:bottom w:val="single" w:sz="8" w:color="2C6937"/>
            </w:tcBorders>
            <w:gridSpan w:val="3"/>
          </w:tcPr>
          <w:p>
            <w:pPr>
              <w:ind w:left="240"/>
              <w:spacing w:after="0"/>
              <w:rPr>
                <w:sz w:val="20"/>
                <w:szCs w:val="20"/>
                <w:color w:val="auto"/>
              </w:rPr>
            </w:pPr>
            <w:r>
              <w:rPr>
                <w:rFonts w:ascii="Arial" w:cs="Arial" w:eastAsia="Arial" w:hAnsi="Arial"/>
                <w:sz w:val="14"/>
                <w:szCs w:val="14"/>
                <w:b w:val="1"/>
                <w:bCs w:val="1"/>
                <w:color w:val="auto"/>
              </w:rPr>
              <w:t>September 30, 2026</w:t>
            </w:r>
          </w:p>
        </w:tc>
        <w:tc>
          <w:tcPr>
            <w:tcW w:w="120" w:type="dxa"/>
            <w:vAlign w:val="bottom"/>
          </w:tcPr>
          <w:p>
            <w:pPr>
              <w:spacing w:after="0"/>
              <w:rPr>
                <w:sz w:val="17"/>
                <w:szCs w:val="17"/>
                <w:color w:val="auto"/>
              </w:rPr>
            </w:pPr>
          </w:p>
        </w:tc>
        <w:tc>
          <w:tcPr>
            <w:tcW w:w="660" w:type="dxa"/>
            <w:vAlign w:val="bottom"/>
            <w:tcBorders>
              <w:bottom w:val="single" w:sz="8" w:color="2C6937"/>
            </w:tcBorders>
          </w:tcPr>
          <w:p>
            <w:pPr>
              <w:spacing w:after="0"/>
              <w:rPr>
                <w:sz w:val="17"/>
                <w:szCs w:val="17"/>
                <w:color w:val="auto"/>
              </w:rPr>
            </w:pPr>
          </w:p>
        </w:tc>
        <w:tc>
          <w:tcPr>
            <w:tcW w:w="3220" w:type="dxa"/>
            <w:vAlign w:val="bottom"/>
            <w:tcBorders>
              <w:bottom w:val="single" w:sz="8" w:color="2C6937"/>
            </w:tcBorders>
            <w:gridSpan w:val="3"/>
          </w:tcPr>
          <w:p>
            <w:pPr>
              <w:ind w:left="660"/>
              <w:spacing w:after="0"/>
              <w:rPr>
                <w:sz w:val="20"/>
                <w:szCs w:val="20"/>
                <w:color w:val="auto"/>
              </w:rPr>
            </w:pPr>
            <w:r>
              <w:rPr>
                <w:rFonts w:ascii="Arial" w:cs="Arial" w:eastAsia="Arial" w:hAnsi="Arial"/>
                <w:sz w:val="14"/>
                <w:szCs w:val="14"/>
                <w:b w:val="1"/>
                <w:bCs w:val="1"/>
                <w:color w:val="auto"/>
              </w:rPr>
              <w:t>December 31, 2025</w:t>
            </w:r>
          </w:p>
        </w:tc>
      </w:tr>
      <w:tr>
        <w:trPr>
          <w:trHeight w:val="178"/>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 Multifamily</w:t>
            </w: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Multifamily</w:t>
            </w:r>
          </w:p>
        </w:tc>
      </w:tr>
      <w:tr>
        <w:trPr>
          <w:trHeight w:val="209"/>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UPB</w:t>
            </w:r>
          </w:p>
        </w:tc>
        <w:tc>
          <w:tcPr>
            <w:tcW w:w="6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2140" w:type="dxa"/>
            <w:vAlign w:val="bottom"/>
            <w:tcBorders>
              <w:bottom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9"/>
              </w:rPr>
              <w:t>Guaranty Book of Business</w:t>
            </w:r>
          </w:p>
        </w:tc>
        <w:tc>
          <w:tcPr>
            <w:tcW w:w="6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UPB</w:t>
            </w:r>
          </w:p>
        </w:tc>
        <w:tc>
          <w:tcPr>
            <w:tcW w:w="20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Guaranty Book of Business</w:t>
            </w:r>
          </w:p>
        </w:tc>
      </w:tr>
      <w:tr>
        <w:trPr>
          <w:trHeight w:val="218"/>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center"/>
              <w:ind w:left="1288"/>
              <w:spacing w:after="0"/>
              <w:rPr>
                <w:sz w:val="20"/>
                <w:szCs w:val="20"/>
                <w:color w:val="auto"/>
              </w:rPr>
            </w:pPr>
            <w:r>
              <w:rPr>
                <w:rFonts w:ascii="Arial" w:cs="Arial" w:eastAsia="Arial" w:hAnsi="Arial"/>
                <w:sz w:val="14"/>
                <w:szCs w:val="14"/>
                <w:b w:val="1"/>
                <w:bCs w:val="1"/>
                <w:color w:val="auto"/>
                <w:w w:val="98"/>
              </w:rPr>
              <w:t>(Dollars in millions)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66"/>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MCIRT</w:t>
            </w:r>
          </w:p>
        </w:tc>
        <w:tc>
          <w:tcPr>
            <w:tcW w:w="1060" w:type="dxa"/>
            <w:vAlign w:val="bottom"/>
          </w:tcPr>
          <w:p>
            <w:pPr>
              <w:jc w:val="right"/>
              <w:ind w:right="886"/>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115,238</w:t>
            </w:r>
          </w:p>
        </w:tc>
        <w:tc>
          <w:tcPr>
            <w:tcW w:w="120" w:type="dxa"/>
            <w:vAlign w:val="bottom"/>
          </w:tcPr>
          <w:p>
            <w:pPr>
              <w:spacing w:after="0"/>
              <w:rPr>
                <w:sz w:val="23"/>
                <w:szCs w:val="23"/>
                <w:color w:val="auto"/>
              </w:rPr>
            </w:pPr>
          </w:p>
        </w:tc>
        <w:tc>
          <w:tcPr>
            <w:tcW w:w="2020" w:type="dxa"/>
            <w:vAlign w:val="bottom"/>
          </w:tcPr>
          <w:p>
            <w:pPr>
              <w:ind w:left="1660"/>
              <w:spacing w:after="0"/>
              <w:rPr>
                <w:sz w:val="20"/>
                <w:szCs w:val="20"/>
                <w:color w:val="auto"/>
              </w:rPr>
            </w:pPr>
            <w:r>
              <w:rPr>
                <w:rFonts w:ascii="Arial" w:cs="Arial" w:eastAsia="Arial" w:hAnsi="Arial"/>
                <w:sz w:val="15"/>
                <w:szCs w:val="15"/>
                <w:b w:val="1"/>
                <w:bCs w:val="1"/>
                <w:color w:val="auto"/>
                <w:w w:val="99"/>
              </w:rPr>
              <w:t>21 %</w:t>
            </w:r>
          </w:p>
        </w:tc>
        <w:tc>
          <w:tcPr>
            <w:tcW w:w="120" w:type="dxa"/>
            <w:vAlign w:val="bottom"/>
          </w:tcPr>
          <w:p>
            <w:pPr>
              <w:spacing w:after="0"/>
              <w:rPr>
                <w:sz w:val="23"/>
                <w:szCs w:val="23"/>
                <w:color w:val="auto"/>
              </w:rPr>
            </w:pPr>
          </w:p>
        </w:tc>
        <w:tc>
          <w:tcPr>
            <w:tcW w:w="660" w:type="dxa"/>
            <w:vAlign w:val="bottom"/>
          </w:tcPr>
          <w:p>
            <w:pPr>
              <w:jc w:val="right"/>
              <w:ind w:right="4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105,740</w:t>
            </w:r>
          </w:p>
        </w:tc>
        <w:tc>
          <w:tcPr>
            <w:tcW w:w="100" w:type="dxa"/>
            <w:vAlign w:val="bottom"/>
          </w:tcPr>
          <w:p>
            <w:pPr>
              <w:spacing w:after="0"/>
              <w:rPr>
                <w:sz w:val="23"/>
                <w:szCs w:val="23"/>
                <w:color w:val="auto"/>
              </w:rPr>
            </w:pPr>
          </w:p>
        </w:tc>
        <w:tc>
          <w:tcPr>
            <w:tcW w:w="2040" w:type="dxa"/>
            <w:vAlign w:val="bottom"/>
          </w:tcPr>
          <w:p>
            <w:pPr>
              <w:ind w:left="1680"/>
              <w:spacing w:after="0"/>
              <w:rPr>
                <w:sz w:val="20"/>
                <w:szCs w:val="20"/>
                <w:color w:val="auto"/>
              </w:rPr>
            </w:pPr>
            <w:r>
              <w:rPr>
                <w:rFonts w:ascii="Arial" w:cs="Arial" w:eastAsia="Arial" w:hAnsi="Arial"/>
                <w:sz w:val="15"/>
                <w:szCs w:val="15"/>
                <w:color w:val="auto"/>
                <w:w w:val="99"/>
              </w:rPr>
              <w:t>20 %</w:t>
            </w:r>
          </w:p>
        </w:tc>
      </w:tr>
      <w:tr>
        <w:trPr>
          <w:trHeight w:val="239"/>
        </w:trPr>
        <w:tc>
          <w:tcPr>
            <w:tcW w:w="326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MCAS</w:t>
            </w:r>
          </w:p>
        </w:tc>
        <w:tc>
          <w:tcPr>
            <w:tcW w:w="100" w:type="dxa"/>
            <w:vAlign w:val="bottom"/>
          </w:tcPr>
          <w:p>
            <w:pPr>
              <w:spacing w:after="0"/>
              <w:rPr>
                <w:sz w:val="20"/>
                <w:szCs w:val="20"/>
                <w:color w:val="auto"/>
              </w:rPr>
            </w:pPr>
          </w:p>
        </w:tc>
        <w:tc>
          <w:tcPr>
            <w:tcW w:w="106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85,126</w:t>
            </w:r>
          </w:p>
        </w:tc>
        <w:tc>
          <w:tcPr>
            <w:tcW w:w="120" w:type="dxa"/>
            <w:vAlign w:val="bottom"/>
          </w:tcPr>
          <w:p>
            <w:pPr>
              <w:spacing w:after="0"/>
              <w:rPr>
                <w:sz w:val="20"/>
                <w:szCs w:val="20"/>
                <w:color w:val="auto"/>
              </w:rPr>
            </w:pPr>
          </w:p>
        </w:tc>
        <w:tc>
          <w:tcPr>
            <w:tcW w:w="2020" w:type="dxa"/>
            <w:vAlign w:val="bottom"/>
            <w:tcBorders>
              <w:bottom w:val="single" w:sz="8" w:color="2C6937"/>
            </w:tcBorders>
          </w:tcPr>
          <w:p>
            <w:pPr>
              <w:ind w:left="1660"/>
              <w:spacing w:after="0"/>
              <w:rPr>
                <w:sz w:val="20"/>
                <w:szCs w:val="20"/>
                <w:color w:val="auto"/>
              </w:rPr>
            </w:pPr>
            <w:r>
              <w:rPr>
                <w:rFonts w:ascii="Arial" w:cs="Arial" w:eastAsia="Arial" w:hAnsi="Arial"/>
                <w:sz w:val="15"/>
                <w:szCs w:val="15"/>
                <w:b w:val="1"/>
                <w:bCs w:val="1"/>
                <w:color w:val="auto"/>
              </w:rPr>
              <w:t>16</w:t>
            </w:r>
          </w:p>
        </w:tc>
        <w:tc>
          <w:tcPr>
            <w:tcW w:w="120" w:type="dxa"/>
            <w:vAlign w:val="bottom"/>
          </w:tcPr>
          <w:p>
            <w:pPr>
              <w:spacing w:after="0"/>
              <w:rPr>
                <w:sz w:val="20"/>
                <w:szCs w:val="20"/>
                <w:color w:val="auto"/>
              </w:rPr>
            </w:pPr>
          </w:p>
        </w:tc>
        <w:tc>
          <w:tcPr>
            <w:tcW w:w="66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67,040</w:t>
            </w:r>
          </w:p>
        </w:tc>
        <w:tc>
          <w:tcPr>
            <w:tcW w:w="100" w:type="dxa"/>
            <w:vAlign w:val="bottom"/>
          </w:tcPr>
          <w:p>
            <w:pPr>
              <w:spacing w:after="0"/>
              <w:rPr>
                <w:sz w:val="20"/>
                <w:szCs w:val="20"/>
                <w:color w:val="auto"/>
              </w:rPr>
            </w:pPr>
          </w:p>
        </w:tc>
        <w:tc>
          <w:tcPr>
            <w:tcW w:w="2040" w:type="dxa"/>
            <w:vAlign w:val="bottom"/>
            <w:tcBorders>
              <w:bottom w:val="single" w:sz="8" w:color="2C6937"/>
            </w:tcBorders>
          </w:tcPr>
          <w:p>
            <w:pPr>
              <w:ind w:left="1680"/>
              <w:spacing w:after="0"/>
              <w:rPr>
                <w:sz w:val="20"/>
                <w:szCs w:val="20"/>
                <w:color w:val="auto"/>
              </w:rPr>
            </w:pPr>
            <w:r>
              <w:rPr>
                <w:rFonts w:ascii="Arial" w:cs="Arial" w:eastAsia="Arial" w:hAnsi="Arial"/>
                <w:sz w:val="15"/>
                <w:szCs w:val="15"/>
                <w:color w:val="auto"/>
              </w:rPr>
              <w:t>12</w:t>
            </w:r>
          </w:p>
        </w:tc>
      </w:tr>
      <w:tr>
        <w:trPr>
          <w:trHeight w:val="238"/>
        </w:trPr>
        <w:tc>
          <w:tcPr>
            <w:tcW w:w="336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1060" w:type="dxa"/>
            <w:vAlign w:val="bottom"/>
          </w:tcPr>
          <w:p>
            <w:pPr>
              <w:jc w:val="right"/>
              <w:ind w:right="886"/>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200,364</w:t>
            </w:r>
          </w:p>
        </w:tc>
        <w:tc>
          <w:tcPr>
            <w:tcW w:w="120" w:type="dxa"/>
            <w:vAlign w:val="bottom"/>
          </w:tcPr>
          <w:p>
            <w:pPr>
              <w:spacing w:after="0"/>
              <w:rPr>
                <w:sz w:val="20"/>
                <w:szCs w:val="20"/>
                <w:color w:val="auto"/>
              </w:rPr>
            </w:pPr>
          </w:p>
        </w:tc>
        <w:tc>
          <w:tcPr>
            <w:tcW w:w="2020" w:type="dxa"/>
            <w:vAlign w:val="bottom"/>
          </w:tcPr>
          <w:p>
            <w:pPr>
              <w:ind w:left="1660"/>
              <w:spacing w:after="0"/>
              <w:rPr>
                <w:sz w:val="20"/>
                <w:szCs w:val="20"/>
                <w:color w:val="auto"/>
              </w:rPr>
            </w:pPr>
            <w:r>
              <w:rPr>
                <w:rFonts w:ascii="Arial" w:cs="Arial" w:eastAsia="Arial" w:hAnsi="Arial"/>
                <w:sz w:val="15"/>
                <w:szCs w:val="15"/>
                <w:b w:val="1"/>
                <w:bCs w:val="1"/>
                <w:color w:val="auto"/>
                <w:w w:val="99"/>
              </w:rPr>
              <w:t>37 %</w:t>
            </w:r>
          </w:p>
        </w:tc>
        <w:tc>
          <w:tcPr>
            <w:tcW w:w="120" w:type="dxa"/>
            <w:vAlign w:val="bottom"/>
          </w:tcPr>
          <w:p>
            <w:pPr>
              <w:spacing w:after="0"/>
              <w:rPr>
                <w:sz w:val="20"/>
                <w:szCs w:val="20"/>
                <w:color w:val="auto"/>
              </w:rPr>
            </w:pPr>
          </w:p>
        </w:tc>
        <w:tc>
          <w:tcPr>
            <w:tcW w:w="660" w:type="dxa"/>
            <w:vAlign w:val="bottom"/>
          </w:tcPr>
          <w:p>
            <w:pPr>
              <w:jc w:val="right"/>
              <w:ind w:right="4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172,780</w:t>
            </w:r>
          </w:p>
        </w:tc>
        <w:tc>
          <w:tcPr>
            <w:tcW w:w="100" w:type="dxa"/>
            <w:vAlign w:val="bottom"/>
          </w:tcPr>
          <w:p>
            <w:pPr>
              <w:spacing w:after="0"/>
              <w:rPr>
                <w:sz w:val="20"/>
                <w:szCs w:val="20"/>
                <w:color w:val="auto"/>
              </w:rPr>
            </w:pPr>
          </w:p>
        </w:tc>
        <w:tc>
          <w:tcPr>
            <w:tcW w:w="2040" w:type="dxa"/>
            <w:vAlign w:val="bottom"/>
          </w:tcPr>
          <w:p>
            <w:pPr>
              <w:ind w:left="1680"/>
              <w:spacing w:after="0"/>
              <w:rPr>
                <w:sz w:val="20"/>
                <w:szCs w:val="20"/>
                <w:color w:val="auto"/>
              </w:rPr>
            </w:pPr>
            <w:r>
              <w:rPr>
                <w:rFonts w:ascii="Arial" w:cs="Arial" w:eastAsia="Arial" w:hAnsi="Arial"/>
                <w:sz w:val="15"/>
                <w:szCs w:val="15"/>
                <w:color w:val="auto"/>
                <w:w w:val="99"/>
              </w:rPr>
              <w:t>32 %</w:t>
            </w:r>
          </w:p>
        </w:tc>
      </w:tr>
      <w:tr>
        <w:trPr>
          <w:trHeight w:val="20"/>
        </w:trPr>
        <w:tc>
          <w:tcPr>
            <w:tcW w:w="3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450215</wp:posOffset>
            </wp:positionV>
            <wp:extent cx="70072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35</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38" w:name="page39"/>
    <w:bookmarkEnd w:id="38"/>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Problem Loan Management</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Credit Performance Statistics on Multifamily Problem Loans</w:t>
      </w:r>
    </w:p>
    <w:p>
      <w:pPr>
        <w:spacing w:after="0" w:line="6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percentage of loans in our multifamily guaranty book of business that were criticized was 6% as of both September 30, 2026 and December 31, 2025. The criticized loans category substantially consists of loans classified as “Substandard” and also includes loans classified as “Special Mention” or “Doubtful.” Substandard loans are loans that have a well-defined weakness that jeopardizes the timely full repayment. While the majority of the substandard loans in our multifamily guaranty book of business are currently making timely payments, we continue to monitor the performance of our substandard loan population. For more information on our credit quality indicators, including our population of substandard loans, see “Note 4, Mortgage Loans.”</w:t>
      </w:r>
    </w:p>
    <w:p>
      <w:pPr>
        <w:spacing w:after="0" w:line="3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Our multifamily serious delinquency rate decreased to 0.62% as of September 30, 2026, compared with 0.74% as of December 31, 2025, primarily as a result of a modification in the second quarter of 2026 of a loan portfolio previously in forbearance, as well as foreclosure activity, partially offset by additional loans that became seriously delinquent due to sustained market challenges in recent periods. Although this loan modification and foreclosure activity resulted in a decrease in our multifamily serious delinquency rate, ongoing market challenges are expected to result in additional delinquencies. Our multifamily serious delinquency rate consists of multifamily loans that were 60 days or more past due based on UPB, expressed as a percentage of our multifamily guaranty book of business.</w:t>
      </w:r>
    </w:p>
    <w:p>
      <w:pPr>
        <w:spacing w:after="0" w:line="41"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Management monitors the multifamily serious delinquency rate as an indicator of potential future credit losses and loss mitigation activities. Serious delinquency rates are reflective of our performance in assessing and managing credit risk associated with multifamily loans in our guaranty book of business. A higher serious delinquency rate may result in a higher allowance for loan losses. The percentage of loans in our multifamily guaranty book of business that were 180 days or more delinquent was 0.41% as of September 30, 2026, compared with 0.56% as of December 31, 2025.</w:t>
      </w:r>
    </w:p>
    <w:p>
      <w:pPr>
        <w:spacing w:after="0" w:line="3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addition to the credit performance information on our multifamily loans provided in this report, we provide additional information about the performance of our multifamily loans that back MBS and whole loan REMICs in the “Data Collections” section of our DUS Disclose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available at www.fanniemae.com/dusdisclose. Information on our website is not incorporated into this report. Information in Data Collections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9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REO Management</w:t>
      </w:r>
    </w:p>
    <w:p>
      <w:pPr>
        <w:spacing w:after="0" w:line="8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As of September 30, 2026, we held 226 multifamily REO properties with a carrying value of $1.7 billion, compared with 181 properties with a carrying value of $1.0 billion as of December 31, 2025, as a result of increased foreclosure activity. The increase in foreclosure activity was primarily driven by recent periods of elevated delinquencies, which we expect to continue to drive elevated foreclosure activity. The foreclosure timeline may vary by region and by property.</w:t>
      </w:r>
    </w:p>
    <w:p>
      <w:pPr>
        <w:spacing w:after="0" w:line="272"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Credit Loss Performance Metrics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amount of multifamily credit losses or gains we realize in a given period is driven by foreclosures, pre-foreclosure sales, post-foreclosure REO activity and other events that trigger write-offs and recoveries. Our multifamily credit loss performance metrics are not defined terms and may not be calculated in the same manner as similarly titled measures reported by other companies. For the purposes of our multifamily credit loss performance metrics, credit losses or gains represent write-offs net of recoveries on our credit loss reserves as well as foreclosed property income or expense. Our credit loss reserves consists of our allowance for loan losses, accrued interest receivable and our guaranty loss reserves. We believe our multifamily credit losses, and our multifamily credit losses net of freestanding loss-sharing arrangements, provide useful information about our multifamily credit performance because they display our multifamily credit losses in the context of our multifamily guaranty book of business, including changes to the benefit we expect to receive from loss-sharing arrangements. Management views multifamily credit losses, net of freestanding loss-sharing arrangements, as a key metric related to our multifamily business model and our strategy to share multifamily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393700</wp:posOffset>
            </wp:positionV>
            <wp:extent cx="70072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36</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39" w:name="page40"/>
    <w:bookmarkEnd w:id="39"/>
    <w:p>
      <w:pPr>
        <w:ind w:left="642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17145</wp:posOffset>
            </wp:positionV>
            <wp:extent cx="69748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7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the components of our multifamily credit loss performance metrics, as well as our multifamily initial write-off severity rate and write-off loan count.</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Multifamily Credit Loss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1390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62" w:lineRule="exact"/>
        <w:rPr>
          <w:sz w:val="20"/>
          <w:szCs w:val="20"/>
          <w:color w:val="auto"/>
        </w:rPr>
      </w:pPr>
    </w:p>
    <w:tbl>
      <w:tblPr>
        <w:tblLayout w:type="fixed"/>
        <w:tblInd w:w="5600" w:type="dxa"/>
        <w:tblCellMar>
          <w:top w:w="0" w:type="dxa"/>
          <w:left w:w="0" w:type="dxa"/>
          <w:bottom w:w="0" w:type="dxa"/>
          <w:right w:w="0" w:type="dxa"/>
        </w:tblCellMar>
      </w:tblPr>
      <w:tr>
        <w:trPr>
          <w:trHeight w:val="172"/>
        </w:trPr>
        <w:tc>
          <w:tcPr>
            <w:tcW w:w="28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For the Three Months Ended</w:t>
            </w:r>
          </w:p>
        </w:tc>
        <w:tc>
          <w:tcPr>
            <w:tcW w:w="2760" w:type="dxa"/>
            <w:vAlign w:val="bottom"/>
            <w:gridSpan w:val="2"/>
          </w:tcPr>
          <w:p>
            <w:pPr>
              <w:jc w:val="center"/>
              <w:ind w:right="223"/>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840" w:type="dxa"/>
            <w:vAlign w:val="bottom"/>
          </w:tcPr>
          <w:p>
            <w:pPr>
              <w:spacing w:after="0"/>
              <w:rPr>
                <w:sz w:val="17"/>
                <w:szCs w:val="17"/>
                <w:color w:val="auto"/>
              </w:rPr>
            </w:pPr>
          </w:p>
        </w:tc>
        <w:tc>
          <w:tcPr>
            <w:tcW w:w="2000" w:type="dxa"/>
            <w:vAlign w:val="bottom"/>
            <w:gridSpan w:val="2"/>
          </w:tcPr>
          <w:p>
            <w:pPr>
              <w:jc w:val="center"/>
              <w:ind w:right="940"/>
              <w:spacing w:after="0"/>
              <w:rPr>
                <w:sz w:val="20"/>
                <w:szCs w:val="20"/>
                <w:color w:val="auto"/>
              </w:rPr>
            </w:pPr>
            <w:r>
              <w:rPr>
                <w:rFonts w:ascii="Arial" w:cs="Arial" w:eastAsia="Arial" w:hAnsi="Arial"/>
                <w:sz w:val="15"/>
                <w:szCs w:val="15"/>
                <w:b w:val="1"/>
                <w:bCs w:val="1"/>
                <w:color w:val="auto"/>
              </w:rPr>
              <w:t>September 30,</w:t>
            </w:r>
          </w:p>
        </w:tc>
        <w:tc>
          <w:tcPr>
            <w:tcW w:w="1840" w:type="dxa"/>
            <w:vAlign w:val="bottom"/>
          </w:tcPr>
          <w:p>
            <w:pPr>
              <w:jc w:val="center"/>
              <w:ind w:left="543"/>
              <w:spacing w:after="0"/>
              <w:rPr>
                <w:sz w:val="20"/>
                <w:szCs w:val="20"/>
                <w:color w:val="auto"/>
              </w:rPr>
            </w:pPr>
            <w:r>
              <w:rPr>
                <w:rFonts w:ascii="Arial" w:cs="Arial" w:eastAsia="Arial" w:hAnsi="Arial"/>
                <w:sz w:val="15"/>
                <w:szCs w:val="15"/>
                <w:b w:val="1"/>
                <w:bCs w:val="1"/>
                <w:color w:val="auto"/>
              </w:rPr>
              <w:t>September 30,</w:t>
            </w:r>
          </w:p>
        </w:tc>
        <w:tc>
          <w:tcPr>
            <w:tcW w:w="920" w:type="dxa"/>
            <w:vAlign w:val="bottom"/>
          </w:tcPr>
          <w:p>
            <w:pPr>
              <w:spacing w:after="0"/>
              <w:rPr>
                <w:sz w:val="17"/>
                <w:szCs w:val="17"/>
                <w:color w:val="auto"/>
              </w:rPr>
            </w:pPr>
          </w:p>
        </w:tc>
      </w:tr>
      <w:tr>
        <w:trPr>
          <w:trHeight w:val="212"/>
        </w:trPr>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2026</w:t>
            </w:r>
          </w:p>
        </w:tc>
        <w:tc>
          <w:tcPr>
            <w:tcW w:w="1900" w:type="dxa"/>
            <w:vAlign w:val="bottom"/>
            <w:tcBorders>
              <w:top w:val="single" w:sz="8" w:color="2C6937"/>
              <w:bottom w:val="single" w:sz="8" w:color="2C6937"/>
            </w:tcBorders>
          </w:tcPr>
          <w:p>
            <w:pPr>
              <w:jc w:val="right"/>
              <w:ind w:right="403"/>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2C6937"/>
            </w:tcBorders>
          </w:tcPr>
          <w:p>
            <w:pPr>
              <w:spacing w:after="0"/>
              <w:rPr>
                <w:sz w:val="18"/>
                <w:szCs w:val="18"/>
                <w:color w:val="auto"/>
              </w:rPr>
            </w:pPr>
          </w:p>
        </w:tc>
        <w:tc>
          <w:tcPr>
            <w:tcW w:w="1840" w:type="dxa"/>
            <w:vAlign w:val="bottom"/>
            <w:tcBorders>
              <w:top w:val="single" w:sz="8" w:color="2C6937"/>
              <w:bottom w:val="single" w:sz="8" w:color="2C6937"/>
            </w:tcBorders>
          </w:tcPr>
          <w:p>
            <w:pPr>
              <w:jc w:val="right"/>
              <w:ind w:right="923"/>
              <w:spacing w:after="0"/>
              <w:rPr>
                <w:sz w:val="20"/>
                <w:szCs w:val="20"/>
                <w:color w:val="auto"/>
              </w:rPr>
            </w:pPr>
            <w:r>
              <w:rPr>
                <w:rFonts w:ascii="Arial" w:cs="Arial" w:eastAsia="Arial" w:hAnsi="Arial"/>
                <w:sz w:val="15"/>
                <w:szCs w:val="15"/>
                <w:b w:val="1"/>
                <w:bCs w:val="1"/>
                <w:color w:val="auto"/>
              </w:rPr>
              <w:t>2026</w:t>
            </w:r>
          </w:p>
        </w:tc>
        <w:tc>
          <w:tcPr>
            <w:tcW w:w="920" w:type="dxa"/>
            <w:vAlign w:val="bottom"/>
            <w:tcBorders>
              <w:top w:val="single" w:sz="8" w:color="2C6937"/>
              <w:bottom w:val="single" w:sz="8" w:color="2C6937"/>
            </w:tcBorders>
          </w:tcPr>
          <w:p>
            <w:pPr>
              <w:jc w:val="right"/>
              <w:ind w:right="423"/>
              <w:spacing w:after="0"/>
              <w:rPr>
                <w:sz w:val="20"/>
                <w:szCs w:val="20"/>
                <w:color w:val="auto"/>
              </w:rPr>
            </w:pPr>
            <w:r>
              <w:rPr>
                <w:rFonts w:ascii="Arial" w:cs="Arial" w:eastAsia="Arial" w:hAnsi="Arial"/>
                <w:sz w:val="15"/>
                <w:szCs w:val="15"/>
                <w:b w:val="1"/>
                <w:bCs w:val="1"/>
                <w:color w:val="auto"/>
              </w:rPr>
              <w:t>2025</w:t>
            </w:r>
          </w:p>
        </w:tc>
      </w:tr>
    </w:tbl>
    <w:p>
      <w:pPr>
        <w:spacing w:after="0" w:line="102" w:lineRule="exact"/>
        <w:rPr>
          <w:sz w:val="20"/>
          <w:szCs w:val="20"/>
          <w:color w:val="auto"/>
        </w:rPr>
      </w:pPr>
    </w:p>
    <w:p>
      <w:pPr>
        <w:ind w:left="7680"/>
        <w:spacing w:after="0"/>
        <w:rPr>
          <w:sz w:val="20"/>
          <w:szCs w:val="20"/>
          <w:color w:val="auto"/>
        </w:rPr>
      </w:pPr>
      <w:r>
        <w:rPr>
          <w:rFonts w:ascii="Arial" w:cs="Arial" w:eastAsia="Arial" w:hAnsi="Arial"/>
          <w:sz w:val="15"/>
          <w:szCs w:val="15"/>
          <w:b w:val="1"/>
          <w:bCs w:val="1"/>
          <w:color w:val="auto"/>
        </w:rPr>
        <w:t>(Dollars in millions)</w:t>
      </w:r>
    </w:p>
    <w:p>
      <w:pPr>
        <w:sectPr>
          <w:pgSz w:w="11900" w:h="16838" w:orient="portrait"/>
          <w:cols w:equalWidth="0" w:num="1">
            <w:col w:w="11240"/>
          </w:cols>
          <w:pgMar w:left="320" w:top="261" w:right="339" w:bottom="1440" w:gutter="0" w:footer="0" w:header="0"/>
        </w:sectPr>
      </w:pPr>
    </w:p>
    <w:p>
      <w:pPr>
        <w:spacing w:after="0" w:line="152" w:lineRule="exact"/>
        <w:rPr>
          <w:sz w:val="20"/>
          <w:szCs w:val="20"/>
          <w:color w:val="auto"/>
        </w:rPr>
      </w:pPr>
    </w:p>
    <w:p>
      <w:pPr>
        <w:ind w:left="20"/>
        <w:spacing w:after="0"/>
        <w:rPr>
          <w:sz w:val="20"/>
          <w:szCs w:val="20"/>
          <w:color w:val="auto"/>
        </w:rPr>
      </w:pPr>
      <w:r>
        <w:rPr>
          <w:rFonts w:ascii="Arial" w:cs="Arial" w:eastAsia="Arial" w:hAnsi="Arial"/>
          <w:sz w:val="15"/>
          <w:szCs w:val="15"/>
          <w:color w:val="auto"/>
        </w:rPr>
        <w:t>Write-offs</w:t>
      </w:r>
      <w:r>
        <w:rPr>
          <w:rFonts w:ascii="Arial" w:cs="Arial" w:eastAsia="Arial" w:hAnsi="Arial"/>
          <w:sz w:val="20"/>
          <w:szCs w:val="20"/>
          <w:color w:val="auto"/>
          <w:vertAlign w:val="superscript"/>
        </w:rPr>
        <w:t>(1)</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Recoveries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Foreclosed property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4956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Credit gains (losses)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 in expected benefits from freestanding loss-sharing arrangements</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34956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Credit gains (losses), net of freestanding loss-sharing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4956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95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34956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Credit gain (loss) ratio, net of freestanding loss-sharing arrangements (in bps)</w:t>
      </w:r>
      <w:r>
        <w:rPr>
          <w:rFonts w:ascii="Arial" w:cs="Arial" w:eastAsia="Arial" w:hAnsi="Arial"/>
          <w:sz w:val="20"/>
          <w:szCs w:val="20"/>
          <w:color w:val="auto"/>
          <w:vertAlign w:val="superscript"/>
        </w:rPr>
        <w:t>(2)</w:t>
      </w:r>
    </w:p>
    <w:p>
      <w:pPr>
        <w:ind w:left="180"/>
        <w:spacing w:after="0"/>
        <w:rPr>
          <w:sz w:val="20"/>
          <w:szCs w:val="20"/>
          <w:color w:val="auto"/>
        </w:rPr>
      </w:pPr>
      <w:r>
        <w:rPr>
          <w:rFonts w:ascii="Arial" w:cs="Arial" w:eastAsia="Arial" w:hAnsi="Arial"/>
          <w:sz w:val="10"/>
          <w:szCs w:val="10"/>
          <w:color w:val="auto"/>
        </w:rPr>
        <w:t>(3)</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 initial write-off severity rate on liquidated loans</w:t>
      </w:r>
      <w:r>
        <w:rPr>
          <w:rFonts w:ascii="Arial" w:cs="Arial" w:eastAsia="Arial" w:hAnsi="Arial"/>
          <w:sz w:val="20"/>
          <w:szCs w:val="20"/>
          <w:color w:val="auto"/>
          <w:vertAlign w:val="superscript"/>
        </w:rPr>
        <w:t>(4)</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 write-off loan count on liquidated loans</w:t>
      </w:r>
      <w:r>
        <w:rPr>
          <w:rFonts w:ascii="Arial" w:cs="Arial" w:eastAsia="Arial" w:hAnsi="Arial"/>
          <w:sz w:val="20"/>
          <w:szCs w:val="20"/>
          <w:color w:val="auto"/>
          <w:vertAlign w:val="superscript"/>
        </w:rPr>
        <w:t>(5)</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(160)</w:t>
            </w:r>
          </w:p>
        </w:tc>
        <w:tc>
          <w:tcPr>
            <w:tcW w:w="36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(167)</w:t>
            </w:r>
          </w:p>
        </w:tc>
        <w:tc>
          <w:tcPr>
            <w:tcW w:w="36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(604)</w:t>
            </w:r>
          </w:p>
        </w:tc>
        <w:tc>
          <w:tcPr>
            <w:tcW w:w="360" w:type="dxa"/>
            <w:vAlign w:val="bottom"/>
          </w:tcPr>
          <w:p>
            <w:pPr>
              <w:spacing w:after="0"/>
              <w:rPr>
                <w:sz w:val="18"/>
                <w:szCs w:val="18"/>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(350)</w:t>
            </w:r>
          </w:p>
        </w:tc>
        <w:tc>
          <w:tcPr>
            <w:tcW w:w="160" w:type="dxa"/>
            <w:vAlign w:val="bottom"/>
          </w:tcPr>
          <w:p>
            <w:pPr>
              <w:spacing w:after="0"/>
              <w:rPr>
                <w:sz w:val="18"/>
                <w:szCs w:val="18"/>
                <w:color w:val="auto"/>
              </w:rPr>
            </w:pPr>
          </w:p>
        </w:tc>
      </w:tr>
      <w:tr>
        <w:trPr>
          <w:trHeight w:val="322"/>
        </w:trPr>
        <w:tc>
          <w:tcPr>
            <w:tcW w:w="36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b w:val="1"/>
                <w:bCs w:val="1"/>
                <w:color w:val="auto"/>
              </w:rPr>
              <w:t>40</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25</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b w:val="1"/>
                <w:bCs w:val="1"/>
                <w:color w:val="auto"/>
              </w:rPr>
              <w:t>139</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86</w:t>
            </w:r>
          </w:p>
        </w:tc>
        <w:tc>
          <w:tcPr>
            <w:tcW w:w="160" w:type="dxa"/>
            <w:vAlign w:val="bottom"/>
          </w:tcPr>
          <w:p>
            <w:pPr>
              <w:spacing w:after="0"/>
              <w:rPr>
                <w:sz w:val="24"/>
                <w:szCs w:val="24"/>
                <w:color w:val="auto"/>
              </w:rPr>
            </w:pPr>
          </w:p>
        </w:tc>
      </w:tr>
      <w:tr>
        <w:trPr>
          <w:trHeight w:val="316"/>
        </w:trPr>
        <w:tc>
          <w:tcPr>
            <w:tcW w:w="36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(103)</w:t>
            </w:r>
          </w:p>
        </w:tc>
        <w:tc>
          <w:tcPr>
            <w:tcW w:w="36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w:t>
            </w:r>
          </w:p>
        </w:tc>
        <w:tc>
          <w:tcPr>
            <w:tcW w:w="36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(227)</w:t>
            </w:r>
          </w:p>
        </w:tc>
        <w:tc>
          <w:tcPr>
            <w:tcW w:w="36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(109)</w:t>
            </w:r>
          </w:p>
        </w:tc>
        <w:tc>
          <w:tcPr>
            <w:tcW w:w="160" w:type="dxa"/>
            <w:vAlign w:val="bottom"/>
          </w:tcPr>
          <w:p>
            <w:pPr>
              <w:spacing w:after="0"/>
              <w:rPr>
                <w:sz w:val="24"/>
                <w:szCs w:val="24"/>
                <w:color w:val="auto"/>
              </w:rPr>
            </w:pPr>
          </w:p>
        </w:tc>
      </w:tr>
      <w:tr>
        <w:trPr>
          <w:trHeight w:val="322"/>
        </w:trPr>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(223)</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(161)</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(692)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(373)</w:t>
            </w:r>
          </w:p>
        </w:tc>
        <w:tc>
          <w:tcPr>
            <w:tcW w:w="160" w:type="dxa"/>
            <w:vAlign w:val="bottom"/>
          </w:tcPr>
          <w:p>
            <w:pPr>
              <w:spacing w:after="0"/>
              <w:rPr>
                <w:sz w:val="24"/>
                <w:szCs w:val="24"/>
                <w:color w:val="auto"/>
              </w:rPr>
            </w:pPr>
          </w:p>
        </w:tc>
      </w:tr>
      <w:tr>
        <w:trPr>
          <w:trHeight w:val="316"/>
        </w:trPr>
        <w:tc>
          <w:tcPr>
            <w:tcW w:w="36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79</w:t>
            </w:r>
          </w:p>
        </w:tc>
        <w:tc>
          <w:tcPr>
            <w:tcW w:w="36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60</w:t>
            </w:r>
          </w:p>
        </w:tc>
        <w:tc>
          <w:tcPr>
            <w:tcW w:w="36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182</w:t>
            </w:r>
          </w:p>
        </w:tc>
        <w:tc>
          <w:tcPr>
            <w:tcW w:w="36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125</w:t>
            </w:r>
          </w:p>
        </w:tc>
        <w:tc>
          <w:tcPr>
            <w:tcW w:w="160" w:type="dxa"/>
            <w:vAlign w:val="bottom"/>
          </w:tcPr>
          <w:p>
            <w:pPr>
              <w:spacing w:after="0"/>
              <w:rPr>
                <w:sz w:val="24"/>
                <w:szCs w:val="24"/>
                <w:color w:val="auto"/>
              </w:rPr>
            </w:pPr>
          </w:p>
        </w:tc>
      </w:tr>
      <w:tr>
        <w:trPr>
          <w:trHeight w:val="315"/>
        </w:trPr>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(144)</w:t>
            </w:r>
          </w:p>
        </w:tc>
        <w:tc>
          <w:tcPr>
            <w:tcW w:w="360" w:type="dxa"/>
            <w:vAlign w:val="bottom"/>
          </w:tcPr>
          <w:p>
            <w:pPr>
              <w:spacing w:after="0"/>
              <w:rPr>
                <w:sz w:val="24"/>
                <w:szCs w:val="24"/>
                <w:color w:val="auto"/>
              </w:rPr>
            </w:pPr>
          </w:p>
        </w:tc>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(101)</w:t>
            </w:r>
          </w:p>
        </w:tc>
        <w:tc>
          <w:tcPr>
            <w:tcW w:w="360" w:type="dxa"/>
            <w:vAlign w:val="bottom"/>
          </w:tcPr>
          <w:p>
            <w:pPr>
              <w:spacing w:after="0"/>
              <w:rPr>
                <w:sz w:val="24"/>
                <w:szCs w:val="24"/>
                <w:color w:val="auto"/>
              </w:rPr>
            </w:pPr>
          </w:p>
        </w:tc>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(510)</w:t>
            </w:r>
          </w:p>
        </w:tc>
        <w:tc>
          <w:tcPr>
            <w:tcW w:w="360" w:type="dxa"/>
            <w:vAlign w:val="bottom"/>
          </w:tcPr>
          <w:p>
            <w:pPr>
              <w:spacing w:after="0"/>
              <w:rPr>
                <w:sz w:val="24"/>
                <w:szCs w:val="24"/>
                <w:color w:val="auto"/>
              </w:rPr>
            </w:pPr>
          </w:p>
        </w:tc>
        <w:tc>
          <w:tcPr>
            <w:tcW w:w="38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(248)</w:t>
            </w:r>
          </w:p>
        </w:tc>
        <w:tc>
          <w:tcPr>
            <w:tcW w:w="160" w:type="dxa"/>
            <w:vAlign w:val="bottom"/>
          </w:tcPr>
          <w:p>
            <w:pPr>
              <w:spacing w:after="0"/>
              <w:rPr>
                <w:sz w:val="24"/>
                <w:szCs w:val="24"/>
                <w:color w:val="auto"/>
              </w:rPr>
            </w:pPr>
          </w:p>
        </w:tc>
      </w:tr>
      <w:tr>
        <w:trPr>
          <w:trHeight w:val="20"/>
        </w:trPr>
        <w:tc>
          <w:tcPr>
            <w:tcW w:w="36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2"/>
        </w:trPr>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(16.4)</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(12.5)</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(17.0)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(9.8)</w:t>
            </w:r>
          </w:p>
        </w:tc>
        <w:tc>
          <w:tcPr>
            <w:tcW w:w="160" w:type="dxa"/>
            <w:vAlign w:val="bottom"/>
          </w:tcPr>
          <w:p>
            <w:pPr>
              <w:spacing w:after="0"/>
              <w:rPr>
                <w:sz w:val="24"/>
                <w:szCs w:val="24"/>
                <w:color w:val="auto"/>
              </w:rPr>
            </w:pPr>
          </w:p>
        </w:tc>
      </w:tr>
      <w:tr>
        <w:trPr>
          <w:trHeight w:val="451"/>
        </w:trPr>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(10.6)</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(7.8)</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(12.6)</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(6.5)</w:t>
            </w:r>
          </w:p>
        </w:tc>
        <w:tc>
          <w:tcPr>
            <w:tcW w:w="160" w:type="dxa"/>
            <w:vAlign w:val="bottom"/>
          </w:tcPr>
          <w:p>
            <w:pPr>
              <w:spacing w:after="0"/>
              <w:rPr>
                <w:sz w:val="24"/>
                <w:szCs w:val="24"/>
                <w:color w:val="auto"/>
              </w:rPr>
            </w:pPr>
          </w:p>
        </w:tc>
      </w:tr>
      <w:tr>
        <w:trPr>
          <w:trHeight w:val="322"/>
        </w:trPr>
        <w:tc>
          <w:tcPr>
            <w:tcW w:w="3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11.8 %</w:t>
            </w:r>
          </w:p>
        </w:tc>
        <w:tc>
          <w:tcPr>
            <w:tcW w:w="3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22.2 %</w:t>
            </w:r>
          </w:p>
        </w:tc>
        <w:tc>
          <w:tcPr>
            <w:tcW w:w="3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16.1 %</w:t>
            </w:r>
          </w:p>
        </w:tc>
        <w:tc>
          <w:tcPr>
            <w:tcW w:w="3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26.0 %</w:t>
            </w:r>
          </w:p>
        </w:tc>
      </w:tr>
      <w:tr>
        <w:trPr>
          <w:trHeight w:val="322"/>
        </w:trPr>
        <w:tc>
          <w:tcPr>
            <w:tcW w:w="36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b w:val="1"/>
                <w:bCs w:val="1"/>
                <w:color w:val="auto"/>
              </w:rPr>
              <w:t>25</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23</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b w:val="1"/>
                <w:bCs w:val="1"/>
                <w:color w:val="auto"/>
              </w:rPr>
              <w:t>92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55</w:t>
            </w:r>
          </w:p>
        </w:tc>
        <w:tc>
          <w:tcPr>
            <w:tcW w:w="160" w:type="dxa"/>
            <w:vAlign w:val="bottom"/>
          </w:tcPr>
          <w:p>
            <w:pPr>
              <w:spacing w:after="0"/>
              <w:rPr>
                <w:sz w:val="24"/>
                <w:szCs w:val="24"/>
                <w:color w:val="auto"/>
              </w:rPr>
            </w:pPr>
          </w:p>
        </w:tc>
      </w:tr>
    </w:tbl>
    <w:p>
      <w:pPr>
        <w:spacing w:after="0" w:line="115" w:lineRule="exact"/>
        <w:rPr>
          <w:sz w:val="20"/>
          <w:szCs w:val="20"/>
          <w:color w:val="auto"/>
        </w:rPr>
      </w:pPr>
    </w:p>
    <w:p>
      <w:pPr>
        <w:sectPr>
          <w:pgSz w:w="11900" w:h="16838" w:orient="portrait"/>
          <w:cols w:equalWidth="0" w:num="2">
            <w:col w:w="5460" w:space="140"/>
            <w:col w:w="5640"/>
          </w:cols>
          <w:pgMar w:left="320" w:top="261" w:right="339" w:bottom="1440" w:gutter="0" w:footer="0" w:header="0"/>
          <w:type w:val="continuous"/>
        </w:sectPr>
      </w:pPr>
    </w:p>
    <w:p>
      <w:pPr>
        <w:ind w:left="240" w:right="380" w:hanging="237"/>
        <w:spacing w:after="0" w:line="226"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Represents write-offs at a liquidation event, which includes a foreclosure, a deed-in-lieu of foreclosure or a short-sale, as well as write-offs prior to a liquidation event. Write-offs associated with non-REO sales are net of loss sharing.</w:t>
      </w:r>
    </w:p>
    <w:p>
      <w:pPr>
        <w:spacing w:after="0" w:line="27" w:lineRule="exact"/>
        <w:rPr>
          <w:rFonts w:ascii="Arial" w:cs="Arial" w:eastAsia="Arial" w:hAnsi="Arial"/>
          <w:sz w:val="18"/>
          <w:szCs w:val="18"/>
          <w:color w:val="auto"/>
          <w:vertAlign w:val="superscript"/>
        </w:rPr>
      </w:pPr>
    </w:p>
    <w:p>
      <w:pPr>
        <w:ind w:left="240" w:right="180" w:hanging="237"/>
        <w:spacing w:after="0" w:line="228"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Represents changes to the benefit we expect to receive only from write-offs as a result of certain freestanding loss-sharing arrangements, primarily multifamily DUS lender risk-sharing transactions. Changes to the expected benefits we will receive are recorded in “Other income (expense), net” in our condensed consolidated statements of operations and comprehensive income.</w:t>
      </w:r>
    </w:p>
    <w:p>
      <w:pPr>
        <w:spacing w:after="0" w:line="26" w:lineRule="exact"/>
        <w:rPr>
          <w:rFonts w:ascii="Arial" w:cs="Arial" w:eastAsia="Arial" w:hAnsi="Arial"/>
          <w:sz w:val="18"/>
          <w:szCs w:val="18"/>
          <w:color w:val="auto"/>
          <w:vertAlign w:val="superscript"/>
        </w:rPr>
      </w:pPr>
    </w:p>
    <w:p>
      <w:pPr>
        <w:ind w:left="240" w:right="120" w:hanging="237"/>
        <w:spacing w:after="0" w:line="226"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and “Credit gains (losses), net of freestanding loss-sharing arrangements,” divided by the average multifamily guaranty book of business during the period.</w:t>
      </w:r>
    </w:p>
    <w:p>
      <w:pPr>
        <w:spacing w:after="0" w:line="27" w:lineRule="exact"/>
        <w:rPr>
          <w:rFonts w:ascii="Arial" w:cs="Arial" w:eastAsia="Arial" w:hAnsi="Arial"/>
          <w:sz w:val="18"/>
          <w:szCs w:val="18"/>
          <w:color w:val="auto"/>
          <w:vertAlign w:val="superscript"/>
        </w:rPr>
      </w:pPr>
    </w:p>
    <w:p>
      <w:pPr>
        <w:ind w:left="240" w:hanging="237"/>
        <w:spacing w:after="0" w:line="228"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Rate is calculated as the initial write-off amount divided by the UPB of the loans written off and is based on write-offs associated with a liquidation event. The rate excludes any costs, gains or losses associated with REO after initial acquisition through final disposition. The rate also excludes write-offs when a loan is determined to be uncollectible prior to a liquidation event. Write-offs are net of lender loss-sharing agreements.</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4"/>
        </w:numPr>
        <w:rPr>
          <w:rFonts w:ascii="Arial" w:cs="Arial" w:eastAsia="Arial" w:hAnsi="Arial"/>
          <w:sz w:val="9"/>
          <w:szCs w:val="9"/>
          <w:color w:val="auto"/>
        </w:rPr>
      </w:pPr>
      <w:r>
        <w:rPr>
          <w:rFonts w:ascii="Arial" w:cs="Arial" w:eastAsia="Arial" w:hAnsi="Arial"/>
          <w:sz w:val="14"/>
          <w:szCs w:val="14"/>
          <w:color w:val="auto"/>
        </w:rPr>
        <w:t>Represents the number of loans that experienced write-offs associated with a liquidation event during the period.</w:t>
      </w:r>
    </w:p>
    <w:p>
      <w:pPr>
        <w:spacing w:after="0" w:line="7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Our multifamily credit losses increased in the third quarter of 2026 compared with the third quarter of 2025 due to higher foreclosed property expense. Our multifamily credit losses increased in the first nine months of 2026 compared with the first nine months of 2025 due to increased write-offs and higher foreclosed property expense. The increased write-offs in the first nine months of 2026 were primarily driven by weaker property valuations and losses on loans that became seriously delinquent during the period. The higher foreclosed property expense in both the third quarter and first nine months of 2026 was primarily driven by weaker valuations on multifamily REO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381635</wp:posOffset>
            </wp:positionV>
            <wp:extent cx="70072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37</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40" w:name="page41"/>
    <w:bookmarkEnd w:id="40"/>
    <w:p>
      <w:pPr>
        <w:jc w:val="right"/>
        <w:ind w:right="40"/>
        <w:spacing w:after="0"/>
        <w:rPr>
          <w:sz w:val="20"/>
          <w:szCs w:val="20"/>
          <w:color w:val="auto"/>
        </w:rPr>
      </w:pPr>
      <w:r>
        <w:rPr>
          <w:rFonts w:ascii="Arial" w:cs="Arial" w:eastAsia="Arial" w:hAnsi="Arial"/>
          <w:sz w:val="14"/>
          <w:szCs w:val="14"/>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table below displays select credit ratios on our single-family conventional guaranty book of business and our multifamily guaranty book of business, as well as the inputs used in calculating these ratios. For purposes of calculating our consolidated credit ratios and the credit loss reserves and write-offs, net of recoveries, the ratios are inclusive of our allowance for loan losses, allowance for accrued interest receivable, and reserve for guaranty losses. These amounts exclude reserves for advances of pre-foreclosure costs and the allowance for AFS securities.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8" w:lineRule="exact"/>
        <w:rPr>
          <w:sz w:val="20"/>
          <w:szCs w:val="20"/>
          <w:color w:val="auto"/>
        </w:rPr>
      </w:pPr>
    </w:p>
    <w:p>
      <w:pPr>
        <w:ind w:left="7000"/>
        <w:spacing w:after="0"/>
        <w:rPr>
          <w:sz w:val="20"/>
          <w:szCs w:val="20"/>
          <w:color w:val="auto"/>
        </w:rPr>
      </w:pPr>
      <w:r>
        <w:rPr>
          <w:rFonts w:ascii="Arial" w:cs="Arial" w:eastAsia="Arial" w:hAnsi="Arial"/>
          <w:sz w:val="15"/>
          <w:szCs w:val="15"/>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32385</wp:posOffset>
            </wp:positionV>
            <wp:extent cx="516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65725"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 loss reserves as a percentage of:</w:t>
      </w:r>
    </w:p>
    <w:p>
      <w:pPr>
        <w:spacing w:after="0" w:line="58" w:lineRule="exact"/>
        <w:rPr>
          <w:sz w:val="20"/>
          <w:szCs w:val="20"/>
          <w:color w:val="auto"/>
        </w:rPr>
      </w:pPr>
    </w:p>
    <w:p>
      <w:pPr>
        <w:ind w:left="180" w:right="320"/>
        <w:spacing w:after="0" w:line="411" w:lineRule="auto"/>
        <w:rPr>
          <w:sz w:val="20"/>
          <w:szCs w:val="20"/>
          <w:color w:val="auto"/>
        </w:rPr>
      </w:pPr>
      <w:r>
        <w:rPr>
          <w:rFonts w:ascii="Arial" w:cs="Arial" w:eastAsia="Arial" w:hAnsi="Arial"/>
          <w:sz w:val="14"/>
          <w:szCs w:val="14"/>
          <w:color w:val="auto"/>
        </w:rPr>
        <w:t>Guaranty book of business Nonaccrual loans at amortized cost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Nonaccrual loans as a percentage of:</w:t>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Guaranty book of business</w:t>
      </w:r>
    </w:p>
    <w:p>
      <w:pPr>
        <w:spacing w:after="0" w:line="305" w:lineRule="exact"/>
        <w:rPr>
          <w:sz w:val="20"/>
          <w:szCs w:val="20"/>
          <w:color w:val="auto"/>
        </w:rPr>
      </w:pPr>
    </w:p>
    <w:p>
      <w:pPr>
        <w:ind w:left="180" w:right="300" w:hanging="154"/>
        <w:spacing w:after="0" w:line="237" w:lineRule="auto"/>
        <w:rPr>
          <w:sz w:val="20"/>
          <w:szCs w:val="20"/>
          <w:color w:val="auto"/>
        </w:rPr>
      </w:pPr>
      <w:r>
        <w:rPr>
          <w:rFonts w:ascii="Arial" w:cs="Arial" w:eastAsia="Arial" w:hAnsi="Arial"/>
          <w:sz w:val="15"/>
          <w:szCs w:val="15"/>
          <w:b w:val="1"/>
          <w:bCs w:val="1"/>
          <w:color w:val="auto"/>
        </w:rPr>
        <w:t>Select financial information used in calculating credit ratios: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94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b w:val="1"/>
                <w:bCs w:val="1"/>
                <w:color w:val="auto"/>
              </w:rPr>
              <w:t>September 30, 2026</w:t>
            </w:r>
          </w:p>
        </w:tc>
        <w:tc>
          <w:tcPr>
            <w:tcW w:w="102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b w:val="1"/>
                <w:bCs w:val="1"/>
                <w:color w:val="auto"/>
              </w:rPr>
              <w:t>December 31, 2025</w:t>
            </w:r>
          </w:p>
        </w:tc>
        <w:tc>
          <w:tcPr>
            <w:tcW w:w="11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r>
      <w:tr>
        <w:trPr>
          <w:trHeight w:val="277"/>
        </w:trPr>
        <w:tc>
          <w:tcPr>
            <w:tcW w:w="1200" w:type="dxa"/>
            <w:vAlign w:val="bottom"/>
            <w:tcBorders>
              <w:bottom w:val="single" w:sz="8" w:color="2C6937"/>
            </w:tcBorders>
            <w:gridSpan w:val="2"/>
          </w:tcPr>
          <w:p>
            <w:pPr>
              <w:jc w:val="right"/>
              <w:ind w:right="47"/>
              <w:spacing w:after="0"/>
              <w:rPr>
                <w:sz w:val="20"/>
                <w:szCs w:val="20"/>
                <w:color w:val="auto"/>
              </w:rPr>
            </w:pPr>
            <w:r>
              <w:rPr>
                <w:rFonts w:ascii="Arial" w:cs="Arial" w:eastAsia="Arial" w:hAnsi="Arial"/>
                <w:sz w:val="15"/>
                <w:szCs w:val="15"/>
                <w:b w:val="1"/>
                <w:bCs w:val="1"/>
                <w:color w:val="auto"/>
              </w:rPr>
              <w:t>Single-Family</w:t>
            </w:r>
          </w:p>
        </w:tc>
        <w:tc>
          <w:tcPr>
            <w:tcW w:w="1480" w:type="dxa"/>
            <w:vAlign w:val="bottom"/>
            <w:tcBorders>
              <w:bottom w:val="single" w:sz="8" w:color="2C6937"/>
            </w:tcBorders>
            <w:gridSpan w:val="2"/>
          </w:tcPr>
          <w:p>
            <w:pPr>
              <w:jc w:val="right"/>
              <w:ind w:right="287"/>
              <w:spacing w:after="0"/>
              <w:rPr>
                <w:sz w:val="20"/>
                <w:szCs w:val="20"/>
                <w:color w:val="auto"/>
              </w:rPr>
            </w:pPr>
            <w:r>
              <w:rPr>
                <w:rFonts w:ascii="Arial" w:cs="Arial" w:eastAsia="Arial" w:hAnsi="Arial"/>
                <w:sz w:val="15"/>
                <w:szCs w:val="15"/>
                <w:b w:val="1"/>
                <w:bCs w:val="1"/>
                <w:color w:val="auto"/>
              </w:rPr>
              <w:t>Multifamily</w:t>
            </w:r>
          </w:p>
        </w:tc>
        <w:tc>
          <w:tcPr>
            <w:tcW w:w="1420" w:type="dxa"/>
            <w:vAlign w:val="bottom"/>
            <w:tcBorders>
              <w:bottom w:val="single" w:sz="8" w:color="2C6937"/>
            </w:tcBorders>
            <w:gridSpan w:val="3"/>
          </w:tcPr>
          <w:p>
            <w:pPr>
              <w:spacing w:after="0"/>
              <w:rPr>
                <w:sz w:val="20"/>
                <w:szCs w:val="20"/>
                <w:color w:val="auto"/>
              </w:rPr>
            </w:pPr>
            <w:r>
              <w:rPr>
                <w:rFonts w:ascii="Arial" w:cs="Arial" w:eastAsia="Arial" w:hAnsi="Arial"/>
                <w:sz w:val="15"/>
                <w:szCs w:val="15"/>
                <w:b w:val="1"/>
                <w:bCs w:val="1"/>
                <w:color w:val="auto"/>
              </w:rPr>
              <w:t>Consolidated Total</w:t>
            </w:r>
          </w:p>
        </w:tc>
        <w:tc>
          <w:tcPr>
            <w:tcW w:w="1240" w:type="dxa"/>
            <w:vAlign w:val="bottom"/>
            <w:tcBorders>
              <w:bottom w:val="single" w:sz="8" w:color="2C6937"/>
            </w:tcBorders>
            <w:gridSpan w:val="2"/>
          </w:tcPr>
          <w:p>
            <w:pPr>
              <w:jc w:val="right"/>
              <w:ind w:right="67"/>
              <w:spacing w:after="0"/>
              <w:rPr>
                <w:sz w:val="20"/>
                <w:szCs w:val="20"/>
                <w:color w:val="auto"/>
              </w:rPr>
            </w:pPr>
            <w:r>
              <w:rPr>
                <w:rFonts w:ascii="Arial" w:cs="Arial" w:eastAsia="Arial" w:hAnsi="Arial"/>
                <w:sz w:val="15"/>
                <w:szCs w:val="15"/>
                <w:b w:val="1"/>
                <w:bCs w:val="1"/>
                <w:color w:val="auto"/>
              </w:rPr>
              <w:t>Single-Family</w:t>
            </w:r>
          </w:p>
        </w:tc>
        <w:tc>
          <w:tcPr>
            <w:tcW w:w="1440" w:type="dxa"/>
            <w:vAlign w:val="bottom"/>
            <w:tcBorders>
              <w:bottom w:val="single" w:sz="8" w:color="2C6937"/>
            </w:tcBorders>
            <w:gridSpan w:val="2"/>
          </w:tcPr>
          <w:p>
            <w:pPr>
              <w:jc w:val="right"/>
              <w:ind w:right="267"/>
              <w:spacing w:after="0"/>
              <w:rPr>
                <w:sz w:val="20"/>
                <w:szCs w:val="20"/>
                <w:color w:val="auto"/>
              </w:rPr>
            </w:pPr>
            <w:r>
              <w:rPr>
                <w:rFonts w:ascii="Arial" w:cs="Arial" w:eastAsia="Arial" w:hAnsi="Arial"/>
                <w:sz w:val="15"/>
                <w:szCs w:val="15"/>
                <w:b w:val="1"/>
                <w:bCs w:val="1"/>
                <w:color w:val="auto"/>
              </w:rPr>
              <w:t>Multifamily</w:t>
            </w:r>
          </w:p>
        </w:tc>
        <w:tc>
          <w:tcPr>
            <w:tcW w:w="134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b w:val="1"/>
                <w:bCs w:val="1"/>
                <w:color w:val="auto"/>
                <w:w w:val="96"/>
              </w:rPr>
              <w:t>Consolidated Total</w:t>
            </w:r>
          </w:p>
        </w:tc>
      </w:tr>
      <w:tr>
        <w:trPr>
          <w:trHeight w:val="202"/>
        </w:trPr>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gridSpan w:val="4"/>
          </w:tcPr>
          <w:p>
            <w:pPr>
              <w:jc w:val="right"/>
              <w:ind w:right="227"/>
              <w:spacing w:after="0"/>
              <w:rPr>
                <w:sz w:val="20"/>
                <w:szCs w:val="20"/>
                <w:color w:val="auto"/>
              </w:rPr>
            </w:pPr>
            <w:r>
              <w:rPr>
                <w:rFonts w:ascii="Arial" w:cs="Arial" w:eastAsia="Arial" w:hAnsi="Arial"/>
                <w:sz w:val="15"/>
                <w:szCs w:val="15"/>
                <w:b w:val="1"/>
                <w:bCs w:val="1"/>
                <w:color w:val="auto"/>
              </w:rPr>
              <w:t>(Dollars in millions)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51"/>
        </w:trPr>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0.19</w:t>
            </w:r>
          </w:p>
        </w:tc>
        <w:tc>
          <w:tcPr>
            <w:tcW w:w="26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0.50</w:t>
            </w:r>
          </w:p>
        </w:tc>
        <w:tc>
          <w:tcPr>
            <w:tcW w:w="42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0.23</w:t>
            </w:r>
          </w:p>
        </w:tc>
        <w:tc>
          <w:tcPr>
            <w:tcW w:w="30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0.17</w:t>
            </w:r>
          </w:p>
        </w:tc>
        <w:tc>
          <w:tcPr>
            <w:tcW w:w="3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0.43</w:t>
            </w:r>
          </w:p>
        </w:tc>
        <w:tc>
          <w:tcPr>
            <w:tcW w:w="4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0.20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5"/>
        </w:trPr>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22.98</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89.40</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29.29</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22.03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70.02</w:t>
            </w:r>
          </w:p>
        </w:tc>
        <w:tc>
          <w:tcPr>
            <w:tcW w:w="400" w:type="dxa"/>
            <w:vAlign w:val="bottom"/>
          </w:tcPr>
          <w:p>
            <w:pPr>
              <w:spacing w:after="0"/>
              <w:rPr>
                <w:sz w:val="21"/>
                <w:szCs w:val="21"/>
                <w:color w:val="auto"/>
              </w:rPr>
            </w:pP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27.19</w:t>
            </w:r>
          </w:p>
        </w:tc>
        <w:tc>
          <w:tcPr>
            <w:tcW w:w="240" w:type="dxa"/>
            <w:vAlign w:val="bottom"/>
          </w:tcPr>
          <w:p>
            <w:pPr>
              <w:spacing w:after="0"/>
              <w:rPr>
                <w:sz w:val="21"/>
                <w:szCs w:val="21"/>
                <w:color w:val="auto"/>
              </w:rPr>
            </w:pPr>
          </w:p>
        </w:tc>
      </w:tr>
      <w:tr>
        <w:trPr>
          <w:trHeight w:val="593"/>
        </w:trPr>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0.82</w:t>
            </w:r>
          </w:p>
        </w:tc>
        <w:tc>
          <w:tcPr>
            <w:tcW w:w="26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0.56</w:t>
            </w:r>
          </w:p>
        </w:tc>
        <w:tc>
          <w:tcPr>
            <w:tcW w:w="42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0.79</w:t>
            </w:r>
          </w:p>
        </w:tc>
        <w:tc>
          <w:tcPr>
            <w:tcW w:w="30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0.77</w:t>
            </w:r>
          </w:p>
        </w:tc>
        <w:tc>
          <w:tcPr>
            <w:tcW w:w="3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0.62</w:t>
            </w:r>
          </w:p>
        </w:tc>
        <w:tc>
          <w:tcPr>
            <w:tcW w:w="4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0.75</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624" w:lineRule="exact"/>
        <w:rPr>
          <w:sz w:val="20"/>
          <w:szCs w:val="20"/>
          <w:color w:val="auto"/>
        </w:rPr>
      </w:pPr>
    </w:p>
    <w:p>
      <w:pPr>
        <w:sectPr>
          <w:pgSz w:w="11900" w:h="16838" w:orient="portrait"/>
          <w:cols w:equalWidth="0" w:num="2">
            <w:col w:w="2780" w:space="340"/>
            <w:col w:w="8120"/>
          </w:cols>
          <w:pgMar w:left="320" w:top="261" w:right="339" w:bottom="1440" w:gutter="0" w:footer="0" w:header="0"/>
          <w:type w:val="continuous"/>
        </w:sectPr>
      </w:pPr>
    </w:p>
    <w:tbl>
      <w:tblPr>
        <w:tblLayout w:type="fixed"/>
        <w:tblInd w:w="180" w:type="dxa"/>
        <w:tblCellMar>
          <w:top w:w="0" w:type="dxa"/>
          <w:left w:w="0" w:type="dxa"/>
          <w:bottom w:w="0" w:type="dxa"/>
          <w:right w:w="0" w:type="dxa"/>
        </w:tblCellMar>
      </w:tblPr>
      <w:tr>
        <w:trPr>
          <w:trHeight w:val="226"/>
        </w:trPr>
        <w:tc>
          <w:tcPr>
            <w:tcW w:w="2620" w:type="dxa"/>
            <w:vAlign w:val="bottom"/>
          </w:tcPr>
          <w:p>
            <w:pPr>
              <w:spacing w:after="0"/>
              <w:rPr>
                <w:sz w:val="20"/>
                <w:szCs w:val="20"/>
                <w:color w:val="auto"/>
              </w:rPr>
            </w:pPr>
            <w:r>
              <w:rPr>
                <w:rFonts w:ascii="Arial" w:cs="Arial" w:eastAsia="Arial" w:hAnsi="Arial"/>
                <w:sz w:val="15"/>
                <w:szCs w:val="15"/>
                <w:color w:val="auto"/>
              </w:rPr>
              <w:t>Credit loss reserves</w:t>
            </w:r>
          </w:p>
        </w:tc>
        <w:tc>
          <w:tcPr>
            <w:tcW w:w="48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127"/>
              <w:spacing w:after="0"/>
              <w:rPr>
                <w:sz w:val="20"/>
                <w:szCs w:val="20"/>
                <w:color w:val="auto"/>
              </w:rPr>
            </w:pPr>
            <w:r>
              <w:rPr>
                <w:rFonts w:ascii="Arial" w:cs="Arial" w:eastAsia="Arial" w:hAnsi="Arial"/>
                <w:sz w:val="15"/>
                <w:szCs w:val="15"/>
                <w:b w:val="1"/>
                <w:bCs w:val="1"/>
                <w:color w:val="auto"/>
              </w:rPr>
              <w:t>(6,701)</w:t>
            </w:r>
          </w:p>
        </w:tc>
        <w:tc>
          <w:tcPr>
            <w:tcW w:w="420" w:type="dxa"/>
            <w:vAlign w:val="bottom"/>
          </w:tcPr>
          <w:p>
            <w:pPr>
              <w:jc w:val="right"/>
              <w:ind w:right="67"/>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127"/>
              <w:spacing w:after="0"/>
              <w:rPr>
                <w:sz w:val="20"/>
                <w:szCs w:val="20"/>
                <w:color w:val="auto"/>
              </w:rPr>
            </w:pPr>
            <w:r>
              <w:rPr>
                <w:rFonts w:ascii="Arial" w:cs="Arial" w:eastAsia="Arial" w:hAnsi="Arial"/>
                <w:sz w:val="15"/>
                <w:szCs w:val="15"/>
                <w:b w:val="1"/>
                <w:bCs w:val="1"/>
                <w:color w:val="auto"/>
              </w:rPr>
              <w:t>(2,733)</w:t>
            </w:r>
          </w:p>
        </w:tc>
        <w:tc>
          <w:tcPr>
            <w:tcW w:w="42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147"/>
              <w:spacing w:after="0"/>
              <w:rPr>
                <w:sz w:val="20"/>
                <w:szCs w:val="20"/>
                <w:color w:val="auto"/>
              </w:rPr>
            </w:pPr>
            <w:r>
              <w:rPr>
                <w:rFonts w:ascii="Arial" w:cs="Arial" w:eastAsia="Arial" w:hAnsi="Arial"/>
                <w:sz w:val="15"/>
                <w:szCs w:val="15"/>
                <w:b w:val="1"/>
                <w:bCs w:val="1"/>
                <w:color w:val="auto"/>
              </w:rPr>
              <w:t>(9,434)</w:t>
            </w:r>
          </w:p>
        </w:tc>
        <w:tc>
          <w:tcPr>
            <w:tcW w:w="3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(6,066)</w:t>
            </w:r>
          </w:p>
        </w:tc>
        <w:tc>
          <w:tcPr>
            <w:tcW w:w="4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47"/>
              <w:spacing w:after="0"/>
              <w:rPr>
                <w:sz w:val="20"/>
                <w:szCs w:val="20"/>
                <w:color w:val="auto"/>
              </w:rPr>
            </w:pPr>
            <w:r>
              <w:rPr>
                <w:rFonts w:ascii="Arial" w:cs="Arial" w:eastAsia="Arial" w:hAnsi="Arial"/>
                <w:sz w:val="15"/>
                <w:szCs w:val="15"/>
                <w:color w:val="auto"/>
              </w:rPr>
              <w:t>(2,319)</w:t>
            </w:r>
          </w:p>
        </w:tc>
        <w:tc>
          <w:tcPr>
            <w:tcW w:w="4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(8,385)</w:t>
            </w:r>
          </w:p>
        </w:tc>
      </w:tr>
      <w:tr>
        <w:trPr>
          <w:trHeight w:val="264"/>
        </w:trPr>
        <w:tc>
          <w:tcPr>
            <w:tcW w:w="2620" w:type="dxa"/>
            <w:vAlign w:val="bottom"/>
          </w:tcPr>
          <w:p>
            <w:pPr>
              <w:spacing w:after="0"/>
              <w:rPr>
                <w:sz w:val="20"/>
                <w:szCs w:val="20"/>
                <w:color w:val="auto"/>
              </w:rPr>
            </w:pPr>
            <w:r>
              <w:rPr>
                <w:rFonts w:ascii="Arial" w:cs="Arial" w:eastAsia="Arial" w:hAnsi="Arial"/>
                <w:sz w:val="15"/>
                <w:szCs w:val="15"/>
                <w:color w:val="auto"/>
              </w:rPr>
              <w:t>Guaranty book of business</w:t>
            </w:r>
            <w:r>
              <w:rPr>
                <w:rFonts w:ascii="Arial" w:cs="Arial" w:eastAsia="Arial" w:hAnsi="Arial"/>
                <w:sz w:val="18"/>
                <w:szCs w:val="18"/>
                <w:color w:val="auto"/>
                <w:vertAlign w:val="superscript"/>
              </w:rPr>
              <w:t>(1)</w:t>
            </w:r>
          </w:p>
        </w:tc>
        <w:tc>
          <w:tcPr>
            <w:tcW w:w="480" w:type="dxa"/>
            <w:vAlign w:val="bottom"/>
          </w:tcPr>
          <w:p>
            <w:pPr>
              <w:spacing w:after="0"/>
              <w:rPr>
                <w:sz w:val="22"/>
                <w:szCs w:val="22"/>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b w:val="1"/>
                <w:bCs w:val="1"/>
                <w:color w:val="auto"/>
              </w:rPr>
              <w:t>3,556,851</w:t>
            </w:r>
          </w:p>
        </w:tc>
        <w:tc>
          <w:tcPr>
            <w:tcW w:w="420" w:type="dxa"/>
            <w:vAlign w:val="bottom"/>
          </w:tcPr>
          <w:p>
            <w:pPr>
              <w:spacing w:after="0"/>
              <w:rPr>
                <w:sz w:val="22"/>
                <w:szCs w:val="22"/>
                <w:color w:val="auto"/>
              </w:rPr>
            </w:pPr>
          </w:p>
        </w:tc>
        <w:tc>
          <w:tcPr>
            <w:tcW w:w="900" w:type="dxa"/>
            <w:vAlign w:val="bottom"/>
          </w:tcPr>
          <w:p>
            <w:pPr>
              <w:jc w:val="right"/>
              <w:ind w:right="167"/>
              <w:spacing w:after="0"/>
              <w:rPr>
                <w:sz w:val="20"/>
                <w:szCs w:val="20"/>
                <w:color w:val="auto"/>
              </w:rPr>
            </w:pPr>
            <w:r>
              <w:rPr>
                <w:rFonts w:ascii="Arial" w:cs="Arial" w:eastAsia="Arial" w:hAnsi="Arial"/>
                <w:sz w:val="15"/>
                <w:szCs w:val="15"/>
                <w:b w:val="1"/>
                <w:bCs w:val="1"/>
                <w:color w:val="auto"/>
              </w:rPr>
              <w:t>545,442</w:t>
            </w:r>
          </w:p>
        </w:tc>
        <w:tc>
          <w:tcPr>
            <w:tcW w:w="420" w:type="dxa"/>
            <w:vAlign w:val="bottom"/>
          </w:tcPr>
          <w:p>
            <w:pPr>
              <w:spacing w:after="0"/>
              <w:rPr>
                <w:sz w:val="22"/>
                <w:szCs w:val="22"/>
                <w:color w:val="auto"/>
              </w:rPr>
            </w:pPr>
          </w:p>
        </w:tc>
        <w:tc>
          <w:tcPr>
            <w:tcW w:w="1040" w:type="dxa"/>
            <w:vAlign w:val="bottom"/>
          </w:tcPr>
          <w:p>
            <w:pPr>
              <w:jc w:val="right"/>
              <w:ind w:right="187"/>
              <w:spacing w:after="0"/>
              <w:rPr>
                <w:sz w:val="20"/>
                <w:szCs w:val="20"/>
                <w:color w:val="auto"/>
              </w:rPr>
            </w:pPr>
            <w:r>
              <w:rPr>
                <w:rFonts w:ascii="Arial" w:cs="Arial" w:eastAsia="Arial" w:hAnsi="Arial"/>
                <w:sz w:val="15"/>
                <w:szCs w:val="15"/>
                <w:b w:val="1"/>
                <w:bCs w:val="1"/>
                <w:color w:val="auto"/>
              </w:rPr>
              <w:t>4,102,293</w:t>
            </w:r>
          </w:p>
        </w:tc>
        <w:tc>
          <w:tcPr>
            <w:tcW w:w="360" w:type="dxa"/>
            <w:vAlign w:val="bottom"/>
          </w:tcPr>
          <w:p>
            <w:pPr>
              <w:spacing w:after="0"/>
              <w:rPr>
                <w:sz w:val="22"/>
                <w:szCs w:val="22"/>
                <w:color w:val="auto"/>
              </w:rPr>
            </w:pPr>
          </w:p>
        </w:tc>
        <w:tc>
          <w:tcPr>
            <w:tcW w:w="980" w:type="dxa"/>
            <w:vAlign w:val="bottom"/>
          </w:tcPr>
          <w:p>
            <w:pPr>
              <w:jc w:val="right"/>
              <w:ind w:right="187"/>
              <w:spacing w:after="0"/>
              <w:rPr>
                <w:sz w:val="20"/>
                <w:szCs w:val="20"/>
                <w:color w:val="auto"/>
              </w:rPr>
            </w:pPr>
            <w:r>
              <w:rPr>
                <w:rFonts w:ascii="Arial" w:cs="Arial" w:eastAsia="Arial" w:hAnsi="Arial"/>
                <w:sz w:val="15"/>
                <w:szCs w:val="15"/>
                <w:color w:val="auto"/>
              </w:rPr>
              <w:t>3,569,324</w:t>
            </w:r>
          </w:p>
        </w:tc>
        <w:tc>
          <w:tcPr>
            <w:tcW w:w="420" w:type="dxa"/>
            <w:vAlign w:val="bottom"/>
          </w:tcPr>
          <w:p>
            <w:pPr>
              <w:spacing w:after="0"/>
              <w:rPr>
                <w:sz w:val="22"/>
                <w:szCs w:val="22"/>
                <w:color w:val="auto"/>
              </w:rPr>
            </w:pPr>
          </w:p>
        </w:tc>
        <w:tc>
          <w:tcPr>
            <w:tcW w:w="920" w:type="dxa"/>
            <w:vAlign w:val="bottom"/>
          </w:tcPr>
          <w:p>
            <w:pPr>
              <w:jc w:val="right"/>
              <w:ind w:right="187"/>
              <w:spacing w:after="0"/>
              <w:rPr>
                <w:sz w:val="20"/>
                <w:szCs w:val="20"/>
                <w:color w:val="auto"/>
              </w:rPr>
            </w:pPr>
            <w:r>
              <w:rPr>
                <w:rFonts w:ascii="Arial" w:cs="Arial" w:eastAsia="Arial" w:hAnsi="Arial"/>
                <w:sz w:val="15"/>
                <w:szCs w:val="15"/>
                <w:color w:val="auto"/>
              </w:rPr>
              <w:t>534,715</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4,104,039</w:t>
            </w:r>
          </w:p>
        </w:tc>
      </w:tr>
      <w:tr>
        <w:trPr>
          <w:trHeight w:val="226"/>
        </w:trPr>
        <w:tc>
          <w:tcPr>
            <w:tcW w:w="2620" w:type="dxa"/>
            <w:vAlign w:val="bottom"/>
          </w:tcPr>
          <w:p>
            <w:pPr>
              <w:spacing w:after="0"/>
              <w:rPr>
                <w:sz w:val="20"/>
                <w:szCs w:val="20"/>
                <w:color w:val="auto"/>
              </w:rPr>
            </w:pPr>
            <w:r>
              <w:rPr>
                <w:rFonts w:ascii="Arial" w:cs="Arial" w:eastAsia="Arial" w:hAnsi="Arial"/>
                <w:sz w:val="15"/>
                <w:szCs w:val="15"/>
                <w:color w:val="auto"/>
              </w:rPr>
              <w:t>Nonaccrual loans at amortized cost</w:t>
            </w:r>
          </w:p>
        </w:tc>
        <w:tc>
          <w:tcPr>
            <w:tcW w:w="480" w:type="dxa"/>
            <w:vAlign w:val="bottom"/>
          </w:tcPr>
          <w:p>
            <w:pPr>
              <w:spacing w:after="0"/>
              <w:rPr>
                <w:sz w:val="19"/>
                <w:szCs w:val="19"/>
                <w:color w:val="auto"/>
              </w:rPr>
            </w:pPr>
          </w:p>
        </w:tc>
        <w:tc>
          <w:tcPr>
            <w:tcW w:w="980" w:type="dxa"/>
            <w:vAlign w:val="bottom"/>
          </w:tcPr>
          <w:p>
            <w:pPr>
              <w:jc w:val="right"/>
              <w:ind w:right="167"/>
              <w:spacing w:after="0"/>
              <w:rPr>
                <w:sz w:val="20"/>
                <w:szCs w:val="20"/>
                <w:color w:val="auto"/>
              </w:rPr>
            </w:pPr>
            <w:r>
              <w:rPr>
                <w:rFonts w:ascii="Arial" w:cs="Arial" w:eastAsia="Arial" w:hAnsi="Arial"/>
                <w:sz w:val="15"/>
                <w:szCs w:val="15"/>
                <w:b w:val="1"/>
                <w:bCs w:val="1"/>
                <w:color w:val="auto"/>
              </w:rPr>
              <w:t>29,156</w:t>
            </w:r>
          </w:p>
        </w:tc>
        <w:tc>
          <w:tcPr>
            <w:tcW w:w="420" w:type="dxa"/>
            <w:vAlign w:val="bottom"/>
          </w:tcPr>
          <w:p>
            <w:pPr>
              <w:spacing w:after="0"/>
              <w:rPr>
                <w:sz w:val="19"/>
                <w:szCs w:val="19"/>
                <w:color w:val="auto"/>
              </w:rPr>
            </w:pPr>
          </w:p>
        </w:tc>
        <w:tc>
          <w:tcPr>
            <w:tcW w:w="900" w:type="dxa"/>
            <w:vAlign w:val="bottom"/>
          </w:tcPr>
          <w:p>
            <w:pPr>
              <w:jc w:val="right"/>
              <w:ind w:right="167"/>
              <w:spacing w:after="0"/>
              <w:rPr>
                <w:sz w:val="20"/>
                <w:szCs w:val="20"/>
                <w:color w:val="auto"/>
              </w:rPr>
            </w:pPr>
            <w:r>
              <w:rPr>
                <w:rFonts w:ascii="Arial" w:cs="Arial" w:eastAsia="Arial" w:hAnsi="Arial"/>
                <w:sz w:val="15"/>
                <w:szCs w:val="15"/>
                <w:b w:val="1"/>
                <w:bCs w:val="1"/>
                <w:color w:val="auto"/>
              </w:rPr>
              <w:t>3,057</w:t>
            </w:r>
          </w:p>
        </w:tc>
        <w:tc>
          <w:tcPr>
            <w:tcW w:w="420" w:type="dxa"/>
            <w:vAlign w:val="bottom"/>
          </w:tcPr>
          <w:p>
            <w:pPr>
              <w:spacing w:after="0"/>
              <w:rPr>
                <w:sz w:val="19"/>
                <w:szCs w:val="19"/>
                <w:color w:val="auto"/>
              </w:rPr>
            </w:pPr>
          </w:p>
        </w:tc>
        <w:tc>
          <w:tcPr>
            <w:tcW w:w="1040" w:type="dxa"/>
            <w:vAlign w:val="bottom"/>
          </w:tcPr>
          <w:p>
            <w:pPr>
              <w:jc w:val="right"/>
              <w:ind w:right="187"/>
              <w:spacing w:after="0"/>
              <w:rPr>
                <w:sz w:val="20"/>
                <w:szCs w:val="20"/>
                <w:color w:val="auto"/>
              </w:rPr>
            </w:pPr>
            <w:r>
              <w:rPr>
                <w:rFonts w:ascii="Arial" w:cs="Arial" w:eastAsia="Arial" w:hAnsi="Arial"/>
                <w:sz w:val="15"/>
                <w:szCs w:val="15"/>
                <w:b w:val="1"/>
                <w:bCs w:val="1"/>
                <w:color w:val="auto"/>
              </w:rPr>
              <w:t>32,213</w:t>
            </w:r>
          </w:p>
        </w:tc>
        <w:tc>
          <w:tcPr>
            <w:tcW w:w="360" w:type="dxa"/>
            <w:vAlign w:val="bottom"/>
          </w:tcPr>
          <w:p>
            <w:pPr>
              <w:spacing w:after="0"/>
              <w:rPr>
                <w:sz w:val="19"/>
                <w:szCs w:val="19"/>
                <w:color w:val="auto"/>
              </w:rPr>
            </w:pPr>
          </w:p>
        </w:tc>
        <w:tc>
          <w:tcPr>
            <w:tcW w:w="980" w:type="dxa"/>
            <w:vAlign w:val="bottom"/>
          </w:tcPr>
          <w:p>
            <w:pPr>
              <w:jc w:val="right"/>
              <w:ind w:right="187"/>
              <w:spacing w:after="0"/>
              <w:rPr>
                <w:sz w:val="20"/>
                <w:szCs w:val="20"/>
                <w:color w:val="auto"/>
              </w:rPr>
            </w:pPr>
            <w:r>
              <w:rPr>
                <w:rFonts w:ascii="Arial" w:cs="Arial" w:eastAsia="Arial" w:hAnsi="Arial"/>
                <w:sz w:val="15"/>
                <w:szCs w:val="15"/>
                <w:color w:val="auto"/>
              </w:rPr>
              <w:t>27,532</w:t>
            </w:r>
          </w:p>
        </w:tc>
        <w:tc>
          <w:tcPr>
            <w:tcW w:w="420" w:type="dxa"/>
            <w:vAlign w:val="bottom"/>
          </w:tcPr>
          <w:p>
            <w:pPr>
              <w:spacing w:after="0"/>
              <w:rPr>
                <w:sz w:val="19"/>
                <w:szCs w:val="19"/>
                <w:color w:val="auto"/>
              </w:rPr>
            </w:pPr>
          </w:p>
        </w:tc>
        <w:tc>
          <w:tcPr>
            <w:tcW w:w="920" w:type="dxa"/>
            <w:vAlign w:val="bottom"/>
          </w:tcPr>
          <w:p>
            <w:pPr>
              <w:jc w:val="right"/>
              <w:ind w:right="187"/>
              <w:spacing w:after="0"/>
              <w:rPr>
                <w:sz w:val="20"/>
                <w:szCs w:val="20"/>
                <w:color w:val="auto"/>
              </w:rPr>
            </w:pPr>
            <w:r>
              <w:rPr>
                <w:rFonts w:ascii="Arial" w:cs="Arial" w:eastAsia="Arial" w:hAnsi="Arial"/>
                <w:sz w:val="15"/>
                <w:szCs w:val="15"/>
                <w:color w:val="auto"/>
              </w:rPr>
              <w:t>3,312</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30,844</w:t>
            </w:r>
          </w:p>
        </w:tc>
      </w:tr>
    </w:tbl>
    <w:p>
      <w:pPr>
        <w:spacing w:after="0" w:line="92" w:lineRule="exact"/>
        <w:rPr>
          <w:sz w:val="20"/>
          <w:szCs w:val="20"/>
          <w:color w:val="auto"/>
        </w:rPr>
      </w:pPr>
    </w:p>
    <w:p>
      <w:pPr>
        <w:ind w:left="220" w:hanging="217"/>
        <w:spacing w:after="0"/>
        <w:tabs>
          <w:tab w:leader="none" w:pos="2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Guaranty book of business is as of period end. For single-family, represents the conventional guaranty book of business.</w:t>
      </w:r>
    </w:p>
    <w:p>
      <w:pPr>
        <w:spacing w:after="0" w:line="53"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Our credit loss reserves increased as of September 30, 2026 compared with December 31, 2025 primarily as a result of a provision for credit losses, which increased our allowance for loan losses, as we describe in “Consolidated Results of Operations—(Provision) Benefit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385445</wp:posOffset>
            </wp:positionV>
            <wp:extent cx="70072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38</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41" w:name="page42"/>
    <w:bookmarkEnd w:id="41"/>
    <w:p>
      <w:pPr>
        <w:jc w:val="right"/>
        <w:ind w:right="40"/>
        <w:spacing w:after="0"/>
        <w:rPr>
          <w:sz w:val="20"/>
          <w:szCs w:val="20"/>
          <w:color w:val="auto"/>
        </w:rPr>
      </w:pPr>
      <w:r>
        <w:rPr>
          <w:rFonts w:ascii="Arial" w:cs="Arial" w:eastAsia="Arial" w:hAnsi="Arial"/>
          <w:sz w:val="14"/>
          <w:szCs w:val="14"/>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Write-off Ratio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8" w:lineRule="exact"/>
        <w:rPr>
          <w:sz w:val="20"/>
          <w:szCs w:val="20"/>
          <w:color w:val="auto"/>
        </w:rPr>
      </w:pPr>
    </w:p>
    <w:p>
      <w:pPr>
        <w:jc w:val="center"/>
        <w:ind w:left="4000"/>
        <w:spacing w:after="0"/>
        <w:rPr>
          <w:sz w:val="20"/>
          <w:szCs w:val="20"/>
          <w:color w:val="auto"/>
        </w:rPr>
      </w:pPr>
      <w:r>
        <w:rPr>
          <w:rFonts w:ascii="Arial" w:cs="Arial" w:eastAsia="Arial" w:hAnsi="Arial"/>
          <w:sz w:val="15"/>
          <w:szCs w:val="15"/>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32385</wp:posOffset>
            </wp:positionV>
            <wp:extent cx="459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592320" cy="8255"/>
                    </a:xfrm>
                    <a:prstGeom prst="rect">
                      <a:avLst/>
                    </a:prstGeom>
                    <a:noFill/>
                  </pic:spPr>
                </pic:pic>
              </a:graphicData>
            </a:graphic>
          </wp:anchor>
        </w:drawing>
      </w:r>
    </w:p>
    <w:p>
      <w:pPr>
        <w:spacing w:after="0" w:line="52" w:lineRule="exact"/>
        <w:rPr>
          <w:sz w:val="20"/>
          <w:szCs w:val="20"/>
          <w:color w:val="auto"/>
        </w:rPr>
      </w:pPr>
    </w:p>
    <w:p>
      <w:pPr>
        <w:ind w:left="5620"/>
        <w:spacing w:after="0"/>
        <w:tabs>
          <w:tab w:leader="none" w:pos="9280" w:val="left"/>
        </w:tabs>
        <w:rPr>
          <w:sz w:val="20"/>
          <w:szCs w:val="20"/>
          <w:color w:val="auto"/>
        </w:rPr>
      </w:pPr>
      <w:r>
        <w:rPr>
          <w:rFonts w:ascii="Arial" w:cs="Arial" w:eastAsia="Arial" w:hAnsi="Arial"/>
          <w:sz w:val="15"/>
          <w:szCs w:val="15"/>
          <w:b w:val="1"/>
          <w:bCs w:val="1"/>
          <w:color w:val="auto"/>
        </w:rPr>
        <w:t>2026</w:t>
      </w:r>
      <w:r>
        <w:rPr>
          <w:sz w:val="20"/>
          <w:szCs w:val="20"/>
          <w:color w:val="auto"/>
        </w:rPr>
        <w:tab/>
      </w:r>
      <w:r>
        <w:rPr>
          <w:rFonts w:ascii="Arial" w:cs="Arial" w:eastAsia="Arial" w:hAnsi="Arial"/>
          <w:sz w:val="15"/>
          <w:szCs w:val="15"/>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15875</wp:posOffset>
            </wp:positionV>
            <wp:extent cx="459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592320"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Select credit ratio:</w:t>
      </w:r>
    </w:p>
    <w:p>
      <w:pPr>
        <w:spacing w:after="0" w:line="72" w:lineRule="exact"/>
        <w:rPr>
          <w:sz w:val="20"/>
          <w:szCs w:val="20"/>
          <w:color w:val="auto"/>
        </w:rPr>
      </w:pPr>
    </w:p>
    <w:p>
      <w:pPr>
        <w:ind w:left="320" w:hanging="154"/>
        <w:spacing w:after="0" w:line="315" w:lineRule="auto"/>
        <w:rPr>
          <w:sz w:val="20"/>
          <w:szCs w:val="20"/>
          <w:color w:val="auto"/>
        </w:rPr>
      </w:pPr>
      <w:r>
        <w:rPr>
          <w:rFonts w:ascii="Arial" w:cs="Arial" w:eastAsia="Arial" w:hAnsi="Arial"/>
          <w:sz w:val="14"/>
          <w:szCs w:val="14"/>
          <w:color w:val="auto"/>
        </w:rPr>
        <w:t>Write-offs, net of recoveries annualized, as a percentage of the average guaranty book of business (in bps)</w:t>
      </w:r>
    </w:p>
    <w:p>
      <w:pPr>
        <w:spacing w:after="0" w:line="235" w:lineRule="exact"/>
        <w:rPr>
          <w:sz w:val="20"/>
          <w:szCs w:val="20"/>
          <w:color w:val="auto"/>
        </w:rPr>
      </w:pPr>
    </w:p>
    <w:p>
      <w:pPr>
        <w:ind w:left="180" w:right="120" w:hanging="154"/>
        <w:spacing w:after="0" w:line="237" w:lineRule="auto"/>
        <w:rPr>
          <w:sz w:val="20"/>
          <w:szCs w:val="20"/>
          <w:color w:val="auto"/>
        </w:rPr>
      </w:pPr>
      <w:r>
        <w:rPr>
          <w:rFonts w:ascii="Arial" w:cs="Arial" w:eastAsia="Arial" w:hAnsi="Arial"/>
          <w:sz w:val="15"/>
          <w:szCs w:val="15"/>
          <w:b w:val="1"/>
          <w:bCs w:val="1"/>
          <w:color w:val="auto"/>
        </w:rPr>
        <w:t>Select financial information used in calculating credit ratio: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220" w:type="dxa"/>
            <w:vAlign w:val="bottom"/>
            <w:tcBorders>
              <w:bottom w:val="single" w:sz="8" w:color="2C6937"/>
            </w:tcBorders>
          </w:tcPr>
          <w:p>
            <w:pPr>
              <w:jc w:val="right"/>
              <w:ind w:right="12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80" w:type="dxa"/>
            <w:vAlign w:val="bottom"/>
            <w:tcBorders>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rPr>
              <w:t>Total</w:t>
            </w:r>
          </w:p>
        </w:tc>
        <w:tc>
          <w:tcPr>
            <w:tcW w:w="1280" w:type="dxa"/>
            <w:vAlign w:val="bottom"/>
            <w:tcBorders>
              <w:bottom w:val="single" w:sz="8" w:color="2C6937"/>
            </w:tcBorders>
          </w:tcPr>
          <w:p>
            <w:pPr>
              <w:jc w:val="right"/>
              <w:ind w:right="14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0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202"/>
        </w:trPr>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60" w:type="dxa"/>
            <w:vAlign w:val="bottom"/>
            <w:gridSpan w:val="2"/>
          </w:tcPr>
          <w:p>
            <w:pPr>
              <w:jc w:val="right"/>
              <w:ind w:right="547"/>
              <w:spacing w:after="0"/>
              <w:rPr>
                <w:sz w:val="20"/>
                <w:szCs w:val="20"/>
                <w:color w:val="auto"/>
              </w:rPr>
            </w:pPr>
            <w:r>
              <w:rPr>
                <w:rFonts w:ascii="Arial" w:cs="Arial" w:eastAsia="Arial" w:hAnsi="Arial"/>
                <w:sz w:val="15"/>
                <w:szCs w:val="15"/>
                <w:b w:val="1"/>
                <w:bCs w:val="1"/>
                <w:color w:val="auto"/>
              </w:rPr>
              <w:t>(Dollars in millions)</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57"/>
        </w:trPr>
        <w:tc>
          <w:tcPr>
            <w:tcW w:w="1220" w:type="dxa"/>
            <w:vAlign w:val="bottom"/>
          </w:tcPr>
          <w:p>
            <w:pPr>
              <w:jc w:val="right"/>
              <w:ind w:right="107"/>
              <w:spacing w:after="0"/>
              <w:rPr>
                <w:sz w:val="20"/>
                <w:szCs w:val="20"/>
                <w:color w:val="auto"/>
              </w:rPr>
            </w:pPr>
            <w:r>
              <w:rPr>
                <w:rFonts w:ascii="Arial" w:cs="Arial" w:eastAsia="Arial" w:hAnsi="Arial"/>
                <w:sz w:val="15"/>
                <w:szCs w:val="15"/>
                <w:b w:val="1"/>
                <w:bCs w:val="1"/>
                <w:color w:val="auto"/>
              </w:rPr>
              <w:t>1.3</w:t>
            </w:r>
          </w:p>
        </w:tc>
        <w:tc>
          <w:tcPr>
            <w:tcW w:w="1320" w:type="dxa"/>
            <w:vAlign w:val="bottom"/>
          </w:tcPr>
          <w:p>
            <w:pPr>
              <w:jc w:val="right"/>
              <w:ind w:right="207"/>
              <w:spacing w:after="0"/>
              <w:rPr>
                <w:sz w:val="20"/>
                <w:szCs w:val="20"/>
                <w:color w:val="auto"/>
              </w:rPr>
            </w:pPr>
            <w:r>
              <w:rPr>
                <w:rFonts w:ascii="Arial" w:cs="Arial" w:eastAsia="Arial" w:hAnsi="Arial"/>
                <w:sz w:val="15"/>
                <w:szCs w:val="15"/>
                <w:b w:val="1"/>
                <w:bCs w:val="1"/>
                <w:color w:val="auto"/>
              </w:rPr>
              <w:t>8.8</w:t>
            </w: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2.3</w:t>
            </w:r>
          </w:p>
        </w:tc>
        <w:tc>
          <w:tcPr>
            <w:tcW w:w="1280" w:type="dxa"/>
            <w:vAlign w:val="bottom"/>
          </w:tcPr>
          <w:p>
            <w:pPr>
              <w:jc w:val="right"/>
              <w:ind w:right="67"/>
              <w:spacing w:after="0"/>
              <w:rPr>
                <w:sz w:val="20"/>
                <w:szCs w:val="20"/>
                <w:color w:val="auto"/>
              </w:rPr>
            </w:pPr>
            <w:r>
              <w:rPr>
                <w:rFonts w:ascii="Arial" w:cs="Arial" w:eastAsia="Arial" w:hAnsi="Arial"/>
                <w:sz w:val="15"/>
                <w:szCs w:val="15"/>
                <w:color w:val="auto"/>
              </w:rPr>
              <w:t>2.1</w:t>
            </w:r>
          </w:p>
        </w:tc>
        <w:tc>
          <w:tcPr>
            <w:tcW w:w="1320" w:type="dxa"/>
            <w:vAlign w:val="bottom"/>
          </w:tcPr>
          <w:p>
            <w:pPr>
              <w:jc w:val="right"/>
              <w:ind w:right="207"/>
              <w:spacing w:after="0"/>
              <w:rPr>
                <w:sz w:val="20"/>
                <w:szCs w:val="20"/>
                <w:color w:val="auto"/>
              </w:rPr>
            </w:pPr>
            <w:r>
              <w:rPr>
                <w:rFonts w:ascii="Arial" w:cs="Arial" w:eastAsia="Arial" w:hAnsi="Arial"/>
                <w:sz w:val="15"/>
                <w:szCs w:val="15"/>
                <w:color w:val="auto"/>
              </w:rPr>
              <w:t>11.0</w:t>
            </w:r>
          </w:p>
        </w:tc>
        <w:tc>
          <w:tcPr>
            <w:tcW w:w="1000" w:type="dxa"/>
            <w:vAlign w:val="bottom"/>
          </w:tcPr>
          <w:p>
            <w:pPr>
              <w:jc w:val="right"/>
              <w:spacing w:after="0"/>
              <w:rPr>
                <w:sz w:val="20"/>
                <w:szCs w:val="20"/>
                <w:color w:val="auto"/>
              </w:rPr>
            </w:pPr>
            <w:r>
              <w:rPr>
                <w:rFonts w:ascii="Arial" w:cs="Arial" w:eastAsia="Arial" w:hAnsi="Arial"/>
                <w:sz w:val="15"/>
                <w:szCs w:val="15"/>
                <w:color w:val="auto"/>
              </w:rPr>
              <w:t>3.3</w:t>
            </w:r>
          </w:p>
        </w:tc>
      </w:tr>
    </w:tbl>
    <w:p>
      <w:pPr>
        <w:spacing w:after="0" w:line="637" w:lineRule="exact"/>
        <w:rPr>
          <w:sz w:val="20"/>
          <w:szCs w:val="20"/>
          <w:color w:val="auto"/>
        </w:rPr>
      </w:pPr>
    </w:p>
    <w:p>
      <w:pPr>
        <w:sectPr>
          <w:pgSz w:w="11900" w:h="16838" w:orient="portrait"/>
          <w:cols w:equalWidth="0" w:num="2">
            <w:col w:w="3840" w:space="180"/>
            <w:col w:w="7220"/>
          </w:cols>
          <w:pgMar w:left="320" w:top="261"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181</w:t>
            </w:r>
          </w:p>
        </w:tc>
        <w:tc>
          <w:tcPr>
            <w:tcW w:w="80" w:type="dxa"/>
            <w:vAlign w:val="bottom"/>
          </w:tcPr>
          <w:p>
            <w:pPr>
              <w:spacing w:after="0"/>
              <w:rPr>
                <w:sz w:val="21"/>
                <w:szCs w:val="21"/>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160</w:t>
            </w:r>
          </w:p>
        </w:tc>
        <w:tc>
          <w:tcPr>
            <w:tcW w:w="100" w:type="dxa"/>
            <w:vAlign w:val="bottom"/>
          </w:tcPr>
          <w:p>
            <w:pPr>
              <w:spacing w:after="0"/>
              <w:rPr>
                <w:sz w:val="21"/>
                <w:szCs w:val="21"/>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341</w:t>
            </w:r>
          </w:p>
        </w:tc>
        <w:tc>
          <w:tcPr>
            <w:tcW w:w="100" w:type="dxa"/>
            <w:vAlign w:val="bottom"/>
          </w:tcPr>
          <w:p>
            <w:pPr>
              <w:spacing w:after="0"/>
              <w:rPr>
                <w:sz w:val="21"/>
                <w:szCs w:val="21"/>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240</w:t>
            </w:r>
          </w:p>
        </w:tc>
        <w:tc>
          <w:tcPr>
            <w:tcW w:w="100" w:type="dxa"/>
            <w:vAlign w:val="bottom"/>
          </w:tcPr>
          <w:p>
            <w:pPr>
              <w:spacing w:after="0"/>
              <w:rPr>
                <w:sz w:val="21"/>
                <w:szCs w:val="21"/>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167</w:t>
            </w:r>
          </w:p>
        </w:tc>
        <w:tc>
          <w:tcPr>
            <w:tcW w:w="100" w:type="dxa"/>
            <w:vAlign w:val="bottom"/>
          </w:tcPr>
          <w:p>
            <w:pPr>
              <w:spacing w:after="0"/>
              <w:rPr>
                <w:sz w:val="21"/>
                <w:szCs w:val="21"/>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407</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(66)</w:t>
            </w:r>
          </w:p>
        </w:tc>
        <w:tc>
          <w:tcPr>
            <w:tcW w:w="8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(106)</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w:t>
            </w:r>
          </w:p>
        </w:tc>
      </w:tr>
      <w:tr>
        <w:trPr>
          <w:trHeight w:val="238"/>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115</w:t>
            </w:r>
          </w:p>
        </w:tc>
        <w:tc>
          <w:tcPr>
            <w:tcW w:w="8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120</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235</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20"/>
                <w:szCs w:val="20"/>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334</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r>
      <w:tr>
        <w:trPr>
          <w:trHeight w:val="266"/>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3,560,409</w:t>
            </w:r>
          </w:p>
        </w:tc>
        <w:tc>
          <w:tcPr>
            <w:tcW w:w="80" w:type="dxa"/>
            <w:vAlign w:val="bottom"/>
          </w:tcPr>
          <w:p>
            <w:pPr>
              <w:spacing w:after="0"/>
              <w:rPr>
                <w:sz w:val="23"/>
                <w:szCs w:val="23"/>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545,001</w:t>
            </w:r>
          </w:p>
        </w:tc>
        <w:tc>
          <w:tcPr>
            <w:tcW w:w="100" w:type="dxa"/>
            <w:vAlign w:val="bottom"/>
          </w:tcPr>
          <w:p>
            <w:pPr>
              <w:spacing w:after="0"/>
              <w:rPr>
                <w:sz w:val="23"/>
                <w:szCs w:val="23"/>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4,105,410</w:t>
            </w:r>
          </w:p>
        </w:tc>
        <w:tc>
          <w:tcPr>
            <w:tcW w:w="100" w:type="dxa"/>
            <w:vAlign w:val="bottom"/>
          </w:tcPr>
          <w:p>
            <w:pPr>
              <w:spacing w:after="0"/>
              <w:rPr>
                <w:sz w:val="23"/>
                <w:szCs w:val="23"/>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3,588,198</w:t>
            </w:r>
          </w:p>
        </w:tc>
        <w:tc>
          <w:tcPr>
            <w:tcW w:w="100" w:type="dxa"/>
            <w:vAlign w:val="bottom"/>
          </w:tcPr>
          <w:p>
            <w:pPr>
              <w:spacing w:after="0"/>
              <w:rPr>
                <w:sz w:val="23"/>
                <w:szCs w:val="23"/>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516,045</w:t>
            </w:r>
          </w:p>
        </w:tc>
        <w:tc>
          <w:tcPr>
            <w:tcW w:w="100" w:type="dxa"/>
            <w:vAlign w:val="bottom"/>
          </w:tcPr>
          <w:p>
            <w:pPr>
              <w:spacing w:after="0"/>
              <w:rPr>
                <w:sz w:val="23"/>
                <w:szCs w:val="23"/>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4,104,243</w:t>
            </w:r>
          </w:p>
        </w:tc>
      </w:tr>
      <w:tr>
        <w:trPr>
          <w:trHeight w:val="43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gridSpan w:val="9"/>
          </w:tcPr>
          <w:p>
            <w:pPr>
              <w:jc w:val="right"/>
              <w:ind w:right="27"/>
              <w:spacing w:after="0"/>
              <w:rPr>
                <w:sz w:val="20"/>
                <w:szCs w:val="20"/>
                <w:color w:val="auto"/>
              </w:rPr>
            </w:pPr>
            <w:r>
              <w:rPr>
                <w:rFonts w:ascii="Arial" w:cs="Arial" w:eastAsia="Arial" w:hAnsi="Arial"/>
                <w:sz w:val="15"/>
                <w:szCs w:val="15"/>
                <w:b w:val="1"/>
                <w:bCs w:val="1"/>
                <w:color w:val="auto"/>
              </w:rPr>
              <w:t>For the Nine Months Ended September 30,</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8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6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300" w:type="dxa"/>
            <w:vAlign w:val="bottom"/>
            <w:tcBorders>
              <w:bottom w:val="single" w:sz="8" w:color="216C2B"/>
            </w:tcBorders>
          </w:tcPr>
          <w:p>
            <w:pPr>
              <w:spacing w:after="0"/>
              <w:rPr>
                <w:sz w:val="2"/>
                <w:szCs w:val="2"/>
                <w:color w:val="auto"/>
              </w:rPr>
            </w:pPr>
          </w:p>
        </w:tc>
        <w:tc>
          <w:tcPr>
            <w:tcW w:w="82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60" w:type="dxa"/>
            <w:vAlign w:val="bottom"/>
            <w:tcBorders>
              <w:bottom w:val="single" w:sz="8" w:color="216C2B"/>
            </w:tcBorders>
          </w:tcPr>
          <w:p>
            <w:pPr>
              <w:spacing w:after="0"/>
              <w:rPr>
                <w:sz w:val="2"/>
                <w:szCs w:val="2"/>
                <w:color w:val="auto"/>
              </w:rPr>
            </w:pPr>
          </w:p>
        </w:tc>
      </w:tr>
      <w:tr>
        <w:trPr>
          <w:trHeight w:val="199"/>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r>
    </w:tbl>
    <w:p>
      <w:pPr>
        <w:spacing w:after="0" w:line="86" w:lineRule="exact"/>
        <w:rPr>
          <w:sz w:val="20"/>
          <w:szCs w:val="20"/>
          <w:color w:val="auto"/>
        </w:rPr>
      </w:pPr>
    </w:p>
    <w:p>
      <w:pPr>
        <w:sectPr>
          <w:pgSz w:w="11900" w:h="16838" w:orient="portrait"/>
          <w:cols w:equalWidth="0" w:num="1">
            <w:col w:w="11240"/>
          </w:cols>
          <w:pgMar w:left="320" w:top="261" w:right="3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Select credit ratio:</w:t>
      </w:r>
    </w:p>
    <w:p>
      <w:pPr>
        <w:spacing w:after="0" w:line="72" w:lineRule="exact"/>
        <w:rPr>
          <w:sz w:val="20"/>
          <w:szCs w:val="20"/>
          <w:color w:val="auto"/>
        </w:rPr>
      </w:pPr>
    </w:p>
    <w:p>
      <w:pPr>
        <w:ind w:left="320" w:hanging="154"/>
        <w:spacing w:after="0" w:line="315" w:lineRule="auto"/>
        <w:rPr>
          <w:sz w:val="20"/>
          <w:szCs w:val="20"/>
          <w:color w:val="auto"/>
        </w:rPr>
      </w:pPr>
      <w:r>
        <w:rPr>
          <w:rFonts w:ascii="Arial" w:cs="Arial" w:eastAsia="Arial" w:hAnsi="Arial"/>
          <w:sz w:val="14"/>
          <w:szCs w:val="14"/>
          <w:color w:val="auto"/>
        </w:rPr>
        <w:t>Write-offs, net of recoveries annualized, as a percentage of the average guaranty book of business (in bps)</w:t>
      </w:r>
    </w:p>
    <w:p>
      <w:pPr>
        <w:spacing w:after="0" w:line="119" w:lineRule="exact"/>
        <w:rPr>
          <w:sz w:val="20"/>
          <w:szCs w:val="20"/>
          <w:color w:val="auto"/>
        </w:rPr>
      </w:pPr>
    </w:p>
    <w:p>
      <w:pPr>
        <w:ind w:left="180" w:right="120" w:hanging="154"/>
        <w:spacing w:after="0" w:line="237" w:lineRule="auto"/>
        <w:rPr>
          <w:sz w:val="20"/>
          <w:szCs w:val="20"/>
          <w:color w:val="auto"/>
        </w:rPr>
      </w:pPr>
      <w:r>
        <w:rPr>
          <w:rFonts w:ascii="Arial" w:cs="Arial" w:eastAsia="Arial" w:hAnsi="Arial"/>
          <w:sz w:val="15"/>
          <w:szCs w:val="15"/>
          <w:b w:val="1"/>
          <w:bCs w:val="1"/>
          <w:color w:val="auto"/>
        </w:rPr>
        <w:t>Select financial information used in calculating credit ratio: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220" w:type="dxa"/>
            <w:vAlign w:val="bottom"/>
            <w:tcBorders>
              <w:bottom w:val="single" w:sz="8" w:color="2C6937"/>
            </w:tcBorders>
          </w:tcPr>
          <w:p>
            <w:pPr>
              <w:jc w:val="right"/>
              <w:ind w:right="12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80" w:type="dxa"/>
            <w:vAlign w:val="bottom"/>
            <w:tcBorders>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rPr>
              <w:t>Total</w:t>
            </w:r>
          </w:p>
        </w:tc>
        <w:tc>
          <w:tcPr>
            <w:tcW w:w="1260" w:type="dxa"/>
            <w:vAlign w:val="bottom"/>
            <w:tcBorders>
              <w:bottom w:val="single" w:sz="8" w:color="2C6937"/>
            </w:tcBorders>
          </w:tcPr>
          <w:p>
            <w:pPr>
              <w:jc w:val="right"/>
              <w:ind w:right="127"/>
              <w:spacing w:after="0"/>
              <w:rPr>
                <w:sz w:val="20"/>
                <w:szCs w:val="20"/>
                <w:color w:val="auto"/>
              </w:rPr>
            </w:pPr>
            <w:r>
              <w:rPr>
                <w:rFonts w:ascii="Arial" w:cs="Arial" w:eastAsia="Arial" w:hAnsi="Arial"/>
                <w:sz w:val="15"/>
                <w:szCs w:val="15"/>
                <w:b w:val="1"/>
                <w:bCs w:val="1"/>
                <w:color w:val="auto"/>
              </w:rPr>
              <w:t>Single-Family</w:t>
            </w:r>
          </w:p>
        </w:tc>
        <w:tc>
          <w:tcPr>
            <w:tcW w:w="134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0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202"/>
        </w:trPr>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40" w:type="dxa"/>
            <w:vAlign w:val="bottom"/>
            <w:gridSpan w:val="2"/>
          </w:tcPr>
          <w:p>
            <w:pPr>
              <w:jc w:val="right"/>
              <w:ind w:right="527"/>
              <w:spacing w:after="0"/>
              <w:rPr>
                <w:sz w:val="20"/>
                <w:szCs w:val="20"/>
                <w:color w:val="auto"/>
              </w:rPr>
            </w:pPr>
            <w:r>
              <w:rPr>
                <w:rFonts w:ascii="Arial" w:cs="Arial" w:eastAsia="Arial" w:hAnsi="Arial"/>
                <w:sz w:val="15"/>
                <w:szCs w:val="15"/>
                <w:b w:val="1"/>
                <w:bCs w:val="1"/>
                <w:color w:val="auto"/>
              </w:rPr>
              <w:t>(Dollars in millions)</w:t>
            </w: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57"/>
        </w:trPr>
        <w:tc>
          <w:tcPr>
            <w:tcW w:w="1220" w:type="dxa"/>
            <w:vAlign w:val="bottom"/>
          </w:tcPr>
          <w:p>
            <w:pPr>
              <w:jc w:val="right"/>
              <w:ind w:right="107"/>
              <w:spacing w:after="0"/>
              <w:rPr>
                <w:sz w:val="20"/>
                <w:szCs w:val="20"/>
                <w:color w:val="auto"/>
              </w:rPr>
            </w:pPr>
            <w:r>
              <w:rPr>
                <w:rFonts w:ascii="Arial" w:cs="Arial" w:eastAsia="Arial" w:hAnsi="Arial"/>
                <w:sz w:val="15"/>
                <w:szCs w:val="15"/>
                <w:b w:val="1"/>
                <w:bCs w:val="1"/>
                <w:color w:val="auto"/>
              </w:rPr>
              <w:t>1.4</w:t>
            </w:r>
          </w:p>
        </w:tc>
        <w:tc>
          <w:tcPr>
            <w:tcW w:w="1320" w:type="dxa"/>
            <w:vAlign w:val="bottom"/>
          </w:tcPr>
          <w:p>
            <w:pPr>
              <w:jc w:val="right"/>
              <w:ind w:right="207"/>
              <w:spacing w:after="0"/>
              <w:rPr>
                <w:sz w:val="20"/>
                <w:szCs w:val="20"/>
                <w:color w:val="auto"/>
              </w:rPr>
            </w:pPr>
            <w:r>
              <w:rPr>
                <w:rFonts w:ascii="Arial" w:cs="Arial" w:eastAsia="Arial" w:hAnsi="Arial"/>
                <w:sz w:val="15"/>
                <w:szCs w:val="15"/>
                <w:b w:val="1"/>
                <w:bCs w:val="1"/>
                <w:color w:val="auto"/>
              </w:rPr>
              <w:t>11.4</w:t>
            </w: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2.7</w:t>
            </w:r>
          </w:p>
        </w:tc>
        <w:tc>
          <w:tcPr>
            <w:tcW w:w="1260" w:type="dxa"/>
            <w:vAlign w:val="bottom"/>
          </w:tcPr>
          <w:p>
            <w:pPr>
              <w:jc w:val="right"/>
              <w:ind w:right="107"/>
              <w:spacing w:after="0"/>
              <w:rPr>
                <w:sz w:val="20"/>
                <w:szCs w:val="20"/>
                <w:color w:val="auto"/>
              </w:rPr>
            </w:pPr>
            <w:r>
              <w:rPr>
                <w:rFonts w:ascii="Arial" w:cs="Arial" w:eastAsia="Arial" w:hAnsi="Arial"/>
                <w:sz w:val="15"/>
                <w:szCs w:val="15"/>
                <w:color w:val="auto"/>
              </w:rPr>
              <w:t>1.7</w:t>
            </w:r>
          </w:p>
        </w:tc>
        <w:tc>
          <w:tcPr>
            <w:tcW w:w="1340" w:type="dxa"/>
            <w:vAlign w:val="bottom"/>
          </w:tcPr>
          <w:p>
            <w:pPr>
              <w:jc w:val="right"/>
              <w:ind w:right="207"/>
              <w:spacing w:after="0"/>
              <w:rPr>
                <w:sz w:val="20"/>
                <w:szCs w:val="20"/>
                <w:color w:val="auto"/>
              </w:rPr>
            </w:pPr>
            <w:r>
              <w:rPr>
                <w:rFonts w:ascii="Arial" w:cs="Arial" w:eastAsia="Arial" w:hAnsi="Arial"/>
                <w:sz w:val="15"/>
                <w:szCs w:val="15"/>
                <w:color w:val="auto"/>
              </w:rPr>
              <w:t>6.9</w:t>
            </w:r>
          </w:p>
        </w:tc>
        <w:tc>
          <w:tcPr>
            <w:tcW w:w="1000" w:type="dxa"/>
            <w:vAlign w:val="bottom"/>
          </w:tcPr>
          <w:p>
            <w:pPr>
              <w:jc w:val="right"/>
              <w:spacing w:after="0"/>
              <w:rPr>
                <w:sz w:val="20"/>
                <w:szCs w:val="20"/>
                <w:color w:val="auto"/>
              </w:rPr>
            </w:pPr>
            <w:r>
              <w:rPr>
                <w:rFonts w:ascii="Arial" w:cs="Arial" w:eastAsia="Arial" w:hAnsi="Arial"/>
                <w:sz w:val="15"/>
                <w:szCs w:val="15"/>
                <w:color w:val="auto"/>
              </w:rPr>
              <w:t>2.3</w:t>
            </w:r>
          </w:p>
        </w:tc>
      </w:tr>
    </w:tbl>
    <w:p>
      <w:pPr>
        <w:spacing w:after="0" w:line="521" w:lineRule="exact"/>
        <w:rPr>
          <w:sz w:val="20"/>
          <w:szCs w:val="20"/>
          <w:color w:val="auto"/>
        </w:rPr>
      </w:pPr>
    </w:p>
    <w:p>
      <w:pPr>
        <w:sectPr>
          <w:pgSz w:w="11900" w:h="16838" w:orient="portrait"/>
          <w:cols w:equalWidth="0" w:num="2">
            <w:col w:w="3840" w:space="180"/>
            <w:col w:w="7220"/>
          </w:cols>
          <w:pgMar w:left="320" w:top="261"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546</w:t>
            </w:r>
          </w:p>
        </w:tc>
        <w:tc>
          <w:tcPr>
            <w:tcW w:w="80" w:type="dxa"/>
            <w:vAlign w:val="bottom"/>
          </w:tcPr>
          <w:p>
            <w:pPr>
              <w:spacing w:after="0"/>
              <w:rPr>
                <w:sz w:val="21"/>
                <w:szCs w:val="21"/>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604</w:t>
            </w:r>
          </w:p>
        </w:tc>
        <w:tc>
          <w:tcPr>
            <w:tcW w:w="100" w:type="dxa"/>
            <w:vAlign w:val="bottom"/>
          </w:tcPr>
          <w:p>
            <w:pPr>
              <w:spacing w:after="0"/>
              <w:rPr>
                <w:sz w:val="21"/>
                <w:szCs w:val="21"/>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1,150</w:t>
            </w:r>
          </w:p>
        </w:tc>
        <w:tc>
          <w:tcPr>
            <w:tcW w:w="100" w:type="dxa"/>
            <w:vAlign w:val="bottom"/>
          </w:tcPr>
          <w:p>
            <w:pPr>
              <w:spacing w:after="0"/>
              <w:rPr>
                <w:sz w:val="21"/>
                <w:szCs w:val="21"/>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594</w:t>
            </w:r>
          </w:p>
        </w:tc>
        <w:tc>
          <w:tcPr>
            <w:tcW w:w="100" w:type="dxa"/>
            <w:vAlign w:val="bottom"/>
          </w:tcPr>
          <w:p>
            <w:pPr>
              <w:spacing w:after="0"/>
              <w:rPr>
                <w:sz w:val="21"/>
                <w:szCs w:val="21"/>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350</w:t>
            </w:r>
          </w:p>
        </w:tc>
        <w:tc>
          <w:tcPr>
            <w:tcW w:w="100" w:type="dxa"/>
            <w:vAlign w:val="bottom"/>
          </w:tcPr>
          <w:p>
            <w:pPr>
              <w:spacing w:after="0"/>
              <w:rPr>
                <w:sz w:val="21"/>
                <w:szCs w:val="21"/>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944</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(174)</w:t>
            </w:r>
          </w:p>
        </w:tc>
        <w:tc>
          <w:tcPr>
            <w:tcW w:w="8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(139)</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(313)</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(220)</w:t>
            </w:r>
          </w:p>
        </w:tc>
      </w:tr>
      <w:tr>
        <w:trPr>
          <w:trHeight w:val="238"/>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372</w:t>
            </w:r>
          </w:p>
        </w:tc>
        <w:tc>
          <w:tcPr>
            <w:tcW w:w="80" w:type="dxa"/>
            <w:vAlign w:val="bottom"/>
          </w:tcPr>
          <w:p>
            <w:pPr>
              <w:spacing w:after="0"/>
              <w:rPr>
                <w:sz w:val="20"/>
                <w:szCs w:val="20"/>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465</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837</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460</w:t>
            </w:r>
          </w:p>
        </w:tc>
        <w:tc>
          <w:tcPr>
            <w:tcW w:w="100" w:type="dxa"/>
            <w:vAlign w:val="bottom"/>
          </w:tcPr>
          <w:p>
            <w:pPr>
              <w:spacing w:after="0"/>
              <w:rPr>
                <w:sz w:val="20"/>
                <w:szCs w:val="20"/>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264</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724</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r>
      <w:tr>
        <w:trPr>
          <w:trHeight w:val="266"/>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3,562,322</w:t>
            </w:r>
          </w:p>
        </w:tc>
        <w:tc>
          <w:tcPr>
            <w:tcW w:w="80" w:type="dxa"/>
            <w:vAlign w:val="bottom"/>
          </w:tcPr>
          <w:p>
            <w:pPr>
              <w:spacing w:after="0"/>
              <w:rPr>
                <w:sz w:val="23"/>
                <w:szCs w:val="23"/>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541,799</w:t>
            </w:r>
          </w:p>
        </w:tc>
        <w:tc>
          <w:tcPr>
            <w:tcW w:w="100" w:type="dxa"/>
            <w:vAlign w:val="bottom"/>
          </w:tcPr>
          <w:p>
            <w:pPr>
              <w:spacing w:after="0"/>
              <w:rPr>
                <w:sz w:val="23"/>
                <w:szCs w:val="23"/>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4,104,121</w:t>
            </w:r>
          </w:p>
        </w:tc>
        <w:tc>
          <w:tcPr>
            <w:tcW w:w="100" w:type="dxa"/>
            <w:vAlign w:val="bottom"/>
          </w:tcPr>
          <w:p>
            <w:pPr>
              <w:spacing w:after="0"/>
              <w:rPr>
                <w:sz w:val="23"/>
                <w:szCs w:val="23"/>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3,599,040</w:t>
            </w:r>
          </w:p>
        </w:tc>
        <w:tc>
          <w:tcPr>
            <w:tcW w:w="100" w:type="dxa"/>
            <w:vAlign w:val="bottom"/>
          </w:tcPr>
          <w:p>
            <w:pPr>
              <w:spacing w:after="0"/>
              <w:rPr>
                <w:sz w:val="23"/>
                <w:szCs w:val="23"/>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509,068</w:t>
            </w:r>
          </w:p>
        </w:tc>
        <w:tc>
          <w:tcPr>
            <w:tcW w:w="100" w:type="dxa"/>
            <w:vAlign w:val="bottom"/>
          </w:tcPr>
          <w:p>
            <w:pPr>
              <w:spacing w:after="0"/>
              <w:rPr>
                <w:sz w:val="23"/>
                <w:szCs w:val="23"/>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4,108,108</w:t>
            </w:r>
          </w:p>
        </w:tc>
      </w:tr>
    </w:tbl>
    <w:p>
      <w:pPr>
        <w:spacing w:after="0" w:line="65" w:lineRule="exact"/>
        <w:rPr>
          <w:sz w:val="20"/>
          <w:szCs w:val="20"/>
          <w:color w:val="auto"/>
        </w:rPr>
      </w:pPr>
    </w:p>
    <w:p>
      <w:pPr>
        <w:ind w:left="220" w:hanging="217"/>
        <w:spacing w:after="0"/>
        <w:tabs>
          <w:tab w:leader="none" w:pos="2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Represents write-offs when a loan is determined to be uncollectible. For single-family, also includes any write-offs upon the redesignation of mortgage loans from HFI to HFS.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Average guaranty book of business is based on the average of quarter-end balances. For single-family, represents the conventional guaranty book of business.</w:t>
      </w:r>
    </w:p>
    <w:p>
      <w:pPr>
        <w:spacing w:after="0" w:line="13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Liquidity Management</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This section supplements and updates information regarding liquidity management in our 2025 Form 10-K. See “MD&amp;A—Liquidity and Capital Management —Liquidity Management” in our 2025 Form 10-K for additional information, including discussions of our primary sources and uses of funds, our liquidity risk management practices and contingency planning, our liquidity requirements, factors that influence our debt funding activity, factors that may impact our access to or the cost of our debt funding and factors that could adversely affect our liquidity and funding. As of September 30, 2026, we were in compliance with all four components of the liquidity requirements outlined in our 2025 Form 10-K. Also see “Risk Factors—Liquidity Risk” in our 2025 Form 10-K for a discussion of liquidity risks.</w:t>
      </w:r>
    </w:p>
    <w:p>
      <w:pPr>
        <w:spacing w:after="0" w:line="13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Debt Funding</w:t>
      </w:r>
    </w:p>
    <w:p>
      <w:pPr>
        <w:spacing w:after="0" w:line="67"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auto"/>
        </w:rPr>
        <w:t>The UPB of our aggregate indebtedness was $171.7 billion as of September 30, 2026. Pursuant to the terms of the senior preferred stock purchase agreement with Treasury, we are prohibited from issuing debt without the prior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375285</wp:posOffset>
            </wp:positionV>
            <wp:extent cx="70072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39</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42" w:name="page43"/>
    <w:bookmarkEnd w:id="42"/>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700"/>
        <w:spacing w:after="0" w:line="293" w:lineRule="auto"/>
        <w:rPr>
          <w:sz w:val="20"/>
          <w:szCs w:val="20"/>
          <w:color w:val="auto"/>
        </w:rPr>
      </w:pPr>
      <w:r>
        <w:rPr>
          <w:rFonts w:ascii="Arial" w:cs="Arial" w:eastAsia="Arial" w:hAnsi="Arial"/>
          <w:sz w:val="16"/>
          <w:szCs w:val="16"/>
          <w:color w:val="auto"/>
        </w:rPr>
        <w:t>of Treasury if it would result in our aggregate indebtedness exceeding our outstanding debt limit, which is set to $270 billion. The calculation of our indebtedness for purposes of complying with our debt limit reflects the UPB and excludes debt basis adjustments and debt of consolidated trusts.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Outstanding Debt</w:t>
      </w:r>
    </w:p>
    <w:p>
      <w:pPr>
        <w:spacing w:after="0" w:line="80"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The following chart and table display information on our outstanding short-term and long-term debt (excluding debt of consolidated trusts) based on original contractual maturity. Our outstanding debt increased as we increased long-term debt issuances during the first nine months of 2026 primarily to support balance sheet growth and to replace debt scheduled to mature.</w:t>
      </w:r>
    </w:p>
    <w:p>
      <w:pPr>
        <w:spacing w:after="0" w:line="33" w:lineRule="exact"/>
        <w:rPr>
          <w:sz w:val="20"/>
          <w:szCs w:val="20"/>
          <w:color w:val="auto"/>
        </w:rPr>
      </w:pPr>
    </w:p>
    <w:p>
      <w:pPr>
        <w:ind w:left="4600"/>
        <w:spacing w:after="0"/>
        <w:rPr>
          <w:sz w:val="20"/>
          <w:szCs w:val="20"/>
          <w:color w:val="auto"/>
        </w:rPr>
      </w:pPr>
      <w:r>
        <w:rPr>
          <w:rFonts w:ascii="Georgia" w:cs="Georgia" w:eastAsia="Georgia" w:hAnsi="Georgia"/>
          <w:sz w:val="19"/>
          <w:szCs w:val="19"/>
          <w:b w:val="1"/>
          <w:bCs w:val="1"/>
          <w:color w:val="05314D"/>
        </w:rPr>
        <w:t>Debt of Fannie Mae</w:t>
      </w:r>
      <w:r>
        <w:rPr>
          <w:rFonts w:ascii="Georgia" w:cs="Georgia" w:eastAsia="Georgia" w:hAnsi="Georgia"/>
          <w:sz w:val="24"/>
          <w:szCs w:val="24"/>
          <w:b w:val="1"/>
          <w:bCs w:val="1"/>
          <w:color w:val="05314D"/>
          <w:vertAlign w:val="superscript"/>
        </w:rPr>
        <w:t>(1</w:t>
      </w:r>
      <w:r>
        <w:rPr>
          <w:rFonts w:ascii="Georgia" w:cs="Georgia" w:eastAsia="Georgia" w:hAnsi="Georgia"/>
          <w:sz w:val="24"/>
          <w:szCs w:val="24"/>
          <w:b w:val="1"/>
          <w:bCs w:val="1"/>
          <w:color w:val="000000"/>
          <w:vertAlign w:val="superscript"/>
        </w:rPr>
        <w:t>)</w:t>
      </w:r>
    </w:p>
    <w:p>
      <w:pPr>
        <w:ind w:left="4660"/>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15875</wp:posOffset>
            </wp:positionV>
            <wp:extent cx="4886960" cy="18503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886960" cy="185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53975</wp:posOffset>
            </wp:positionV>
            <wp:extent cx="130810" cy="1390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0810" cy="139065"/>
                    </a:xfrm>
                    <a:prstGeom prst="rect">
                      <a:avLst/>
                    </a:prstGeom>
                    <a:noFill/>
                  </pic:spPr>
                </pic:pic>
              </a:graphicData>
            </a:graphic>
          </wp:anchor>
        </w:drawing>
      </w:r>
    </w:p>
    <w:p>
      <w:pPr>
        <w:spacing w:after="0" w:line="78"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Long-term debt maturing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53975</wp:posOffset>
            </wp:positionV>
            <wp:extent cx="130810" cy="1390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0810" cy="139065"/>
                    </a:xfrm>
                    <a:prstGeom prst="rect">
                      <a:avLst/>
                    </a:prstGeom>
                    <a:noFill/>
                  </pic:spPr>
                </pic:pic>
              </a:graphicData>
            </a:graphic>
          </wp:anchor>
        </w:drawing>
      </w:r>
    </w:p>
    <w:p>
      <w:pPr>
        <w:spacing w:after="0" w:line="78"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Long-term debt, excluding portion maturing within one year</w:t>
      </w:r>
    </w:p>
    <w:p>
      <w:pPr>
        <w:spacing w:after="0" w:line="155" w:lineRule="exact"/>
        <w:rPr>
          <w:sz w:val="20"/>
          <w:szCs w:val="20"/>
          <w:color w:val="auto"/>
        </w:rPr>
      </w:pPr>
    </w:p>
    <w:p>
      <w:pPr>
        <w:ind w:left="240" w:right="380" w:hanging="237"/>
        <w:spacing w:after="0" w:line="233" w:lineRule="auto"/>
        <w:tabs>
          <w:tab w:leader="none" w:pos="23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Outstanding debt balance consists of the UPB, premiums and discounts, fair value adjustments, hedge-related basis adjustments and other cost basis adjustments. Reported amounts include net discount unamortized cost basis adjustments and fair value adjustments of $3.0 billion and $2.6 billion as of September 30, 2026 and December 31, 2025, respectively.</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Selected Debt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52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ind w:right="47"/>
              <w:spacing w:after="0"/>
              <w:rPr>
                <w:sz w:val="20"/>
                <w:szCs w:val="20"/>
                <w:color w:val="auto"/>
              </w:rPr>
            </w:pPr>
            <w:r>
              <w:rPr>
                <w:rFonts w:ascii="Arial" w:cs="Arial" w:eastAsia="Arial" w:hAnsi="Arial"/>
                <w:sz w:val="14"/>
                <w:szCs w:val="14"/>
                <w:b w:val="1"/>
                <w:bCs w:val="1"/>
                <w:color w:val="auto"/>
                <w:w w:val="97"/>
              </w:rPr>
              <w:t>As of</w:t>
            </w:r>
          </w:p>
        </w:tc>
        <w:tc>
          <w:tcPr>
            <w:tcW w:w="1620" w:type="dxa"/>
            <w:vAlign w:val="bottom"/>
            <w:tcBorders>
              <w:bottom w:val="single" w:sz="8" w:color="2C6937"/>
            </w:tcBorders>
          </w:tcPr>
          <w:p>
            <w:pPr>
              <w:spacing w:after="0"/>
              <w:rPr>
                <w:sz w:val="16"/>
                <w:szCs w:val="16"/>
                <w:color w:val="auto"/>
              </w:rPr>
            </w:pPr>
          </w:p>
        </w:tc>
      </w:tr>
      <w:tr>
        <w:trPr>
          <w:trHeight w:val="198"/>
        </w:trPr>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tcPr>
          <w:p>
            <w:pPr>
              <w:jc w:val="right"/>
              <w:ind w:right="65"/>
              <w:spacing w:after="0"/>
              <w:rPr>
                <w:sz w:val="20"/>
                <w:szCs w:val="20"/>
                <w:color w:val="auto"/>
              </w:rPr>
            </w:pPr>
            <w:r>
              <w:rPr>
                <w:rFonts w:ascii="Arial" w:cs="Arial" w:eastAsia="Arial" w:hAnsi="Arial"/>
                <w:sz w:val="14"/>
                <w:szCs w:val="14"/>
                <w:b w:val="1"/>
                <w:bCs w:val="1"/>
                <w:color w:val="auto"/>
              </w:rPr>
              <w:t>September 30, 2026</w:t>
            </w:r>
          </w:p>
        </w:tc>
        <w:tc>
          <w:tcPr>
            <w:tcW w:w="4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2025</w:t>
            </w:r>
          </w:p>
        </w:tc>
      </w:tr>
      <w:tr>
        <w:trPr>
          <w:trHeight w:val="201"/>
        </w:trPr>
        <w:tc>
          <w:tcPr>
            <w:tcW w:w="7200" w:type="dxa"/>
            <w:vAlign w:val="bottom"/>
            <w:tcBorders>
              <w:bottom w:val="single" w:sz="8" w:color="2C6937"/>
            </w:tcBorders>
          </w:tcPr>
          <w:p>
            <w:pPr>
              <w:ind w:left="20"/>
              <w:spacing w:after="0" w:line="201" w:lineRule="exact"/>
              <w:rPr>
                <w:sz w:val="20"/>
                <w:szCs w:val="20"/>
                <w:color w:val="auto"/>
              </w:rPr>
            </w:pPr>
            <w:r>
              <w:rPr>
                <w:rFonts w:ascii="Arial" w:cs="Arial" w:eastAsia="Arial" w:hAnsi="Arial"/>
                <w:sz w:val="15"/>
                <w:szCs w:val="15"/>
                <w:b w:val="1"/>
                <w:bCs w:val="1"/>
                <w:color w:val="auto"/>
              </w:rPr>
              <w:t>Selected Weighted-Average Interest Rates</w:t>
            </w:r>
            <w:r>
              <w:rPr>
                <w:rFonts w:ascii="Arial" w:cs="Arial" w:eastAsia="Arial" w:hAnsi="Arial"/>
                <w:sz w:val="20"/>
                <w:szCs w:val="20"/>
                <w:b w:val="1"/>
                <w:bCs w:val="1"/>
                <w:color w:val="auto"/>
                <w:vertAlign w:val="superscript"/>
              </w:rPr>
              <w:t>(1)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gridSpan w:val="3"/>
          </w:tcPr>
          <w:p>
            <w:pPr>
              <w:jc w:val="right"/>
              <w:ind w:right="1224"/>
              <w:spacing w:after="0"/>
              <w:rPr>
                <w:sz w:val="20"/>
                <w:szCs w:val="20"/>
                <w:color w:val="auto"/>
              </w:rPr>
            </w:pPr>
            <w:r>
              <w:rPr>
                <w:rFonts w:ascii="Arial" w:cs="Arial" w:eastAsia="Arial" w:hAnsi="Arial"/>
                <w:sz w:val="14"/>
                <w:szCs w:val="14"/>
                <w:b w:val="1"/>
                <w:bCs w:val="1"/>
                <w:color w:val="auto"/>
              </w:rPr>
              <w:t>(Dollars in billions)</w:t>
            </w:r>
          </w:p>
        </w:tc>
      </w:tr>
      <w:tr>
        <w:trPr>
          <w:trHeight w:val="218"/>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short-term debt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47"/>
              <w:spacing w:after="0"/>
              <w:rPr>
                <w:sz w:val="20"/>
                <w:szCs w:val="20"/>
                <w:color w:val="auto"/>
              </w:rPr>
            </w:pPr>
            <w:r>
              <w:rPr>
                <w:rFonts w:ascii="Arial" w:cs="Arial" w:eastAsia="Arial" w:hAnsi="Arial"/>
                <w:sz w:val="15"/>
                <w:szCs w:val="15"/>
                <w:b w:val="1"/>
                <w:bCs w:val="1"/>
                <w:color w:val="auto"/>
              </w:rPr>
              <w:t>3.88 %</w:t>
            </w:r>
          </w:p>
        </w:tc>
        <w:tc>
          <w:tcPr>
            <w:tcW w:w="1620" w:type="dxa"/>
            <w:vAlign w:val="bottom"/>
          </w:tcPr>
          <w:p>
            <w:pPr>
              <w:jc w:val="right"/>
              <w:spacing w:after="0"/>
              <w:rPr>
                <w:sz w:val="20"/>
                <w:szCs w:val="20"/>
                <w:color w:val="auto"/>
              </w:rPr>
            </w:pPr>
            <w:r>
              <w:rPr>
                <w:rFonts w:ascii="Arial" w:cs="Arial" w:eastAsia="Arial" w:hAnsi="Arial"/>
                <w:sz w:val="15"/>
                <w:szCs w:val="15"/>
                <w:color w:val="auto"/>
              </w:rPr>
              <w:t>3.66 %</w:t>
            </w:r>
          </w:p>
        </w:tc>
      </w:tr>
      <w:tr>
        <w:trPr>
          <w:trHeight w:val="219"/>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long-term debt, including portion maturing within one year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4.06</w:t>
            </w:r>
          </w:p>
        </w:tc>
        <w:tc>
          <w:tcPr>
            <w:tcW w:w="480" w:type="dxa"/>
            <w:vAlign w:val="bottom"/>
          </w:tcPr>
          <w:p>
            <w:pPr>
              <w:spacing w:after="0"/>
              <w:rPr>
                <w:sz w:val="19"/>
                <w:szCs w:val="19"/>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3.89</w:t>
            </w:r>
          </w:p>
        </w:tc>
      </w:tr>
      <w:tr>
        <w:trPr>
          <w:trHeight w:val="219"/>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callable debt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3.81</w:t>
            </w:r>
          </w:p>
        </w:tc>
        <w:tc>
          <w:tcPr>
            <w:tcW w:w="480" w:type="dxa"/>
            <w:vAlign w:val="bottom"/>
          </w:tcPr>
          <w:p>
            <w:pPr>
              <w:spacing w:after="0"/>
              <w:rPr>
                <w:sz w:val="19"/>
                <w:szCs w:val="19"/>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3.45</w:t>
            </w:r>
          </w:p>
        </w:tc>
      </w:tr>
      <w:tr>
        <w:trPr>
          <w:trHeight w:val="213"/>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Selected Maturity Data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8"/>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within one year (in days)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86</w:t>
            </w:r>
          </w:p>
        </w:tc>
        <w:tc>
          <w:tcPr>
            <w:tcW w:w="480" w:type="dxa"/>
            <w:vAlign w:val="bottom"/>
          </w:tcPr>
          <w:p>
            <w:pPr>
              <w:spacing w:after="0"/>
              <w:rPr>
                <w:sz w:val="18"/>
                <w:szCs w:val="18"/>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189</w:t>
            </w:r>
          </w:p>
        </w:tc>
      </w:tr>
      <w:tr>
        <w:trPr>
          <w:trHeight w:val="219"/>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in more than one year (in months)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36</w:t>
            </w:r>
          </w:p>
        </w:tc>
        <w:tc>
          <w:tcPr>
            <w:tcW w:w="480" w:type="dxa"/>
            <w:vAlign w:val="bottom"/>
          </w:tcPr>
          <w:p>
            <w:pPr>
              <w:spacing w:after="0"/>
              <w:rPr>
                <w:sz w:val="19"/>
                <w:szCs w:val="19"/>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49</w:t>
            </w:r>
          </w:p>
        </w:tc>
      </w:tr>
      <w:tr>
        <w:trPr>
          <w:trHeight w:val="213"/>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77"/>
        </w:trPr>
        <w:tc>
          <w:tcPr>
            <w:tcW w:w="7200" w:type="dxa"/>
            <w:vAlign w:val="bottom"/>
          </w:tcPr>
          <w:p>
            <w:pPr>
              <w:ind w:left="180"/>
              <w:spacing w:after="0"/>
              <w:rPr>
                <w:sz w:val="20"/>
                <w:szCs w:val="20"/>
                <w:color w:val="auto"/>
              </w:rPr>
            </w:pPr>
            <w:r>
              <w:rPr>
                <w:rFonts w:ascii="Arial" w:cs="Arial" w:eastAsia="Arial" w:hAnsi="Arial"/>
                <w:sz w:val="15"/>
                <w:szCs w:val="15"/>
                <w:color w:val="auto"/>
              </w:rPr>
              <w:t>Outstanding callable debt</w:t>
            </w:r>
            <w:r>
              <w:rPr>
                <w:rFonts w:ascii="Arial" w:cs="Arial" w:eastAsia="Arial" w:hAnsi="Arial"/>
                <w:sz w:val="20"/>
                <w:szCs w:val="20"/>
                <w:color w:val="auto"/>
                <w:vertAlign w:val="superscript"/>
              </w:rPr>
              <w:t>(2)</w:t>
            </w:r>
          </w:p>
        </w:tc>
        <w:tc>
          <w:tcPr>
            <w:tcW w:w="4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61.8</w:t>
            </w:r>
          </w:p>
        </w:tc>
        <w:tc>
          <w:tcPr>
            <w:tcW w:w="4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35.4</w:t>
            </w:r>
          </w:p>
        </w:tc>
      </w:tr>
    </w:tbl>
    <w:p>
      <w:pPr>
        <w:spacing w:after="0" w:line="29" w:lineRule="exact"/>
        <w:rPr>
          <w:sz w:val="20"/>
          <w:szCs w:val="20"/>
          <w:color w:val="auto"/>
        </w:rPr>
      </w:pPr>
    </w:p>
    <w:p>
      <w:pPr>
        <w:ind w:left="220" w:hanging="217"/>
        <w:spacing w:after="0"/>
        <w:tabs>
          <w:tab w:leader="none" w:pos="2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Includes short-term callable debt of $1.5 billion and $40 million as of September 30, 2026 and December 31, 2025, respectively.</w:t>
      </w:r>
    </w:p>
    <w:p>
      <w:pPr>
        <w:spacing w:after="0" w:line="54"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We intend to repay our short-term and long-term debt obligations as they become due primarily through the issuance of additional debt securities, cash from business operations, and proceeds from the maturity or sale of assets in our corporate liquidity portfolio.</w:t>
      </w:r>
    </w:p>
    <w:p>
      <w:pPr>
        <w:spacing w:after="0" w:line="1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information on the maturity profile of our outstanding long-term debt, see “Note 8, Short-Term and Long-Term Debt” in this report and in our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375285</wp:posOffset>
            </wp:positionV>
            <wp:extent cx="70072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40</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3" w:name="page44"/>
    <w:bookmarkEnd w:id="43"/>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Debt Funding Activity</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activity in debt of Fannie Mae. This activity excludes the debt of consolidated trusts and intraday borrowing. The reported amounts of debt issued and paid off during each period represent the face amount of the debt at issuance and redemption.</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01543"/>
        </w:rPr>
        <w:t>Activity in Debt of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298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September 30,</w:t>
            </w: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For the Nine Months Ended September 30,</w:t>
            </w:r>
          </w:p>
        </w:tc>
      </w:tr>
      <w:tr>
        <w:trPr>
          <w:trHeight w:val="198"/>
        </w:trPr>
        <w:tc>
          <w:tcPr>
            <w:tcW w:w="5380" w:type="dxa"/>
            <w:vAlign w:val="bottom"/>
          </w:tcPr>
          <w:p>
            <w:pPr>
              <w:spacing w:after="0"/>
              <w:rPr>
                <w:sz w:val="17"/>
                <w:szCs w:val="17"/>
                <w:color w:val="auto"/>
              </w:rPr>
            </w:pPr>
          </w:p>
        </w:tc>
        <w:tc>
          <w:tcPr>
            <w:tcW w:w="320" w:type="dxa"/>
            <w:vAlign w:val="bottom"/>
            <w:tcBorders>
              <w:top w:val="single" w:sz="8" w:color="2C6937"/>
              <w:bottom w:val="single" w:sz="8" w:color="2C6937"/>
            </w:tcBorders>
          </w:tcPr>
          <w:p>
            <w:pPr>
              <w:spacing w:after="0"/>
              <w:rPr>
                <w:sz w:val="17"/>
                <w:szCs w:val="17"/>
                <w:color w:val="auto"/>
              </w:rPr>
            </w:pPr>
          </w:p>
        </w:tc>
        <w:tc>
          <w:tcPr>
            <w:tcW w:w="1120" w:type="dxa"/>
            <w:vAlign w:val="bottom"/>
            <w:tcBorders>
              <w:top w:val="single" w:sz="8" w:color="2C6937"/>
              <w:bottom w:val="single" w:sz="8" w:color="2C6937"/>
            </w:tcBorders>
          </w:tcPr>
          <w:p>
            <w:pPr>
              <w:jc w:val="right"/>
              <w:ind w:right="523"/>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top w:val="single" w:sz="8" w:color="2C6937"/>
              <w:bottom w:val="single" w:sz="8" w:color="2C6937"/>
            </w:tcBorders>
          </w:tcPr>
          <w:p>
            <w:pPr>
              <w:spacing w:after="0"/>
              <w:rPr>
                <w:sz w:val="17"/>
                <w:szCs w:val="17"/>
                <w:color w:val="auto"/>
              </w:rPr>
            </w:pPr>
          </w:p>
        </w:tc>
        <w:tc>
          <w:tcPr>
            <w:tcW w:w="1080" w:type="dxa"/>
            <w:vAlign w:val="bottom"/>
            <w:tcBorders>
              <w:top w:val="single" w:sz="8" w:color="2C6937"/>
              <w:bottom w:val="single" w:sz="8" w:color="2C6937"/>
            </w:tcBorders>
          </w:tcPr>
          <w:p>
            <w:pPr>
              <w:jc w:val="right"/>
              <w:ind w:right="46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7"/>
                <w:szCs w:val="17"/>
                <w:color w:val="auto"/>
              </w:rPr>
            </w:pPr>
          </w:p>
        </w:tc>
        <w:tc>
          <w:tcPr>
            <w:tcW w:w="320" w:type="dxa"/>
            <w:vAlign w:val="bottom"/>
            <w:tcBorders>
              <w:top w:val="single" w:sz="8" w:color="2C6937"/>
              <w:bottom w:val="single" w:sz="8" w:color="2C6937"/>
            </w:tcBorders>
          </w:tcPr>
          <w:p>
            <w:pPr>
              <w:spacing w:after="0"/>
              <w:rPr>
                <w:sz w:val="17"/>
                <w:szCs w:val="17"/>
                <w:color w:val="auto"/>
              </w:rPr>
            </w:pPr>
          </w:p>
        </w:tc>
        <w:tc>
          <w:tcPr>
            <w:tcW w:w="1120" w:type="dxa"/>
            <w:vAlign w:val="bottom"/>
            <w:tcBorders>
              <w:top w:val="single" w:sz="8" w:color="2C6937"/>
              <w:bottom w:val="single" w:sz="8" w:color="2C6937"/>
            </w:tcBorders>
          </w:tcPr>
          <w:p>
            <w:pPr>
              <w:jc w:val="right"/>
              <w:ind w:right="523"/>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top w:val="single" w:sz="8" w:color="2C6937"/>
              <w:bottom w:val="single" w:sz="8" w:color="2C6937"/>
            </w:tcBorders>
          </w:tcPr>
          <w:p>
            <w:pPr>
              <w:spacing w:after="0"/>
              <w:rPr>
                <w:sz w:val="17"/>
                <w:szCs w:val="17"/>
                <w:color w:val="auto"/>
              </w:rPr>
            </w:pPr>
          </w:p>
        </w:tc>
        <w:tc>
          <w:tcPr>
            <w:tcW w:w="1060" w:type="dxa"/>
            <w:vAlign w:val="bottom"/>
            <w:tcBorders>
              <w:top w:val="single" w:sz="8" w:color="2C6937"/>
              <w:bottom w:val="single" w:sz="8" w:color="2C6937"/>
            </w:tcBorders>
          </w:tcPr>
          <w:p>
            <w:pPr>
              <w:jc w:val="right"/>
              <w:ind w:right="463"/>
              <w:spacing w:after="0"/>
              <w:rPr>
                <w:sz w:val="20"/>
                <w:szCs w:val="20"/>
                <w:color w:val="auto"/>
              </w:rPr>
            </w:pPr>
            <w:r>
              <w:rPr>
                <w:rFonts w:ascii="Arial" w:cs="Arial" w:eastAsia="Arial" w:hAnsi="Arial"/>
                <w:sz w:val="14"/>
                <w:szCs w:val="14"/>
                <w:b w:val="1"/>
                <w:bCs w:val="1"/>
                <w:color w:val="auto"/>
              </w:rPr>
              <w:t>2025</w:t>
            </w:r>
          </w:p>
        </w:tc>
      </w:tr>
      <w:tr>
        <w:trPr>
          <w:trHeight w:val="201"/>
        </w:trPr>
        <w:tc>
          <w:tcPr>
            <w:tcW w:w="53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Issued during the period:</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gridSpan w:val="4"/>
          </w:tcPr>
          <w:p>
            <w:pPr>
              <w:jc w:val="right"/>
              <w:ind w:right="783"/>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5380" w:type="dxa"/>
            <w:vAlign w:val="bottom"/>
          </w:tcPr>
          <w:p>
            <w:pPr>
              <w:ind w:left="180"/>
              <w:spacing w:after="0"/>
              <w:rPr>
                <w:sz w:val="20"/>
                <w:szCs w:val="20"/>
                <w:color w:val="auto"/>
              </w:rPr>
            </w:pPr>
            <w:r>
              <w:rPr>
                <w:rFonts w:ascii="Arial" w:cs="Arial" w:eastAsia="Arial" w:hAnsi="Arial"/>
                <w:sz w:val="15"/>
                <w:szCs w:val="15"/>
                <w:color w:val="auto"/>
              </w:rPr>
              <w:t>Short-term:</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5380" w:type="dxa"/>
            <w:vAlign w:val="bottom"/>
          </w:tcPr>
          <w:p>
            <w:pPr>
              <w:ind w:left="320"/>
              <w:spacing w:after="0"/>
              <w:rPr>
                <w:sz w:val="20"/>
                <w:szCs w:val="20"/>
                <w:color w:val="auto"/>
              </w:rPr>
            </w:pPr>
            <w:r>
              <w:rPr>
                <w:rFonts w:ascii="Arial" w:cs="Arial" w:eastAsia="Arial" w:hAnsi="Arial"/>
                <w:sz w:val="15"/>
                <w:szCs w:val="15"/>
                <w:color w:val="auto"/>
              </w:rPr>
              <w:t>Amount</w:t>
            </w:r>
          </w:p>
        </w:tc>
        <w:tc>
          <w:tcPr>
            <w:tcW w:w="3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83"/>
              <w:spacing w:after="0"/>
              <w:rPr>
                <w:sz w:val="20"/>
                <w:szCs w:val="20"/>
                <w:color w:val="auto"/>
              </w:rPr>
            </w:pPr>
            <w:r>
              <w:rPr>
                <w:rFonts w:ascii="Arial" w:cs="Arial" w:eastAsia="Arial" w:hAnsi="Arial"/>
                <w:sz w:val="15"/>
                <w:szCs w:val="15"/>
                <w:b w:val="1"/>
                <w:bCs w:val="1"/>
                <w:color w:val="auto"/>
              </w:rPr>
              <w:t>83,465</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103,018</w:t>
            </w:r>
          </w:p>
        </w:tc>
        <w:tc>
          <w:tcPr>
            <w:tcW w:w="100" w:type="dxa"/>
            <w:vAlign w:val="bottom"/>
          </w:tcPr>
          <w:p>
            <w:pPr>
              <w:spacing w:after="0"/>
              <w:rPr>
                <w:sz w:val="19"/>
                <w:szCs w:val="19"/>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230,849</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280,878</w:t>
            </w:r>
          </w:p>
        </w:tc>
      </w:tr>
      <w:tr>
        <w:trPr>
          <w:trHeight w:val="219"/>
        </w:trPr>
        <w:tc>
          <w:tcPr>
            <w:tcW w:w="538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3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3.69 %</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4.20 %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3.64 %</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4.23 %</w:t>
            </w:r>
          </w:p>
        </w:tc>
      </w:tr>
      <w:tr>
        <w:trPr>
          <w:trHeight w:val="211"/>
        </w:trPr>
        <w:tc>
          <w:tcPr>
            <w:tcW w:w="5380" w:type="dxa"/>
            <w:vAlign w:val="bottom"/>
          </w:tcPr>
          <w:p>
            <w:pPr>
              <w:ind w:left="180"/>
              <w:spacing w:after="0"/>
              <w:rPr>
                <w:sz w:val="20"/>
                <w:szCs w:val="20"/>
                <w:color w:val="auto"/>
              </w:rPr>
            </w:pPr>
            <w:r>
              <w:rPr>
                <w:rFonts w:ascii="Arial" w:cs="Arial" w:eastAsia="Arial" w:hAnsi="Arial"/>
                <w:sz w:val="15"/>
                <w:szCs w:val="15"/>
                <w:color w:val="auto"/>
              </w:rPr>
              <w:t>Long-term:</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5380" w:type="dxa"/>
            <w:vAlign w:val="bottom"/>
          </w:tcPr>
          <w:p>
            <w:pPr>
              <w:ind w:left="320"/>
              <w:spacing w:after="0"/>
              <w:rPr>
                <w:sz w:val="20"/>
                <w:szCs w:val="20"/>
                <w:color w:val="auto"/>
              </w:rPr>
            </w:pPr>
            <w:r>
              <w:rPr>
                <w:rFonts w:ascii="Arial" w:cs="Arial" w:eastAsia="Arial" w:hAnsi="Arial"/>
                <w:sz w:val="15"/>
                <w:szCs w:val="15"/>
                <w:color w:val="auto"/>
              </w:rPr>
              <w:t>Amount</w:t>
            </w:r>
          </w:p>
        </w:tc>
        <w:tc>
          <w:tcPr>
            <w:tcW w:w="3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83"/>
              <w:spacing w:after="0"/>
              <w:rPr>
                <w:sz w:val="20"/>
                <w:szCs w:val="20"/>
                <w:color w:val="auto"/>
              </w:rPr>
            </w:pPr>
            <w:r>
              <w:rPr>
                <w:rFonts w:ascii="Arial" w:cs="Arial" w:eastAsia="Arial" w:hAnsi="Arial"/>
                <w:sz w:val="15"/>
                <w:szCs w:val="15"/>
                <w:b w:val="1"/>
                <w:bCs w:val="1"/>
                <w:color w:val="auto"/>
              </w:rPr>
              <w:t>6,677</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8,344</w:t>
            </w:r>
          </w:p>
        </w:tc>
        <w:tc>
          <w:tcPr>
            <w:tcW w:w="100" w:type="dxa"/>
            <w:vAlign w:val="bottom"/>
          </w:tcPr>
          <w:p>
            <w:pPr>
              <w:spacing w:after="0"/>
              <w:rPr>
                <w:sz w:val="19"/>
                <w:szCs w:val="19"/>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65,730</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18,667</w:t>
            </w:r>
          </w:p>
        </w:tc>
      </w:tr>
      <w:tr>
        <w:trPr>
          <w:trHeight w:val="219"/>
        </w:trPr>
        <w:tc>
          <w:tcPr>
            <w:tcW w:w="538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3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4.55 %</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3.96 %</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4.35 %</w:t>
            </w:r>
          </w:p>
        </w:tc>
      </w:tr>
      <w:tr>
        <w:trPr>
          <w:trHeight w:val="211"/>
        </w:trPr>
        <w:tc>
          <w:tcPr>
            <w:tcW w:w="5380" w:type="dxa"/>
            <w:vAlign w:val="bottom"/>
          </w:tcPr>
          <w:p>
            <w:pPr>
              <w:ind w:left="180"/>
              <w:spacing w:after="0"/>
              <w:rPr>
                <w:sz w:val="20"/>
                <w:szCs w:val="20"/>
                <w:color w:val="auto"/>
              </w:rPr>
            </w:pPr>
            <w:r>
              <w:rPr>
                <w:rFonts w:ascii="Arial" w:cs="Arial" w:eastAsia="Arial" w:hAnsi="Arial"/>
                <w:sz w:val="15"/>
                <w:szCs w:val="15"/>
                <w:color w:val="auto"/>
              </w:rPr>
              <w:t>Total issued: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5380" w:type="dxa"/>
            <w:vAlign w:val="bottom"/>
          </w:tcPr>
          <w:p>
            <w:pPr>
              <w:ind w:left="320"/>
              <w:spacing w:after="0"/>
              <w:rPr>
                <w:sz w:val="20"/>
                <w:szCs w:val="20"/>
                <w:color w:val="auto"/>
              </w:rPr>
            </w:pPr>
            <w:r>
              <w:rPr>
                <w:rFonts w:ascii="Arial" w:cs="Arial" w:eastAsia="Arial" w:hAnsi="Arial"/>
                <w:sz w:val="15"/>
                <w:szCs w:val="15"/>
                <w:color w:val="auto"/>
              </w:rPr>
              <w:t>Amount</w:t>
            </w:r>
          </w:p>
        </w:tc>
        <w:tc>
          <w:tcPr>
            <w:tcW w:w="3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83"/>
              <w:spacing w:after="0"/>
              <w:rPr>
                <w:sz w:val="20"/>
                <w:szCs w:val="20"/>
                <w:color w:val="auto"/>
              </w:rPr>
            </w:pPr>
            <w:r>
              <w:rPr>
                <w:rFonts w:ascii="Arial" w:cs="Arial" w:eastAsia="Arial" w:hAnsi="Arial"/>
                <w:sz w:val="15"/>
                <w:szCs w:val="15"/>
                <w:b w:val="1"/>
                <w:bCs w:val="1"/>
                <w:color w:val="auto"/>
              </w:rPr>
              <w:t>90,142</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111,362</w:t>
            </w:r>
          </w:p>
        </w:tc>
        <w:tc>
          <w:tcPr>
            <w:tcW w:w="100" w:type="dxa"/>
            <w:vAlign w:val="bottom"/>
          </w:tcPr>
          <w:p>
            <w:pPr>
              <w:spacing w:after="0"/>
              <w:rPr>
                <w:sz w:val="19"/>
                <w:szCs w:val="19"/>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296,579</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299,545</w:t>
            </w:r>
          </w:p>
        </w:tc>
      </w:tr>
      <w:tr>
        <w:trPr>
          <w:trHeight w:val="219"/>
        </w:trPr>
        <w:tc>
          <w:tcPr>
            <w:tcW w:w="538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3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3.76 %</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4.18 %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3.71 %</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4.24 %</w:t>
            </w:r>
          </w:p>
        </w:tc>
      </w:tr>
      <w:tr>
        <w:trPr>
          <w:trHeight w:val="213"/>
        </w:trPr>
        <w:tc>
          <w:tcPr>
            <w:tcW w:w="5380" w:type="dxa"/>
            <w:vAlign w:val="bottom"/>
            <w:tcBorders>
              <w:bottom w:val="single" w:sz="8" w:color="2C6937"/>
            </w:tcBorders>
          </w:tcPr>
          <w:p>
            <w:pPr>
              <w:ind w:left="20"/>
              <w:spacing w:after="0" w:line="212" w:lineRule="exact"/>
              <w:rPr>
                <w:sz w:val="20"/>
                <w:szCs w:val="20"/>
                <w:color w:val="auto"/>
              </w:rPr>
            </w:pPr>
            <w:r>
              <w:rPr>
                <w:rFonts w:ascii="Arial" w:cs="Arial" w:eastAsia="Arial" w:hAnsi="Arial"/>
                <w:sz w:val="15"/>
                <w:szCs w:val="15"/>
                <w:b w:val="1"/>
                <w:bCs w:val="1"/>
                <w:color w:val="auto"/>
              </w:rPr>
              <w:t>Paid off during the period:</w:t>
            </w:r>
            <w:r>
              <w:rPr>
                <w:rFonts w:ascii="Arial" w:cs="Arial" w:eastAsia="Arial" w:hAnsi="Arial"/>
                <w:sz w:val="20"/>
                <w:szCs w:val="20"/>
                <w:color w:val="auto"/>
                <w:vertAlign w:val="superscript"/>
              </w:rPr>
              <w:t>(1)</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5380" w:type="dxa"/>
            <w:vAlign w:val="bottom"/>
          </w:tcPr>
          <w:p>
            <w:pPr>
              <w:ind w:left="180"/>
              <w:spacing w:after="0"/>
              <w:rPr>
                <w:sz w:val="20"/>
                <w:szCs w:val="20"/>
                <w:color w:val="auto"/>
              </w:rPr>
            </w:pPr>
            <w:r>
              <w:rPr>
                <w:rFonts w:ascii="Arial" w:cs="Arial" w:eastAsia="Arial" w:hAnsi="Arial"/>
                <w:sz w:val="15"/>
                <w:szCs w:val="15"/>
                <w:color w:val="auto"/>
              </w:rPr>
              <w:t>Short-term:</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5380" w:type="dxa"/>
            <w:vAlign w:val="bottom"/>
          </w:tcPr>
          <w:p>
            <w:pPr>
              <w:ind w:left="320"/>
              <w:spacing w:after="0"/>
              <w:rPr>
                <w:sz w:val="20"/>
                <w:szCs w:val="20"/>
                <w:color w:val="auto"/>
              </w:rPr>
            </w:pPr>
            <w:r>
              <w:rPr>
                <w:rFonts w:ascii="Arial" w:cs="Arial" w:eastAsia="Arial" w:hAnsi="Arial"/>
                <w:sz w:val="15"/>
                <w:szCs w:val="15"/>
                <w:color w:val="auto"/>
              </w:rPr>
              <w:t>Amount</w:t>
            </w:r>
          </w:p>
        </w:tc>
        <w:tc>
          <w:tcPr>
            <w:tcW w:w="3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83"/>
              <w:spacing w:after="0"/>
              <w:rPr>
                <w:sz w:val="20"/>
                <w:szCs w:val="20"/>
                <w:color w:val="auto"/>
              </w:rPr>
            </w:pPr>
            <w:r>
              <w:rPr>
                <w:rFonts w:ascii="Arial" w:cs="Arial" w:eastAsia="Arial" w:hAnsi="Arial"/>
                <w:sz w:val="15"/>
                <w:szCs w:val="15"/>
                <w:b w:val="1"/>
                <w:bCs w:val="1"/>
                <w:color w:val="auto"/>
              </w:rPr>
              <w:t>79,931</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94,149</w:t>
            </w:r>
          </w:p>
        </w:tc>
        <w:tc>
          <w:tcPr>
            <w:tcW w:w="100" w:type="dxa"/>
            <w:vAlign w:val="bottom"/>
          </w:tcPr>
          <w:p>
            <w:pPr>
              <w:spacing w:after="0"/>
              <w:rPr>
                <w:sz w:val="19"/>
                <w:szCs w:val="19"/>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224,152</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272,097</w:t>
            </w:r>
          </w:p>
        </w:tc>
      </w:tr>
      <w:tr>
        <w:trPr>
          <w:trHeight w:val="219"/>
        </w:trPr>
        <w:tc>
          <w:tcPr>
            <w:tcW w:w="538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3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3.49 %</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3.63 %</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4.13 %</w:t>
            </w:r>
          </w:p>
        </w:tc>
      </w:tr>
      <w:tr>
        <w:trPr>
          <w:trHeight w:val="211"/>
        </w:trPr>
        <w:tc>
          <w:tcPr>
            <w:tcW w:w="5380" w:type="dxa"/>
            <w:vAlign w:val="bottom"/>
          </w:tcPr>
          <w:p>
            <w:pPr>
              <w:ind w:left="180"/>
              <w:spacing w:after="0"/>
              <w:rPr>
                <w:sz w:val="20"/>
                <w:szCs w:val="20"/>
                <w:color w:val="auto"/>
              </w:rPr>
            </w:pPr>
            <w:r>
              <w:rPr>
                <w:rFonts w:ascii="Arial" w:cs="Arial" w:eastAsia="Arial" w:hAnsi="Arial"/>
                <w:sz w:val="15"/>
                <w:szCs w:val="15"/>
                <w:color w:val="auto"/>
              </w:rPr>
              <w:t>Long-term:</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5380" w:type="dxa"/>
            <w:vAlign w:val="bottom"/>
          </w:tcPr>
          <w:p>
            <w:pPr>
              <w:ind w:left="320"/>
              <w:spacing w:after="0"/>
              <w:rPr>
                <w:sz w:val="20"/>
                <w:szCs w:val="20"/>
                <w:color w:val="auto"/>
              </w:rPr>
            </w:pPr>
            <w:r>
              <w:rPr>
                <w:rFonts w:ascii="Arial" w:cs="Arial" w:eastAsia="Arial" w:hAnsi="Arial"/>
                <w:sz w:val="15"/>
                <w:szCs w:val="15"/>
                <w:color w:val="auto"/>
              </w:rPr>
              <w:t>Amount</w:t>
            </w:r>
          </w:p>
        </w:tc>
        <w:tc>
          <w:tcPr>
            <w:tcW w:w="3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83"/>
              <w:spacing w:after="0"/>
              <w:rPr>
                <w:sz w:val="20"/>
                <w:szCs w:val="20"/>
                <w:color w:val="auto"/>
              </w:rPr>
            </w:pPr>
            <w:r>
              <w:rPr>
                <w:rFonts w:ascii="Arial" w:cs="Arial" w:eastAsia="Arial" w:hAnsi="Arial"/>
                <w:sz w:val="15"/>
                <w:szCs w:val="15"/>
                <w:b w:val="1"/>
                <w:bCs w:val="1"/>
                <w:color w:val="auto"/>
              </w:rPr>
              <w:t>16,595</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19,280</w:t>
            </w:r>
          </w:p>
        </w:tc>
        <w:tc>
          <w:tcPr>
            <w:tcW w:w="100" w:type="dxa"/>
            <w:vAlign w:val="bottom"/>
          </w:tcPr>
          <w:p>
            <w:pPr>
              <w:spacing w:after="0"/>
              <w:rPr>
                <w:sz w:val="19"/>
                <w:szCs w:val="19"/>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30,631</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41,384</w:t>
            </w:r>
          </w:p>
        </w:tc>
      </w:tr>
      <w:tr>
        <w:trPr>
          <w:trHeight w:val="219"/>
        </w:trPr>
        <w:tc>
          <w:tcPr>
            <w:tcW w:w="538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3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3.54 %</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3.69 %</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2.25 %</w:t>
            </w:r>
          </w:p>
        </w:tc>
      </w:tr>
      <w:tr>
        <w:trPr>
          <w:trHeight w:val="211"/>
        </w:trPr>
        <w:tc>
          <w:tcPr>
            <w:tcW w:w="5380" w:type="dxa"/>
            <w:vAlign w:val="bottom"/>
          </w:tcPr>
          <w:p>
            <w:pPr>
              <w:ind w:left="180"/>
              <w:spacing w:after="0"/>
              <w:rPr>
                <w:sz w:val="20"/>
                <w:szCs w:val="20"/>
                <w:color w:val="auto"/>
              </w:rPr>
            </w:pPr>
            <w:r>
              <w:rPr>
                <w:rFonts w:ascii="Arial" w:cs="Arial" w:eastAsia="Arial" w:hAnsi="Arial"/>
                <w:sz w:val="15"/>
                <w:szCs w:val="15"/>
                <w:color w:val="auto"/>
              </w:rPr>
              <w:t>Total paid off:</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7"/>
        </w:trPr>
        <w:tc>
          <w:tcPr>
            <w:tcW w:w="5380" w:type="dxa"/>
            <w:vAlign w:val="bottom"/>
          </w:tcPr>
          <w:p>
            <w:pPr>
              <w:ind w:left="320"/>
              <w:spacing w:after="0"/>
              <w:rPr>
                <w:sz w:val="20"/>
                <w:szCs w:val="20"/>
                <w:color w:val="auto"/>
              </w:rPr>
            </w:pPr>
            <w:r>
              <w:rPr>
                <w:rFonts w:ascii="Arial" w:cs="Arial" w:eastAsia="Arial" w:hAnsi="Arial"/>
                <w:sz w:val="15"/>
                <w:szCs w:val="15"/>
                <w:color w:val="auto"/>
              </w:rPr>
              <w:t>Amount</w:t>
            </w:r>
          </w:p>
        </w:tc>
        <w:tc>
          <w:tcPr>
            <w:tcW w:w="3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83"/>
              <w:spacing w:after="0"/>
              <w:rPr>
                <w:sz w:val="20"/>
                <w:szCs w:val="20"/>
                <w:color w:val="auto"/>
              </w:rPr>
            </w:pPr>
            <w:r>
              <w:rPr>
                <w:rFonts w:ascii="Arial" w:cs="Arial" w:eastAsia="Arial" w:hAnsi="Arial"/>
                <w:sz w:val="15"/>
                <w:szCs w:val="15"/>
                <w:b w:val="1"/>
                <w:bCs w:val="1"/>
                <w:color w:val="auto"/>
              </w:rPr>
              <w:t>96,526</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113,429</w:t>
            </w:r>
          </w:p>
        </w:tc>
        <w:tc>
          <w:tcPr>
            <w:tcW w:w="100" w:type="dxa"/>
            <w:vAlign w:val="bottom"/>
          </w:tcPr>
          <w:p>
            <w:pPr>
              <w:spacing w:after="0"/>
              <w:rPr>
                <w:sz w:val="19"/>
                <w:szCs w:val="19"/>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254,783</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313,481</w:t>
            </w:r>
          </w:p>
        </w:tc>
      </w:tr>
      <w:tr>
        <w:trPr>
          <w:trHeight w:val="219"/>
        </w:trPr>
        <w:tc>
          <w:tcPr>
            <w:tcW w:w="538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3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3.50 %</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3.66 %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3.64 %</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3.88 %</w:t>
            </w:r>
          </w:p>
        </w:tc>
      </w:tr>
    </w:tbl>
    <w:p>
      <w:pPr>
        <w:spacing w:after="0" w:line="115" w:lineRule="exact"/>
        <w:rPr>
          <w:sz w:val="20"/>
          <w:szCs w:val="20"/>
          <w:color w:val="auto"/>
        </w:rPr>
      </w:pPr>
    </w:p>
    <w:p>
      <w:pPr>
        <w:ind w:left="240" w:right="260" w:hanging="237"/>
        <w:spacing w:after="0" w:line="218" w:lineRule="auto"/>
        <w:tabs>
          <w:tab w:leader="none" w:pos="233"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Consists of all payments on debt, including regularly scheduled principal payments, payments at maturity, payments resulting from calls and payments for any other repurchases. Repurchases of debt and early retirements of zero-coupon debt are reported at original face value, which does not equal the amount of actual 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398145</wp:posOffset>
            </wp:positionV>
            <wp:extent cx="70072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41</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4" w:name="page45"/>
    <w:bookmarkEnd w:id="44"/>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Corporate Liquidity Portfolio</w:t>
      </w:r>
    </w:p>
    <w:p>
      <w:pPr>
        <w:spacing w:after="0" w:line="8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chart below displays information on the composition of our corporate liquidity portfolio. The balance and composition of our corporate liquidity portfolio fluctuates as a result of factors such as changes in our cash flows, liquidity in the fixed-income markets, our investment strategy, and our liquidity risk management framework and practices. Our corporate liquidity portfolio increased in the first nine months of 2026, driven by purchases of U.S. Treasury securities, supported by additional liquidity from higher debt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-12065</wp:posOffset>
            </wp:positionV>
            <wp:extent cx="4911725" cy="22269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11725" cy="2226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53975</wp:posOffset>
            </wp:positionV>
            <wp:extent cx="130810" cy="1390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0810" cy="139065"/>
                    </a:xfrm>
                    <a:prstGeom prst="rect">
                      <a:avLst/>
                    </a:prstGeom>
                    <a:noFill/>
                  </pic:spPr>
                </pic:pic>
              </a:graphicData>
            </a:graphic>
          </wp:anchor>
        </w:drawing>
      </w:r>
    </w:p>
    <w:p>
      <w:pPr>
        <w:spacing w:after="0" w:line="78"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53975</wp:posOffset>
            </wp:positionV>
            <wp:extent cx="130810" cy="1390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0810" cy="139065"/>
                    </a:xfrm>
                    <a:prstGeom prst="rect">
                      <a:avLst/>
                    </a:prstGeom>
                    <a:noFill/>
                  </pic:spPr>
                </pic:pic>
              </a:graphicData>
            </a:graphic>
          </wp:anchor>
        </w:drawing>
      </w:r>
    </w:p>
    <w:p>
      <w:pPr>
        <w:spacing w:after="0" w:line="78"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Cash</w:t>
      </w:r>
    </w:p>
    <w:p>
      <w:pPr>
        <w:spacing w:after="0" w:line="270"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Off-Balance Sheet Arrangements</w:t>
      </w:r>
    </w:p>
    <w:p>
      <w:pPr>
        <w:spacing w:after="0" w:line="6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enter into certain business arrangements to facilitate our statutory purpose of providing liquidity to the secondary mortgage market and to reduce our exposure to interest rate fluctuations. Some of these arrangements are not recorded in our condensed consolidated balance sheets or may be recorded in amounts different from the full contract or notional amount of the transaction, depending on the nature or structure of, and the accounting required to be applied to, the arrangement. These arrangements are commonly referred to as “off-balance sheet arrangements” and expose us to potential losses in excess of the amounts recorded in our condensed consolidated balance sheets.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off-balance sheet arrangements result primarily from the following:</w:t>
      </w:r>
    </w:p>
    <w:p>
      <w:pPr>
        <w:spacing w:after="0" w:line="87" w:lineRule="exact"/>
        <w:rPr>
          <w:sz w:val="20"/>
          <w:szCs w:val="20"/>
          <w:color w:val="auto"/>
        </w:rPr>
      </w:pPr>
    </w:p>
    <w:p>
      <w:pPr>
        <w:ind w:left="620" w:right="700" w:hanging="307"/>
        <w:spacing w:after="0" w:line="310" w:lineRule="auto"/>
        <w:tabs>
          <w:tab w:leader="none" w:pos="612"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guaranty of mortgage loan securitization and resecuritization transactions over which we have no control, which are reflected in our unconsolidated Fannie Mae MBS net of any beneficial ownership interest we retain, and other financial guarantees that we do not control;</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liquidity support transactions;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partnership interests.</w:t>
      </w:r>
    </w:p>
    <w:p>
      <w:pPr>
        <w:spacing w:after="0" w:line="87" w:lineRule="exact"/>
        <w:rPr>
          <w:sz w:val="20"/>
          <w:szCs w:val="20"/>
          <w:color w:val="auto"/>
        </w:rPr>
      </w:pPr>
    </w:p>
    <w:p>
      <w:pPr>
        <w:ind w:right="480"/>
        <w:spacing w:after="0" w:line="271" w:lineRule="auto"/>
        <w:rPr>
          <w:sz w:val="20"/>
          <w:szCs w:val="20"/>
          <w:color w:val="auto"/>
        </w:rPr>
      </w:pPr>
      <w:r>
        <w:rPr>
          <w:rFonts w:ascii="Arial" w:cs="Arial" w:eastAsia="Arial" w:hAnsi="Arial"/>
          <w:sz w:val="16"/>
          <w:szCs w:val="16"/>
          <w:color w:val="auto"/>
        </w:rPr>
        <w:t>The total amount of our off-balance sheet exposure related to unconsolidated Fannie Mae MBS net of any beneficial interest that we retain, and other financial guarantees was $184.7 billion as of September 30, 2026 and $195.7 billion as of December 31, 2025. The majority of the other financial guarantees consists of Freddie Mac securities backing Fannie Mae structured securities. See “Guaranty Book of Business” and “Note 7, Financial Guarantees” for more information regarding our maximum exposure to loss on unconsolidated Fannie Mae MBS and Freddie Mac securities.</w:t>
      </w:r>
    </w:p>
    <w:p>
      <w:pPr>
        <w:spacing w:after="0" w:line="33" w:lineRule="exact"/>
        <w:rPr>
          <w:sz w:val="20"/>
          <w:szCs w:val="20"/>
          <w:color w:val="auto"/>
        </w:rPr>
      </w:pPr>
    </w:p>
    <w:p>
      <w:pPr>
        <w:ind w:right="600"/>
        <w:spacing w:after="0" w:line="272" w:lineRule="auto"/>
        <w:rPr>
          <w:sz w:val="20"/>
          <w:szCs w:val="20"/>
          <w:color w:val="auto"/>
        </w:rPr>
      </w:pPr>
      <w:r>
        <w:rPr>
          <w:rFonts w:ascii="Arial" w:cs="Arial" w:eastAsia="Arial" w:hAnsi="Arial"/>
          <w:sz w:val="16"/>
          <w:szCs w:val="16"/>
          <w:color w:val="auto"/>
        </w:rPr>
        <w:t>Our total outstanding liquidity commitments to advance funds for securities backed by multifamily housing revenue bonds totaled $3.3 billion as of September 30, 2026 and $3.6 billion as of December 31, 2025. These commitments require us to advance funds to third parties that enable them to repurchase tendered bonds or securities that are unable to be remarketed.</w:t>
      </w:r>
    </w:p>
    <w:p>
      <w:pPr>
        <w:spacing w:after="0" w:line="3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have investments in various limited partnerships and similar legal entities, which consist of Low Income Housing Tax Credit (“LIHTC”) investments, community investments and investments in other entities. When we do not have a controlling financial interest in those entities, our condensed consolidated balance sheets reflect only our investment rather than the full amount of the partnership’s assets and liabilities. See “Note 3, Consolidations and Transfers of Financial Assets—Unconsolidated VIEs” for information regarding our investments in limited partnerships and similar legal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386715</wp:posOffset>
            </wp:positionV>
            <wp:extent cx="70072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42</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5" w:name="page46"/>
    <w:bookmarkEnd w:id="45"/>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Cash Flows</w:t>
      </w:r>
    </w:p>
    <w:p>
      <w:pPr>
        <w:spacing w:after="0" w:line="8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i w:val="1"/>
          <w:iCs w:val="1"/>
          <w:u w:val="single" w:color="auto"/>
          <w:color w:val="auto"/>
        </w:rPr>
        <w:t>Nine Months Ended September 30, 2026</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restricted cash decreased from $42.6 billion as of December 31, 2025 to $36.3 billion as of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2026. The decrease was primarily driven by cash outflows from (1) payments on outstanding debt of consolidated trusts and the purchase of Fannie Mae MBS from third parties, (2) purchases of loans acquired as held for investment, (3) advances to lenders, (4) repayments of Fannie Mae debt and short-term borrowings, and (5) purchases of available-for-sale securities.</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Partially offsetting these cash outflows were cash inflows primarily from (1) proceeds from repayments of loans, (2) the sale of Fannie Mae MBS to third parties, (3) proceeds from issuance of debt of Fannie Mae, (4) maturity of investments in securities purchased under agreements to resell, and (5) proceeds from sales of available-for-sale securities.</w:t>
      </w:r>
    </w:p>
    <w:p>
      <w:pPr>
        <w:spacing w:after="0" w:line="24"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i w:val="1"/>
          <w:iCs w:val="1"/>
          <w:u w:val="single" w:color="auto"/>
          <w:color w:val="auto"/>
        </w:rPr>
        <w:t>Nine Months Ended September 30, 2025</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restricted cash increased from $38.5 billion as of December 31, 2024 to $39.4 billion as of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2025. The increase was primarily driven by cash inflows from (1) proceeds from repayments of loans, (2) the sale of Fannie Mae MBS to third parties, (3) proceeds from issuance of debt of Fannie Mae, and (4) proceeds from the disposition of acquired property and insurance proceeds.</w:t>
      </w:r>
    </w:p>
    <w:p>
      <w:pPr>
        <w:spacing w:after="0" w:line="32" w:lineRule="exact"/>
        <w:rPr>
          <w:sz w:val="20"/>
          <w:szCs w:val="20"/>
          <w:color w:val="auto"/>
        </w:rPr>
      </w:pPr>
    </w:p>
    <w:p>
      <w:pPr>
        <w:jc w:val="both"/>
        <w:ind w:right="600"/>
        <w:spacing w:after="0" w:line="310" w:lineRule="auto"/>
        <w:rPr>
          <w:sz w:val="20"/>
          <w:szCs w:val="20"/>
          <w:color w:val="auto"/>
        </w:rPr>
      </w:pPr>
      <w:r>
        <w:rPr>
          <w:rFonts w:ascii="Arial" w:cs="Arial" w:eastAsia="Arial" w:hAnsi="Arial"/>
          <w:sz w:val="16"/>
          <w:szCs w:val="16"/>
          <w:color w:val="auto"/>
        </w:rPr>
        <w:t>Largely offsetting these cash inflows were cash outflows primarily from (1) payments on outstanding debt of Fannie Mae and consolidated trusts (2) purchases of loans acquired as held for investment, (3) advances to lenders, and (4) purchases of securities purchased under agreements to resell.</w:t>
      </w:r>
    </w:p>
    <w:p>
      <w:pPr>
        <w:spacing w:after="0" w:line="4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Credit Ratings</w:t>
      </w:r>
    </w:p>
    <w:p>
      <w:pPr>
        <w:spacing w:after="0" w:line="67"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As of September 30, 2026, our credit ratings issued by the three major credit rating agencies have not changed since December 31, 2025. For information on these credit ratings, see “MD&amp;A—Liquidity and Capital Management—Liquidity Management—Credit Ratings” in our 2025 Form 10-K.</w:t>
      </w:r>
    </w:p>
    <w:p>
      <w:pPr>
        <w:spacing w:after="0" w:line="10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Capital Management</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Requirements</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For a description of our capital requirements under the enterprise regulatory capital framework, see “Business—Legislation and Regulation—Capital Requirements” in our 2025 Form 10-K. The enterprise regulatory capital framework went into effect in February 2021; however, we are not required to hold capital according to the framework’s requirements until the date of termination of our conservatorship, or such later date as may be ordered by FHFA.</w:t>
      </w:r>
    </w:p>
    <w:p>
      <w:pPr>
        <w:spacing w:after="0" w:line="3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As of September 30, 2026, we had a deficit in available capital for purposes of our risk-based adjusted total capital requirement under the enterprise regulatory capital framework even though we had positive net worth under U.S. generally accepted accounting principles (“GAAP”) of $119.6 billion primarily because the $120.8 billion stated value of the senior preferred stock does not qualify as regulatory capital. Our deficit in available capital for purposes of our risk-based adjusted total capital requirement declined from $22 billion as of December 31, 2025 to $11 billion as of September 30, 2026.</w:t>
      </w:r>
    </w:p>
    <w:p>
      <w:pPr>
        <w:spacing w:after="0" w:line="38" w:lineRule="exact"/>
        <w:rPr>
          <w:sz w:val="20"/>
          <w:szCs w:val="20"/>
          <w:color w:val="auto"/>
        </w:rPr>
      </w:pPr>
    </w:p>
    <w:p>
      <w:pPr>
        <w:jc w:val="both"/>
        <w:ind w:right="120"/>
        <w:spacing w:after="0" w:line="271" w:lineRule="auto"/>
        <w:rPr>
          <w:sz w:val="20"/>
          <w:szCs w:val="20"/>
          <w:color w:val="auto"/>
        </w:rPr>
      </w:pPr>
      <w:r>
        <w:rPr>
          <w:rFonts w:ascii="Arial" w:cs="Arial" w:eastAsia="Arial" w:hAnsi="Arial"/>
          <w:sz w:val="16"/>
          <w:szCs w:val="16"/>
          <w:color w:val="auto"/>
        </w:rPr>
        <w:t>As of September 30, 2026, we had a $205 billion shortfall to our risk-based adjusted total capital requirement including buffers, and a $173 billion shortfall to our common equity tier 1 (“CET1”) capital requirement including buffers. From December 31, 2025 to September 30, 2026, our risk-based adjusted total capital shortfall including buffers declined by $10 billion, driven by a $10.6 billion increase in stockholders’ equity that more than offset a $1 billion increase in our risk-based adjusted total capital requirement during the first nine months of 2026.</w:t>
      </w:r>
    </w:p>
    <w:p>
      <w:pPr>
        <w:spacing w:after="0" w:line="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increase in our risk-based adjusted total capital requirement was primarily driven by the impact of higher risk-weighted assets, which was substantially offset by a $3 billion decline in the stability capital buffer. The increase in risk-weighted assets during the first nine months of 2026 was largely driven by market risk associated with the increase in retained mortgage portfolio assets and loans we acquired during the period that carried higher credit risk-weights compared to seasoned loans that liquidated, as well as less relief from credit risk transfer transactions. Under the enterprise regulatory capital framework, we are required to hold capital associated with the market risk of the mortgage assets held in our retained mortgage portfolio. As a result, increases in the amount of agency MBS we hold in our retained mortgage portfolio generally result in an increase in the amount of market risk capital we are required to hold. Our stability capital buffer decreased as a result of us having a lower total share of U.S. residential mortgage debt outstanding in 2025 than in 2024, which is used to determine the 2026 buffer under the enterprise regulatory capital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393065</wp:posOffset>
            </wp:positionV>
            <wp:extent cx="70072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43</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6" w:name="page47"/>
    <w:bookmarkEnd w:id="46"/>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September 30, 2026</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billions)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5"/>
          </w:tcPr>
          <w:p>
            <w:pPr>
              <w:ind w:left="20"/>
              <w:spacing w:after="0"/>
              <w:rPr>
                <w:sz w:val="20"/>
                <w:szCs w:val="20"/>
                <w:color w:val="auto"/>
              </w:rPr>
            </w:pPr>
            <w:r>
              <w:rPr>
                <w:rFonts w:ascii="Arial" w:cs="Arial" w:eastAsia="Arial" w:hAnsi="Arial"/>
                <w:sz w:val="15"/>
                <w:szCs w:val="15"/>
                <w:color w:val="auto"/>
              </w:rPr>
              <w:t>Stress capital buffer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19"/>
        </w:trPr>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5"/>
          </w:tcPr>
          <w:p>
            <w:pPr>
              <w:ind w:left="20"/>
              <w:spacing w:after="0"/>
              <w:rPr>
                <w:sz w:val="20"/>
                <w:szCs w:val="20"/>
                <w:color w:val="auto"/>
              </w:rPr>
            </w:pPr>
            <w:r>
              <w:rPr>
                <w:rFonts w:ascii="Arial" w:cs="Arial" w:eastAsia="Arial" w:hAnsi="Arial"/>
                <w:sz w:val="15"/>
                <w:szCs w:val="15"/>
                <w:color w:val="auto"/>
              </w:rPr>
              <w:t>Stability capital buffer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20"/>
        </w:trPr>
        <w:tc>
          <w:tcPr>
            <w:tcW w:w="278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1360" w:type="dxa"/>
            <w:vAlign w:val="bottom"/>
            <w:gridSpan w:val="3"/>
          </w:tcPr>
          <w:p>
            <w:pPr>
              <w:jc w:val="right"/>
              <w:ind w:right="8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auto"/>
              </w:rPr>
              <w:t>4,419</w:t>
            </w:r>
          </w:p>
        </w:tc>
        <w:tc>
          <w:tcPr>
            <w:tcW w:w="360" w:type="dxa"/>
            <w:vAlign w:val="bottom"/>
          </w:tcPr>
          <w:p>
            <w:pPr>
              <w:spacing w:after="0"/>
              <w:rPr>
                <w:sz w:val="19"/>
                <w:szCs w:val="19"/>
                <w:color w:val="auto"/>
              </w:rPr>
            </w:pPr>
          </w:p>
        </w:tc>
        <w:tc>
          <w:tcPr>
            <w:tcW w:w="2660" w:type="dxa"/>
            <w:vAlign w:val="bottom"/>
            <w:tcBorders>
              <w:bottom w:val="single" w:sz="8" w:color="2C6937"/>
            </w:tcBorders>
            <w:gridSpan w:val="8"/>
          </w:tcPr>
          <w:p>
            <w:pPr>
              <w:ind w:left="20"/>
              <w:spacing w:after="0"/>
              <w:rPr>
                <w:sz w:val="20"/>
                <w:szCs w:val="20"/>
                <w:color w:val="auto"/>
              </w:rPr>
            </w:pPr>
            <w:r>
              <w:rPr>
                <w:rFonts w:ascii="Arial" w:cs="Arial" w:eastAsia="Arial" w:hAnsi="Arial"/>
                <w:sz w:val="15"/>
                <w:szCs w:val="15"/>
                <w:color w:val="auto"/>
              </w:rPr>
              <w:t>Countercyclical capital buffer</w:t>
            </w:r>
          </w:p>
        </w:tc>
        <w:tc>
          <w:tcPr>
            <w:tcW w:w="1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40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2780" w:type="dxa"/>
            <w:vAlign w:val="bottom"/>
          </w:tcPr>
          <w:p>
            <w:pPr>
              <w:ind w:left="20"/>
              <w:spacing w:after="0"/>
              <w:rPr>
                <w:sz w:val="20"/>
                <w:szCs w:val="20"/>
                <w:color w:val="auto"/>
              </w:rPr>
            </w:pPr>
            <w:r>
              <w:rPr>
                <w:rFonts w:ascii="Arial" w:cs="Arial" w:eastAsia="Arial" w:hAnsi="Arial"/>
                <w:sz w:val="15"/>
                <w:szCs w:val="15"/>
                <w:color w:val="auto"/>
              </w:rPr>
              <w:t>Risk-weighted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auto"/>
              </w:rPr>
              <w:t>1,467</w:t>
            </w:r>
          </w:p>
        </w:tc>
        <w:tc>
          <w:tcPr>
            <w:tcW w:w="360" w:type="dxa"/>
            <w:vAlign w:val="bottom"/>
          </w:tcPr>
          <w:p>
            <w:pPr>
              <w:spacing w:after="0"/>
              <w:rPr>
                <w:sz w:val="18"/>
                <w:szCs w:val="18"/>
                <w:color w:val="auto"/>
              </w:rPr>
            </w:pPr>
          </w:p>
        </w:tc>
        <w:tc>
          <w:tcPr>
            <w:tcW w:w="3900" w:type="dxa"/>
            <w:vAlign w:val="bottom"/>
            <w:gridSpan w:val="12"/>
          </w:tcPr>
          <w:p>
            <w:pPr>
              <w:ind w:left="20"/>
              <w:spacing w:after="0"/>
              <w:rPr>
                <w:sz w:val="20"/>
                <w:szCs w:val="20"/>
                <w:color w:val="auto"/>
              </w:rPr>
            </w:pPr>
            <w:r>
              <w:rPr>
                <w:rFonts w:ascii="Arial" w:cs="Arial" w:eastAsia="Arial" w:hAnsi="Arial"/>
                <w:sz w:val="15"/>
                <w:szCs w:val="15"/>
                <w:color w:val="auto"/>
              </w:rPr>
              <w:t>Prescribed capital conservation buffer amount</w:t>
            </w:r>
          </w:p>
        </w:tc>
        <w:tc>
          <w:tcPr>
            <w:tcW w:w="10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0"/>
        </w:trPr>
        <w:tc>
          <w:tcPr>
            <w:tcW w:w="2780" w:type="dxa"/>
            <w:vAlign w:val="bottom"/>
            <w:tcBorders>
              <w:bottom w:val="single" w:sz="8" w:color="2C6937"/>
            </w:tcBorders>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460" w:type="dxa"/>
            <w:vAlign w:val="bottom"/>
            <w:tcBorders>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r>
      <w:tr>
        <w:trPr>
          <w:trHeight w:val="588"/>
        </w:trPr>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Available</w:t>
            </w:r>
          </w:p>
        </w:tc>
        <w:tc>
          <w:tcPr>
            <w:tcW w:w="1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Shortfall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Total Capital</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5"/>
        </w:trPr>
        <w:tc>
          <w:tcPr>
            <w:tcW w:w="2780" w:type="dxa"/>
            <w:vAlign w:val="bottom"/>
          </w:tcPr>
          <w:p>
            <w:pPr>
              <w:spacing w:after="0"/>
              <w:rPr>
                <w:sz w:val="13"/>
                <w:szCs w:val="13"/>
                <w:color w:val="auto"/>
              </w:rPr>
            </w:pPr>
          </w:p>
        </w:tc>
        <w:tc>
          <w:tcPr>
            <w:tcW w:w="1460" w:type="dxa"/>
            <w:vAlign w:val="bottom"/>
            <w:gridSpan w:val="4"/>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Minimum Capital</w:t>
            </w:r>
          </w:p>
        </w:tc>
        <w:tc>
          <w:tcPr>
            <w:tcW w:w="1340" w:type="dxa"/>
            <w:vAlign w:val="bottom"/>
            <w:gridSpan w:val="4"/>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3"/>
                <w:szCs w:val="13"/>
                <w:color w:val="auto"/>
              </w:rPr>
            </w:pPr>
          </w:p>
        </w:tc>
        <w:tc>
          <w:tcPr>
            <w:tcW w:w="110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Applicable</w:t>
            </w:r>
          </w:p>
        </w:tc>
        <w:tc>
          <w:tcPr>
            <w:tcW w:w="1180" w:type="dxa"/>
            <w:vAlign w:val="bottom"/>
            <w:gridSpan w:val="4"/>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Requirement</w:t>
            </w:r>
          </w:p>
        </w:tc>
        <w:tc>
          <w:tcPr>
            <w:tcW w:w="11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8"/>
              </w:rPr>
              <w:t>Capital Shortfall</w:t>
            </w:r>
          </w:p>
        </w:tc>
      </w:tr>
      <w:tr>
        <w:trPr>
          <w:trHeight w:val="216"/>
        </w:trPr>
        <w:tc>
          <w:tcPr>
            <w:tcW w:w="2780" w:type="dxa"/>
            <w:vAlign w:val="bottom"/>
          </w:tcPr>
          <w:p>
            <w:pPr>
              <w:spacing w:after="0"/>
              <w:rPr>
                <w:sz w:val="18"/>
                <w:szCs w:val="18"/>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Ratio Requirement</w:t>
            </w: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c>
          <w:tcPr>
            <w:tcW w:w="16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Buffers)</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Buffers</w:t>
            </w:r>
            <w:r>
              <w:rPr>
                <w:rFonts w:ascii="Arial" w:cs="Arial" w:eastAsia="Arial" w:hAnsi="Arial"/>
                <w:sz w:val="8"/>
                <w:szCs w:val="8"/>
                <w:b w:val="1"/>
                <w:bCs w:val="1"/>
                <w:color w:val="auto"/>
                <w:w w:val="98"/>
              </w:rPr>
              <w:t>(3)</w:t>
            </w:r>
          </w:p>
        </w:tc>
        <w:tc>
          <w:tcPr>
            <w:tcW w:w="1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(with Buffers)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(with Buffers)</w:t>
            </w:r>
            <w:r>
              <w:rPr>
                <w:rFonts w:ascii="Arial" w:cs="Arial" w:eastAsia="Arial" w:hAnsi="Arial"/>
                <w:sz w:val="8"/>
                <w:szCs w:val="8"/>
                <w:b w:val="1"/>
                <w:bCs w:val="1"/>
                <w:color w:val="auto"/>
              </w:rPr>
              <w:t>(2)</w:t>
            </w:r>
          </w:p>
        </w:tc>
      </w:tr>
      <w:tr>
        <w:trPr>
          <w:trHeight w:val="201"/>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24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2C6937"/>
            </w:tcBorders>
          </w:tcPr>
          <w:p>
            <w:pPr>
              <w:spacing w:after="0"/>
              <w:rPr>
                <w:sz w:val="17"/>
                <w:szCs w:val="17"/>
                <w:color w:val="auto"/>
              </w:rPr>
            </w:pPr>
          </w:p>
        </w:tc>
        <w:tc>
          <w:tcPr>
            <w:tcW w:w="360" w:type="dxa"/>
            <w:vAlign w:val="bottom"/>
            <w:tcBorders>
              <w:top w:val="single" w:sz="8" w:color="2C6937"/>
            </w:tcBorders>
          </w:tcPr>
          <w:p>
            <w:pPr>
              <w:spacing w:after="0"/>
              <w:rPr>
                <w:sz w:val="17"/>
                <w:szCs w:val="17"/>
                <w:color w:val="auto"/>
              </w:rPr>
            </w:pPr>
          </w:p>
        </w:tc>
        <w:tc>
          <w:tcPr>
            <w:tcW w:w="44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8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86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88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82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2C6937"/>
            </w:tcBorders>
          </w:tcPr>
          <w:p>
            <w:pPr>
              <w:spacing w:after="0"/>
              <w:rPr>
                <w:sz w:val="17"/>
                <w:szCs w:val="17"/>
                <w:color w:val="auto"/>
              </w:rPr>
            </w:pPr>
          </w:p>
        </w:tc>
        <w:tc>
          <w:tcPr>
            <w:tcW w:w="700" w:type="dxa"/>
            <w:vAlign w:val="bottom"/>
            <w:tcBorders>
              <w:top w:val="single" w:sz="8" w:color="2C6937"/>
            </w:tcBorders>
          </w:tcPr>
          <w:p>
            <w:pPr>
              <w:spacing w:after="0"/>
              <w:rPr>
                <w:sz w:val="17"/>
                <w:szCs w:val="17"/>
                <w:color w:val="auto"/>
              </w:rPr>
            </w:pPr>
          </w:p>
        </w:tc>
      </w:tr>
      <w:tr>
        <w:trPr>
          <w:trHeight w:val="231"/>
        </w:trPr>
        <w:tc>
          <w:tcPr>
            <w:tcW w:w="2780" w:type="dxa"/>
            <w:vAlign w:val="bottom"/>
          </w:tcPr>
          <w:p>
            <w:pPr>
              <w:ind w:left="220"/>
              <w:spacing w:after="0"/>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(4)</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117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ind w:left="600"/>
              <w:spacing w:after="0"/>
              <w:rPr>
                <w:sz w:val="20"/>
                <w:szCs w:val="20"/>
                <w:color w:val="auto"/>
              </w:rPr>
            </w:pPr>
            <w:r>
              <w:rPr>
                <w:rFonts w:ascii="Arial" w:cs="Arial" w:eastAsia="Arial" w:hAnsi="Arial"/>
                <w:sz w:val="15"/>
                <w:szCs w:val="15"/>
                <w:color w:val="auto"/>
              </w:rPr>
              <w:t>N/A  $</w:t>
            </w: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(107)</w:t>
            </w:r>
          </w:p>
        </w:tc>
      </w:tr>
      <w:tr>
        <w:trPr>
          <w:trHeight w:val="204"/>
        </w:trPr>
        <w:tc>
          <w:tcPr>
            <w:tcW w:w="278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(173)</w:t>
            </w:r>
          </w:p>
        </w:tc>
      </w:tr>
      <w:tr>
        <w:trPr>
          <w:trHeight w:val="219"/>
        </w:trPr>
        <w:tc>
          <w:tcPr>
            <w:tcW w:w="278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(176)</w:t>
            </w:r>
          </w:p>
        </w:tc>
      </w:tr>
      <w:tr>
        <w:trPr>
          <w:trHeight w:val="219"/>
        </w:trPr>
        <w:tc>
          <w:tcPr>
            <w:tcW w:w="278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117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(205)</w:t>
            </w:r>
          </w:p>
        </w:tc>
      </w:tr>
      <w:tr>
        <w:trPr>
          <w:trHeight w:val="223"/>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1"/>
        </w:trPr>
        <w:tc>
          <w:tcPr>
            <w:tcW w:w="2780" w:type="dxa"/>
            <w:vAlign w:val="bottom"/>
          </w:tcPr>
          <w:p>
            <w:pPr>
              <w:ind w:left="220"/>
              <w:spacing w:after="0"/>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(5)</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center"/>
              <w:ind w:left="285"/>
              <w:spacing w:after="0"/>
              <w:rPr>
                <w:sz w:val="20"/>
                <w:szCs w:val="20"/>
                <w:color w:val="auto"/>
              </w:rPr>
            </w:pPr>
            <w:r>
              <w:rPr>
                <w:rFonts w:ascii="Arial" w:cs="Arial" w:eastAsia="Arial" w:hAnsi="Arial"/>
                <w:sz w:val="15"/>
                <w:szCs w:val="15"/>
                <w:color w:val="auto"/>
              </w:rPr>
              <w:t>N/A</w:t>
            </w: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204"/>
        </w:trPr>
        <w:tc>
          <w:tcPr>
            <w:tcW w:w="278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(143)</w:t>
            </w: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2025</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8"/>
              </w:rPr>
              <w:t>(Dollars in billions)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5"/>
          </w:tcPr>
          <w:p>
            <w:pPr>
              <w:ind w:left="20"/>
              <w:spacing w:after="0"/>
              <w:rPr>
                <w:sz w:val="20"/>
                <w:szCs w:val="20"/>
                <w:color w:val="auto"/>
              </w:rPr>
            </w:pPr>
            <w:r>
              <w:rPr>
                <w:rFonts w:ascii="Arial" w:cs="Arial" w:eastAsia="Arial" w:hAnsi="Arial"/>
                <w:sz w:val="15"/>
                <w:szCs w:val="15"/>
                <w:color w:val="auto"/>
              </w:rPr>
              <w:t>Stress capital buffer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5"/>
          </w:tcPr>
          <w:p>
            <w:pPr>
              <w:ind w:left="20"/>
              <w:spacing w:after="0"/>
              <w:rPr>
                <w:sz w:val="20"/>
                <w:szCs w:val="20"/>
                <w:color w:val="auto"/>
              </w:rPr>
            </w:pPr>
            <w:r>
              <w:rPr>
                <w:rFonts w:ascii="Arial" w:cs="Arial" w:eastAsia="Arial" w:hAnsi="Arial"/>
                <w:sz w:val="15"/>
                <w:szCs w:val="15"/>
                <w:color w:val="auto"/>
              </w:rPr>
              <w:t>Stability capital buffer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20"/>
        </w:trPr>
        <w:tc>
          <w:tcPr>
            <w:tcW w:w="278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1360" w:type="dxa"/>
            <w:vAlign w:val="bottom"/>
            <w:gridSpan w:val="3"/>
          </w:tcPr>
          <w:p>
            <w:pPr>
              <w:jc w:val="right"/>
              <w:ind w:right="8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4,423</w:t>
            </w:r>
          </w:p>
        </w:tc>
        <w:tc>
          <w:tcPr>
            <w:tcW w:w="360" w:type="dxa"/>
            <w:vAlign w:val="bottom"/>
          </w:tcPr>
          <w:p>
            <w:pPr>
              <w:spacing w:after="0"/>
              <w:rPr>
                <w:sz w:val="19"/>
                <w:szCs w:val="19"/>
                <w:color w:val="auto"/>
              </w:rPr>
            </w:pPr>
          </w:p>
        </w:tc>
        <w:tc>
          <w:tcPr>
            <w:tcW w:w="2660" w:type="dxa"/>
            <w:vAlign w:val="bottom"/>
            <w:tcBorders>
              <w:bottom w:val="single" w:sz="8" w:color="2C6937"/>
            </w:tcBorders>
            <w:gridSpan w:val="8"/>
          </w:tcPr>
          <w:p>
            <w:pPr>
              <w:ind w:left="20"/>
              <w:spacing w:after="0"/>
              <w:rPr>
                <w:sz w:val="20"/>
                <w:szCs w:val="20"/>
                <w:color w:val="auto"/>
              </w:rPr>
            </w:pPr>
            <w:r>
              <w:rPr>
                <w:rFonts w:ascii="Arial" w:cs="Arial" w:eastAsia="Arial" w:hAnsi="Arial"/>
                <w:sz w:val="15"/>
                <w:szCs w:val="15"/>
                <w:color w:val="auto"/>
              </w:rPr>
              <w:t>Countercyclical capital buffer</w:t>
            </w:r>
          </w:p>
        </w:tc>
        <w:tc>
          <w:tcPr>
            <w:tcW w:w="1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40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5"/>
                <w:szCs w:val="15"/>
                <w:color w:val="auto"/>
              </w:rPr>
              <w:t>Risk-weighted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1,411</w:t>
            </w:r>
          </w:p>
        </w:tc>
        <w:tc>
          <w:tcPr>
            <w:tcW w:w="360" w:type="dxa"/>
            <w:vAlign w:val="bottom"/>
          </w:tcPr>
          <w:p>
            <w:pPr>
              <w:spacing w:after="0"/>
              <w:rPr>
                <w:sz w:val="18"/>
                <w:szCs w:val="18"/>
                <w:color w:val="auto"/>
              </w:rPr>
            </w:pPr>
          </w:p>
        </w:tc>
        <w:tc>
          <w:tcPr>
            <w:tcW w:w="3900" w:type="dxa"/>
            <w:vAlign w:val="bottom"/>
            <w:gridSpan w:val="12"/>
          </w:tcPr>
          <w:p>
            <w:pPr>
              <w:ind w:left="20"/>
              <w:spacing w:after="0"/>
              <w:rPr>
                <w:sz w:val="20"/>
                <w:szCs w:val="20"/>
                <w:color w:val="auto"/>
              </w:rPr>
            </w:pPr>
            <w:r>
              <w:rPr>
                <w:rFonts w:ascii="Arial" w:cs="Arial" w:eastAsia="Arial" w:hAnsi="Arial"/>
                <w:sz w:val="15"/>
                <w:szCs w:val="15"/>
                <w:color w:val="auto"/>
              </w:rPr>
              <w:t>Prescribed capital conservation buffer amount</w:t>
            </w:r>
          </w:p>
        </w:tc>
        <w:tc>
          <w:tcPr>
            <w:tcW w:w="10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0"/>
        </w:trPr>
        <w:tc>
          <w:tcPr>
            <w:tcW w:w="2780" w:type="dxa"/>
            <w:vAlign w:val="bottom"/>
            <w:tcBorders>
              <w:bottom w:val="single" w:sz="8" w:color="2C6937"/>
            </w:tcBorders>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460" w:type="dxa"/>
            <w:vAlign w:val="bottom"/>
            <w:tcBorders>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780" w:type="dxa"/>
            <w:vAlign w:val="bottom"/>
          </w:tcPr>
          <w:p>
            <w:pPr>
              <w:spacing w:after="0"/>
              <w:rPr>
                <w:sz w:val="14"/>
                <w:szCs w:val="14"/>
                <w:color w:val="auto"/>
              </w:rPr>
            </w:pPr>
          </w:p>
        </w:tc>
        <w:tc>
          <w:tcPr>
            <w:tcW w:w="14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8"/>
              </w:rPr>
              <w:t>Minimum Capital</w:t>
            </w:r>
          </w:p>
        </w:tc>
        <w:tc>
          <w:tcPr>
            <w:tcW w:w="13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Available</w:t>
            </w:r>
          </w:p>
        </w:tc>
        <w:tc>
          <w:tcPr>
            <w:tcW w:w="1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Shortfall</w:t>
            </w:r>
          </w:p>
        </w:tc>
        <w:tc>
          <w:tcPr>
            <w:tcW w:w="140" w:type="dxa"/>
            <w:vAlign w:val="bottom"/>
          </w:tcPr>
          <w:p>
            <w:pPr>
              <w:spacing w:after="0"/>
              <w:rPr>
                <w:sz w:val="14"/>
                <w:szCs w:val="14"/>
                <w:color w:val="auto"/>
              </w:rPr>
            </w:pPr>
          </w:p>
        </w:tc>
        <w:tc>
          <w:tcPr>
            <w:tcW w:w="11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8"/>
              </w:rPr>
              <w:t>Applicable</w:t>
            </w:r>
          </w:p>
        </w:tc>
        <w:tc>
          <w:tcPr>
            <w:tcW w:w="1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Total Capital</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Capital Shortfall</w:t>
            </w: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180" w:type="dxa"/>
            <w:vAlign w:val="bottom"/>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Requirement</w:t>
            </w: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780" w:type="dxa"/>
            <w:vAlign w:val="bottom"/>
          </w:tcPr>
          <w:p>
            <w:pPr>
              <w:spacing w:after="0"/>
              <w:rPr>
                <w:sz w:val="17"/>
                <w:szCs w:val="17"/>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Ratio Requirement</w:t>
            </w: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c>
          <w:tcPr>
            <w:tcW w:w="16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8"/>
                <w:szCs w:val="8"/>
                <w:b w:val="1"/>
                <w:bCs w:val="1"/>
                <w:color w:val="auto"/>
              </w:rPr>
              <w:t>(2)</w:t>
            </w:r>
          </w:p>
        </w:tc>
        <w:tc>
          <w:tcPr>
            <w:tcW w:w="140" w:type="dxa"/>
            <w:vAlign w:val="bottom"/>
          </w:tcPr>
          <w:p>
            <w:pPr>
              <w:spacing w:after="0"/>
              <w:rPr>
                <w:sz w:val="17"/>
                <w:szCs w:val="17"/>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Buffers</w:t>
            </w:r>
            <w:r>
              <w:rPr>
                <w:rFonts w:ascii="Arial" w:cs="Arial" w:eastAsia="Arial" w:hAnsi="Arial"/>
                <w:sz w:val="17"/>
                <w:szCs w:val="17"/>
                <w:b w:val="1"/>
                <w:bCs w:val="1"/>
                <w:color w:val="auto"/>
                <w:w w:val="92"/>
                <w:vertAlign w:val="superscript"/>
              </w:rPr>
              <w:t>(3)</w:t>
            </w:r>
          </w:p>
        </w:tc>
        <w:tc>
          <w:tcPr>
            <w:tcW w:w="1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(with Buffers)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(with Buffers)</w:t>
            </w:r>
            <w:r>
              <w:rPr>
                <w:rFonts w:ascii="Arial" w:cs="Arial" w:eastAsia="Arial" w:hAnsi="Arial"/>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24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2C6937"/>
            </w:tcBorders>
          </w:tcPr>
          <w:p>
            <w:pPr>
              <w:spacing w:after="0"/>
              <w:rPr>
                <w:sz w:val="17"/>
                <w:szCs w:val="17"/>
                <w:color w:val="auto"/>
              </w:rPr>
            </w:pPr>
          </w:p>
        </w:tc>
        <w:tc>
          <w:tcPr>
            <w:tcW w:w="360" w:type="dxa"/>
            <w:vAlign w:val="bottom"/>
            <w:tcBorders>
              <w:top w:val="single" w:sz="8" w:color="2C6937"/>
            </w:tcBorders>
          </w:tcPr>
          <w:p>
            <w:pPr>
              <w:spacing w:after="0"/>
              <w:rPr>
                <w:sz w:val="17"/>
                <w:szCs w:val="17"/>
                <w:color w:val="auto"/>
              </w:rPr>
            </w:pPr>
          </w:p>
        </w:tc>
        <w:tc>
          <w:tcPr>
            <w:tcW w:w="44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8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86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88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82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2C6937"/>
            </w:tcBorders>
          </w:tcPr>
          <w:p>
            <w:pPr>
              <w:spacing w:after="0"/>
              <w:rPr>
                <w:sz w:val="17"/>
                <w:szCs w:val="17"/>
                <w:color w:val="auto"/>
              </w:rPr>
            </w:pPr>
          </w:p>
        </w:tc>
        <w:tc>
          <w:tcPr>
            <w:tcW w:w="70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780" w:type="dxa"/>
            <w:vAlign w:val="bottom"/>
          </w:tcPr>
          <w:p>
            <w:pPr>
              <w:ind w:left="220"/>
              <w:spacing w:after="0" w:line="227" w:lineRule="exact"/>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(4)</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19"/>
                <w:szCs w:val="19"/>
                <w:color w:val="auto"/>
              </w:rPr>
            </w:pP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3"/>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ind w:left="600"/>
              <w:spacing w:after="0"/>
              <w:rPr>
                <w:sz w:val="20"/>
                <w:szCs w:val="20"/>
                <w:color w:val="auto"/>
              </w:rPr>
            </w:pPr>
            <w:r>
              <w:rPr>
                <w:rFonts w:ascii="Arial" w:cs="Arial" w:eastAsia="Arial" w:hAnsi="Arial"/>
                <w:sz w:val="15"/>
                <w:szCs w:val="15"/>
                <w:color w:val="auto"/>
              </w:rPr>
              <w:t>N/A  $</w:t>
            </w: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04"/>
        </w:trPr>
        <w:tc>
          <w:tcPr>
            <w:tcW w:w="278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gridSpan w:val="2"/>
          </w:tcPr>
          <w:p>
            <w:pPr>
              <w:jc w:val="right"/>
              <w:ind w:right="3"/>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219"/>
        </w:trPr>
        <w:tc>
          <w:tcPr>
            <w:tcW w:w="278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3"/>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219"/>
        </w:trPr>
        <w:tc>
          <w:tcPr>
            <w:tcW w:w="278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3"/>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27"/>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80" w:type="dxa"/>
            <w:vAlign w:val="bottom"/>
          </w:tcPr>
          <w:p>
            <w:pPr>
              <w:ind w:left="220"/>
              <w:spacing w:after="0" w:line="227" w:lineRule="exact"/>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(5)</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3"/>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center"/>
              <w:ind w:left="285"/>
              <w:spacing w:after="0"/>
              <w:rPr>
                <w:sz w:val="20"/>
                <w:szCs w:val="20"/>
                <w:color w:val="auto"/>
              </w:rPr>
            </w:pPr>
            <w:r>
              <w:rPr>
                <w:rFonts w:ascii="Arial" w:cs="Arial" w:eastAsia="Arial" w:hAnsi="Arial"/>
                <w:sz w:val="15"/>
                <w:szCs w:val="15"/>
                <w:color w:val="auto"/>
              </w:rPr>
              <w:t>N/A</w:t>
            </w: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204"/>
        </w:trPr>
        <w:tc>
          <w:tcPr>
            <w:tcW w:w="278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gridSpan w:val="3"/>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gridSpan w:val="2"/>
          </w:tcPr>
          <w:p>
            <w:pPr>
              <w:jc w:val="right"/>
              <w:ind w:right="3"/>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 Represents amounts less than $500 million.</w:t>
      </w:r>
    </w:p>
    <w:p>
      <w:pPr>
        <w:spacing w:after="0" w:line="19" w:lineRule="exact"/>
        <w:rPr>
          <w:sz w:val="20"/>
          <w:szCs w:val="20"/>
          <w:color w:val="auto"/>
        </w:rPr>
      </w:pPr>
    </w:p>
    <w:p>
      <w:pPr>
        <w:ind w:left="220" w:hanging="217"/>
        <w:spacing w:after="0"/>
        <w:tabs>
          <w:tab w:leader="none" w:pos="22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1"/>
        </w:numPr>
        <w:rPr>
          <w:rFonts w:ascii="Arial" w:cs="Arial" w:eastAsia="Arial" w:hAnsi="Arial"/>
          <w:sz w:val="8"/>
          <w:szCs w:val="8"/>
          <w:color w:val="auto"/>
        </w:rPr>
      </w:pPr>
      <w:r>
        <w:rPr>
          <w:rFonts w:ascii="Arial" w:cs="Arial" w:eastAsia="Arial" w:hAnsi="Arial"/>
          <w:sz w:val="13"/>
          <w:szCs w:val="13"/>
          <w:color w:val="auto"/>
        </w:rPr>
        <w:t>The capital shortfall in these columns represents the difference between the applicable capital requirement (without or with buffers, as applicable) and the available capital (deficit).</w:t>
      </w:r>
    </w:p>
    <w:p>
      <w:pPr>
        <w:spacing w:after="0" w:line="18" w:lineRule="exact"/>
        <w:rPr>
          <w:rFonts w:ascii="Arial" w:cs="Arial" w:eastAsia="Arial" w:hAnsi="Arial"/>
          <w:sz w:val="8"/>
          <w:szCs w:val="8"/>
          <w:color w:val="auto"/>
        </w:rPr>
      </w:pPr>
    </w:p>
    <w:p>
      <w:pPr>
        <w:ind w:left="220" w:hanging="217"/>
        <w:spacing w:after="0"/>
        <w:tabs>
          <w:tab w:leader="none" w:pos="22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The sum of (a) core capital (see definition in footnote 5 below); and (b) a general allowance for foreclosure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389890</wp:posOffset>
            </wp:positionV>
            <wp:extent cx="70072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44</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7" w:name="page48"/>
    <w:bookmarkEnd w:id="47"/>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right="300" w:hanging="237"/>
        <w:spacing w:after="0" w:line="226" w:lineRule="auto"/>
        <w:tabs>
          <w:tab w:leader="none" w:pos="233"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The sum of (a) the stated value of our outstanding common stock (common stock less treasury stock); (b) the stated value of our outstanding perpetual, noncumulative preferred stock; (c) our paid-in capital; and (d) our retained earnings (accumulated deficit).</w:t>
      </w:r>
    </w:p>
    <w:p>
      <w:pPr>
        <w:spacing w:after="0" w:line="77"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While it is not applicable until the date of termination of our conservatorship, our maximum payout ratio represents the percentage of eligible retained income that we are permitted to pay out in the form of distributions or discretionary bonus payments under the enterprise regulatory capital framework. As of September 30, 2026, our maximum payout ratio under the enterprise regulatory capital framework was 0%. See “Note 15, Regulatory Capital Requirements” for information on our capital ratios as of September 30, 2026 and December 31, 2025 under the enterprise regulatory capital framework.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regulatory capital.</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Regulatory Capital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92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7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720" w:type="dxa"/>
            <w:vAlign w:val="bottom"/>
            <w:tcBorders>
              <w:bottom w:val="single" w:sz="8" w:color="2C6937"/>
            </w:tcBorders>
            <w:gridSpan w:val="2"/>
          </w:tcPr>
          <w:p>
            <w:pPr>
              <w:ind w:left="80"/>
              <w:spacing w:after="0"/>
              <w:rPr>
                <w:sz w:val="20"/>
                <w:szCs w:val="20"/>
                <w:color w:val="auto"/>
              </w:rPr>
            </w:pPr>
            <w:r>
              <w:rPr>
                <w:rFonts w:ascii="Arial" w:cs="Arial" w:eastAsia="Arial" w:hAnsi="Arial"/>
                <w:sz w:val="14"/>
                <w:szCs w:val="14"/>
                <w:b w:val="1"/>
                <w:bCs w:val="1"/>
                <w:color w:val="auto"/>
              </w:rPr>
              <w:t>September 30, 2026</w:t>
            </w: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ind w:right="203"/>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98"/>
        </w:trPr>
        <w:tc>
          <w:tcPr>
            <w:tcW w:w="7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gridSpan w:val="4"/>
          </w:tcPr>
          <w:p>
            <w:pPr>
              <w:jc w:val="right"/>
              <w:ind w:right="1123"/>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27"/>
        </w:trPr>
        <w:tc>
          <w:tcPr>
            <w:tcW w:w="754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119,637</w:t>
            </w:r>
          </w:p>
        </w:tc>
        <w:tc>
          <w:tcPr>
            <w:tcW w:w="10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109,012</w:t>
            </w:r>
          </w:p>
        </w:tc>
        <w:tc>
          <w:tcPr>
            <w:tcW w:w="0" w:type="dxa"/>
            <w:vAlign w:val="bottom"/>
          </w:tcPr>
          <w:p>
            <w:pPr>
              <w:spacing w:after="0"/>
              <w:rPr>
                <w:sz w:val="1"/>
                <w:szCs w:val="1"/>
                <w:color w:val="auto"/>
              </w:rPr>
            </w:pPr>
          </w:p>
        </w:tc>
      </w:tr>
      <w:tr>
        <w:trPr>
          <w:trHeight w:val="211"/>
        </w:trPr>
        <w:tc>
          <w:tcPr>
            <w:tcW w:w="754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4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120,836</w:t>
            </w:r>
          </w:p>
        </w:tc>
        <w:tc>
          <w:tcPr>
            <w:tcW w:w="0" w:type="dxa"/>
            <w:vAlign w:val="bottom"/>
          </w:tcPr>
          <w:p>
            <w:pPr>
              <w:spacing w:after="0"/>
              <w:rPr>
                <w:sz w:val="1"/>
                <w:szCs w:val="1"/>
                <w:color w:val="auto"/>
              </w:rPr>
            </w:pPr>
          </w:p>
        </w:tc>
      </w:tr>
      <w:tr>
        <w:trPr>
          <w:trHeight w:val="251"/>
        </w:trPr>
        <w:tc>
          <w:tcPr>
            <w:tcW w:w="74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Preferred stock</w:t>
            </w:r>
          </w:p>
        </w:tc>
        <w:tc>
          <w:tcPr>
            <w:tcW w:w="8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212"/>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(20,329)</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(30,954)</w:t>
            </w:r>
          </w:p>
        </w:tc>
        <w:tc>
          <w:tcPr>
            <w:tcW w:w="0" w:type="dxa"/>
            <w:vAlign w:val="bottom"/>
          </w:tcPr>
          <w:p>
            <w:pPr>
              <w:spacing w:after="0"/>
              <w:rPr>
                <w:sz w:val="1"/>
                <w:szCs w:val="1"/>
                <w:color w:val="auto"/>
              </w:rPr>
            </w:pPr>
          </w:p>
        </w:tc>
      </w:tr>
      <w:tr>
        <w:trPr>
          <w:trHeight w:val="161"/>
        </w:trPr>
        <w:tc>
          <w:tcPr>
            <w:tcW w:w="7540" w:type="dxa"/>
            <w:vAlign w:val="bottom"/>
            <w:gridSpan w:val="2"/>
          </w:tcPr>
          <w:p>
            <w:pPr>
              <w:ind w:left="340"/>
              <w:spacing w:after="0" w:line="161" w:lineRule="exact"/>
              <w:rPr>
                <w:sz w:val="20"/>
                <w:szCs w:val="20"/>
                <w:color w:val="auto"/>
              </w:rPr>
            </w:pPr>
            <w:r>
              <w:rPr>
                <w:rFonts w:ascii="Arial" w:cs="Arial" w:eastAsia="Arial" w:hAnsi="Arial"/>
                <w:sz w:val="15"/>
                <w:szCs w:val="15"/>
                <w:color w:val="auto"/>
              </w:rPr>
              <w:t>Less: deferred tax assets arising from temporary differences that exceed 10% of common equity tier 1</w:t>
            </w:r>
          </w:p>
        </w:tc>
        <w:tc>
          <w:tcPr>
            <w:tcW w:w="18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9,707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5"/>
                <w:szCs w:val="15"/>
                <w:color w:val="auto"/>
              </w:rPr>
              <w:t>9,828</w:t>
            </w:r>
          </w:p>
        </w:tc>
        <w:tc>
          <w:tcPr>
            <w:tcW w:w="0" w:type="dxa"/>
            <w:vAlign w:val="bottom"/>
          </w:tcPr>
          <w:p>
            <w:pPr>
              <w:spacing w:after="0"/>
              <w:rPr>
                <w:sz w:val="1"/>
                <w:szCs w:val="1"/>
                <w:color w:val="auto"/>
              </w:rPr>
            </w:pPr>
          </w:p>
        </w:tc>
      </w:tr>
      <w:tr>
        <w:trPr>
          <w:trHeight w:val="206"/>
        </w:trPr>
        <w:tc>
          <w:tcPr>
            <w:tcW w:w="7460" w:type="dxa"/>
            <w:vAlign w:val="bottom"/>
            <w:tcBorders>
              <w:bottom w:val="single" w:sz="8" w:color="2C6937"/>
            </w:tcBorders>
          </w:tcPr>
          <w:p>
            <w:pPr>
              <w:ind w:left="500"/>
              <w:spacing w:after="0"/>
              <w:rPr>
                <w:sz w:val="20"/>
                <w:szCs w:val="20"/>
                <w:color w:val="auto"/>
              </w:rPr>
            </w:pPr>
            <w:r>
              <w:rPr>
                <w:rFonts w:ascii="Arial" w:cs="Arial" w:eastAsia="Arial" w:hAnsi="Arial"/>
                <w:sz w:val="15"/>
                <w:szCs w:val="15"/>
                <w:color w:val="auto"/>
              </w:rPr>
              <w:t>capital and other regulatory adjustments</w:t>
            </w:r>
          </w:p>
        </w:tc>
        <w:tc>
          <w:tcPr>
            <w:tcW w:w="8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 tier 1 capital (deficit)</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(30,036)</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(40,782)</w:t>
            </w:r>
          </w:p>
        </w:tc>
        <w:tc>
          <w:tcPr>
            <w:tcW w:w="0" w:type="dxa"/>
            <w:vAlign w:val="bottom"/>
          </w:tcPr>
          <w:p>
            <w:pPr>
              <w:spacing w:after="0"/>
              <w:rPr>
                <w:sz w:val="1"/>
                <w:szCs w:val="1"/>
                <w:color w:val="auto"/>
              </w:rPr>
            </w:pPr>
          </w:p>
        </w:tc>
      </w:tr>
      <w:tr>
        <w:trPr>
          <w:trHeight w:val="212"/>
        </w:trPr>
        <w:tc>
          <w:tcPr>
            <w:tcW w:w="74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Add: perpetual, noncumulative preferred stock</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212"/>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1 capital (deficit)</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(10,906)</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(21,652)</w:t>
            </w:r>
          </w:p>
        </w:tc>
        <w:tc>
          <w:tcPr>
            <w:tcW w:w="0" w:type="dxa"/>
            <w:vAlign w:val="bottom"/>
          </w:tcPr>
          <w:p>
            <w:pPr>
              <w:spacing w:after="0"/>
              <w:rPr>
                <w:sz w:val="1"/>
                <w:szCs w:val="1"/>
                <w:color w:val="auto"/>
              </w:rPr>
            </w:pPr>
          </w:p>
        </w:tc>
      </w:tr>
      <w:tr>
        <w:trPr>
          <w:trHeight w:val="212"/>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2 capital adjustments</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7540" w:type="dxa"/>
            <w:vAlign w:val="bottom"/>
            <w:gridSpan w:val="2"/>
          </w:tcPr>
          <w:p>
            <w:pPr>
              <w:ind w:left="20"/>
              <w:spacing w:after="0"/>
              <w:rPr>
                <w:sz w:val="20"/>
                <w:szCs w:val="20"/>
                <w:color w:val="auto"/>
              </w:rPr>
            </w:pPr>
            <w:r>
              <w:rPr>
                <w:rFonts w:ascii="Arial" w:cs="Arial" w:eastAsia="Arial" w:hAnsi="Arial"/>
                <w:sz w:val="15"/>
                <w:szCs w:val="15"/>
                <w:color w:val="auto"/>
              </w:rPr>
              <w:t>Adjusted total capital (deficit)</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(10,906)</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(21,652)</w:t>
            </w:r>
          </w:p>
        </w:tc>
        <w:tc>
          <w:tcPr>
            <w:tcW w:w="0" w:type="dxa"/>
            <w:vAlign w:val="bottom"/>
          </w:tcPr>
          <w:p>
            <w:pPr>
              <w:spacing w:after="0"/>
              <w:rPr>
                <w:sz w:val="1"/>
                <w:szCs w:val="1"/>
                <w:color w:val="auto"/>
              </w:rPr>
            </w:pPr>
          </w:p>
        </w:tc>
      </w:tr>
      <w:tr>
        <w:trPr>
          <w:trHeight w:val="20"/>
        </w:trPr>
        <w:tc>
          <w:tcPr>
            <w:tcW w:w="74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core capital.</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Statutory Capital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22160"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94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bottom w:val="single" w:sz="8" w:color="2C6937"/>
            </w:tcBorders>
          </w:tcPr>
          <w:p>
            <w:pPr>
              <w:spacing w:after="0"/>
              <w:rPr>
                <w:sz w:val="16"/>
                <w:szCs w:val="16"/>
                <w:color w:val="auto"/>
              </w:rPr>
            </w:pPr>
          </w:p>
        </w:tc>
      </w:tr>
      <w:tr>
        <w:trPr>
          <w:trHeight w:val="199"/>
        </w:trPr>
        <w:tc>
          <w:tcPr>
            <w:tcW w:w="7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720" w:type="dxa"/>
            <w:vAlign w:val="bottom"/>
            <w:tcBorders>
              <w:bottom w:val="single" w:sz="8" w:color="2C6937"/>
            </w:tcBorders>
            <w:gridSpan w:val="2"/>
          </w:tcPr>
          <w:p>
            <w:pPr>
              <w:ind w:left="8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2025</w:t>
            </w:r>
          </w:p>
        </w:tc>
      </w:tr>
      <w:tr>
        <w:trPr>
          <w:trHeight w:val="198"/>
        </w:trPr>
        <w:tc>
          <w:tcPr>
            <w:tcW w:w="7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gridSpan w:val="4"/>
          </w:tcPr>
          <w:p>
            <w:pPr>
              <w:jc w:val="right"/>
              <w:ind w:right="1144"/>
              <w:spacing w:after="0"/>
              <w:rPr>
                <w:sz w:val="20"/>
                <w:szCs w:val="20"/>
                <w:color w:val="auto"/>
              </w:rPr>
            </w:pPr>
            <w:r>
              <w:rPr>
                <w:rFonts w:ascii="Arial" w:cs="Arial" w:eastAsia="Arial" w:hAnsi="Arial"/>
                <w:sz w:val="14"/>
                <w:szCs w:val="14"/>
                <w:b w:val="1"/>
                <w:bCs w:val="1"/>
                <w:color w:val="auto"/>
              </w:rPr>
              <w:t>(Dollars in millions)</w:t>
            </w:r>
          </w:p>
        </w:tc>
      </w:tr>
      <w:tr>
        <w:trPr>
          <w:trHeight w:val="227"/>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Pr>
          <w:p>
            <w:pPr>
              <w:jc w:val="right"/>
              <w:ind w:right="6"/>
              <w:spacing w:after="0"/>
              <w:rPr>
                <w:sz w:val="20"/>
                <w:szCs w:val="20"/>
                <w:color w:val="auto"/>
              </w:rPr>
            </w:pPr>
            <w:r>
              <w:rPr>
                <w:rFonts w:ascii="Arial" w:cs="Arial" w:eastAsia="Arial" w:hAnsi="Arial"/>
                <w:sz w:val="15"/>
                <w:szCs w:val="15"/>
                <w:b w:val="1"/>
                <w:bCs w:val="1"/>
                <w:color w:val="auto"/>
              </w:rPr>
              <w:t>119,637</w:t>
            </w:r>
          </w:p>
        </w:tc>
        <w:tc>
          <w:tcPr>
            <w:tcW w:w="8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109,012</w:t>
            </w:r>
          </w:p>
        </w:tc>
      </w:tr>
      <w:tr>
        <w:trPr>
          <w:trHeight w:val="211"/>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7"/>
        </w:trPr>
        <w:tc>
          <w:tcPr>
            <w:tcW w:w="750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180" w:type="dxa"/>
            <w:vAlign w:val="bottom"/>
          </w:tcPr>
          <w:p>
            <w:pPr>
              <w:spacing w:after="0"/>
              <w:rPr>
                <w:sz w:val="19"/>
                <w:szCs w:val="19"/>
                <w:color w:val="auto"/>
              </w:rPr>
            </w:pPr>
          </w:p>
        </w:tc>
        <w:tc>
          <w:tcPr>
            <w:tcW w:w="1640" w:type="dxa"/>
            <w:vAlign w:val="bottom"/>
          </w:tcPr>
          <w:p>
            <w:pPr>
              <w:jc w:val="right"/>
              <w:ind w:right="6"/>
              <w:spacing w:after="0"/>
              <w:rPr>
                <w:sz w:val="20"/>
                <w:szCs w:val="20"/>
                <w:color w:val="auto"/>
              </w:rPr>
            </w:pPr>
            <w:r>
              <w:rPr>
                <w:rFonts w:ascii="Arial" w:cs="Arial" w:eastAsia="Arial" w:hAnsi="Arial"/>
                <w:sz w:val="15"/>
                <w:szCs w:val="15"/>
                <w:b w:val="1"/>
                <w:bCs w:val="1"/>
                <w:color w:val="auto"/>
              </w:rPr>
              <w:t>120,836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120,836</w:t>
            </w:r>
          </w:p>
        </w:tc>
      </w:tr>
      <w:tr>
        <w:trPr>
          <w:trHeight w:val="264"/>
        </w:trPr>
        <w:tc>
          <w:tcPr>
            <w:tcW w:w="742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Accumulated other comprehensive income (loss), net of taxes</w:t>
            </w:r>
          </w:p>
        </w:tc>
        <w:tc>
          <w:tcPr>
            <w:tcW w:w="8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(1,234)</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w:t>
            </w:r>
          </w:p>
        </w:tc>
      </w:tr>
      <w:tr>
        <w:trPr>
          <w:trHeight w:val="212"/>
        </w:trPr>
        <w:tc>
          <w:tcPr>
            <w:tcW w:w="74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Core capital (deficit)</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6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35</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(11,844)</w:t>
            </w:r>
          </w:p>
        </w:tc>
      </w:tr>
      <w:tr>
        <w:trPr>
          <w:trHeight w:val="212"/>
        </w:trPr>
        <w:tc>
          <w:tcPr>
            <w:tcW w:w="742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Less: general allowance for foreclosure losses</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(9,648)</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(8,581)</w:t>
            </w:r>
          </w:p>
        </w:tc>
      </w:tr>
      <w:tr>
        <w:trPr>
          <w:trHeight w:val="212"/>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statutory capital (deficit)</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Pr>
          <w:p>
            <w:pPr>
              <w:jc w:val="right"/>
              <w:ind w:right="6"/>
              <w:spacing w:after="0"/>
              <w:rPr>
                <w:sz w:val="20"/>
                <w:szCs w:val="20"/>
                <w:color w:val="auto"/>
              </w:rPr>
            </w:pPr>
            <w:r>
              <w:rPr>
                <w:rFonts w:ascii="Arial" w:cs="Arial" w:eastAsia="Arial" w:hAnsi="Arial"/>
                <w:sz w:val="15"/>
                <w:szCs w:val="15"/>
                <w:b w:val="1"/>
                <w:bCs w:val="1"/>
                <w:color w:val="auto"/>
              </w:rPr>
              <w:t>9,683</w:t>
            </w:r>
          </w:p>
        </w:tc>
        <w:tc>
          <w:tcPr>
            <w:tcW w:w="8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(3,263)</w:t>
            </w:r>
          </w:p>
        </w:tc>
      </w:tr>
      <w:tr>
        <w:trPr>
          <w:trHeight w:val="20"/>
        </w:trPr>
        <w:tc>
          <w:tcPr>
            <w:tcW w:w="74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Activity</w:t>
      </w:r>
    </w:p>
    <w:p>
      <w:pPr>
        <w:spacing w:after="0" w:line="80"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Under the terms governing the senior preferred stock, no dividends were payable to Treasury for the third quarter of 2026 and none are payable for the fourth quarter of 2026.</w:t>
      </w:r>
    </w:p>
    <w:p>
      <w:pPr>
        <w:spacing w:after="0" w:line="15"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Under the terms governing the senior preferred stock, through and including the capital reserve end date, any increase in our net worth during a fiscal quarter results in an increase of the same amount in the aggregate liquidation preference of the senior preferred stock in the following quarter. The capital reserve end date is defined as the last day of the second consecutive fiscal quarter during which we have had and maintained capital equal to, or in excess of, all of the capital requirements and buffers under the enterprise regulatory capital framework.</w:t>
      </w:r>
    </w:p>
    <w:p>
      <w:pPr>
        <w:spacing w:after="0" w:line="5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a result of these terms governing the senior preferred stock, the aggregate liquidation preference of the senior preferred stock increased to $238.0 billion as of September 30, 2026 from $234.2 billion as of June 30, 2026, due to the increase in our net worth in the second quarter of 2026. The aggregate liquidation preference of the senior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386080</wp:posOffset>
            </wp:positionV>
            <wp:extent cx="70072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45</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8" w:name="page49"/>
    <w:bookmarkEnd w:id="48"/>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stock will further increase to $241.1 billion as of December 31, 2026, due to the increase in our net worth in the third quarter of 2026. See “Business— Conservatorship and Treasury Agreements—Treasury Agreements” in our 2025 Form 10-K for more information on the terms of our senior preferred stock, including how the aggregate liquidation preference is determined.</w:t>
      </w:r>
    </w:p>
    <w:p>
      <w:pPr>
        <w:spacing w:after="0" w:line="8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Treasury Funding Commitment</w:t>
      </w:r>
    </w:p>
    <w:p>
      <w:pPr>
        <w:spacing w:after="0" w:line="67"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Treasury made a commitment under the senior preferred stock purchase agreement to provide funding to us under certain circumstances if we have a net worth deficit. As of September 30, 2026, the remaining amount of Treasury’s funding commitment to us was $113.9 billion. See “Note 2, Conservatorship, Senior Preferred Stock Purchase Agreement and Related Matters” in our 2025 Form 10-K for more information on Treasury’s funding commitment under the senior preferred stock purchase agreement.</w:t>
      </w:r>
    </w:p>
    <w:p>
      <w:pPr>
        <w:spacing w:after="0" w:line="130"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are exposed to the following principal risk categories: credit risk (including mortgage credit risk and institutional counterparty credit risk), market risk (including interest-rate risk), liquidity risk, operational risk (including cyber and other information security risk), model risk, strategic risk, compliance risk and reputational risk. See “MD&amp;A—Risk Management,” “MD&amp;A—Single-Family Business—Single-Family Mortgage Credit Risk Management,” “MD&amp;A— Multifamily Business—Multifamily Mortgage Credit Risk Management” and “MD&amp;A—Liquidity and Capital Management” in our 2025 Form 10-K for a discussion of our management of the categories of risk we have determined present the most significant exposure. This section, “Single-Family Business— Single-Family Mortgage Credit Risk Management,” “Multifamily Business—Multifamily Mortgage Credit Risk Management” and “Liquidity and Capital Management” in this report supplement and update that discussion, but do not address all of these risk management categories.</w:t>
      </w:r>
    </w:p>
    <w:p>
      <w:pPr>
        <w:spacing w:after="0" w:line="9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Risk Management, including Interest-Rate Risk Management</w:t>
      </w:r>
    </w:p>
    <w:p>
      <w:pPr>
        <w:spacing w:after="0" w:line="63"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are subject to market risk, which includes interest-rate risk and spread risk. Interest-rate risk is the risk that movements in interest rates will adversely affect the value of our assets or liabilities or our future earnings or capital. Spread risk is the risk from changes in an instrument’s value that relate to factors other than changes in interest rates. Spread risk is intrinsic to our business model. While we monitor our spread risk exposure and manage the risk where feasible and appropriate, we do not seek to fully mitigate this risk and accept some level of it. See “MD&amp;A—Risk Management—Market Risk Management, including Interest-Rate Risk Management” and “Risk Factors—Market and Industry Risk” in our 2025 Form 10-K for additional information, including our sources of interest-rate risk and spread risk exposure, business risks posed by changes in interest rates, and our strategy for managing market risk, including interest-rate risk.</w:t>
      </w:r>
    </w:p>
    <w:p>
      <w:pPr>
        <w:spacing w:after="0" w:line="40"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Historically, our interest-rate risk management strategy focused primarily on maintaining an asset duration closely matched to our liability duration, net of derivatives, to minimize exposure to interest-rate movements. Beginning in the fourth quarter of 2025, we adjusted our interest-rate risk management strategy to balance this objective with the goal of mitigating the volatility of our earnings associated with short-term interest rate changes. As a result, pursuant to this new strategy, we are accepting additional interest rate risk associated with duration by increasing our exposure to longer-term rate positions, such as U.S. Treasury securities, which reduces the sensitivity of our earnings to short-term interest rate movements and helps manage interest-rate related earnings volatility associated with our corporate liquidity portfolio and retained mortgage portfolio investments. Our goal for managing interest-rate risk is to manage risk from movements in interest rates and volatility to a low level of exposure, within Board-approved risk limits.</w:t>
      </w:r>
    </w:p>
    <w:p>
      <w:pPr>
        <w:spacing w:after="0" w:line="83"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Market Value Sensitivity</w:t>
      </w:r>
    </w:p>
    <w:p>
      <w:pPr>
        <w:spacing w:after="0" w:line="80"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We manage the market value sensitivity of our net portfolio arising from interest rate movements. We collectively define our net portfolio as: our retained mortgage portfolio assets; our corporate liquidity portfolio; outstanding debt of Fannie Mae; mortgage commitments; and risk management derivatives. This involves asset selection and structuring of our liabilities to match and offset the interest-rate characteristics of our retained mortgage portfolio and our investments in non-mortgage securities. We actively manage the interest-rate risk of our net portfolio through a strategy incorporating debt instruments, derivative instruments, and portfolio rebalancing, as described in “MD&amp;A—Risk Management—Market Risk Management, including Interest-Rate Risk Management—Interest-Rate Risk Management” in our 2025 Form 10-K.</w:t>
      </w:r>
    </w:p>
    <w:p>
      <w:pPr>
        <w:spacing w:after="0" w:line="80"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Earnings Sensitivity</w:t>
      </w:r>
    </w:p>
    <w:p>
      <w:pPr>
        <w:spacing w:after="0" w:line="6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We also manage the earnings sensitivity of our consolidated balance sheet arising from interest rate movements. The risk management approach utilizes financial instruments, such as U.S. Treasuries, agency mortgage-backed securities and interest rate derivatives, to mitigate earnings volatility driven by interest rate movements. While this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372745</wp:posOffset>
            </wp:positionV>
            <wp:extent cx="70072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46</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9" w:name="page50"/>
    <w:bookmarkEnd w:id="49"/>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reduces downside risk to our earnings when interest rates drop, it may limit potential upside benefits of our earnings when interest rates rise.</w:t>
      </w:r>
    </w:p>
    <w:p>
      <w:pPr>
        <w:spacing w:after="0" w:line="8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utilize fair value hedge accounting to align the timing of when we recognize the interest-rate driven fair value changes in hedged mortgage loans and funding debt with derivative hedging instruments to mitigate GAAP earnings exposure to interest-rate changes, including any short-term earnings volatility that might result from economic hedging. Our hedge accounting program is specifically designed to address the volatility of our financial results associated with changes in fair value related to changes in benchmark interest rates. As such, earnings variability driven by other factors, such as spreads or changes in cost basis amortization recognized in net interest income, remains. In addition, our ability to effectively reduce earnings volatility is impacted by the volume and type of interest-rate swaps available for hedging, which is driven by our interest-rate risk management strategy discussed above. As our range of available interest-rate swaps varies over time, our ability to reduce earnings volatility through hedge accounting may vary as well. When the shape of the yield curve shifts significantly from period to period, hedge accounting may be less effective. In our current program, we typically establish new hedging relationships each business day to provide flexibility in our overall risk management strategy.</w:t>
      </w:r>
    </w:p>
    <w:p>
      <w:pPr>
        <w:spacing w:after="0" w:line="43" w:lineRule="exact"/>
        <w:rPr>
          <w:sz w:val="20"/>
          <w:szCs w:val="20"/>
          <w:color w:val="auto"/>
        </w:rPr>
      </w:pPr>
    </w:p>
    <w:p>
      <w:pPr>
        <w:ind w:right="820"/>
        <w:spacing w:after="0" w:line="293" w:lineRule="auto"/>
        <w:rPr>
          <w:sz w:val="20"/>
          <w:szCs w:val="20"/>
          <w:color w:val="auto"/>
        </w:rPr>
      </w:pPr>
      <w:r>
        <w:rPr>
          <w:rFonts w:ascii="Arial" w:cs="Arial" w:eastAsia="Arial" w:hAnsi="Arial"/>
          <w:sz w:val="16"/>
          <w:szCs w:val="16"/>
          <w:color w:val="auto"/>
        </w:rPr>
        <w:t>See “Note 1, Summary of Significant Accounting Policies” in our 2025 Form 10-K and “Note 9, Derivative Instruments” in this report for additional information on our fair value hedge accounting policy and related disclosures.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Measurement of Market Value Sensitivity of our Net Portfolio</w:t>
      </w:r>
    </w:p>
    <w:p>
      <w:pPr>
        <w:spacing w:after="0" w:line="8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table below displays the pre-tax market value sensitivity of our net portfolio to changes in the level of interest rates and the slope of the applicable yield curve as measured on the last day of each period presented. The table below also provides the daily average, minimum, maximum and standard deviation values for duration gap and for the most adverse market value impact on the net portfolio to changes in the level of interest rates and the slope of the applicable yield curve for the three months ended September 30, 2026 and 2025. Our practice is to allow interest rates to go below zero in the downward shock models unless otherwise prevented through contractual floors.</w:t>
      </w:r>
    </w:p>
    <w:p>
      <w:pPr>
        <w:spacing w:after="0" w:line="38"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For information on how we measure our interest-rate risk, see “MD&amp;A—Risk Management—Market Risk Management, including Interest-Rate Risk Management” in our 2025 Form 10-K.</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Market Value Sensitivity of Net Portfolio to Changes in Interest-Rate Level and Slope of Yield Curve</w:t>
      </w:r>
    </w:p>
    <w:tbl>
      <w:tblPr>
        <w:tblLayout w:type="fixed"/>
        <w:tblInd w:w="0" w:type="dxa"/>
        <w:tblCellMar>
          <w:top w:w="0" w:type="dxa"/>
          <w:left w:w="0" w:type="dxa"/>
          <w:bottom w:w="0" w:type="dxa"/>
          <w:right w:w="0" w:type="dxa"/>
        </w:tblCellMar>
      </w:tblPr>
      <w:tr>
        <w:trPr>
          <w:trHeight w:val="293"/>
        </w:trPr>
        <w:tc>
          <w:tcPr>
            <w:tcW w:w="3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500" w:type="dxa"/>
            <w:vAlign w:val="bottom"/>
            <w:tcBorders>
              <w:bottom w:val="single" w:sz="8" w:color="2C6937"/>
            </w:tcBorders>
            <w:gridSpan w:val="2"/>
          </w:tcPr>
          <w:p>
            <w:pPr>
              <w:jc w:val="center"/>
              <w:ind w:left="28"/>
              <w:spacing w:after="0" w:line="293" w:lineRule="exact"/>
              <w:rPr>
                <w:sz w:val="20"/>
                <w:szCs w:val="20"/>
                <w:color w:val="auto"/>
              </w:rPr>
            </w:pPr>
            <w:r>
              <w:rPr>
                <w:rFonts w:ascii="Arial" w:cs="Arial" w:eastAsia="Arial" w:hAnsi="Arial"/>
                <w:sz w:val="27"/>
                <w:szCs w:val="27"/>
                <w:b w:val="1"/>
                <w:bCs w:val="1"/>
                <w:color w:val="auto"/>
                <w:w w:val="83"/>
                <w:vertAlign w:val="subscript"/>
              </w:rPr>
              <w:t>As of</w:t>
            </w:r>
            <w:r>
              <w:rPr>
                <w:rFonts w:ascii="Arial" w:cs="Arial" w:eastAsia="Arial" w:hAnsi="Arial"/>
                <w:sz w:val="9"/>
                <w:szCs w:val="9"/>
                <w:b w:val="1"/>
                <w:bCs w:val="1"/>
                <w:color w:val="auto"/>
                <w:w w:val="83"/>
              </w:rPr>
              <w:t>(1)(2)</w:t>
            </w:r>
          </w:p>
        </w:tc>
        <w:tc>
          <w:tcPr>
            <w:tcW w:w="740" w:type="dxa"/>
            <w:vAlign w:val="bottom"/>
            <w:tcBorders>
              <w:bottom w:val="single" w:sz="8" w:color="2C6937"/>
            </w:tcBorders>
          </w:tcPr>
          <w:p>
            <w:pPr>
              <w:spacing w:after="0"/>
              <w:rPr>
                <w:sz w:val="24"/>
                <w:szCs w:val="24"/>
                <w:color w:val="auto"/>
              </w:rPr>
            </w:pPr>
          </w:p>
        </w:tc>
        <w:tc>
          <w:tcPr>
            <w:tcW w:w="5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2C6937"/>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 2026</w:t>
            </w:r>
          </w:p>
        </w:tc>
        <w:tc>
          <w:tcPr>
            <w:tcW w:w="2160" w:type="dxa"/>
            <w:vAlign w:val="bottom"/>
            <w:tcBorders>
              <w:bottom w:val="single" w:sz="8" w:color="2C6937"/>
            </w:tcBorders>
            <w:gridSpan w:val="3"/>
          </w:tcPr>
          <w:p>
            <w:pPr>
              <w:jc w:val="right"/>
              <w:ind w:right="263"/>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99"/>
        </w:trPr>
        <w:tc>
          <w:tcPr>
            <w:tcW w:w="31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level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spacing w:after="0"/>
              <w:rPr>
                <w:sz w:val="17"/>
                <w:szCs w:val="17"/>
                <w:color w:val="auto"/>
              </w:rPr>
            </w:pPr>
          </w:p>
        </w:tc>
        <w:tc>
          <w:tcPr>
            <w:tcW w:w="6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8"/>
              </w:rPr>
              <w:t>(Dollars in millions)</w:t>
            </w: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ind w:right="80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2,620</w:t>
            </w:r>
          </w:p>
        </w:tc>
        <w:tc>
          <w:tcPr>
            <w:tcW w:w="88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9"/>
                <w:szCs w:val="19"/>
                <w:color w:val="auto"/>
              </w:rPr>
            </w:pPr>
          </w:p>
        </w:tc>
        <w:tc>
          <w:tcPr>
            <w:tcW w:w="540" w:type="dxa"/>
            <w:vAlign w:val="bottom"/>
          </w:tcPr>
          <w:p>
            <w:pPr>
              <w:jc w:val="right"/>
              <w:ind w:right="83"/>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1,366</w:t>
            </w: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ind w:right="83"/>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(1,438)</w:t>
            </w: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ind w:right="43"/>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(2,888)</w:t>
            </w: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ind w:right="43"/>
              <w:spacing w:after="0"/>
              <w:rPr>
                <w:sz w:val="20"/>
                <w:szCs w:val="20"/>
                <w:color w:val="auto"/>
              </w:rPr>
            </w:pPr>
            <w:r>
              <w:rPr>
                <w:rFonts w:ascii="Arial" w:cs="Arial" w:eastAsia="Arial" w:hAnsi="Arial"/>
                <w:sz w:val="15"/>
                <w:szCs w:val="15"/>
                <w:color w:val="auto"/>
              </w:rPr>
              <w:t>(443)</w:t>
            </w:r>
          </w:p>
        </w:tc>
        <w:tc>
          <w:tcPr>
            <w:tcW w:w="0" w:type="dxa"/>
            <w:vAlign w:val="bottom"/>
          </w:tcPr>
          <w:p>
            <w:pPr>
              <w:spacing w:after="0"/>
              <w:rPr>
                <w:sz w:val="1"/>
                <w:szCs w:val="1"/>
                <w:color w:val="auto"/>
              </w:rPr>
            </w:pPr>
          </w:p>
        </w:tc>
      </w:tr>
      <w:tr>
        <w:trPr>
          <w:trHeight w:val="211"/>
        </w:trPr>
        <w:tc>
          <w:tcPr>
            <w:tcW w:w="31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slope shock:</w:t>
            </w:r>
          </w:p>
        </w:tc>
        <w:tc>
          <w:tcPr>
            <w:tcW w:w="110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180"/>
              <w:spacing w:after="0"/>
              <w:rPr>
                <w:sz w:val="20"/>
                <w:szCs w:val="20"/>
                <w:color w:val="auto"/>
              </w:rPr>
            </w:pPr>
            <w:r>
              <w:rPr>
                <w:rFonts w:ascii="Arial" w:cs="Arial" w:eastAsia="Arial" w:hAnsi="Arial"/>
                <w:sz w:val="15"/>
                <w:szCs w:val="15"/>
                <w:color w:val="auto"/>
              </w:rPr>
              <w:t>-25 basis points (flattening)</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(136)</w:t>
            </w: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ind w:right="43"/>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5"/>
                <w:szCs w:val="15"/>
                <w:color w:val="auto"/>
              </w:rPr>
              <w:t>+25 basis points (steepening)</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123</w:t>
            </w: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ind w:right="43"/>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419"/>
        </w:trPr>
        <w:tc>
          <w:tcPr>
            <w:tcW w:w="3140" w:type="dxa"/>
            <w:vAlign w:val="bottom"/>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spacing w:after="0"/>
              <w:rPr>
                <w:sz w:val="24"/>
                <w:szCs w:val="24"/>
                <w:color w:val="auto"/>
              </w:rPr>
            </w:pPr>
          </w:p>
        </w:tc>
        <w:tc>
          <w:tcPr>
            <w:tcW w:w="3460" w:type="dxa"/>
            <w:vAlign w:val="bottom"/>
            <w:tcBorders>
              <w:bottom w:val="single" w:sz="8" w:color="2C6937"/>
            </w:tcBorders>
            <w:gridSpan w:val="7"/>
          </w:tcPr>
          <w:p>
            <w:pPr>
              <w:jc w:val="right"/>
              <w:ind w:right="288"/>
              <w:spacing w:after="0"/>
              <w:rPr>
                <w:sz w:val="20"/>
                <w:szCs w:val="20"/>
                <w:color w:val="auto"/>
              </w:rPr>
            </w:pPr>
            <w:r>
              <w:rPr>
                <w:rFonts w:ascii="Arial" w:cs="Arial" w:eastAsia="Arial" w:hAnsi="Arial"/>
                <w:sz w:val="14"/>
                <w:szCs w:val="14"/>
                <w:b w:val="1"/>
                <w:bCs w:val="1"/>
                <w:color w:val="auto"/>
                <w:w w:val="97"/>
              </w:rPr>
              <w:t>For the Three Months Ended September 30,</w:t>
            </w:r>
            <w:r>
              <w:rPr>
                <w:rFonts w:ascii="Arial" w:cs="Arial" w:eastAsia="Arial" w:hAnsi="Arial"/>
                <w:sz w:val="17"/>
                <w:szCs w:val="17"/>
                <w:b w:val="1"/>
                <w:bCs w:val="1"/>
                <w:color w:val="auto"/>
                <w:w w:val="97"/>
                <w:vertAlign w:val="superscript"/>
              </w:rPr>
              <w:t>(1)(3)</w:t>
            </w:r>
          </w:p>
        </w:tc>
        <w:tc>
          <w:tcPr>
            <w:tcW w:w="88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spacing w:after="0"/>
              <w:rPr>
                <w:sz w:val="24"/>
                <w:szCs w:val="24"/>
                <w:color w:val="auto"/>
              </w:rPr>
            </w:pPr>
          </w:p>
        </w:tc>
        <w:tc>
          <w:tcPr>
            <w:tcW w:w="5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267"/>
              <w:spacing w:after="0"/>
              <w:rPr>
                <w:sz w:val="20"/>
                <w:szCs w:val="20"/>
                <w:color w:val="auto"/>
              </w:rPr>
            </w:pPr>
            <w:r>
              <w:rPr>
                <w:rFonts w:ascii="Arial" w:cs="Arial" w:eastAsia="Arial" w:hAnsi="Arial"/>
                <w:sz w:val="14"/>
                <w:szCs w:val="14"/>
                <w:b w:val="1"/>
                <w:bCs w:val="1"/>
                <w:color w:val="auto"/>
              </w:rPr>
              <w:t>2026</w:t>
            </w:r>
          </w:p>
        </w:tc>
        <w:tc>
          <w:tcPr>
            <w:tcW w:w="900" w:type="dxa"/>
            <w:vAlign w:val="bottom"/>
            <w:tcBorders>
              <w:bottom w:val="single" w:sz="8" w:color="2C6937"/>
            </w:tcBorders>
          </w:tcPr>
          <w:p>
            <w:pPr>
              <w:spacing w:after="0"/>
              <w:rPr>
                <w:sz w:val="17"/>
                <w:szCs w:val="17"/>
                <w:color w:val="auto"/>
              </w:rPr>
            </w:pPr>
          </w:p>
        </w:tc>
        <w:tc>
          <w:tcPr>
            <w:tcW w:w="600" w:type="dxa"/>
            <w:vAlign w:val="bottom"/>
            <w:tcBorders>
              <w:bottom w:val="single" w:sz="8" w:color="2C6937"/>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466"/>
              <w:spacing w:after="0"/>
              <w:rPr>
                <w:sz w:val="20"/>
                <w:szCs w:val="20"/>
                <w:color w:val="auto"/>
              </w:rPr>
            </w:pPr>
            <w:r>
              <w:rPr>
                <w:rFonts w:ascii="Arial" w:cs="Arial" w:eastAsia="Arial" w:hAnsi="Arial"/>
                <w:sz w:val="14"/>
                <w:szCs w:val="14"/>
                <w:b w:val="1"/>
                <w:bCs w:val="1"/>
                <w:color w:val="auto"/>
                <w:w w:val="96"/>
              </w:rPr>
              <w:t>2025</w:t>
            </w:r>
          </w:p>
        </w:tc>
        <w:tc>
          <w:tcPr>
            <w:tcW w:w="740" w:type="dxa"/>
            <w:vAlign w:val="bottom"/>
            <w:tcBorders>
              <w:bottom w:val="single" w:sz="8" w:color="2C6937"/>
            </w:tcBorders>
          </w:tcPr>
          <w:p>
            <w:pPr>
              <w:spacing w:after="0"/>
              <w:rPr>
                <w:sz w:val="17"/>
                <w:szCs w:val="17"/>
                <w:color w:val="auto"/>
              </w:rPr>
            </w:pPr>
          </w:p>
        </w:tc>
        <w:tc>
          <w:tcPr>
            <w:tcW w:w="5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Duration Gap</w:t>
            </w: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Rate Slope Shock</w:t>
            </w:r>
          </w:p>
        </w:tc>
        <w:tc>
          <w:tcPr>
            <w:tcW w:w="166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Rate Level Shock</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Duration Gap</w:t>
            </w:r>
          </w:p>
        </w:tc>
        <w:tc>
          <w:tcPr>
            <w:tcW w:w="1500" w:type="dxa"/>
            <w:vAlign w:val="bottom"/>
            <w:gridSpan w:val="2"/>
          </w:tcPr>
          <w:p>
            <w:pPr>
              <w:jc w:val="right"/>
              <w:ind w:right="166"/>
              <w:spacing w:after="0" w:line="149" w:lineRule="exact"/>
              <w:rPr>
                <w:sz w:val="20"/>
                <w:szCs w:val="20"/>
                <w:color w:val="auto"/>
              </w:rPr>
            </w:pPr>
            <w:r>
              <w:rPr>
                <w:rFonts w:ascii="Arial" w:cs="Arial" w:eastAsia="Arial" w:hAnsi="Arial"/>
                <w:sz w:val="14"/>
                <w:szCs w:val="14"/>
                <w:b w:val="1"/>
                <w:bCs w:val="1"/>
                <w:color w:val="auto"/>
              </w:rPr>
              <w:t>Rate Slope Shock</w:t>
            </w:r>
          </w:p>
        </w:tc>
        <w:tc>
          <w:tcPr>
            <w:tcW w:w="12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Rate Level Shock</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327"/>
              <w:spacing w:after="0"/>
              <w:rPr>
                <w:sz w:val="20"/>
                <w:szCs w:val="20"/>
                <w:color w:val="auto"/>
              </w:rPr>
            </w:pPr>
            <w:r>
              <w:rPr>
                <w:rFonts w:ascii="Arial" w:cs="Arial" w:eastAsia="Arial" w:hAnsi="Arial"/>
                <w:sz w:val="14"/>
                <w:szCs w:val="14"/>
                <w:b w:val="1"/>
                <w:bCs w:val="1"/>
                <w:color w:val="auto"/>
              </w:rPr>
              <w:t>25 bps</w:t>
            </w:r>
          </w:p>
        </w:tc>
        <w:tc>
          <w:tcPr>
            <w:tcW w:w="1660" w:type="dxa"/>
            <w:vAlign w:val="bottom"/>
            <w:gridSpan w:val="4"/>
          </w:tcPr>
          <w:p>
            <w:pPr>
              <w:ind w:left="620"/>
              <w:spacing w:after="0"/>
              <w:rPr>
                <w:sz w:val="20"/>
                <w:szCs w:val="20"/>
                <w:color w:val="auto"/>
              </w:rPr>
            </w:pPr>
            <w:r>
              <w:rPr>
                <w:rFonts w:ascii="Arial" w:cs="Arial" w:eastAsia="Arial" w:hAnsi="Arial"/>
                <w:sz w:val="14"/>
                <w:szCs w:val="14"/>
                <w:b w:val="1"/>
                <w:bCs w:val="1"/>
                <w:color w:val="auto"/>
              </w:rPr>
              <w:t>50 bps</w:t>
            </w:r>
          </w:p>
        </w:tc>
        <w:tc>
          <w:tcPr>
            <w:tcW w:w="1180" w:type="dxa"/>
            <w:vAlign w:val="bottom"/>
            <w:gridSpan w:val="2"/>
            <w:vMerge w:val="continue"/>
          </w:tcPr>
          <w:p>
            <w:pPr>
              <w:spacing w:after="0"/>
              <w:rPr>
                <w:sz w:val="15"/>
                <w:szCs w:val="15"/>
                <w:color w:val="auto"/>
              </w:rPr>
            </w:pPr>
          </w:p>
        </w:tc>
        <w:tc>
          <w:tcPr>
            <w:tcW w:w="1500" w:type="dxa"/>
            <w:vAlign w:val="bottom"/>
            <w:gridSpan w:val="2"/>
          </w:tcPr>
          <w:p>
            <w:pPr>
              <w:jc w:val="right"/>
              <w:ind w:right="546"/>
              <w:spacing w:after="0"/>
              <w:rPr>
                <w:sz w:val="20"/>
                <w:szCs w:val="20"/>
                <w:color w:val="auto"/>
              </w:rPr>
            </w:pPr>
            <w:r>
              <w:rPr>
                <w:rFonts w:ascii="Arial" w:cs="Arial" w:eastAsia="Arial" w:hAnsi="Arial"/>
                <w:sz w:val="14"/>
                <w:szCs w:val="14"/>
                <w:b w:val="1"/>
                <w:bCs w:val="1"/>
                <w:color w:val="auto"/>
              </w:rPr>
              <w:t>25 bps</w:t>
            </w:r>
          </w:p>
        </w:tc>
        <w:tc>
          <w:tcPr>
            <w:tcW w:w="128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auto"/>
              </w:rPr>
              <w:t>50 bps</w:t>
            </w: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2C6937"/>
              <w:bottom w:val="single" w:sz="8" w:color="2C6937"/>
            </w:tcBorders>
          </w:tcPr>
          <w:p>
            <w:pPr>
              <w:spacing w:after="0"/>
              <w:rPr>
                <w:sz w:val="17"/>
                <w:szCs w:val="17"/>
                <w:color w:val="auto"/>
              </w:rPr>
            </w:pPr>
          </w:p>
        </w:tc>
        <w:tc>
          <w:tcPr>
            <w:tcW w:w="1860" w:type="dxa"/>
            <w:vAlign w:val="bottom"/>
            <w:tcBorders>
              <w:top w:val="single" w:sz="8" w:color="2C6937"/>
              <w:bottom w:val="single" w:sz="8" w:color="2C6937"/>
            </w:tcBorders>
            <w:gridSpan w:val="2"/>
          </w:tcPr>
          <w:p>
            <w:pPr>
              <w:jc w:val="center"/>
              <w:ind w:left="187"/>
              <w:spacing w:after="0"/>
              <w:rPr>
                <w:sz w:val="20"/>
                <w:szCs w:val="20"/>
                <w:color w:val="auto"/>
              </w:rPr>
            </w:pPr>
            <w:r>
              <w:rPr>
                <w:rFonts w:ascii="Arial" w:cs="Arial" w:eastAsia="Arial" w:hAnsi="Arial"/>
                <w:sz w:val="14"/>
                <w:szCs w:val="14"/>
                <w:b w:val="1"/>
                <w:bCs w:val="1"/>
                <w:color w:val="auto"/>
                <w:w w:val="97"/>
              </w:rPr>
              <w:t>Market Value Sensitivity</w:t>
            </w:r>
          </w:p>
        </w:tc>
        <w:tc>
          <w:tcPr>
            <w:tcW w:w="600" w:type="dxa"/>
            <w:vAlign w:val="bottom"/>
            <w:tcBorders>
              <w:top w:val="single" w:sz="8" w:color="2C6937"/>
              <w:bottom w:val="single" w:sz="8" w:color="2C6937"/>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108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top w:val="single" w:sz="8" w:color="2C6937"/>
              <w:bottom w:val="single" w:sz="8" w:color="2C6937"/>
            </w:tcBorders>
            <w:gridSpan w:val="3"/>
          </w:tcPr>
          <w:p>
            <w:pPr>
              <w:jc w:val="center"/>
              <w:ind w:left="488"/>
              <w:spacing w:after="0"/>
              <w:rPr>
                <w:sz w:val="20"/>
                <w:szCs w:val="20"/>
                <w:color w:val="auto"/>
              </w:rPr>
            </w:pPr>
            <w:r>
              <w:rPr>
                <w:rFonts w:ascii="Arial" w:cs="Arial" w:eastAsia="Arial" w:hAnsi="Arial"/>
                <w:sz w:val="14"/>
                <w:szCs w:val="14"/>
                <w:b w:val="1"/>
                <w:bCs w:val="1"/>
                <w:color w:val="auto"/>
                <w:w w:val="97"/>
              </w:rPr>
              <w:t>Market Value Sensitivity</w:t>
            </w:r>
          </w:p>
        </w:tc>
        <w:tc>
          <w:tcPr>
            <w:tcW w:w="540" w:type="dxa"/>
            <w:vAlign w:val="bottom"/>
            <w:tcBorders>
              <w:top w:val="single" w:sz="8" w:color="2C6937"/>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years)</w:t>
            </w:r>
          </w:p>
        </w:tc>
        <w:tc>
          <w:tcPr>
            <w:tcW w:w="320" w:type="dxa"/>
            <w:vAlign w:val="bottom"/>
          </w:tcPr>
          <w:p>
            <w:pPr>
              <w:spacing w:after="0"/>
              <w:rPr>
                <w:sz w:val="17"/>
                <w:szCs w:val="17"/>
                <w:color w:val="auto"/>
              </w:rPr>
            </w:pPr>
          </w:p>
        </w:tc>
        <w:tc>
          <w:tcPr>
            <w:tcW w:w="1860" w:type="dxa"/>
            <w:vAlign w:val="bottom"/>
            <w:gridSpan w:val="2"/>
          </w:tcPr>
          <w:p>
            <w:pPr>
              <w:jc w:val="center"/>
              <w:ind w:left="187"/>
              <w:spacing w:after="0"/>
              <w:rPr>
                <w:sz w:val="20"/>
                <w:szCs w:val="20"/>
                <w:color w:val="auto"/>
              </w:rPr>
            </w:pPr>
            <w:r>
              <w:rPr>
                <w:rFonts w:ascii="Arial" w:cs="Arial" w:eastAsia="Arial" w:hAnsi="Arial"/>
                <w:sz w:val="14"/>
                <w:szCs w:val="14"/>
                <w:b w:val="1"/>
                <w:bCs w:val="1"/>
                <w:color w:val="auto"/>
                <w:w w:val="98"/>
              </w:rPr>
              <w:t>(Dollars in millions)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 years)</w:t>
            </w:r>
          </w:p>
        </w:tc>
        <w:tc>
          <w:tcPr>
            <w:tcW w:w="620" w:type="dxa"/>
            <w:vAlign w:val="bottom"/>
          </w:tcPr>
          <w:p>
            <w:pPr>
              <w:spacing w:after="0"/>
              <w:rPr>
                <w:sz w:val="17"/>
                <w:szCs w:val="17"/>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140" w:type="dxa"/>
            <w:vAlign w:val="bottom"/>
          </w:tcPr>
          <w:p>
            <w:pPr>
              <w:ind w:left="20"/>
              <w:spacing w:after="0"/>
              <w:rPr>
                <w:sz w:val="20"/>
                <w:szCs w:val="20"/>
                <w:color w:val="auto"/>
              </w:rPr>
            </w:pPr>
            <w:r>
              <w:rPr>
                <w:rFonts w:ascii="Arial" w:cs="Arial" w:eastAsia="Arial" w:hAnsi="Arial"/>
                <w:sz w:val="15"/>
                <w:szCs w:val="15"/>
                <w:color w:val="auto"/>
              </w:rPr>
              <w:t>Average</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1.27</w:t>
            </w:r>
          </w:p>
        </w:tc>
        <w:tc>
          <w:tcPr>
            <w:tcW w:w="100" w:type="dxa"/>
            <w:vAlign w:val="bottom"/>
          </w:tcPr>
          <w:p>
            <w:pPr>
              <w:spacing w:after="0"/>
              <w:rPr>
                <w:sz w:val="19"/>
                <w:szCs w:val="19"/>
                <w:color w:val="auto"/>
              </w:rPr>
            </w:pPr>
          </w:p>
        </w:tc>
        <w:tc>
          <w:tcPr>
            <w:tcW w:w="320" w:type="dxa"/>
            <w:vAlign w:val="bottom"/>
          </w:tcPr>
          <w:p>
            <w:pPr>
              <w:ind w:left="100"/>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(134)</w:t>
            </w:r>
          </w:p>
        </w:tc>
        <w:tc>
          <w:tcPr>
            <w:tcW w:w="900" w:type="dxa"/>
            <w:vAlign w:val="bottom"/>
          </w:tcPr>
          <w:p>
            <w:pPr>
              <w:ind w:left="260"/>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43"/>
              <w:spacing w:after="0"/>
              <w:rPr>
                <w:sz w:val="20"/>
                <w:szCs w:val="20"/>
                <w:color w:val="auto"/>
              </w:rPr>
            </w:pPr>
            <w:r>
              <w:rPr>
                <w:rFonts w:ascii="Arial" w:cs="Arial" w:eastAsia="Arial" w:hAnsi="Arial"/>
                <w:sz w:val="15"/>
                <w:szCs w:val="15"/>
                <w:b w:val="1"/>
                <w:bCs w:val="1"/>
                <w:color w:val="auto"/>
                <w:w w:val="96"/>
              </w:rPr>
              <w:t>(1,548)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rPr>
              <w:t>0.06</w:t>
            </w:r>
          </w:p>
        </w:tc>
        <w:tc>
          <w:tcPr>
            <w:tcW w:w="100" w:type="dxa"/>
            <w:vAlign w:val="bottom"/>
          </w:tcPr>
          <w:p>
            <w:pPr>
              <w:spacing w:after="0"/>
              <w:rPr>
                <w:sz w:val="19"/>
                <w:szCs w:val="19"/>
                <w:color w:val="auto"/>
              </w:rPr>
            </w:pPr>
          </w:p>
        </w:tc>
        <w:tc>
          <w:tcPr>
            <w:tcW w:w="620" w:type="dxa"/>
            <w:vAlign w:val="bottom"/>
          </w:tcPr>
          <w:p>
            <w:pPr>
              <w:jc w:val="right"/>
              <w:ind w:right="348"/>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6"/>
              <w:spacing w:after="0"/>
              <w:rPr>
                <w:sz w:val="20"/>
                <w:szCs w:val="20"/>
                <w:color w:val="auto"/>
              </w:rPr>
            </w:pPr>
            <w:r>
              <w:rPr>
                <w:rFonts w:ascii="Arial" w:cs="Arial" w:eastAsia="Arial" w:hAnsi="Arial"/>
                <w:sz w:val="15"/>
                <w:szCs w:val="15"/>
                <w:color w:val="auto"/>
              </w:rPr>
              <w:t>(6)</w:t>
            </w:r>
          </w:p>
        </w:tc>
        <w:tc>
          <w:tcPr>
            <w:tcW w:w="740" w:type="dxa"/>
            <w:vAlign w:val="bottom"/>
          </w:tcPr>
          <w:p>
            <w:pPr>
              <w:ind w:left="6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43"/>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5"/>
                <w:szCs w:val="15"/>
                <w:color w:val="auto"/>
              </w:rPr>
              <w:t>Minimum</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(148)</w:t>
            </w:r>
          </w:p>
        </w:tc>
        <w:tc>
          <w:tcPr>
            <w:tcW w:w="900" w:type="dxa"/>
            <w:vAlign w:val="bottom"/>
          </w:tcPr>
          <w:p>
            <w:pPr>
              <w:spacing w:after="0"/>
              <w:rPr>
                <w:sz w:val="19"/>
                <w:szCs w:val="19"/>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b w:val="1"/>
                <w:bCs w:val="1"/>
                <w:color w:val="auto"/>
                <w:w w:val="96"/>
              </w:rPr>
              <w:t>(1,639)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ind w:right="206"/>
              <w:spacing w:after="0"/>
              <w:rPr>
                <w:sz w:val="20"/>
                <w:szCs w:val="20"/>
                <w:color w:val="auto"/>
              </w:rPr>
            </w:pPr>
            <w:r>
              <w:rPr>
                <w:rFonts w:ascii="Arial" w:cs="Arial" w:eastAsia="Arial" w:hAnsi="Arial"/>
                <w:sz w:val="15"/>
                <w:szCs w:val="15"/>
                <w:color w:val="auto"/>
              </w:rPr>
              <w:t>(11)</w:t>
            </w:r>
          </w:p>
        </w:tc>
        <w:tc>
          <w:tcPr>
            <w:tcW w:w="740" w:type="dxa"/>
            <w:vAlign w:val="bottom"/>
          </w:tcPr>
          <w:p>
            <w:pPr>
              <w:spacing w:after="0"/>
              <w:rPr>
                <w:sz w:val="19"/>
                <w:szCs w:val="19"/>
                <w:color w:val="auto"/>
              </w:rPr>
            </w:pPr>
          </w:p>
        </w:tc>
        <w:tc>
          <w:tcPr>
            <w:tcW w:w="540" w:type="dxa"/>
            <w:vAlign w:val="bottom"/>
          </w:tcPr>
          <w:p>
            <w:pPr>
              <w:jc w:val="right"/>
              <w:ind w:right="43"/>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5"/>
                <w:szCs w:val="15"/>
                <w:color w:val="auto"/>
              </w:rPr>
              <w:t>Maximum</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(121)</w:t>
            </w:r>
          </w:p>
        </w:tc>
        <w:tc>
          <w:tcPr>
            <w:tcW w:w="900" w:type="dxa"/>
            <w:vAlign w:val="bottom"/>
          </w:tcPr>
          <w:p>
            <w:pPr>
              <w:spacing w:after="0"/>
              <w:rPr>
                <w:sz w:val="19"/>
                <w:szCs w:val="19"/>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b w:val="1"/>
                <w:bCs w:val="1"/>
                <w:color w:val="auto"/>
                <w:w w:val="96"/>
              </w:rPr>
              <w:t>(1,438)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rPr>
              <w:t>0.17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9"/>
                <w:szCs w:val="19"/>
                <w:color w:val="auto"/>
              </w:rPr>
            </w:pPr>
          </w:p>
        </w:tc>
        <w:tc>
          <w:tcPr>
            <w:tcW w:w="540" w:type="dxa"/>
            <w:vAlign w:val="bottom"/>
          </w:tcPr>
          <w:p>
            <w:pPr>
              <w:jc w:val="right"/>
              <w:ind w:right="43"/>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5"/>
                <w:szCs w:val="15"/>
                <w:color w:val="auto"/>
              </w:rPr>
              <w:t>Standard deviation</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b w:val="1"/>
                <w:bCs w:val="1"/>
                <w:color w:val="auto"/>
              </w:rPr>
              <w:t>6</w:t>
            </w:r>
          </w:p>
        </w:tc>
        <w:tc>
          <w:tcPr>
            <w:tcW w:w="900" w:type="dxa"/>
            <w:vAlign w:val="bottom"/>
          </w:tcPr>
          <w:p>
            <w:pPr>
              <w:spacing w:after="0"/>
              <w:rPr>
                <w:sz w:val="19"/>
                <w:szCs w:val="19"/>
                <w:color w:val="auto"/>
              </w:rPr>
            </w:pPr>
          </w:p>
        </w:tc>
        <w:tc>
          <w:tcPr>
            <w:tcW w:w="600" w:type="dxa"/>
            <w:vAlign w:val="bottom"/>
          </w:tcPr>
          <w:p>
            <w:pPr>
              <w:jc w:val="right"/>
              <w:ind w:right="83"/>
              <w:spacing w:after="0"/>
              <w:rPr>
                <w:sz w:val="20"/>
                <w:szCs w:val="20"/>
                <w:color w:val="auto"/>
              </w:rPr>
            </w:pPr>
            <w:r>
              <w:rPr>
                <w:rFonts w:ascii="Arial" w:cs="Arial" w:eastAsia="Arial" w:hAnsi="Arial"/>
                <w:sz w:val="15"/>
                <w:szCs w:val="15"/>
                <w:b w:val="1"/>
                <w:bCs w:val="1"/>
                <w:color w:val="auto"/>
              </w:rPr>
              <w:t>43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ind w:right="246"/>
              <w:spacing w:after="0"/>
              <w:rPr>
                <w:sz w:val="20"/>
                <w:szCs w:val="20"/>
                <w:color w:val="auto"/>
              </w:rPr>
            </w:pPr>
            <w:r>
              <w:rPr>
                <w:rFonts w:ascii="Arial" w:cs="Arial" w:eastAsia="Arial" w:hAnsi="Arial"/>
                <w:sz w:val="15"/>
                <w:szCs w:val="15"/>
                <w:color w:val="auto"/>
              </w:rPr>
              <w:t>2</w:t>
            </w:r>
          </w:p>
        </w:tc>
        <w:tc>
          <w:tcPr>
            <w:tcW w:w="740" w:type="dxa"/>
            <w:vAlign w:val="bottom"/>
          </w:tcPr>
          <w:p>
            <w:pPr>
              <w:spacing w:after="0"/>
              <w:rPr>
                <w:sz w:val="19"/>
                <w:szCs w:val="19"/>
                <w:color w:val="auto"/>
              </w:rPr>
            </w:pPr>
          </w:p>
        </w:tc>
        <w:tc>
          <w:tcPr>
            <w:tcW w:w="540" w:type="dxa"/>
            <w:vAlign w:val="bottom"/>
          </w:tcPr>
          <w:p>
            <w:pPr>
              <w:jc w:val="right"/>
              <w:ind w:right="83"/>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-2884805</wp:posOffset>
            </wp:positionV>
            <wp:extent cx="7138670" cy="16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8" w:lineRule="exact"/>
        <w:rPr>
          <w:sz w:val="20"/>
          <w:szCs w:val="20"/>
          <w:color w:val="auto"/>
        </w:rPr>
      </w:pPr>
    </w:p>
    <w:p>
      <w:pPr>
        <w:ind w:left="220" w:hanging="217"/>
        <w:spacing w:after="0"/>
        <w:tabs>
          <w:tab w:leader="none" w:pos="2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Computed based on changes in SOFR interest-rate swap curve.</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3"/>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7" w:lineRule="exact"/>
        <w:rPr>
          <w:rFonts w:ascii="Arial" w:cs="Arial" w:eastAsia="Arial" w:hAnsi="Arial"/>
          <w:sz w:val="9"/>
          <w:szCs w:val="9"/>
          <w:color w:val="auto"/>
        </w:rPr>
      </w:pPr>
    </w:p>
    <w:p>
      <w:pPr>
        <w:ind w:left="220" w:hanging="217"/>
        <w:spacing w:after="0"/>
        <w:tabs>
          <w:tab w:leader="none" w:pos="2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Computed based on daily values during the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389255</wp:posOffset>
            </wp:positionV>
            <wp:extent cx="70072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47</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50" w:name="page51"/>
    <w:bookmarkEnd w:id="50"/>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market value sensitivity of our net portfolio varies across a range of interest-rate shocks depending upon the duration and convexity profile of our net portfolio. The market value sensitivity of the net portfolio is measured by quantifying the change in the present value of the cash flows of our financial assets and liabilities that would result from an instantaneous shock to interest rates, assuming spreads are held constant. As a result of changes in our interest-rate risk management strategy as described above, including the purchases of longer-term U.S. Treasury securities, our duration gap has increased, resulting in greater market value sensitivity of our net portfolio.</w:t>
      </w:r>
    </w:p>
    <w:p>
      <w:pPr>
        <w:spacing w:after="0" w:line="38"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We use derivatives to help manage the residual interest-rate risk exposure between the assets and liabilities in our net portfolio. Derivatives have enabled us to manage our economic interest-rate risk exposure in a wide range of interest-rate environments. The table below displays an example of how derivatives impacted the net market value exposure for a 50 basis point parallel interest-rate shock. For additional information on our derivative positions, see “Note 9, Derivative Instruments” in our 2025 Form 10-K and in this report.</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Derivative Impact on Interest-Rate Risk (50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4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020" w:type="dxa"/>
            <w:vAlign w:val="bottom"/>
            <w:tcBorders>
              <w:bottom w:val="single" w:sz="8" w:color="2C6937"/>
            </w:tcBorders>
            <w:gridSpan w:val="2"/>
          </w:tcPr>
          <w:p>
            <w:pPr>
              <w:jc w:val="right"/>
              <w:ind w:right="23"/>
              <w:spacing w:after="0"/>
              <w:rPr>
                <w:sz w:val="20"/>
                <w:szCs w:val="20"/>
                <w:color w:val="auto"/>
              </w:rPr>
            </w:pPr>
            <w:r>
              <w:rPr>
                <w:rFonts w:ascii="Arial" w:cs="Arial" w:eastAsia="Arial" w:hAnsi="Arial"/>
                <w:sz w:val="14"/>
                <w:szCs w:val="14"/>
                <w:b w:val="1"/>
                <w:bCs w:val="1"/>
                <w:color w:val="auto"/>
              </w:rPr>
              <w:t>As of</w:t>
            </w:r>
            <w:r>
              <w:rPr>
                <w:rFonts w:ascii="Arial" w:cs="Arial" w:eastAsia="Arial" w:hAnsi="Arial"/>
                <w:sz w:val="17"/>
                <w:szCs w:val="17"/>
                <w:b w:val="1"/>
                <w:bCs w:val="1"/>
                <w:color w:val="auto"/>
                <w:vertAlign w:val="superscript"/>
              </w:rPr>
              <w:t>(1)</w:t>
            </w:r>
          </w:p>
        </w:tc>
        <w:tc>
          <w:tcPr>
            <w:tcW w:w="1580" w:type="dxa"/>
            <w:vAlign w:val="bottom"/>
            <w:tcBorders>
              <w:bottom w:val="single" w:sz="8" w:color="2C6937"/>
            </w:tcBorders>
          </w:tcPr>
          <w:p>
            <w:pPr>
              <w:spacing w:after="0"/>
              <w:rPr>
                <w:sz w:val="16"/>
                <w:szCs w:val="16"/>
                <w:color w:val="auto"/>
              </w:rPr>
            </w:pPr>
          </w:p>
        </w:tc>
      </w:tr>
      <w:tr>
        <w:trPr>
          <w:trHeight w:val="198"/>
        </w:trPr>
        <w:tc>
          <w:tcPr>
            <w:tcW w:w="74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680" w:type="dxa"/>
            <w:vAlign w:val="bottom"/>
            <w:tcBorders>
              <w:bottom w:val="single" w:sz="8" w:color="2C6937"/>
            </w:tcBorders>
          </w:tcPr>
          <w:p>
            <w:pPr>
              <w:ind w:left="40"/>
              <w:spacing w:after="0"/>
              <w:rPr>
                <w:sz w:val="20"/>
                <w:szCs w:val="20"/>
                <w:color w:val="auto"/>
              </w:rPr>
            </w:pPr>
            <w:r>
              <w:rPr>
                <w:rFonts w:ascii="Arial" w:cs="Arial" w:eastAsia="Arial" w:hAnsi="Arial"/>
                <w:sz w:val="14"/>
                <w:szCs w:val="14"/>
                <w:b w:val="1"/>
                <w:bCs w:val="1"/>
                <w:color w:val="auto"/>
              </w:rPr>
              <w:t>September 30, 2026</w:t>
            </w:r>
          </w:p>
        </w:tc>
        <w:tc>
          <w:tcPr>
            <w:tcW w:w="34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w w:val="99"/>
              </w:rPr>
              <w:t>December 31, 2025</w:t>
            </w:r>
          </w:p>
        </w:tc>
      </w:tr>
      <w:tr>
        <w:trPr>
          <w:trHeight w:val="198"/>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gridSpan w:val="3"/>
          </w:tcPr>
          <w:p>
            <w:pPr>
              <w:jc w:val="right"/>
              <w:ind w:right="1205"/>
              <w:spacing w:after="0"/>
              <w:rPr>
                <w:sz w:val="20"/>
                <w:szCs w:val="20"/>
                <w:color w:val="auto"/>
              </w:rPr>
            </w:pPr>
            <w:r>
              <w:rPr>
                <w:rFonts w:ascii="Arial" w:cs="Arial" w:eastAsia="Arial" w:hAnsi="Arial"/>
                <w:sz w:val="14"/>
                <w:szCs w:val="14"/>
                <w:b w:val="1"/>
                <w:bCs w:val="1"/>
                <w:color w:val="auto"/>
              </w:rPr>
              <w:t>(Dollars in millions)</w:t>
            </w:r>
          </w:p>
        </w:tc>
      </w:tr>
      <w:tr>
        <w:trPr>
          <w:trHeight w:val="227"/>
        </w:trPr>
        <w:tc>
          <w:tcPr>
            <w:tcW w:w="7400" w:type="dxa"/>
            <w:vAlign w:val="bottom"/>
          </w:tcPr>
          <w:p>
            <w:pPr>
              <w:spacing w:after="0"/>
              <w:rPr>
                <w:sz w:val="20"/>
                <w:szCs w:val="20"/>
                <w:color w:val="auto"/>
              </w:rPr>
            </w:pPr>
            <w:r>
              <w:rPr>
                <w:rFonts w:ascii="Arial" w:cs="Arial" w:eastAsia="Arial" w:hAnsi="Arial"/>
                <w:sz w:val="15"/>
                <w:szCs w:val="15"/>
                <w:color w:val="auto"/>
              </w:rPr>
              <w:t>Before derivatives</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80" w:type="dxa"/>
            <w:vAlign w:val="bottom"/>
          </w:tcPr>
          <w:p>
            <w:pPr>
              <w:jc w:val="center"/>
              <w:ind w:left="747"/>
              <w:spacing w:after="0"/>
              <w:rPr>
                <w:sz w:val="20"/>
                <w:szCs w:val="20"/>
                <w:color w:val="auto"/>
              </w:rPr>
            </w:pPr>
            <w:r>
              <w:rPr>
                <w:rFonts w:ascii="Arial" w:cs="Arial" w:eastAsia="Arial" w:hAnsi="Arial"/>
                <w:sz w:val="15"/>
                <w:szCs w:val="15"/>
                <w:b w:val="1"/>
                <w:bCs w:val="1"/>
                <w:color w:val="auto"/>
              </w:rPr>
              <w:t>(3,006)</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(1,101)</w:t>
            </w:r>
          </w:p>
        </w:tc>
      </w:tr>
      <w:tr>
        <w:trPr>
          <w:trHeight w:val="219"/>
        </w:trPr>
        <w:tc>
          <w:tcPr>
            <w:tcW w:w="7400" w:type="dxa"/>
            <w:vAlign w:val="bottom"/>
          </w:tcPr>
          <w:p>
            <w:pPr>
              <w:spacing w:after="0"/>
              <w:rPr>
                <w:sz w:val="20"/>
                <w:szCs w:val="20"/>
                <w:color w:val="auto"/>
              </w:rPr>
            </w:pPr>
            <w:r>
              <w:rPr>
                <w:rFonts w:ascii="Arial" w:cs="Arial" w:eastAsia="Arial" w:hAnsi="Arial"/>
                <w:sz w:val="15"/>
                <w:szCs w:val="15"/>
                <w:color w:val="auto"/>
              </w:rPr>
              <w:t>After derivatives</w:t>
            </w:r>
          </w:p>
        </w:tc>
        <w:tc>
          <w:tcPr>
            <w:tcW w:w="220" w:type="dxa"/>
            <w:vAlign w:val="bottom"/>
          </w:tcPr>
          <w:p>
            <w:pPr>
              <w:spacing w:after="0"/>
              <w:rPr>
                <w:sz w:val="19"/>
                <w:szCs w:val="19"/>
                <w:color w:val="auto"/>
              </w:rPr>
            </w:pPr>
          </w:p>
        </w:tc>
        <w:tc>
          <w:tcPr>
            <w:tcW w:w="1680" w:type="dxa"/>
            <w:vAlign w:val="bottom"/>
          </w:tcPr>
          <w:p>
            <w:pPr>
              <w:jc w:val="center"/>
              <w:ind w:left="747"/>
              <w:spacing w:after="0"/>
              <w:rPr>
                <w:sz w:val="20"/>
                <w:szCs w:val="20"/>
                <w:color w:val="auto"/>
              </w:rPr>
            </w:pPr>
            <w:r>
              <w:rPr>
                <w:rFonts w:ascii="Arial" w:cs="Arial" w:eastAsia="Arial" w:hAnsi="Arial"/>
                <w:sz w:val="15"/>
                <w:szCs w:val="15"/>
                <w:b w:val="1"/>
                <w:bCs w:val="1"/>
                <w:color w:val="auto"/>
              </w:rPr>
              <w:t>(1,438)</w:t>
            </w:r>
          </w:p>
        </w:tc>
        <w:tc>
          <w:tcPr>
            <w:tcW w:w="340" w:type="dxa"/>
            <w:vAlign w:val="bottom"/>
          </w:tcPr>
          <w:p>
            <w:pPr>
              <w:spacing w:after="0"/>
              <w:rPr>
                <w:sz w:val="19"/>
                <w:szCs w:val="19"/>
                <w:color w:val="auto"/>
              </w:rPr>
            </w:pP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(223)</w:t>
            </w:r>
          </w:p>
        </w:tc>
      </w:tr>
      <w:tr>
        <w:trPr>
          <w:trHeight w:val="219"/>
        </w:trPr>
        <w:tc>
          <w:tcPr>
            <w:tcW w:w="7400" w:type="dxa"/>
            <w:vAlign w:val="bottom"/>
          </w:tcPr>
          <w:p>
            <w:pPr>
              <w:spacing w:after="0"/>
              <w:rPr>
                <w:sz w:val="20"/>
                <w:szCs w:val="20"/>
                <w:color w:val="auto"/>
              </w:rPr>
            </w:pPr>
            <w:r>
              <w:rPr>
                <w:rFonts w:ascii="Arial" w:cs="Arial" w:eastAsia="Arial" w:hAnsi="Arial"/>
                <w:sz w:val="15"/>
                <w:szCs w:val="15"/>
                <w:color w:val="auto"/>
              </w:rPr>
              <w:t>Effect of derivatives</w:t>
            </w:r>
          </w:p>
        </w:tc>
        <w:tc>
          <w:tcPr>
            <w:tcW w:w="220" w:type="dxa"/>
            <w:vAlign w:val="bottom"/>
          </w:tcPr>
          <w:p>
            <w:pPr>
              <w:spacing w:after="0"/>
              <w:rPr>
                <w:sz w:val="19"/>
                <w:szCs w:val="19"/>
                <w:color w:val="auto"/>
              </w:rPr>
            </w:pPr>
          </w:p>
        </w:tc>
        <w:tc>
          <w:tcPr>
            <w:tcW w:w="1680" w:type="dxa"/>
            <w:vAlign w:val="bottom"/>
          </w:tcPr>
          <w:p>
            <w:pPr>
              <w:jc w:val="center"/>
              <w:ind w:left="747"/>
              <w:spacing w:after="0"/>
              <w:rPr>
                <w:sz w:val="20"/>
                <w:szCs w:val="20"/>
                <w:color w:val="auto"/>
              </w:rPr>
            </w:pPr>
            <w:r>
              <w:rPr>
                <w:rFonts w:ascii="Arial" w:cs="Arial" w:eastAsia="Arial" w:hAnsi="Arial"/>
                <w:sz w:val="15"/>
                <w:szCs w:val="15"/>
                <w:b w:val="1"/>
                <w:bCs w:val="1"/>
                <w:color w:val="auto"/>
              </w:rPr>
              <w:t>1,568</w:t>
            </w:r>
          </w:p>
        </w:tc>
        <w:tc>
          <w:tcPr>
            <w:tcW w:w="340" w:type="dxa"/>
            <w:vAlign w:val="bottom"/>
          </w:tcPr>
          <w:p>
            <w:pPr>
              <w:spacing w:after="0"/>
              <w:rPr>
                <w:sz w:val="19"/>
                <w:szCs w:val="19"/>
                <w:color w:val="auto"/>
              </w:rPr>
            </w:pPr>
          </w:p>
        </w:tc>
        <w:tc>
          <w:tcPr>
            <w:tcW w:w="1580" w:type="dxa"/>
            <w:vAlign w:val="bottom"/>
          </w:tcPr>
          <w:p>
            <w:pPr>
              <w:jc w:val="right"/>
              <w:ind w:right="85"/>
              <w:spacing w:after="0"/>
              <w:rPr>
                <w:sz w:val="20"/>
                <w:szCs w:val="20"/>
                <w:color w:val="auto"/>
              </w:rPr>
            </w:pPr>
            <w:r>
              <w:rPr>
                <w:rFonts w:ascii="Arial" w:cs="Arial" w:eastAsia="Arial" w:hAnsi="Arial"/>
                <w:sz w:val="15"/>
                <w:szCs w:val="15"/>
                <w:color w:val="auto"/>
              </w:rPr>
              <w:t>879</w:t>
            </w:r>
          </w:p>
        </w:tc>
      </w:tr>
    </w:tbl>
    <w:p>
      <w:pPr>
        <w:spacing w:after="0" w:line="102" w:lineRule="exact"/>
        <w:rPr>
          <w:sz w:val="20"/>
          <w:szCs w:val="20"/>
          <w:color w:val="auto"/>
        </w:rPr>
      </w:pPr>
    </w:p>
    <w:p>
      <w:pPr>
        <w:ind w:left="220" w:hanging="217"/>
        <w:spacing w:after="0"/>
        <w:tabs>
          <w:tab w:leader="none" w:pos="220" w:val="left"/>
        </w:tabs>
        <w:numPr>
          <w:ilvl w:val="0"/>
          <w:numId w:val="44"/>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167"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The preparation of financial statements in accordance with GAAP requires management to make a number of judgments, estimates and assumptions that affect the reported amount of assets, liabilities, income and expenses in our condensed consolidated financial statements. Understanding our accounting policies and the extent to which we use management judgment and estimates in applying these policies is integral to understanding our financial statements. We describe our most significant accounting policies in “Note 1, Summary of Significant Accounting Policies” in this report and in our 2025 Form 10-K.</w:t>
      </w:r>
    </w:p>
    <w:p>
      <w:pPr>
        <w:spacing w:after="0" w:line="23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evaluate our critical accounting estimates and judgments required by our policies on an ongoing basis and update them as necessary based on changing conditions. Management has discussed any significant changes in judgments and assumptions in applying our critical accounting estimates with the Audit Committee of our Board of Directors. See “Risk Factors—General Risk” in our 2025 Form 10-K for a discussion of the risks associated with the need for management to make judgments and estimates in applying our accounting policies and methods. We have identified one of our accounting estimates, allowance for loan losses, as critical because it involves significant judgments and assumptions about highly complex and inherently uncertain matters, and the use of reasonably different judgments and assumptions could have a material impact on our reported results of operations or financial condition.</w:t>
      </w:r>
    </w:p>
    <w:p>
      <w:pPr>
        <w:spacing w:after="0" w:line="9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Allowance for Loan Losses</w:t>
      </w:r>
    </w:p>
    <w:p>
      <w:pPr>
        <w:spacing w:after="0" w:line="102" w:lineRule="exact"/>
        <w:rPr>
          <w:sz w:val="20"/>
          <w:szCs w:val="20"/>
          <w:color w:val="auto"/>
        </w:rPr>
      </w:pPr>
    </w:p>
    <w:p>
      <w:pPr>
        <w:jc w:val="both"/>
        <w:ind w:right="140"/>
        <w:spacing w:after="0" w:line="272" w:lineRule="auto"/>
        <w:rPr>
          <w:sz w:val="20"/>
          <w:szCs w:val="20"/>
          <w:color w:val="auto"/>
        </w:rPr>
      </w:pPr>
      <w:r>
        <w:rPr>
          <w:rFonts w:ascii="Arial" w:cs="Arial" w:eastAsia="Arial" w:hAnsi="Arial"/>
          <w:sz w:val="16"/>
          <w:szCs w:val="16"/>
          <w:color w:val="auto"/>
        </w:rPr>
        <w:t>The allowance for loan losses is an estimate of single-family and multifamily HFI loan receivables that we expect will not be collected related to loans held by Fannie Mae or by consolidated Fannie Mae MBS trusts. The expected credit losses are deducted from the amortized cost basis of HFI loans to present the net amount expected to be received.</w:t>
      </w:r>
    </w:p>
    <w:p>
      <w:pPr>
        <w:spacing w:after="0" w:line="58"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allowance for loan losses involves substantial judgment on a number of matters including the development and weighting of macroeconomic forecasts, the reversion period applied, the assessment of similar risk characteristics, which determines the historic loss experience used to derive probability of loan default, the valuation of collateral, which includes judgments about the property condition at the time of foreclosure, and the determination of a loan’s remaining expected life. Our most significant judgments involved in estimating our allowance for loan losses relate to the modeled macroeconomic data used to develop reasonable and supportable forecasts for key economic drivers, which are subject to significant inherent uncertainty. Most notably, for single-family, the model uses forecasted single-family home prices as well as a range of possible future interest rate environments. For multifamily, the model uses forecasted net operating income and property valuations. In developing a reasonable and supportable forecast, the model simulates multiple paths of interest rates, net operating income and property values based on current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385445</wp:posOffset>
            </wp:positionV>
            <wp:extent cx="70072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48</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51" w:name="page52"/>
    <w:bookmarkEnd w:id="51"/>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Quantitative Component</w:t>
      </w:r>
    </w:p>
    <w:p>
      <w:pPr>
        <w:spacing w:after="0" w:line="106"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We use a discounted cash flow method to measure expected credit losses on our single-family mortgage loans and an undiscounted loss method to measure expected credit losses on our multifamily mortgage loans.</w:t>
      </w:r>
    </w:p>
    <w:p>
      <w:pPr>
        <w:spacing w:after="0" w:line="4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modeled loan performance is based on our historical experience of loans with similar risk characteristics adjusted to reflect current conditions and reasonable and supportable forecasts. Our historical loss experience and our loan loss estimates capture the possibility of a multitude of events, including remote events that could result in credit losses on loans that are considered low risk. Our credit loss models, including the macroeconomic forecast data used as key inputs, are subject to our model oversight and review processes as well as other established governance and controls.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Qualitative Component</w:t>
      </w:r>
    </w:p>
    <w:p>
      <w:pPr>
        <w:spacing w:after="0" w:line="9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process for measuring expected credit losses is complex and involves significant management judgment, including a reliance on historical loss information and current economic forecasts that may not be representative of credit losses we ultimately realize. Management adjustments may be necessary to take into consideration external factors and current macroeconomic events that have occurred but are not yet reflected in the data used to derive the model outputs. Qualitative factors and events not previously observed by the models through historical loss experience may also be considered, as well as the uncertainty of their impact on credit loss estimates.</w:t>
      </w:r>
    </w:p>
    <w:p>
      <w:pPr>
        <w:spacing w:after="0" w:line="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Macroeconomic Variables and Sensitivities</w:t>
      </w:r>
    </w:p>
    <w:p>
      <w:pPr>
        <w:spacing w:after="0" w:line="10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(provision) benefit for credit losses can vary substantially from period to period based on forecasted macroeconomic inputs. For single-family, we have determined that our most significant macroeconomic inputs used in determining our allowance for loan losses consist of forecasted home price growth rates and interest rates. For multifamily, we have determined that our most significant macroeconomic inputs used in determining our allowance for loan losses consist of net operating income and property value growth rates.</w:t>
      </w:r>
    </w:p>
    <w:p>
      <w:pPr>
        <w:spacing w:after="0" w:line="74"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 evaluating the sensitivities of our allowance to these macroeconomic inputs, it is difficult to estimate how potential changes in any one factor or input might affect the overall credit loss estimates, because management considers a wide variety of factors and inputs in estimating the allowance for loan losses. Changes in the factors and inputs considered may not occur at the same rate and may not be consistent across all geographies or loan types, and changes in factors and inputs may be directionally inconsistent, such that improvement in one factor or input may offset deterioration in others. Changes in our assumptions and forecasts of economic conditions could significantly affect our estimate of expected credit losses and lead to significant changes in the estimate from one reporting period to the next.</w:t>
      </w:r>
    </w:p>
    <w:p>
      <w:pPr>
        <w:spacing w:after="0" w:line="4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provide more detailed information on our accounting for the allowance for loan losses in “Note 1, Summary of Significant Accounting Policies” in our 2025 Form 10-K. See “Note 5, Allowance for Credit Losses” for additional information about our current period (provision) benefit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367030</wp:posOffset>
            </wp:positionV>
            <wp:extent cx="70072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49</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52" w:name="page53"/>
    <w:bookmarkEnd w:id="52"/>
    <w:p>
      <w:pPr>
        <w:ind w:left="8840"/>
        <w:spacing w:after="0"/>
        <w:rPr>
          <w:sz w:val="20"/>
          <w:szCs w:val="20"/>
          <w:color w:val="auto"/>
        </w:rPr>
      </w:pPr>
      <w:r>
        <w:rPr>
          <w:rFonts w:ascii="Arial" w:cs="Arial" w:eastAsia="Arial" w:hAnsi="Arial"/>
          <w:sz w:val="13"/>
          <w:szCs w:val="13"/>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Sensitivities and Inputs</w:t>
      </w:r>
    </w:p>
    <w:p>
      <w:pPr>
        <w:spacing w:after="0" w:line="54"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table below provides information about our most significant macroeconomic inputs used in determining our single-family allowance for loan losses: forecasted home price growth rates and interest rates. Although the model consumes a wide range of possible regional home price forecasts and interest rate scenarios that take into account inherent uncertainty, the forecasts below represent the mean path of those simulations used in determining the single-family allowance for each quarter through the nine months ended September 30, 2026, and for each quarter during the year ended December 31, 2025, and how those forecasts have changed between periods of estimate. Below we present our home price growth and interest rate estimates used in our estimate of expected credit losses. Our forecasts include estimates for periods beyond those presented below.</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Single-Family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38670" cy="165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home price growth (decline) rate by period of estimate:</w:t>
      </w:r>
      <w:r>
        <w:rPr>
          <w:rFonts w:ascii="Arial" w:cs="Arial" w:eastAsia="Arial" w:hAnsi="Arial"/>
          <w:sz w:val="20"/>
          <w:szCs w:val="20"/>
          <w:b w:val="1"/>
          <w:bCs w:val="1"/>
          <w:color w:val="auto"/>
          <w:vertAlign w:val="superscript"/>
        </w:rPr>
        <w:t>(2)</w:t>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2026</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2026</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2025</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2025</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2025</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2025</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30-year mortgage interest rates by period of estimate:</w:t>
      </w:r>
      <w:r>
        <w:rPr>
          <w:rFonts w:ascii="Arial" w:cs="Arial" w:eastAsia="Arial" w:hAnsi="Arial"/>
          <w:sz w:val="20"/>
          <w:szCs w:val="20"/>
          <w:b w:val="1"/>
          <w:bCs w:val="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2026</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2026</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2025</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2025</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2025</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2025</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For the Full 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31191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2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8"/>
                <w:szCs w:val="18"/>
                <w:color w:val="auto"/>
              </w:rPr>
            </w:pPr>
          </w:p>
        </w:tc>
        <w:tc>
          <w:tcPr>
            <w:tcW w:w="1480" w:type="dxa"/>
            <w:vAlign w:val="bottom"/>
            <w:tcBorders>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2027</w:t>
            </w:r>
          </w:p>
        </w:tc>
        <w:tc>
          <w:tcPr>
            <w:tcW w:w="100" w:type="dxa"/>
            <w:vAlign w:val="bottom"/>
          </w:tcPr>
          <w:p>
            <w:pPr>
              <w:spacing w:after="0"/>
              <w:rPr>
                <w:sz w:val="18"/>
                <w:szCs w:val="18"/>
                <w:color w:val="auto"/>
              </w:rPr>
            </w:pPr>
          </w:p>
        </w:tc>
        <w:tc>
          <w:tcPr>
            <w:tcW w:w="4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2028</w:t>
            </w:r>
          </w:p>
        </w:tc>
      </w:tr>
      <w:tr>
        <w:trPr>
          <w:trHeight w:val="223"/>
        </w:trPr>
        <w:tc>
          <w:tcPr>
            <w:tcW w:w="1820" w:type="dxa"/>
            <w:vAlign w:val="bottom"/>
          </w:tcPr>
          <w:p>
            <w:pPr>
              <w:ind w:left="1400"/>
              <w:spacing w:after="0"/>
              <w:rPr>
                <w:sz w:val="20"/>
                <w:szCs w:val="20"/>
                <w:color w:val="auto"/>
              </w:rPr>
            </w:pPr>
            <w:r>
              <w:rPr>
                <w:rFonts w:ascii="Arial" w:cs="Arial" w:eastAsia="Arial" w:hAnsi="Arial"/>
                <w:sz w:val="15"/>
                <w:szCs w:val="15"/>
                <w:color w:val="auto"/>
              </w:rPr>
              <w:t>1.7 %</w:t>
            </w:r>
          </w:p>
        </w:tc>
        <w:tc>
          <w:tcPr>
            <w:tcW w:w="80" w:type="dxa"/>
            <w:vAlign w:val="bottom"/>
          </w:tcPr>
          <w:p>
            <w:pPr>
              <w:spacing w:after="0"/>
              <w:rPr>
                <w:sz w:val="19"/>
                <w:szCs w:val="19"/>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0.6 %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1.1 %</w:t>
            </w:r>
          </w:p>
        </w:tc>
      </w:tr>
      <w:tr>
        <w:trPr>
          <w:trHeight w:val="245"/>
        </w:trPr>
        <w:tc>
          <w:tcPr>
            <w:tcW w:w="1820" w:type="dxa"/>
            <w:vAlign w:val="bottom"/>
          </w:tcPr>
          <w:p>
            <w:pPr>
              <w:ind w:left="1400"/>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1"/>
                <w:szCs w:val="21"/>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1.4</w:t>
            </w:r>
          </w:p>
        </w:tc>
      </w:tr>
      <w:tr>
        <w:trPr>
          <w:trHeight w:val="245"/>
        </w:trPr>
        <w:tc>
          <w:tcPr>
            <w:tcW w:w="1820" w:type="dxa"/>
            <w:vAlign w:val="bottom"/>
          </w:tcPr>
          <w:p>
            <w:pPr>
              <w:ind w:left="1400"/>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21"/>
                <w:szCs w:val="21"/>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1.4</w:t>
            </w:r>
          </w:p>
        </w:tc>
      </w:tr>
      <w:tr>
        <w:trPr>
          <w:trHeight w:val="501"/>
        </w:trPr>
        <w:tc>
          <w:tcPr>
            <w:tcW w:w="3960" w:type="dxa"/>
            <w:vAlign w:val="bottom"/>
            <w:tcBorders>
              <w:bottom w:val="single" w:sz="8" w:color="2C6937"/>
            </w:tcBorders>
            <w:gridSpan w:val="5"/>
          </w:tcPr>
          <w:p>
            <w:pPr>
              <w:ind w:left="1040"/>
              <w:spacing w:after="0"/>
              <w:rPr>
                <w:sz w:val="20"/>
                <w:szCs w:val="20"/>
                <w:color w:val="auto"/>
              </w:rPr>
            </w:pPr>
            <w:r>
              <w:rPr>
                <w:rFonts w:ascii="Arial" w:cs="Arial" w:eastAsia="Arial" w:hAnsi="Arial"/>
                <w:sz w:val="15"/>
                <w:szCs w:val="15"/>
                <w:b w:val="1"/>
                <w:bCs w:val="1"/>
                <w:color w:val="auto"/>
              </w:rPr>
              <w:t>For the Full Year ending December 31,</w:t>
            </w:r>
          </w:p>
        </w:tc>
        <w:tc>
          <w:tcPr>
            <w:tcW w:w="940" w:type="dxa"/>
            <w:vAlign w:val="bottom"/>
            <w:tcBorders>
              <w:bottom w:val="single" w:sz="8" w:color="2C6937"/>
            </w:tcBorders>
          </w:tcPr>
          <w:p>
            <w:pPr>
              <w:spacing w:after="0"/>
              <w:rPr>
                <w:sz w:val="24"/>
                <w:szCs w:val="24"/>
                <w:color w:val="auto"/>
              </w:rPr>
            </w:pPr>
          </w:p>
        </w:tc>
      </w:tr>
      <w:tr>
        <w:trPr>
          <w:trHeight w:val="215"/>
        </w:trPr>
        <w:tc>
          <w:tcPr>
            <w:tcW w:w="182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8"/>
                <w:szCs w:val="18"/>
                <w:color w:val="auto"/>
              </w:rPr>
            </w:pPr>
          </w:p>
        </w:tc>
        <w:tc>
          <w:tcPr>
            <w:tcW w:w="1480" w:type="dxa"/>
            <w:vAlign w:val="bottom"/>
            <w:tcBorders>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8"/>
                <w:szCs w:val="18"/>
                <w:color w:val="auto"/>
              </w:rPr>
            </w:pPr>
          </w:p>
        </w:tc>
        <w:tc>
          <w:tcPr>
            <w:tcW w:w="4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2027</w:t>
            </w:r>
          </w:p>
        </w:tc>
      </w:tr>
      <w:tr>
        <w:trPr>
          <w:trHeight w:val="223"/>
        </w:trPr>
        <w:tc>
          <w:tcPr>
            <w:tcW w:w="1820" w:type="dxa"/>
            <w:vAlign w:val="bottom"/>
          </w:tcPr>
          <w:p>
            <w:pPr>
              <w:ind w:left="1400"/>
              <w:spacing w:after="0"/>
              <w:rPr>
                <w:sz w:val="20"/>
                <w:szCs w:val="20"/>
                <w:color w:val="auto"/>
              </w:rPr>
            </w:pPr>
            <w:r>
              <w:rPr>
                <w:rFonts w:ascii="Arial" w:cs="Arial" w:eastAsia="Arial" w:hAnsi="Arial"/>
                <w:sz w:val="15"/>
                <w:szCs w:val="15"/>
                <w:color w:val="auto"/>
              </w:rPr>
              <w:t>2.7 %</w:t>
            </w:r>
          </w:p>
        </w:tc>
        <w:tc>
          <w:tcPr>
            <w:tcW w:w="80" w:type="dxa"/>
            <w:vAlign w:val="bottom"/>
          </w:tcPr>
          <w:p>
            <w:pPr>
              <w:spacing w:after="0"/>
              <w:rPr>
                <w:sz w:val="19"/>
                <w:szCs w:val="19"/>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2.4 %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2.2 %</w:t>
            </w:r>
          </w:p>
        </w:tc>
      </w:tr>
      <w:tr>
        <w:trPr>
          <w:trHeight w:val="245"/>
        </w:trPr>
        <w:tc>
          <w:tcPr>
            <w:tcW w:w="1820" w:type="dxa"/>
            <w:vAlign w:val="bottom"/>
          </w:tcPr>
          <w:p>
            <w:pPr>
              <w:ind w:left="1400"/>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1"/>
                <w:szCs w:val="21"/>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1.2</w:t>
            </w:r>
          </w:p>
        </w:tc>
      </w:tr>
      <w:tr>
        <w:trPr>
          <w:trHeight w:val="245"/>
        </w:trPr>
        <w:tc>
          <w:tcPr>
            <w:tcW w:w="1820" w:type="dxa"/>
            <w:vAlign w:val="bottom"/>
          </w:tcPr>
          <w:p>
            <w:pPr>
              <w:ind w:left="1400"/>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21"/>
                <w:szCs w:val="21"/>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1.1</w:t>
            </w:r>
          </w:p>
        </w:tc>
      </w:tr>
      <w:tr>
        <w:trPr>
          <w:trHeight w:val="245"/>
        </w:trPr>
        <w:tc>
          <w:tcPr>
            <w:tcW w:w="1820" w:type="dxa"/>
            <w:vAlign w:val="bottom"/>
          </w:tcPr>
          <w:p>
            <w:pPr>
              <w:ind w:left="1400"/>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21"/>
                <w:szCs w:val="21"/>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1.3</w:t>
            </w:r>
          </w:p>
        </w:tc>
      </w:tr>
      <w:tr>
        <w:trPr>
          <w:trHeight w:val="555"/>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Through the end of</w:t>
            </w:r>
          </w:p>
        </w:tc>
        <w:tc>
          <w:tcPr>
            <w:tcW w:w="30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900" w:type="dxa"/>
            <w:vAlign w:val="bottom"/>
            <w:tcBorders>
              <w:bottom w:val="single" w:sz="8" w:color="2C6937"/>
            </w:tcBorders>
            <w:gridSpan w:val="2"/>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2060" w:type="dxa"/>
            <w:vAlign w:val="bottom"/>
            <w:tcBorders>
              <w:bottom w:val="single" w:sz="8" w:color="2C6937"/>
            </w:tcBorders>
            <w:gridSpan w:val="3"/>
          </w:tcPr>
          <w:p>
            <w:pPr>
              <w:jc w:val="center"/>
              <w:ind w:left="86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Borders>
              <w:bottom w:val="single" w:sz="8" w:color="2C6937"/>
            </w:tcBorders>
          </w:tcPr>
          <w:p>
            <w:pPr>
              <w:spacing w:after="0"/>
              <w:rPr>
                <w:sz w:val="19"/>
                <w:szCs w:val="19"/>
                <w:color w:val="auto"/>
              </w:rPr>
            </w:pPr>
          </w:p>
        </w:tc>
      </w:tr>
      <w:tr>
        <w:trPr>
          <w:trHeight w:val="219"/>
        </w:trPr>
        <w:tc>
          <w:tcPr>
            <w:tcW w:w="182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9"/>
                <w:szCs w:val="19"/>
                <w:color w:val="auto"/>
              </w:rPr>
            </w:pPr>
          </w:p>
        </w:tc>
        <w:tc>
          <w:tcPr>
            <w:tcW w:w="1480" w:type="dxa"/>
            <w:vAlign w:val="bottom"/>
            <w:tcBorders>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2027</w:t>
            </w:r>
          </w:p>
        </w:tc>
        <w:tc>
          <w:tcPr>
            <w:tcW w:w="100" w:type="dxa"/>
            <w:vAlign w:val="bottom"/>
          </w:tcPr>
          <w:p>
            <w:pPr>
              <w:spacing w:after="0"/>
              <w:rPr>
                <w:sz w:val="19"/>
                <w:szCs w:val="19"/>
                <w:color w:val="auto"/>
              </w:rPr>
            </w:pPr>
          </w:p>
        </w:tc>
        <w:tc>
          <w:tcPr>
            <w:tcW w:w="4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2028</w:t>
            </w:r>
          </w:p>
        </w:tc>
      </w:tr>
      <w:tr>
        <w:trPr>
          <w:trHeight w:val="223"/>
        </w:trPr>
        <w:tc>
          <w:tcPr>
            <w:tcW w:w="1820" w:type="dxa"/>
            <w:vAlign w:val="bottom"/>
          </w:tcPr>
          <w:p>
            <w:pPr>
              <w:ind w:left="1400"/>
              <w:spacing w:after="0"/>
              <w:rPr>
                <w:sz w:val="20"/>
                <w:szCs w:val="20"/>
                <w:color w:val="auto"/>
              </w:rPr>
            </w:pPr>
            <w:r>
              <w:rPr>
                <w:rFonts w:ascii="Arial" w:cs="Arial" w:eastAsia="Arial" w:hAnsi="Arial"/>
                <w:sz w:val="15"/>
                <w:szCs w:val="15"/>
                <w:color w:val="auto"/>
              </w:rPr>
              <w:t>7.5 %</w:t>
            </w:r>
          </w:p>
        </w:tc>
        <w:tc>
          <w:tcPr>
            <w:tcW w:w="80" w:type="dxa"/>
            <w:vAlign w:val="bottom"/>
          </w:tcPr>
          <w:p>
            <w:pPr>
              <w:spacing w:after="0"/>
              <w:rPr>
                <w:sz w:val="19"/>
                <w:szCs w:val="19"/>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7.7 %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7.8 %</w:t>
            </w:r>
          </w:p>
        </w:tc>
      </w:tr>
      <w:tr>
        <w:trPr>
          <w:trHeight w:val="245"/>
        </w:trPr>
        <w:tc>
          <w:tcPr>
            <w:tcW w:w="1820" w:type="dxa"/>
            <w:vAlign w:val="bottom"/>
          </w:tcPr>
          <w:p>
            <w:pPr>
              <w:ind w:left="1400"/>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21"/>
                <w:szCs w:val="21"/>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6.4</w:t>
            </w:r>
          </w:p>
        </w:tc>
      </w:tr>
      <w:tr>
        <w:trPr>
          <w:trHeight w:val="245"/>
        </w:trPr>
        <w:tc>
          <w:tcPr>
            <w:tcW w:w="1820" w:type="dxa"/>
            <w:vAlign w:val="bottom"/>
          </w:tcPr>
          <w:p>
            <w:pPr>
              <w:ind w:left="1400"/>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21"/>
                <w:szCs w:val="21"/>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6.3</w:t>
            </w:r>
          </w:p>
        </w:tc>
      </w:tr>
      <w:tr>
        <w:trPr>
          <w:trHeight w:val="464"/>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Through the end of</w:t>
            </w:r>
          </w:p>
        </w:tc>
        <w:tc>
          <w:tcPr>
            <w:tcW w:w="30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2060" w:type="dxa"/>
            <w:vAlign w:val="bottom"/>
            <w:gridSpan w:val="3"/>
          </w:tcPr>
          <w:p>
            <w:pPr>
              <w:jc w:val="center"/>
              <w:ind w:left="86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19"/>
        </w:trPr>
        <w:tc>
          <w:tcPr>
            <w:tcW w:w="182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9"/>
                <w:szCs w:val="19"/>
                <w:color w:val="auto"/>
              </w:rPr>
            </w:pPr>
          </w:p>
        </w:tc>
        <w:tc>
          <w:tcPr>
            <w:tcW w:w="1480" w:type="dxa"/>
            <w:vAlign w:val="bottom"/>
            <w:tcBorders>
              <w:top w:val="single" w:sz="8" w:color="2C6937"/>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2C6937"/>
            </w:tcBorders>
          </w:tcPr>
          <w:p>
            <w:pPr>
              <w:spacing w:after="0"/>
              <w:rPr>
                <w:sz w:val="19"/>
                <w:szCs w:val="19"/>
                <w:color w:val="auto"/>
              </w:rPr>
            </w:pPr>
          </w:p>
        </w:tc>
        <w:tc>
          <w:tcPr>
            <w:tcW w:w="480" w:type="dxa"/>
            <w:vAlign w:val="bottom"/>
            <w:tcBorders>
              <w:top w:val="single" w:sz="8" w:color="2C6937"/>
              <w:bottom w:val="single" w:sz="8" w:color="2C6937"/>
            </w:tcBorders>
          </w:tcPr>
          <w:p>
            <w:pPr>
              <w:spacing w:after="0"/>
              <w:rPr>
                <w:sz w:val="19"/>
                <w:szCs w:val="19"/>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2027</w:t>
            </w:r>
          </w:p>
        </w:tc>
      </w:tr>
      <w:tr>
        <w:trPr>
          <w:trHeight w:val="223"/>
        </w:trPr>
        <w:tc>
          <w:tcPr>
            <w:tcW w:w="1820" w:type="dxa"/>
            <w:vAlign w:val="bottom"/>
          </w:tcPr>
          <w:p>
            <w:pPr>
              <w:ind w:left="1400"/>
              <w:spacing w:after="0"/>
              <w:rPr>
                <w:sz w:val="20"/>
                <w:szCs w:val="20"/>
                <w:color w:val="auto"/>
              </w:rPr>
            </w:pPr>
            <w:r>
              <w:rPr>
                <w:rFonts w:ascii="Arial" w:cs="Arial" w:eastAsia="Arial" w:hAnsi="Arial"/>
                <w:sz w:val="15"/>
                <w:szCs w:val="15"/>
                <w:color w:val="auto"/>
              </w:rPr>
              <w:t>6.3 %</w:t>
            </w:r>
          </w:p>
        </w:tc>
        <w:tc>
          <w:tcPr>
            <w:tcW w:w="80" w:type="dxa"/>
            <w:vAlign w:val="bottom"/>
          </w:tcPr>
          <w:p>
            <w:pPr>
              <w:spacing w:after="0"/>
              <w:rPr>
                <w:sz w:val="19"/>
                <w:szCs w:val="19"/>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6.2 %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6.2 %</w:t>
            </w:r>
          </w:p>
        </w:tc>
      </w:tr>
      <w:tr>
        <w:trPr>
          <w:trHeight w:val="245"/>
        </w:trPr>
        <w:tc>
          <w:tcPr>
            <w:tcW w:w="1820" w:type="dxa"/>
            <w:vAlign w:val="bottom"/>
          </w:tcPr>
          <w:p>
            <w:pPr>
              <w:ind w:left="1400"/>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21"/>
                <w:szCs w:val="21"/>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6.1</w:t>
            </w:r>
          </w:p>
        </w:tc>
      </w:tr>
      <w:tr>
        <w:trPr>
          <w:trHeight w:val="245"/>
        </w:trPr>
        <w:tc>
          <w:tcPr>
            <w:tcW w:w="1820" w:type="dxa"/>
            <w:vAlign w:val="bottom"/>
          </w:tcPr>
          <w:p>
            <w:pPr>
              <w:ind w:left="140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21"/>
                <w:szCs w:val="21"/>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6.3</w:t>
            </w:r>
          </w:p>
        </w:tc>
      </w:tr>
      <w:tr>
        <w:trPr>
          <w:trHeight w:val="245"/>
        </w:trPr>
        <w:tc>
          <w:tcPr>
            <w:tcW w:w="1820" w:type="dxa"/>
            <w:vAlign w:val="bottom"/>
          </w:tcPr>
          <w:p>
            <w:pPr>
              <w:ind w:left="1400"/>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21"/>
                <w:szCs w:val="21"/>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6.3</w:t>
            </w:r>
          </w:p>
        </w:tc>
      </w:tr>
    </w:tbl>
    <w:p>
      <w:pPr>
        <w:spacing w:after="0" w:line="110" w:lineRule="exact"/>
        <w:rPr>
          <w:sz w:val="20"/>
          <w:szCs w:val="20"/>
          <w:color w:val="auto"/>
        </w:rPr>
      </w:pPr>
    </w:p>
    <w:p>
      <w:pPr>
        <w:sectPr>
          <w:pgSz w:w="11900" w:h="16838" w:orient="portrait"/>
          <w:cols w:equalWidth="0" w:num="2">
            <w:col w:w="5620" w:space="720"/>
            <w:col w:w="4900"/>
          </w:cols>
          <w:pgMar w:left="320" w:top="261" w:right="339" w:bottom="1440" w:gutter="0" w:footer="0" w:header="0"/>
          <w:type w:val="continuous"/>
        </w:sectPr>
      </w:pPr>
    </w:p>
    <w:p>
      <w:pPr>
        <w:ind w:left="240" w:right="120" w:hanging="237"/>
        <w:spacing w:after="0" w:line="259" w:lineRule="auto"/>
        <w:tabs>
          <w:tab w:leader="none" w:pos="233" w:val="left"/>
        </w:tabs>
        <w:numPr>
          <w:ilvl w:val="0"/>
          <w:numId w:val="45"/>
        </w:numPr>
        <w:rPr>
          <w:rFonts w:ascii="Arial" w:cs="Arial" w:eastAsia="Arial" w:hAnsi="Arial"/>
          <w:sz w:val="9"/>
          <w:szCs w:val="9"/>
          <w:color w:val="auto"/>
        </w:rPr>
      </w:pPr>
      <w:r>
        <w:rPr>
          <w:rFonts w:ascii="Arial" w:cs="Arial" w:eastAsia="Arial" w:hAnsi="Arial"/>
          <w:sz w:val="14"/>
          <w:szCs w:val="14"/>
          <w:color w:val="auto"/>
        </w:rPr>
        <w:t>These forecasts are provided solely for the purpose of providing insight into our credit loss model. Forecasts for future periods are subject to significant uncertainty, which increases for periods that are further in the future. We provide our most recent forecasts for certain macroeconomic and housing market conditions in “Key Market Economic Indicators.” In addition, each month our Economic and Strategic Research Group provides its economic and housing forecasts, which are available in the “Data and Insights” section of our website, www.fanniemae.com. Information on our website is not incorporated into this report.</w:t>
      </w:r>
    </w:p>
    <w:p>
      <w:pPr>
        <w:spacing w:after="0" w:line="1" w:lineRule="exact"/>
        <w:rPr>
          <w:rFonts w:ascii="Arial" w:cs="Arial" w:eastAsia="Arial" w:hAnsi="Arial"/>
          <w:sz w:val="9"/>
          <w:szCs w:val="9"/>
          <w:color w:val="auto"/>
        </w:rPr>
      </w:pPr>
    </w:p>
    <w:p>
      <w:pPr>
        <w:ind w:left="240" w:right="20" w:hanging="237"/>
        <w:spacing w:after="0" w:line="251" w:lineRule="auto"/>
        <w:tabs>
          <w:tab w:leader="none" w:pos="233" w:val="left"/>
        </w:tabs>
        <w:numPr>
          <w:ilvl w:val="0"/>
          <w:numId w:val="45"/>
        </w:numPr>
        <w:rPr>
          <w:rFonts w:ascii="Arial" w:cs="Arial" w:eastAsia="Arial" w:hAnsi="Arial"/>
          <w:sz w:val="9"/>
          <w:szCs w:val="9"/>
          <w:color w:val="auto"/>
        </w:rPr>
      </w:pPr>
      <w:r>
        <w:rPr>
          <w:rFonts w:ascii="Arial" w:cs="Arial" w:eastAsia="Arial" w:hAnsi="Arial"/>
          <w:sz w:val="14"/>
          <w:szCs w:val="14"/>
          <w:color w:val="auto"/>
        </w:rPr>
        <w:t>These estimates are based on our national home price index, which is calculated differently from the S&amp;P Cotality Case-Shiller U.S. National Home Price Index and therefore results in different percentages for comparable growth. We periodically update our home price growth estimates and forecasts as new data become available. The forecast data in this table may also differ from the forecasted home price growth rate presented in “Key Market Economic Indicators,” because that section reflects our most recent forecast as of the filing date of this report, while this table reflects the quantitative forecast data we used in our model to estimate credit losses for the periods shown. Management continues to monitor macroeconomic updates to our inputs in our credit loss model from the time they are approved as part of our established governance process to assess the reasonableness of the inputs used to calculate estimated credit losses. The forecast data excludes the impact of any qualitative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394970</wp:posOffset>
            </wp:positionV>
            <wp:extent cx="70072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50</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53" w:name="page54"/>
    <w:bookmarkEnd w:id="53"/>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right="20" w:hanging="237"/>
        <w:spacing w:after="0" w:line="233" w:lineRule="auto"/>
        <w:tabs>
          <w:tab w:leader="none" w:pos="233"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Forecasted 30-year interest rates represent the mean of possible future interest rate environments that are simulated by our interest rate model and used in the estimation of credit losses. Forecasts through the end of December 31, 2026 and 2025 represent the average forecasted rate from the quarter-end through the calendar year-end of December 31st. The fourth quarter of 2025 interest rate represents the 30-year interest rate as of December 31, 2025. This table reflects the forecasted interest rate data we used in estimating credit losses for the periods shown and does not reflect changes in interest rates that occurred after the forecast date.</w:t>
      </w:r>
    </w:p>
    <w:p>
      <w:pPr>
        <w:spacing w:after="0" w:line="5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noted above, our single-family allowance for loan losses is sensitive to changes in home prices and interest rate changes. We present in the table below the impact of hypothetical changes in home prices and 30-year interest rates, with all other factors held constant.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Sensitivities - Hypothetical Changes to Model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38735</wp:posOffset>
            </wp:positionV>
            <wp:extent cx="7122160" cy="165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Forecasted change to the first 12 months of the forecast:</w:t>
            </w:r>
          </w:p>
        </w:tc>
        <w:tc>
          <w:tcPr>
            <w:tcW w:w="160" w:type="dxa"/>
            <w:vAlign w:val="bottom"/>
          </w:tcPr>
          <w:p>
            <w:pPr>
              <w:spacing w:after="0"/>
              <w:rPr>
                <w:sz w:val="14"/>
                <w:szCs w:val="14"/>
                <w:color w:val="auto"/>
              </w:rPr>
            </w:pPr>
          </w:p>
        </w:tc>
        <w:tc>
          <w:tcPr>
            <w:tcW w:w="21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Allowance Impact</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8"/>
              </w:rPr>
              <w:t>Approximate Change in Allowance</w:t>
            </w:r>
          </w:p>
        </w:tc>
        <w:tc>
          <w:tcPr>
            <w:tcW w:w="0" w:type="dxa"/>
            <w:vAlign w:val="bottom"/>
          </w:tcPr>
          <w:p>
            <w:pPr>
              <w:spacing w:after="0"/>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9"/>
              </w:rPr>
              <w:t>as of September 30, 2026</w:t>
            </w:r>
            <w:r>
              <w:rPr>
                <w:rFonts w:ascii="Arial" w:cs="Arial" w:eastAsia="Arial" w:hAnsi="Arial"/>
                <w:sz w:val="8"/>
                <w:szCs w:val="8"/>
                <w:b w:val="1"/>
                <w:bCs w:val="1"/>
                <w:color w:val="auto"/>
                <w:w w:val="99"/>
              </w:rPr>
              <w:t>(1)</w:t>
            </w:r>
          </w:p>
        </w:tc>
        <w:tc>
          <w:tcPr>
            <w:tcW w:w="0" w:type="dxa"/>
            <w:vAlign w:val="bottom"/>
          </w:tcPr>
          <w:p>
            <w:pPr>
              <w:spacing w:after="0"/>
              <w:rPr>
                <w:sz w:val="1"/>
                <w:szCs w:val="1"/>
                <w:color w:val="auto"/>
              </w:rPr>
            </w:pPr>
          </w:p>
        </w:tc>
      </w:tr>
      <w:tr>
        <w:trPr>
          <w:trHeight w:val="186"/>
        </w:trPr>
        <w:tc>
          <w:tcPr>
            <w:tcW w:w="5580" w:type="dxa"/>
            <w:vAlign w:val="bottom"/>
          </w:tcPr>
          <w:p>
            <w:pPr>
              <w:jc w:val="right"/>
              <w:ind w:right="2004"/>
              <w:spacing w:after="0"/>
              <w:rPr>
                <w:sz w:val="20"/>
                <w:szCs w:val="20"/>
                <w:color w:val="auto"/>
              </w:rPr>
            </w:pPr>
            <w:r>
              <w:rPr>
                <w:rFonts w:ascii="Arial" w:cs="Arial" w:eastAsia="Arial" w:hAnsi="Arial"/>
                <w:sz w:val="14"/>
                <w:szCs w:val="14"/>
                <w:b w:val="1"/>
                <w:bCs w:val="1"/>
                <w:color w:val="auto"/>
              </w:rPr>
              <w:t>(In percentage points)</w:t>
            </w:r>
          </w:p>
        </w:tc>
        <w:tc>
          <w:tcPr>
            <w:tcW w:w="160" w:type="dxa"/>
            <w:vAlign w:val="bottom"/>
          </w:tcPr>
          <w:p>
            <w:pPr>
              <w:spacing w:after="0"/>
              <w:rPr>
                <w:sz w:val="16"/>
                <w:szCs w:val="16"/>
                <w:color w:val="auto"/>
              </w:rPr>
            </w:pPr>
          </w:p>
        </w:tc>
        <w:tc>
          <w:tcPr>
            <w:tcW w:w="2000" w:type="dxa"/>
            <w:vAlign w:val="bottom"/>
            <w:tcBorders>
              <w:top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580" w:type="dxa"/>
            <w:vAlign w:val="bottom"/>
            <w:tcBorders>
              <w:bottom w:val="single" w:sz="8" w:color="2C6937"/>
            </w:tcBorders>
          </w:tcPr>
          <w:p>
            <w:pPr>
              <w:ind w:left="20"/>
              <w:spacing w:after="0" w:line="221" w:lineRule="exact"/>
              <w:rPr>
                <w:sz w:val="20"/>
                <w:szCs w:val="20"/>
                <w:color w:val="auto"/>
              </w:rPr>
            </w:pPr>
            <w:r>
              <w:rPr>
                <w:rFonts w:ascii="Arial" w:cs="Arial" w:eastAsia="Arial" w:hAnsi="Arial"/>
                <w:sz w:val="15"/>
                <w:szCs w:val="15"/>
                <w:color w:val="auto"/>
              </w:rPr>
              <w:t>Change in home prices growth rate:</w:t>
            </w:r>
            <w:r>
              <w:rPr>
                <w:rFonts w:ascii="Arial" w:cs="Arial" w:eastAsia="Arial" w:hAnsi="Arial"/>
                <w:sz w:val="20"/>
                <w:szCs w:val="20"/>
                <w:color w:val="auto"/>
                <w:vertAlign w:val="superscript"/>
              </w:rPr>
              <w:t>(2)</w:t>
            </w: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26"/>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30-year interest rates:</w:t>
            </w: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4884"/>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58"/>
        </w:trPr>
        <w:tc>
          <w:tcPr>
            <w:tcW w:w="5580" w:type="dxa"/>
            <w:vAlign w:val="bottom"/>
          </w:tcPr>
          <w:p>
            <w:pPr>
              <w:jc w:val="right"/>
              <w:ind w:right="4884"/>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-923290</wp:posOffset>
            </wp:positionV>
            <wp:extent cx="90170" cy="1066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-759460</wp:posOffset>
            </wp:positionV>
            <wp:extent cx="98425" cy="1066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-325755</wp:posOffset>
            </wp:positionV>
            <wp:extent cx="98425" cy="1066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-161925</wp:posOffset>
            </wp:positionV>
            <wp:extent cx="90170" cy="1066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0170" cy="106680"/>
                    </a:xfrm>
                    <a:prstGeom prst="rect">
                      <a:avLst/>
                    </a:prstGeom>
                    <a:noFill/>
                  </pic:spPr>
                </pic:pic>
              </a:graphicData>
            </a:graphic>
          </wp:anchor>
        </w:drawing>
      </w:r>
    </w:p>
    <w:p>
      <w:pPr>
        <w:spacing w:after="0" w:line="90" w:lineRule="exact"/>
        <w:rPr>
          <w:sz w:val="20"/>
          <w:szCs w:val="20"/>
          <w:color w:val="auto"/>
        </w:rPr>
      </w:pPr>
    </w:p>
    <w:p>
      <w:pPr>
        <w:ind w:left="300" w:hanging="297"/>
        <w:spacing w:after="0"/>
        <w:tabs>
          <w:tab w:leader="none" w:pos="300" w:val="left"/>
        </w:tabs>
        <w:numPr>
          <w:ilvl w:val="0"/>
          <w:numId w:val="47"/>
        </w:numPr>
        <w:rPr>
          <w:rFonts w:ascii="Arial" w:cs="Arial" w:eastAsia="Arial" w:hAnsi="Arial"/>
          <w:sz w:val="9"/>
          <w:szCs w:val="9"/>
          <w:color w:val="auto"/>
        </w:rPr>
      </w:pPr>
      <w:r>
        <w:rPr>
          <w:rFonts w:ascii="Arial" w:cs="Arial" w:eastAsia="Arial" w:hAnsi="Arial"/>
          <w:sz w:val="14"/>
          <w:szCs w:val="14"/>
          <w:color w:val="auto"/>
        </w:rPr>
        <w:t>Calculated as a percentage of our single-family allowance for loan losses.</w:t>
      </w:r>
    </w:p>
    <w:p>
      <w:pPr>
        <w:spacing w:after="0" w:line="19" w:lineRule="exact"/>
        <w:rPr>
          <w:rFonts w:ascii="Arial" w:cs="Arial" w:eastAsia="Arial" w:hAnsi="Arial"/>
          <w:sz w:val="9"/>
          <w:szCs w:val="9"/>
          <w:color w:val="auto"/>
        </w:rPr>
      </w:pPr>
    </w:p>
    <w:p>
      <w:pPr>
        <w:ind w:left="300" w:hanging="297"/>
        <w:spacing w:after="0"/>
        <w:tabs>
          <w:tab w:leader="none" w:pos="30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Change in home price shown on a normalized basis.</w:t>
      </w:r>
    </w:p>
    <w:p>
      <w:pPr>
        <w:spacing w:after="0" w:line="5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above sensitivity analyses are hypothetical and are provided solely for the purpose of providing insight into our credit loss model inputs. In addition, sensitivities for home price and interest rate changes are non-linear. As a result, changes in these estimates are not always incrementally proportional. The purpose of this analysis is to provide an indication of the impact of changes in home prices and 30-year interest rates on the estimate of the single-family allowance for credit losses. This analysis is not intended to imply management’s expectation of future changes in our forecasts or any other variables that may change as a result.</w:t>
      </w:r>
    </w:p>
    <w:p>
      <w:pPr>
        <w:spacing w:after="0" w:line="38"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See “Key Market Economic Indicators” in our 2025 Form 10-K and in this report for additional information about how home prices and interest rates can affect our credit loss estimates, including a discussion of home price growth rates and our home price forecast. Also see “Consolidated Results of Operations—(Provision) Benefit for Credit Losses” for information on how our home price forecast and interest rate forecast impacted our single-family (provision) benefit for credit losses.</w:t>
      </w:r>
    </w:p>
    <w:p>
      <w:pPr>
        <w:spacing w:after="0" w:line="8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Sensitivities and Inputs</w:t>
      </w:r>
    </w:p>
    <w:p>
      <w:pPr>
        <w:spacing w:after="0" w:line="67"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table below provides information about our most significant macroeconomic inputs used in determining our multifamily allowance for loan losses: multifamily property net operating income and property value growth rates. Although the model consumes a wide range of possible future economic scenarios, the forecasts below represent the mean path of those simulations used in determining the multifamily allowance for the quarter ended September 30, 2026, and for the quarter ended December 31, 2025, and how those forecasts have changed between periods of estimate. Our forecasts include estimates for periods beyond those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389890</wp:posOffset>
            </wp:positionV>
            <wp:extent cx="70072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51</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54" w:name="page55"/>
    <w:bookmarkEnd w:id="54"/>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Multifamily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080885" cy="165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80885" cy="16510"/>
                    </a:xfrm>
                    <a:prstGeom prst="rect">
                      <a:avLst/>
                    </a:prstGeom>
                    <a:noFill/>
                  </pic:spPr>
                </pic:pic>
              </a:graphicData>
            </a:graphic>
          </wp:anchor>
        </w:drawing>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780" w:type="dxa"/>
            <w:vAlign w:val="bottom"/>
            <w:gridSpan w:val="4"/>
          </w:tcPr>
          <w:p>
            <w:pPr>
              <w:spacing w:after="0"/>
              <w:rPr>
                <w:sz w:val="20"/>
                <w:szCs w:val="20"/>
                <w:color w:val="auto"/>
              </w:rPr>
            </w:pPr>
            <w:r>
              <w:rPr>
                <w:rFonts w:ascii="Arial" w:cs="Arial" w:eastAsia="Arial" w:hAnsi="Arial"/>
                <w:sz w:val="15"/>
                <w:szCs w:val="15"/>
                <w:b w:val="1"/>
                <w:bCs w:val="1"/>
                <w:color w:val="auto"/>
              </w:rPr>
              <w:t>Forecasted net operating income growth (decline) rate by period of estimate: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48"/>
        </w:trPr>
        <w:tc>
          <w:tcPr>
            <w:tcW w:w="3520" w:type="dxa"/>
            <w:vAlign w:val="bottom"/>
          </w:tcPr>
          <w:p>
            <w:pPr>
              <w:spacing w:after="0"/>
              <w:rPr>
                <w:sz w:val="21"/>
                <w:szCs w:val="21"/>
                <w:color w:val="auto"/>
              </w:rPr>
            </w:pPr>
          </w:p>
        </w:tc>
        <w:tc>
          <w:tcPr>
            <w:tcW w:w="1840" w:type="dxa"/>
            <w:vAlign w:val="bottom"/>
            <w:tcBorders>
              <w:bottom w:val="single" w:sz="8" w:color="2C6937"/>
            </w:tcBorders>
          </w:tcPr>
          <w:p>
            <w:pPr>
              <w:spacing w:after="0"/>
              <w:rPr>
                <w:sz w:val="21"/>
                <w:szCs w:val="21"/>
                <w:color w:val="auto"/>
              </w:rPr>
            </w:pPr>
          </w:p>
        </w:tc>
        <w:tc>
          <w:tcPr>
            <w:tcW w:w="80" w:type="dxa"/>
            <w:vAlign w:val="bottom"/>
            <w:tcBorders>
              <w:bottom w:val="single" w:sz="8" w:color="2C6937"/>
            </w:tcBorders>
          </w:tcPr>
          <w:p>
            <w:pPr>
              <w:spacing w:after="0"/>
              <w:rPr>
                <w:sz w:val="21"/>
                <w:szCs w:val="21"/>
                <w:color w:val="auto"/>
              </w:rPr>
            </w:pPr>
          </w:p>
        </w:tc>
        <w:tc>
          <w:tcPr>
            <w:tcW w:w="340" w:type="dxa"/>
            <w:vAlign w:val="bottom"/>
            <w:tcBorders>
              <w:bottom w:val="single" w:sz="8" w:color="2C6937"/>
            </w:tcBorders>
          </w:tcPr>
          <w:p>
            <w:pPr>
              <w:spacing w:after="0"/>
              <w:rPr>
                <w:sz w:val="21"/>
                <w:szCs w:val="21"/>
                <w:color w:val="auto"/>
              </w:rPr>
            </w:pPr>
          </w:p>
        </w:tc>
        <w:tc>
          <w:tcPr>
            <w:tcW w:w="3520" w:type="dxa"/>
            <w:vAlign w:val="bottom"/>
            <w:tcBorders>
              <w:bottom w:val="single" w:sz="8" w:color="2C6937"/>
            </w:tcBorders>
            <w:gridSpan w:val="4"/>
          </w:tcPr>
          <w:p>
            <w:pPr>
              <w:ind w:left="140"/>
              <w:spacing w:after="0"/>
              <w:rPr>
                <w:sz w:val="20"/>
                <w:szCs w:val="20"/>
                <w:color w:val="auto"/>
              </w:rPr>
            </w:pPr>
            <w:r>
              <w:rPr>
                <w:rFonts w:ascii="Arial" w:cs="Arial" w:eastAsia="Arial" w:hAnsi="Arial"/>
                <w:sz w:val="15"/>
                <w:szCs w:val="15"/>
                <w:b w:val="1"/>
                <w:bCs w:val="1"/>
                <w:color w:val="auto"/>
              </w:rPr>
              <w:t>For the Full Year ending December 31,</w:t>
            </w:r>
          </w:p>
        </w:tc>
        <w:tc>
          <w:tcPr>
            <w:tcW w:w="1840" w:type="dxa"/>
            <w:vAlign w:val="bottom"/>
            <w:tcBorders>
              <w:bottom w:val="single" w:sz="8" w:color="2C6937"/>
            </w:tcBorders>
          </w:tcPr>
          <w:p>
            <w:pPr>
              <w:spacing w:after="0"/>
              <w:rPr>
                <w:sz w:val="21"/>
                <w:szCs w:val="21"/>
                <w:color w:val="auto"/>
              </w:rPr>
            </w:pPr>
          </w:p>
        </w:tc>
      </w:tr>
      <w:tr>
        <w:trPr>
          <w:trHeight w:val="215"/>
        </w:trPr>
        <w:tc>
          <w:tcPr>
            <w:tcW w:w="3520" w:type="dxa"/>
            <w:vAlign w:val="bottom"/>
          </w:tcPr>
          <w:p>
            <w:pPr>
              <w:spacing w:after="0"/>
              <w:rPr>
                <w:sz w:val="18"/>
                <w:szCs w:val="18"/>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150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8"/>
                <w:szCs w:val="18"/>
                <w:color w:val="auto"/>
              </w:rPr>
            </w:pPr>
          </w:p>
        </w:tc>
        <w:tc>
          <w:tcPr>
            <w:tcW w:w="182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2027</w:t>
            </w:r>
          </w:p>
        </w:tc>
        <w:tc>
          <w:tcPr>
            <w:tcW w:w="100" w:type="dxa"/>
            <w:vAlign w:val="bottom"/>
          </w:tcPr>
          <w:p>
            <w:pPr>
              <w:spacing w:after="0"/>
              <w:rPr>
                <w:sz w:val="18"/>
                <w:szCs w:val="18"/>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2028</w:t>
            </w:r>
          </w:p>
        </w:tc>
      </w:tr>
      <w:tr>
        <w:trPr>
          <w:trHeight w:val="223"/>
        </w:trPr>
        <w:tc>
          <w:tcPr>
            <w:tcW w:w="3520" w:type="dxa"/>
            <w:vAlign w:val="bottom"/>
          </w:tcPr>
          <w:p>
            <w:pPr>
              <w:spacing w:after="0"/>
              <w:rPr>
                <w:sz w:val="20"/>
                <w:szCs w:val="20"/>
                <w:color w:val="auto"/>
              </w:rPr>
            </w:pPr>
            <w:r>
              <w:rPr>
                <w:rFonts w:ascii="Arial" w:cs="Arial" w:eastAsia="Arial" w:hAnsi="Arial"/>
                <w:sz w:val="15"/>
                <w:szCs w:val="15"/>
                <w:color w:val="auto"/>
              </w:rPr>
              <w:t>Third Quarter 2026</w:t>
            </w:r>
          </w:p>
        </w:tc>
        <w:tc>
          <w:tcPr>
            <w:tcW w:w="2260" w:type="dxa"/>
            <w:vAlign w:val="bottom"/>
            <w:gridSpan w:val="3"/>
          </w:tcPr>
          <w:p>
            <w:pPr>
              <w:ind w:left="1560"/>
              <w:spacing w:after="0"/>
              <w:rPr>
                <w:sz w:val="20"/>
                <w:szCs w:val="20"/>
                <w:color w:val="auto"/>
              </w:rPr>
            </w:pPr>
            <w:r>
              <w:rPr>
                <w:rFonts w:ascii="Arial" w:cs="Arial" w:eastAsia="Arial" w:hAnsi="Arial"/>
                <w:sz w:val="15"/>
                <w:szCs w:val="15"/>
                <w:color w:val="auto"/>
              </w:rPr>
              <w:t>N/A</w:t>
            </w:r>
          </w:p>
        </w:tc>
        <w:tc>
          <w:tcPr>
            <w:tcW w:w="1500" w:type="dxa"/>
            <w:vAlign w:val="bottom"/>
          </w:tcPr>
          <w:p>
            <w:pPr>
              <w:jc w:val="right"/>
              <w:spacing w:after="0"/>
              <w:rPr>
                <w:sz w:val="20"/>
                <w:szCs w:val="20"/>
                <w:color w:val="auto"/>
              </w:rPr>
            </w:pPr>
            <w:r>
              <w:rPr>
                <w:rFonts w:ascii="Arial" w:cs="Arial" w:eastAsia="Arial" w:hAnsi="Arial"/>
                <w:sz w:val="15"/>
                <w:szCs w:val="15"/>
                <w:color w:val="auto"/>
              </w:rPr>
              <w:t>0.2 %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2.3 %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3.5 %</w:t>
            </w:r>
          </w:p>
        </w:tc>
      </w:tr>
      <w:tr>
        <w:trPr>
          <w:trHeight w:val="245"/>
        </w:trPr>
        <w:tc>
          <w:tcPr>
            <w:tcW w:w="3520" w:type="dxa"/>
            <w:vAlign w:val="bottom"/>
          </w:tcPr>
          <w:p>
            <w:pPr>
              <w:spacing w:after="0"/>
              <w:rPr>
                <w:sz w:val="20"/>
                <w:szCs w:val="20"/>
                <w:color w:val="auto"/>
              </w:rPr>
            </w:pPr>
            <w:r>
              <w:rPr>
                <w:rFonts w:ascii="Arial" w:cs="Arial" w:eastAsia="Arial" w:hAnsi="Arial"/>
                <w:sz w:val="15"/>
                <w:szCs w:val="15"/>
                <w:color w:val="auto"/>
              </w:rPr>
              <w:t>Fourth Quarter 2025</w:t>
            </w:r>
          </w:p>
        </w:tc>
        <w:tc>
          <w:tcPr>
            <w:tcW w:w="1840" w:type="dxa"/>
            <w:vAlign w:val="bottom"/>
          </w:tcPr>
          <w:p>
            <w:pPr>
              <w:jc w:val="right"/>
              <w:spacing w:after="0"/>
              <w:rPr>
                <w:sz w:val="20"/>
                <w:szCs w:val="20"/>
                <w:color w:val="auto"/>
              </w:rPr>
            </w:pPr>
            <w:r>
              <w:rPr>
                <w:rFonts w:ascii="Arial" w:cs="Arial" w:eastAsia="Arial" w:hAnsi="Arial"/>
                <w:sz w:val="15"/>
                <w:szCs w:val="15"/>
                <w:color w:val="auto"/>
              </w:rPr>
              <w:t>1.1 %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1.9 %</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3.2 %</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382"/>
        </w:trPr>
        <w:tc>
          <w:tcPr>
            <w:tcW w:w="5780" w:type="dxa"/>
            <w:vAlign w:val="bottom"/>
            <w:gridSpan w:val="4"/>
          </w:tcPr>
          <w:p>
            <w:pPr>
              <w:spacing w:after="0"/>
              <w:rPr>
                <w:sz w:val="20"/>
                <w:szCs w:val="20"/>
                <w:color w:val="auto"/>
              </w:rPr>
            </w:pPr>
            <w:r>
              <w:rPr>
                <w:rFonts w:ascii="Arial" w:cs="Arial" w:eastAsia="Arial" w:hAnsi="Arial"/>
                <w:sz w:val="15"/>
                <w:szCs w:val="15"/>
                <w:b w:val="1"/>
                <w:bCs w:val="1"/>
                <w:color w:val="auto"/>
              </w:rPr>
              <w:t>Forecasted property value growth (decline) rate by period of estimate: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48"/>
        </w:trPr>
        <w:tc>
          <w:tcPr>
            <w:tcW w:w="3520" w:type="dxa"/>
            <w:vAlign w:val="bottom"/>
          </w:tcPr>
          <w:p>
            <w:pPr>
              <w:spacing w:after="0"/>
              <w:rPr>
                <w:sz w:val="21"/>
                <w:szCs w:val="21"/>
                <w:color w:val="auto"/>
              </w:rPr>
            </w:pPr>
          </w:p>
        </w:tc>
        <w:tc>
          <w:tcPr>
            <w:tcW w:w="1840" w:type="dxa"/>
            <w:vAlign w:val="bottom"/>
            <w:tcBorders>
              <w:bottom w:val="single" w:sz="8" w:color="2C6937"/>
            </w:tcBorders>
          </w:tcPr>
          <w:p>
            <w:pPr>
              <w:spacing w:after="0"/>
              <w:rPr>
                <w:sz w:val="21"/>
                <w:szCs w:val="21"/>
                <w:color w:val="auto"/>
              </w:rPr>
            </w:pPr>
          </w:p>
        </w:tc>
        <w:tc>
          <w:tcPr>
            <w:tcW w:w="80" w:type="dxa"/>
            <w:vAlign w:val="bottom"/>
            <w:tcBorders>
              <w:bottom w:val="single" w:sz="8" w:color="2C6937"/>
            </w:tcBorders>
          </w:tcPr>
          <w:p>
            <w:pPr>
              <w:spacing w:after="0"/>
              <w:rPr>
                <w:sz w:val="21"/>
                <w:szCs w:val="21"/>
                <w:color w:val="auto"/>
              </w:rPr>
            </w:pPr>
          </w:p>
        </w:tc>
        <w:tc>
          <w:tcPr>
            <w:tcW w:w="340" w:type="dxa"/>
            <w:vAlign w:val="bottom"/>
            <w:tcBorders>
              <w:bottom w:val="single" w:sz="8" w:color="2C6937"/>
            </w:tcBorders>
          </w:tcPr>
          <w:p>
            <w:pPr>
              <w:spacing w:after="0"/>
              <w:rPr>
                <w:sz w:val="21"/>
                <w:szCs w:val="21"/>
                <w:color w:val="auto"/>
              </w:rPr>
            </w:pPr>
          </w:p>
        </w:tc>
        <w:tc>
          <w:tcPr>
            <w:tcW w:w="3520" w:type="dxa"/>
            <w:vAlign w:val="bottom"/>
            <w:tcBorders>
              <w:bottom w:val="single" w:sz="8" w:color="2C6937"/>
            </w:tcBorders>
            <w:gridSpan w:val="4"/>
          </w:tcPr>
          <w:p>
            <w:pPr>
              <w:ind w:left="140"/>
              <w:spacing w:after="0"/>
              <w:rPr>
                <w:sz w:val="20"/>
                <w:szCs w:val="20"/>
                <w:color w:val="auto"/>
              </w:rPr>
            </w:pPr>
            <w:r>
              <w:rPr>
                <w:rFonts w:ascii="Arial" w:cs="Arial" w:eastAsia="Arial" w:hAnsi="Arial"/>
                <w:sz w:val="15"/>
                <w:szCs w:val="15"/>
                <w:b w:val="1"/>
                <w:bCs w:val="1"/>
                <w:color w:val="auto"/>
              </w:rPr>
              <w:t>For the Full Year ending December 31,</w:t>
            </w:r>
          </w:p>
        </w:tc>
        <w:tc>
          <w:tcPr>
            <w:tcW w:w="1840" w:type="dxa"/>
            <w:vAlign w:val="bottom"/>
            <w:tcBorders>
              <w:bottom w:val="single" w:sz="8" w:color="2C6937"/>
            </w:tcBorders>
          </w:tcPr>
          <w:p>
            <w:pPr>
              <w:spacing w:after="0"/>
              <w:rPr>
                <w:sz w:val="21"/>
                <w:szCs w:val="21"/>
                <w:color w:val="auto"/>
              </w:rPr>
            </w:pPr>
          </w:p>
        </w:tc>
      </w:tr>
      <w:tr>
        <w:trPr>
          <w:trHeight w:val="215"/>
        </w:trPr>
        <w:tc>
          <w:tcPr>
            <w:tcW w:w="3520" w:type="dxa"/>
            <w:vAlign w:val="bottom"/>
          </w:tcPr>
          <w:p>
            <w:pPr>
              <w:spacing w:after="0"/>
              <w:rPr>
                <w:sz w:val="18"/>
                <w:szCs w:val="18"/>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150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8"/>
                <w:szCs w:val="18"/>
                <w:color w:val="auto"/>
              </w:rPr>
            </w:pPr>
          </w:p>
        </w:tc>
        <w:tc>
          <w:tcPr>
            <w:tcW w:w="182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2027</w:t>
            </w:r>
          </w:p>
        </w:tc>
        <w:tc>
          <w:tcPr>
            <w:tcW w:w="100" w:type="dxa"/>
            <w:vAlign w:val="bottom"/>
          </w:tcPr>
          <w:p>
            <w:pPr>
              <w:spacing w:after="0"/>
              <w:rPr>
                <w:sz w:val="18"/>
                <w:szCs w:val="18"/>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2028</w:t>
            </w:r>
          </w:p>
        </w:tc>
      </w:tr>
      <w:tr>
        <w:trPr>
          <w:trHeight w:val="223"/>
        </w:trPr>
        <w:tc>
          <w:tcPr>
            <w:tcW w:w="3520" w:type="dxa"/>
            <w:vAlign w:val="bottom"/>
          </w:tcPr>
          <w:p>
            <w:pPr>
              <w:spacing w:after="0"/>
              <w:rPr>
                <w:sz w:val="20"/>
                <w:szCs w:val="20"/>
                <w:color w:val="auto"/>
              </w:rPr>
            </w:pPr>
            <w:r>
              <w:rPr>
                <w:rFonts w:ascii="Arial" w:cs="Arial" w:eastAsia="Arial" w:hAnsi="Arial"/>
                <w:sz w:val="15"/>
                <w:szCs w:val="15"/>
                <w:color w:val="auto"/>
              </w:rPr>
              <w:t>Third Quarter 2026</w:t>
            </w:r>
          </w:p>
        </w:tc>
        <w:tc>
          <w:tcPr>
            <w:tcW w:w="2260" w:type="dxa"/>
            <w:vAlign w:val="bottom"/>
            <w:gridSpan w:val="3"/>
          </w:tcPr>
          <w:p>
            <w:pPr>
              <w:ind w:left="1560"/>
              <w:spacing w:after="0"/>
              <w:rPr>
                <w:sz w:val="20"/>
                <w:szCs w:val="20"/>
                <w:color w:val="auto"/>
              </w:rPr>
            </w:pPr>
            <w:r>
              <w:rPr>
                <w:rFonts w:ascii="Arial" w:cs="Arial" w:eastAsia="Arial" w:hAnsi="Arial"/>
                <w:sz w:val="15"/>
                <w:szCs w:val="15"/>
                <w:color w:val="auto"/>
              </w:rPr>
              <w:t>N/A</w:t>
            </w:r>
          </w:p>
        </w:tc>
        <w:tc>
          <w:tcPr>
            <w:tcW w:w="150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0.9 %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3.5 %</w:t>
            </w:r>
          </w:p>
        </w:tc>
      </w:tr>
      <w:tr>
        <w:trPr>
          <w:trHeight w:val="245"/>
        </w:trPr>
        <w:tc>
          <w:tcPr>
            <w:tcW w:w="3520" w:type="dxa"/>
            <w:vAlign w:val="bottom"/>
          </w:tcPr>
          <w:p>
            <w:pPr>
              <w:spacing w:after="0"/>
              <w:rPr>
                <w:sz w:val="20"/>
                <w:szCs w:val="20"/>
                <w:color w:val="auto"/>
              </w:rPr>
            </w:pPr>
            <w:r>
              <w:rPr>
                <w:rFonts w:ascii="Arial" w:cs="Arial" w:eastAsia="Arial" w:hAnsi="Arial"/>
                <w:sz w:val="15"/>
                <w:szCs w:val="15"/>
                <w:color w:val="auto"/>
              </w:rPr>
              <w:t>Fourth Quarter 2025</w:t>
            </w:r>
          </w:p>
        </w:tc>
        <w:tc>
          <w:tcPr>
            <w:tcW w:w="1840" w:type="dxa"/>
            <w:vAlign w:val="bottom"/>
          </w:tcPr>
          <w:p>
            <w:pPr>
              <w:jc w:val="right"/>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3.1 %</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3.1 %</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N/A</w:t>
            </w: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0" w:type="dxa"/>
            <w:vAlign w:val="bottom"/>
          </w:tcPr>
          <w:p>
            <w:pPr>
              <w:spacing w:after="0"/>
              <w:rPr>
                <w:sz w:val="20"/>
                <w:szCs w:val="20"/>
                <w:color w:val="auto"/>
              </w:rPr>
            </w:pPr>
            <w:r>
              <w:rPr>
                <w:rFonts w:ascii="Arial" w:cs="Arial" w:eastAsia="Arial" w:hAnsi="Arial"/>
                <w:sz w:val="9"/>
                <w:szCs w:val="9"/>
                <w:color w:val="auto"/>
              </w:rPr>
              <w:t>N/A</w:t>
            </w:r>
          </w:p>
        </w:tc>
        <w:tc>
          <w:tcPr>
            <w:tcW w:w="10820" w:type="dxa"/>
            <w:vAlign w:val="bottom"/>
            <w:gridSpan w:val="2"/>
            <w:vMerge w:val="restart"/>
          </w:tcPr>
          <w:p>
            <w:pPr>
              <w:ind w:left="100"/>
              <w:spacing w:after="0"/>
              <w:rPr>
                <w:sz w:val="20"/>
                <w:szCs w:val="20"/>
                <w:color w:val="auto"/>
              </w:rPr>
            </w:pPr>
            <w:r>
              <w:rPr>
                <w:rFonts w:ascii="Arial" w:cs="Arial" w:eastAsia="Arial" w:hAnsi="Arial"/>
                <w:sz w:val="14"/>
                <w:szCs w:val="14"/>
                <w:color w:val="auto"/>
                <w:w w:val="97"/>
              </w:rPr>
              <w:t>Not applicable. For purposes of this disclosure, we provide the forecasted net operating income growth rate and property value growth rate for the period of estimate and the two</w:t>
            </w:r>
          </w:p>
        </w:tc>
        <w:tc>
          <w:tcPr>
            <w:tcW w:w="0" w:type="dxa"/>
            <w:vAlign w:val="bottom"/>
          </w:tcPr>
          <w:p>
            <w:pPr>
              <w:spacing w:after="0"/>
              <w:rPr>
                <w:sz w:val="1"/>
                <w:szCs w:val="1"/>
                <w:color w:val="auto"/>
              </w:rPr>
            </w:pPr>
          </w:p>
        </w:tc>
      </w:tr>
      <w:tr>
        <w:trPr>
          <w:trHeight w:val="55"/>
        </w:trPr>
        <w:tc>
          <w:tcPr>
            <w:tcW w:w="200" w:type="dxa"/>
            <w:vAlign w:val="bottom"/>
          </w:tcPr>
          <w:p>
            <w:pPr>
              <w:spacing w:after="0"/>
              <w:rPr>
                <w:sz w:val="4"/>
                <w:szCs w:val="4"/>
                <w:color w:val="auto"/>
              </w:rPr>
            </w:pPr>
          </w:p>
        </w:tc>
        <w:tc>
          <w:tcPr>
            <w:tcW w:w="10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060" w:type="dxa"/>
            <w:vAlign w:val="bottom"/>
          </w:tcPr>
          <w:p>
            <w:pPr>
              <w:ind w:left="40"/>
              <w:spacing w:after="0" w:line="142" w:lineRule="exact"/>
              <w:rPr>
                <w:sz w:val="20"/>
                <w:szCs w:val="20"/>
                <w:color w:val="auto"/>
              </w:rPr>
            </w:pPr>
            <w:r>
              <w:rPr>
                <w:rFonts w:ascii="Arial" w:cs="Arial" w:eastAsia="Arial" w:hAnsi="Arial"/>
                <w:sz w:val="14"/>
                <w:szCs w:val="14"/>
                <w:color w:val="auto"/>
              </w:rPr>
              <w:t>years following the period of estimate.</w:t>
            </w:r>
          </w:p>
        </w:tc>
        <w:tc>
          <w:tcPr>
            <w:tcW w:w="2760" w:type="dxa"/>
            <w:vAlign w:val="bottom"/>
            <w:vMerge w:val="restart"/>
          </w:tcPr>
          <w:p>
            <w:pPr>
              <w:ind w:left="160"/>
              <w:spacing w:after="0"/>
              <w:rPr>
                <w:sz w:val="20"/>
                <w:szCs w:val="20"/>
                <w:color w:val="auto"/>
              </w:rPr>
            </w:pPr>
            <w:r>
              <w:rPr>
                <w:rFonts w:ascii="Arial" w:cs="Arial" w:eastAsia="Arial" w:hAnsi="Arial"/>
                <w:sz w:val="14"/>
                <w:szCs w:val="14"/>
                <w:color w:val="auto"/>
              </w:rPr>
              <w:t>subject to significant uncertainty, which</w:t>
            </w:r>
          </w:p>
        </w:tc>
        <w:tc>
          <w:tcPr>
            <w:tcW w:w="0" w:type="dxa"/>
            <w:vAlign w:val="bottom"/>
          </w:tcPr>
          <w:p>
            <w:pPr>
              <w:spacing w:after="0"/>
              <w:rPr>
                <w:sz w:val="1"/>
                <w:szCs w:val="1"/>
                <w:color w:val="auto"/>
              </w:rPr>
            </w:pPr>
          </w:p>
        </w:tc>
      </w:tr>
      <w:tr>
        <w:trPr>
          <w:trHeight w:val="155"/>
        </w:trPr>
        <w:tc>
          <w:tcPr>
            <w:tcW w:w="8260" w:type="dxa"/>
            <w:vAlign w:val="bottom"/>
            <w:gridSpan w:val="2"/>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3"/>
                <w:szCs w:val="13"/>
                <w:color w:val="auto"/>
              </w:rPr>
              <w:t>These forecasts are provided solely for the purpose of providing insight into our credit loss model. Forecasts for future periods are</w:t>
            </w:r>
          </w:p>
        </w:tc>
        <w:tc>
          <w:tcPr>
            <w:tcW w:w="2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8060" w:type="dxa"/>
            <w:vAlign w:val="bottom"/>
          </w:tcPr>
          <w:p>
            <w:pPr>
              <w:ind w:left="40"/>
              <w:spacing w:after="0"/>
              <w:rPr>
                <w:sz w:val="20"/>
                <w:szCs w:val="20"/>
                <w:color w:val="auto"/>
              </w:rPr>
            </w:pPr>
            <w:r>
              <w:rPr>
                <w:rFonts w:ascii="Arial" w:cs="Arial" w:eastAsia="Arial" w:hAnsi="Arial"/>
                <w:sz w:val="14"/>
                <w:szCs w:val="14"/>
                <w:color w:val="auto"/>
              </w:rPr>
              <w:t>increases for periods that are further in the future, and may not align to other market forecasts.</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noted above, our multifamily allowance for loan losses is sensitive to changes in net operating income and property value growth rate changes. We present in the table below the impact of hypothetical changes in net operating income and property value growth rates, with all other factors held constant.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Sensitivities - Hypothetical Changes to Model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Forecasted change to the first 12 months of the forecast:</w:t>
            </w:r>
          </w:p>
        </w:tc>
        <w:tc>
          <w:tcPr>
            <w:tcW w:w="160" w:type="dxa"/>
            <w:vAlign w:val="bottom"/>
          </w:tcPr>
          <w:p>
            <w:pPr>
              <w:spacing w:after="0"/>
              <w:rPr>
                <w:sz w:val="14"/>
                <w:szCs w:val="14"/>
                <w:color w:val="auto"/>
              </w:rPr>
            </w:pPr>
          </w:p>
        </w:tc>
        <w:tc>
          <w:tcPr>
            <w:tcW w:w="21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Allowance Impact</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8"/>
              </w:rPr>
              <w:t>Approximate Change in Allowance</w:t>
            </w:r>
          </w:p>
        </w:tc>
        <w:tc>
          <w:tcPr>
            <w:tcW w:w="0" w:type="dxa"/>
            <w:vAlign w:val="bottom"/>
          </w:tcPr>
          <w:p>
            <w:pPr>
              <w:spacing w:after="0"/>
              <w:rPr>
                <w:sz w:val="1"/>
                <w:szCs w:val="1"/>
                <w:color w:val="auto"/>
              </w:rPr>
            </w:pPr>
          </w:p>
        </w:tc>
      </w:tr>
      <w:tr>
        <w:trPr>
          <w:trHeight w:val="193"/>
        </w:trPr>
        <w:tc>
          <w:tcPr>
            <w:tcW w:w="5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3380" w:type="dxa"/>
            <w:vAlign w:val="bottom"/>
          </w:tcPr>
          <w:p>
            <w:pPr>
              <w:jc w:val="center"/>
              <w:spacing w:after="0" w:line="194" w:lineRule="exact"/>
              <w:rPr>
                <w:sz w:val="20"/>
                <w:szCs w:val="20"/>
                <w:color w:val="auto"/>
              </w:rPr>
            </w:pPr>
            <w:r>
              <w:rPr>
                <w:rFonts w:ascii="Arial" w:cs="Arial" w:eastAsia="Arial" w:hAnsi="Arial"/>
                <w:sz w:val="14"/>
                <w:szCs w:val="14"/>
                <w:b w:val="1"/>
                <w:bCs w:val="1"/>
                <w:color w:val="auto"/>
                <w:w w:val="97"/>
              </w:rPr>
              <w:t>as of September 30, 2026</w:t>
            </w:r>
            <w:r>
              <w:rPr>
                <w:rFonts w:ascii="Arial" w:cs="Arial" w:eastAsia="Arial" w:hAnsi="Arial"/>
                <w:sz w:val="17"/>
                <w:szCs w:val="17"/>
                <w:b w:val="1"/>
                <w:bCs w:val="1"/>
                <w:color w:val="auto"/>
                <w:w w:val="97"/>
                <w:vertAlign w:val="superscript"/>
              </w:rPr>
              <w:t>(1)</w:t>
            </w:r>
          </w:p>
        </w:tc>
        <w:tc>
          <w:tcPr>
            <w:tcW w:w="0" w:type="dxa"/>
            <w:vAlign w:val="bottom"/>
          </w:tcPr>
          <w:p>
            <w:pPr>
              <w:spacing w:after="0"/>
              <w:rPr>
                <w:sz w:val="1"/>
                <w:szCs w:val="1"/>
                <w:color w:val="auto"/>
              </w:rPr>
            </w:pPr>
          </w:p>
        </w:tc>
      </w:tr>
      <w:tr>
        <w:trPr>
          <w:trHeight w:val="185"/>
        </w:trPr>
        <w:tc>
          <w:tcPr>
            <w:tcW w:w="5580" w:type="dxa"/>
            <w:vAlign w:val="bottom"/>
          </w:tcPr>
          <w:p>
            <w:pPr>
              <w:jc w:val="right"/>
              <w:ind w:right="2004"/>
              <w:spacing w:after="0"/>
              <w:rPr>
                <w:sz w:val="20"/>
                <w:szCs w:val="20"/>
                <w:color w:val="auto"/>
              </w:rPr>
            </w:pPr>
            <w:r>
              <w:rPr>
                <w:rFonts w:ascii="Arial" w:cs="Arial" w:eastAsia="Arial" w:hAnsi="Arial"/>
                <w:sz w:val="14"/>
                <w:szCs w:val="14"/>
                <w:b w:val="1"/>
                <w:bCs w:val="1"/>
                <w:color w:val="auto"/>
              </w:rPr>
              <w:t>(In percentage points)</w:t>
            </w:r>
          </w:p>
        </w:tc>
        <w:tc>
          <w:tcPr>
            <w:tcW w:w="160" w:type="dxa"/>
            <w:vAlign w:val="bottom"/>
          </w:tcPr>
          <w:p>
            <w:pPr>
              <w:spacing w:after="0"/>
              <w:rPr>
                <w:sz w:val="16"/>
                <w:szCs w:val="16"/>
                <w:color w:val="auto"/>
              </w:rPr>
            </w:pPr>
          </w:p>
        </w:tc>
        <w:tc>
          <w:tcPr>
            <w:tcW w:w="1980" w:type="dxa"/>
            <w:vAlign w:val="bottom"/>
            <w:tcBorders>
              <w:top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net operating income growth rate:</w:t>
            </w: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0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26"/>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property value growth rate:</w:t>
            </w: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0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-923290</wp:posOffset>
            </wp:positionV>
            <wp:extent cx="90170" cy="1066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-759460</wp:posOffset>
            </wp:positionV>
            <wp:extent cx="98425" cy="1066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-325755</wp:posOffset>
            </wp:positionV>
            <wp:extent cx="90170" cy="1066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-161925</wp:posOffset>
            </wp:positionV>
            <wp:extent cx="98425" cy="1066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8425" cy="106680"/>
                    </a:xfrm>
                    <a:prstGeom prst="rect">
                      <a:avLst/>
                    </a:prstGeom>
                    <a:noFill/>
                  </pic:spPr>
                </pic:pic>
              </a:graphicData>
            </a:graphic>
          </wp:anchor>
        </w:drawing>
      </w:r>
    </w:p>
    <w:p>
      <w:pPr>
        <w:spacing w:after="0" w:line="90" w:lineRule="exact"/>
        <w:rPr>
          <w:sz w:val="20"/>
          <w:szCs w:val="20"/>
          <w:color w:val="auto"/>
        </w:rPr>
      </w:pPr>
    </w:p>
    <w:p>
      <w:pPr>
        <w:ind w:left="300" w:hanging="297"/>
        <w:spacing w:after="0"/>
        <w:tabs>
          <w:tab w:leader="none" w:pos="300" w:val="left"/>
        </w:tabs>
        <w:numPr>
          <w:ilvl w:val="0"/>
          <w:numId w:val="48"/>
        </w:numPr>
        <w:rPr>
          <w:rFonts w:ascii="Arial" w:cs="Arial" w:eastAsia="Arial" w:hAnsi="Arial"/>
          <w:sz w:val="9"/>
          <w:szCs w:val="9"/>
          <w:color w:val="auto"/>
        </w:rPr>
      </w:pPr>
      <w:r>
        <w:rPr>
          <w:rFonts w:ascii="Arial" w:cs="Arial" w:eastAsia="Arial" w:hAnsi="Arial"/>
          <w:sz w:val="14"/>
          <w:szCs w:val="14"/>
          <w:color w:val="auto"/>
        </w:rPr>
        <w:t>Calculated as a percentage of our multifamily allowance for loan losses.</w:t>
      </w:r>
    </w:p>
    <w:p>
      <w:pPr>
        <w:spacing w:after="0" w:line="7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above sensitivity analyses are hypothetical and are provided solely for the purpose of providing insight into our credit loss model inputs. In addition, sensitivities for net operating income and property value growth rate changes are non-linear. As a result, changes in these estimates are not always incrementally proportional. The purpose of this analysis is to provide an indication of the impact of net operating income and property value growth rate changes on the estimate of the multifamily allowance for credit losses. This analysis is not intended to imply management’s expectation of future changes in our forecasts or any other variables that may change as a result.</w:t>
      </w:r>
    </w:p>
    <w:p>
      <w:pPr>
        <w:spacing w:after="0" w:line="38"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See “Consolidated Results of Operations—(Provision) Benefit for Credit Losses” for information on how property valuations impacted our multifamily (provision) benefit for credit losses.</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Impact of Future Adoption of New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360"/>
        <w:spacing w:after="0" w:line="310" w:lineRule="auto"/>
        <w:rPr>
          <w:sz w:val="20"/>
          <w:szCs w:val="20"/>
          <w:color w:val="auto"/>
        </w:rPr>
      </w:pPr>
      <w:r>
        <w:rPr>
          <w:rFonts w:ascii="Arial" w:cs="Arial" w:eastAsia="Arial" w:hAnsi="Arial"/>
          <w:sz w:val="16"/>
          <w:szCs w:val="16"/>
          <w:color w:val="auto"/>
        </w:rPr>
        <w:t>We evaluate the impact on our condensed consolidated financial statements of recently issued accounting guidance in “Note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358775</wp:posOffset>
            </wp:positionV>
            <wp:extent cx="70072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52</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55" w:name="page56"/>
    <w:bookmarkEnd w:id="55"/>
    <w:p>
      <w:pPr>
        <w:ind w:left="9100"/>
        <w:spacing w:after="0"/>
        <w:rPr>
          <w:sz w:val="20"/>
          <w:szCs w:val="20"/>
          <w:color w:val="auto"/>
        </w:rPr>
      </w:pPr>
      <w:r>
        <w:rPr>
          <w:rFonts w:ascii="Arial" w:cs="Arial" w:eastAsia="Arial" w:hAnsi="Arial"/>
          <w:sz w:val="13"/>
          <w:szCs w:val="13"/>
          <w:color w:val="05314D"/>
        </w:rPr>
        <w:t>MD&amp;A | 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This section updates and supplements information regarding legislative, regulatory, conservatorship and other related matters affecting our business set forth in “Business—Conservatorship and Treasury Agreements” and “Business—Legislation and Regulation” in our 2025 Form 10-K. Also see “Risk Factors” in our 2025 Form 10-K for discussions of risks relating to legislative and regulatory matters.</w:t>
      </w:r>
    </w:p>
    <w:p>
      <w:pPr>
        <w:spacing w:after="0" w:line="9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Stress Testing</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Dodd-Frank Wall Street Reform and Consumer Protection Act requires certain financial companies to conduct annual stress tests to determine whether the companies have the capital necessary to absorb losses as a result of adverse economic conditions. Under FHFA regulations, each year we are required to conduct a stress test using two different scenarios of financial conditions provided by FHFA—baseline and severely adverse—and to publish a summary of our stress test results for the severely adverse scenario by August 15. On August 14, 2026, we published on our website the results of the severely adverse scenario for 2026.</w:t>
      </w:r>
    </w:p>
    <w:p>
      <w:pPr>
        <w:spacing w:after="0" w:line="8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2025 Housing Goals Performance</w:t>
      </w:r>
    </w:p>
    <w:p>
      <w:pPr>
        <w:spacing w:after="0" w:line="6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September 2026, FHFA notified us that it had determined that we met all of our single-family and multifamily housing goals and subgoals for 2025. See “Business—Legislation and Regulation—Housing Goals” in our 2025 Form 10-K for more information regarding our 2025 housing goals requirements.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Executive Order on Housing Costs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On October 22, 2026, the President issued an executive order aimed at decreasing housing costs for the American people. The executive order directs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 of FHFA, under specified conditions, to direct Fannie Mae and Freddie Mac to take the actions described below:</w:t>
      </w:r>
    </w:p>
    <w:p>
      <w:pPr>
        <w:spacing w:after="0" w:line="77" w:lineRule="exact"/>
        <w:rPr>
          <w:sz w:val="20"/>
          <w:szCs w:val="20"/>
          <w:color w:val="auto"/>
        </w:rPr>
      </w:pPr>
    </w:p>
    <w:p>
      <w:pPr>
        <w:ind w:left="620" w:right="20" w:hanging="307"/>
        <w:spacing w:after="0" w:line="266" w:lineRule="auto"/>
        <w:tabs>
          <w:tab w:leader="none" w:pos="612"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Establish mortgage insurance cancellation pilot program based on current property values. </w:t>
      </w:r>
      <w:r>
        <w:rPr>
          <w:rFonts w:ascii="Arial" w:cs="Arial" w:eastAsia="Arial" w:hAnsi="Arial"/>
          <w:sz w:val="16"/>
          <w:szCs w:val="16"/>
          <w:color w:val="auto"/>
        </w:rPr>
        <w:t>The executive order directs the Director of FHFA, under</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conditions and subject to specified requirements, to direct Fannie Mae and Freddie Mac to establish a pilot program to proactively identify borrowers who may be eligible for cancellation of mortgage insurance based on current property values and other requirements, applicable to mortgages made after the establishment of the program.</w:t>
      </w:r>
    </w:p>
    <w:p>
      <w:pPr>
        <w:spacing w:after="0" w:line="48" w:lineRule="exact"/>
        <w:rPr>
          <w:rFonts w:ascii="Arial" w:cs="Arial" w:eastAsia="Arial" w:hAnsi="Arial"/>
          <w:sz w:val="16"/>
          <w:szCs w:val="16"/>
          <w:color w:val="auto"/>
        </w:rPr>
      </w:pPr>
    </w:p>
    <w:p>
      <w:pPr>
        <w:ind w:left="620" w:hanging="307"/>
        <w:spacing w:after="0" w:line="263" w:lineRule="auto"/>
        <w:tabs>
          <w:tab w:leader="none" w:pos="612"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Expand title acceptance pilot program and reduce refinance costs. </w:t>
      </w:r>
      <w:r>
        <w:rPr>
          <w:rFonts w:ascii="Arial" w:cs="Arial" w:eastAsia="Arial" w:hAnsi="Arial"/>
          <w:sz w:val="16"/>
          <w:szCs w:val="16"/>
          <w:color w:val="auto"/>
        </w:rPr>
        <w:t>The executive order directs the Director of FHFA, under specified conditions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specified requirements, to direct Fannie Mae and Freddie Mac to expand the existing title acceptance pilot program into an ongoing nationwide program under which Fannie Mae and Freddie Mac may accept automated title review or other FHFA-approved title-risk assessment in lieu of a lender’s title insurance policy for eligible refinance transactions. The executive order also directs the Director of FHFA to consider a number of factors, including waiving certain documentation requirements and reducing or eliminating loan-level price adjustments and other fees for limited cash-out refinances that reduce the borrower’s monthly payment.</w:t>
      </w:r>
    </w:p>
    <w:p>
      <w:pPr>
        <w:spacing w:after="0" w:line="4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timing, scope and impact on our business, financial results and financial condition of actions FHFA may direct us to take in response to the executive order are uncertain and will depend, among other things, on FHFA’s determinations regarding implementation and the specific terms of any resulting directives or requirements. See “Risk Factors—GSE and Conservatorship Risk” in our 2025 Form 10-K for a discussion of the risks to our business posed by our conservatorship status.</w:t>
      </w:r>
    </w:p>
    <w:p>
      <w:pPr>
        <w:spacing w:after="0" w:line="13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This report includes statements that constitute forward-looking statements within the meaning of Section 21E of the Securities Exchange Act of 1934 (the “Exchange Act”). In addition, we and our senior management may from time to time make forward-looking statements in our other filings with the SEC, our other publicly available written statements, and orally to analysts, investors, the news media and others. Forward-looking statements often include words such as “expect,” “anticipate,” “intend,” “plan,” “believe,” “seek,” “estimate,” “forecast,” “project,” “would,” “should,” “could,” “likely,” “may,” “will” or similar words. Examples of forward-looking statements in this report include, among others, statements relating to our beliefs and expectations regarding the following matters:</w:t>
      </w:r>
    </w:p>
    <w:p>
      <w:pPr>
        <w:spacing w:after="0" w:line="55" w:lineRule="exact"/>
        <w:rPr>
          <w:sz w:val="20"/>
          <w:szCs w:val="20"/>
          <w:color w:val="auto"/>
        </w:rPr>
      </w:pPr>
    </w:p>
    <w:p>
      <w:pPr>
        <w:ind w:left="620" w:right="160" w:hanging="307"/>
        <w:spacing w:after="0" w:line="272" w:lineRule="auto"/>
        <w:tabs>
          <w:tab w:leader="none" w:pos="612" w:val="left"/>
        </w:tabs>
        <w:numPr>
          <w:ilvl w:val="0"/>
          <w:numId w:val="50"/>
        </w:numPr>
        <w:rPr>
          <w:rFonts w:ascii="Arial" w:cs="Arial" w:eastAsia="Arial" w:hAnsi="Arial"/>
          <w:sz w:val="16"/>
          <w:szCs w:val="16"/>
          <w:i w:val="1"/>
          <w:iCs w:val="1"/>
          <w:color w:val="auto"/>
        </w:rPr>
      </w:pPr>
      <w:r>
        <w:rPr>
          <w:rFonts w:ascii="Arial" w:cs="Arial" w:eastAsia="Arial" w:hAnsi="Arial"/>
          <w:sz w:val="16"/>
          <w:szCs w:val="16"/>
          <w:color w:val="auto"/>
        </w:rPr>
        <w:t>economic, mortgage market and housing market conditions (including expectations regarding economic growth, home price growth, multifamily property value growth, the unemployment rate, loan origination volumes, interest rates and multifamily property net operating income growth), the factors that will affect those conditions, and the impact of those conditions on our business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386080</wp:posOffset>
            </wp:positionV>
            <wp:extent cx="70072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53</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56" w:name="page57"/>
    <w:bookmarkEnd w:id="56"/>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impact of hedge accounting and our risk management approach on the volatility of our financial results;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future aggregate liquidation preference of our senior preferred stock;</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future dividend payments on the senior preferred stock and the factors that will affect them;</w:t>
      </w:r>
    </w:p>
    <w:p>
      <w:pPr>
        <w:spacing w:after="0" w:line="99" w:lineRule="exact"/>
        <w:rPr>
          <w:rFonts w:ascii="Arial" w:cs="Arial" w:eastAsia="Arial" w:hAnsi="Arial"/>
          <w:sz w:val="16"/>
          <w:szCs w:val="16"/>
          <w:color w:val="auto"/>
        </w:rPr>
      </w:pPr>
    </w:p>
    <w:p>
      <w:pPr>
        <w:ind w:left="620" w:right="30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business plans and strategies, and their impact, including our plans and expectations relating to new credit score models and relating to the U.S. Treasury security investments in our AFS investment portfolio;</w:t>
      </w:r>
    </w:p>
    <w:p>
      <w:pPr>
        <w:spacing w:after="0" w:line="14" w:lineRule="exact"/>
        <w:rPr>
          <w:rFonts w:ascii="Arial" w:cs="Arial" w:eastAsia="Arial" w:hAnsi="Arial"/>
          <w:sz w:val="16"/>
          <w:szCs w:val="16"/>
          <w:color w:val="auto"/>
        </w:rPr>
      </w:pPr>
    </w:p>
    <w:p>
      <w:pPr>
        <w:ind w:left="620" w:right="18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credit performance of loans in our guaranty book of business (including future loan delinquencies and foreclosures) and the factors that affect such performance;</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benefits we expect to receive from credit enhancements;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how we intend to repay our debt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payments to specified HUD and Treasury funds in support of affordable housing under the GSE Act;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impact of the adoption of new accounting guidance;</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legal and regulatory proceedings;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risks to our business and the factors that will affect those risks.</w:t>
      </w:r>
    </w:p>
    <w:p>
      <w:pPr>
        <w:spacing w:after="0" w:line="8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Forward-looking statements reflect our management’s current expectations, forecasts or predictions of future conditions, events or results based on various assumptions and management’s estimates of trends and economic conditions in the markets in which we are active and that otherwise impact our business plans. Forward-looking statements are not guarantees of future performance. By their nature, forward-looking statements are subject to significant risks and uncertainties and changes in circumstances. Our actual results and financial condition may differ, possibly materially, from the anticipated results and financial condition indicated in these forward-looking statements.</w:t>
      </w:r>
    </w:p>
    <w:p>
      <w:pPr>
        <w:spacing w:after="0" w:line="38" w:lineRule="exact"/>
        <w:rPr>
          <w:sz w:val="20"/>
          <w:szCs w:val="20"/>
          <w:color w:val="auto"/>
        </w:rPr>
      </w:pPr>
    </w:p>
    <w:p>
      <w:pPr>
        <w:ind w:right="780"/>
        <w:spacing w:after="0" w:line="310" w:lineRule="auto"/>
        <w:rPr>
          <w:sz w:val="20"/>
          <w:szCs w:val="20"/>
          <w:color w:val="auto"/>
        </w:rPr>
      </w:pPr>
      <w:r>
        <w:rPr>
          <w:rFonts w:ascii="Arial" w:cs="Arial" w:eastAsia="Arial" w:hAnsi="Arial"/>
          <w:sz w:val="16"/>
          <w:szCs w:val="16"/>
          <w:color w:val="auto"/>
        </w:rPr>
        <w:t>There are a number of factors that could cause actual conditions, events or results to differ materially from those described in our forward-looking statements, including, among others, the following:</w:t>
      </w:r>
    </w:p>
    <w:p>
      <w:pPr>
        <w:spacing w:after="0" w:line="2" w:lineRule="exact"/>
        <w:rPr>
          <w:sz w:val="20"/>
          <w:szCs w:val="20"/>
          <w:color w:val="auto"/>
        </w:rPr>
      </w:pPr>
    </w:p>
    <w:p>
      <w:pPr>
        <w:ind w:left="620" w:right="18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growth, deterioration and the overall health and stability of the U.S. economy, including GDP, unemployment rates, personal income, inflation and other indicators thereof;</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impact of trade, fiscal, monetary, regulatory and immigration policies;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deterioration in a specific sector of the U.S. economy or in one or more regional areas of the United States;</w:t>
      </w:r>
    </w:p>
    <w:p>
      <w:pPr>
        <w:spacing w:after="0" w:line="99" w:lineRule="exact"/>
        <w:rPr>
          <w:rFonts w:ascii="Arial" w:cs="Arial" w:eastAsia="Arial" w:hAnsi="Arial"/>
          <w:sz w:val="16"/>
          <w:szCs w:val="16"/>
          <w:color w:val="auto"/>
        </w:rPr>
      </w:pPr>
    </w:p>
    <w:p>
      <w:pPr>
        <w:ind w:left="620" w:right="2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impact of investment in super intelligence (“SI”), also known as artificial intelligence, and other emerging technologies on future macroeconomic conditions;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future interest rates and credit spreads;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timing and level of, as well as regional variation in, home price changes;</w:t>
      </w:r>
    </w:p>
    <w:p>
      <w:pPr>
        <w:spacing w:after="0" w:line="86" w:lineRule="exact"/>
        <w:rPr>
          <w:rFonts w:ascii="Arial" w:cs="Arial" w:eastAsia="Arial" w:hAnsi="Arial"/>
          <w:sz w:val="16"/>
          <w:szCs w:val="16"/>
          <w:color w:val="auto"/>
        </w:rPr>
      </w:pPr>
    </w:p>
    <w:p>
      <w:pPr>
        <w:ind w:left="620" w:right="46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size and our share of the U.S. mortgage market (including the volume of mortgage originations) and the factors that affect them, including population growth and household formation;</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changes in fiscal or monetary policy of the U.S. or other countries, and the impact of such changes on domestic and international financial markets;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domestic, regional and global political risks and uncertainties, including conflicts in the Middle East and other regions, and geopolitical instability;</w:t>
      </w:r>
    </w:p>
    <w:p>
      <w:pPr>
        <w:spacing w:after="0" w:line="86" w:lineRule="exact"/>
        <w:rPr>
          <w:rFonts w:ascii="Arial" w:cs="Arial" w:eastAsia="Arial" w:hAnsi="Arial"/>
          <w:sz w:val="16"/>
          <w:szCs w:val="16"/>
          <w:color w:val="auto"/>
        </w:rPr>
      </w:pPr>
    </w:p>
    <w:p>
      <w:pPr>
        <w:ind w:left="620" w:right="80" w:hanging="307"/>
        <w:spacing w:after="0" w:line="272"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developments that may be difficult to predict, including: market conditions that result in changes in our deferred guaranty fee income or changes in net interest income from our portfolios; fluctuations in the estimated fair value of our assets and liabilities; and developments that affect our loss reserves, such as changes in interest rates or home prices;</w:t>
      </w:r>
    </w:p>
    <w:p>
      <w:pPr>
        <w:spacing w:after="0" w:line="44"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disruptions or instability in the housing, credit or broader financial markets;</w:t>
      </w:r>
    </w:p>
    <w:p>
      <w:pPr>
        <w:spacing w:after="0" w:line="86" w:lineRule="exact"/>
        <w:rPr>
          <w:rFonts w:ascii="Arial" w:cs="Arial" w:eastAsia="Arial" w:hAnsi="Arial"/>
          <w:sz w:val="16"/>
          <w:szCs w:val="16"/>
          <w:color w:val="auto"/>
        </w:rPr>
      </w:pPr>
    </w:p>
    <w:p>
      <w:pPr>
        <w:ind w:left="620" w:right="12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changes in the demand for Fannie Mae MBS, our debt securities or our credit risk transfer securities, in general or from one or more major groups of investors;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constraints on our entry into new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decrease in our credit ratings;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limitations on our ability to access the debt capital markets;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changes in our funding needs or our sources or uses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412750</wp:posOffset>
            </wp:positionV>
            <wp:extent cx="70072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54</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57" w:name="page58"/>
    <w:bookmarkEnd w:id="57"/>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size, composition, quality and performance of our guaranty book of business and retained mortgage portfolio;</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how long loans in our guaranty book of business remain outstanding;</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and our competitors’ future guaranty fee pricing and the impact of that pricing on our competitive environment and guaranty fee revenues;</w:t>
      </w:r>
    </w:p>
    <w:p>
      <w:pPr>
        <w:spacing w:after="0" w:line="99" w:lineRule="exact"/>
        <w:rPr>
          <w:rFonts w:ascii="Arial" w:cs="Arial" w:eastAsia="Arial" w:hAnsi="Arial"/>
          <w:sz w:val="16"/>
          <w:szCs w:val="16"/>
          <w:color w:val="auto"/>
        </w:rPr>
      </w:pPr>
    </w:p>
    <w:p>
      <w:pPr>
        <w:ind w:left="620" w:right="22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competitive environment in which we operate, including the impact of legislative, regulatory or other developments on levels of competition in our industry and other factors affecting our market share;</w:t>
      </w:r>
    </w:p>
    <w:p>
      <w:pPr>
        <w:spacing w:after="0" w:line="14" w:lineRule="exact"/>
        <w:rPr>
          <w:rFonts w:ascii="Arial" w:cs="Arial" w:eastAsia="Arial" w:hAnsi="Arial"/>
          <w:sz w:val="16"/>
          <w:szCs w:val="16"/>
          <w:color w:val="auto"/>
        </w:rPr>
      </w:pPr>
    </w:p>
    <w:p>
      <w:pPr>
        <w:ind w:left="620" w:right="38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impact of interdependence between the single-family mortgage securitization programs of Fannie Mae and Freddie Mac in connection with UMBS;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significant challenges we face in retaining and hiring qualified executives and other employees;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conservatorship, including any changes to or termination (by receivership or otherwise) of the conservatorship and its effect on our business;</w:t>
      </w:r>
    </w:p>
    <w:p>
      <w:pPr>
        <w:spacing w:after="0" w:line="86" w:lineRule="exact"/>
        <w:rPr>
          <w:rFonts w:ascii="Arial" w:cs="Arial" w:eastAsia="Arial" w:hAnsi="Arial"/>
          <w:sz w:val="16"/>
          <w:szCs w:val="16"/>
          <w:color w:val="auto"/>
        </w:rPr>
      </w:pPr>
    </w:p>
    <w:p>
      <w:pPr>
        <w:ind w:left="620" w:right="60" w:hanging="307"/>
        <w:spacing w:after="0" w:line="264"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investment by Treasury, including the impact of past or potential future changes to the terms of the senior preferred stock purchase agreement, senior preferred stock or warrant, and their effect on our business, including current or future restrictions or requirements imposed on us by the terms of the senior preferred stock purchase agreement, the senior preferred stock, or the warrant, as well as the extent that these or other restrictions on our business and activities are applied to us through other mechanisms even if we cease to be subject to these agreements and instruments;</w:t>
      </w:r>
    </w:p>
    <w:p>
      <w:pPr>
        <w:spacing w:after="0" w:line="247" w:lineRule="exact"/>
        <w:rPr>
          <w:rFonts w:ascii="Arial" w:cs="Arial" w:eastAsia="Arial" w:hAnsi="Arial"/>
          <w:sz w:val="16"/>
          <w:szCs w:val="16"/>
          <w:color w:val="auto"/>
        </w:rPr>
      </w:pPr>
    </w:p>
    <w:p>
      <w:pPr>
        <w:ind w:left="620" w:right="26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uncertainty regarding our future, including relating to: our exit from conservatorship; our ability to raise, earn or retain the capital needed to meet our capital requirements; our future capital structure; and our future dividend requirements;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impact of the enterprise regulatory capital framework on our business and financial results;</w:t>
      </w:r>
    </w:p>
    <w:p>
      <w:pPr>
        <w:spacing w:after="0" w:line="86" w:lineRule="exact"/>
        <w:rPr>
          <w:rFonts w:ascii="Arial" w:cs="Arial" w:eastAsia="Arial" w:hAnsi="Arial"/>
          <w:sz w:val="16"/>
          <w:szCs w:val="16"/>
          <w:color w:val="auto"/>
        </w:rPr>
      </w:pPr>
    </w:p>
    <w:p>
      <w:pPr>
        <w:ind w:left="620" w:right="260" w:hanging="307"/>
        <w:spacing w:after="0" w:line="281"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future legislative and regulatory requirements or changes, governmental initiatives, or executive orders affecting us, such as the enactment of housing finance reform legislation, including changes that limit our business activities or our footprint, impose new mandates on us, or affect our ability to change our pricing;</w:t>
      </w:r>
    </w:p>
    <w:p>
      <w:pPr>
        <w:spacing w:after="0" w:line="24"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future legislative and regulatory requirements or changes, governmental initiatives, or executive orders affecting macroeconomic conditions, such as changes to trade, fiscal, monetary, tax or immigration policies;</w:t>
      </w:r>
    </w:p>
    <w:p>
      <w:pPr>
        <w:spacing w:after="0" w:line="14" w:lineRule="exact"/>
        <w:rPr>
          <w:rFonts w:ascii="Arial" w:cs="Arial" w:eastAsia="Arial" w:hAnsi="Arial"/>
          <w:sz w:val="16"/>
          <w:szCs w:val="16"/>
          <w:color w:val="auto"/>
        </w:rPr>
      </w:pPr>
    </w:p>
    <w:p>
      <w:pPr>
        <w:ind w:left="620" w:right="60" w:hanging="307"/>
        <w:spacing w:after="0" w:line="281"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actions by FHFA, Treasury, the Federal Reserve, the Office of the Comptroller of the Currency (“OCC”), the Federal Deposit Insurance Corporation (“FDIC”), the Commodity Futures Trading Commission (“CFTC”), HUD, the Consumer Financial Protection Bureau, the SEC or other regulators, Congress, the Executive Branch, or state or local governments that affect our business;</w:t>
      </w:r>
    </w:p>
    <w:p>
      <w:pPr>
        <w:spacing w:after="0" w:line="24"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changes in the structure and regulation of the financial services industry;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possibility that changes in leadership at FHFA or the Administration will result in additional changes that affect our company or our business;</w:t>
      </w:r>
    </w:p>
    <w:p>
      <w:pPr>
        <w:spacing w:after="0" w:line="86" w:lineRule="exact"/>
        <w:rPr>
          <w:rFonts w:ascii="Arial" w:cs="Arial" w:eastAsia="Arial" w:hAnsi="Arial"/>
          <w:sz w:val="16"/>
          <w:szCs w:val="16"/>
          <w:color w:val="auto"/>
        </w:rPr>
      </w:pPr>
    </w:p>
    <w:p>
      <w:pPr>
        <w:ind w:left="620" w:right="40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actions we may be required to take by FHFA, in its role as our conservator or as our regulator, such as changes in the type of business we do, actions relating to UMBS or our resecuritization of Freddie Mac-issued securities, or credit risk management actions;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limitations on our business imposed by FHFA, in its role as our conservator or as our regulator;</w:t>
      </w:r>
    </w:p>
    <w:p>
      <w:pPr>
        <w:spacing w:after="0" w:line="99"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adverse effects from activities we undertake to support the mortgage market and help borrowers, renters, lenders and servicers, including actions we may take to reach additional underserved borrowers, lower costs for borrowers, or from pursuing new business activities;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default by the United States government on its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partial or full shutdown of the United States government;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significant changes in forbearance, modification and foreclosure activity;</w:t>
      </w:r>
    </w:p>
    <w:p>
      <w:pPr>
        <w:spacing w:after="0" w:line="99" w:lineRule="exact"/>
        <w:rPr>
          <w:rFonts w:ascii="Arial" w:cs="Arial" w:eastAsia="Arial" w:hAnsi="Arial"/>
          <w:sz w:val="16"/>
          <w:szCs w:val="16"/>
          <w:color w:val="auto"/>
        </w:rPr>
      </w:pPr>
    </w:p>
    <w:p>
      <w:pPr>
        <w:ind w:left="620" w:right="30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volume and pace of any future nonperforming and reperforming loan sales and their impact on our financial results and serious delinquency rates;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changes in borrower behavior;</w:t>
      </w:r>
    </w:p>
    <w:p>
      <w:pPr>
        <w:spacing w:after="0" w:line="86" w:lineRule="exact"/>
        <w:rPr>
          <w:rFonts w:ascii="Arial" w:cs="Arial" w:eastAsia="Arial" w:hAnsi="Arial"/>
          <w:sz w:val="16"/>
          <w:szCs w:val="16"/>
          <w:color w:val="auto"/>
        </w:rPr>
      </w:pPr>
    </w:p>
    <w:p>
      <w:pPr>
        <w:ind w:left="620" w:right="28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actions we may take to mitigate losses, and the effectiveness of our loss mitigation strategies, management of our REO inventory and pursuit of contractual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375285</wp:posOffset>
            </wp:positionV>
            <wp:extent cx="70072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55</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58" w:name="page59"/>
    <w:bookmarkEnd w:id="58"/>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right="160" w:hanging="307"/>
        <w:spacing w:after="0" w:line="293"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environmental disasters, terrorist attacks, widespread health emergencies or pandemics, infrastructure failures, or other disruptive or catastrophic events;</w:t>
      </w:r>
    </w:p>
    <w:p>
      <w:pPr>
        <w:spacing w:after="0" w:line="14" w:lineRule="exact"/>
        <w:rPr>
          <w:rFonts w:ascii="Arial" w:cs="Arial" w:eastAsia="Arial" w:hAnsi="Arial"/>
          <w:sz w:val="16"/>
          <w:szCs w:val="16"/>
          <w:color w:val="auto"/>
        </w:rPr>
      </w:pPr>
    </w:p>
    <w:p>
      <w:pPr>
        <w:ind w:left="620" w:right="160" w:hanging="307"/>
        <w:spacing w:after="0" w:line="310"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expiration of the National Flood Insurance Program on December 11, 2026, without re-authorization, including the impact of any disruptions in the payment of claims and of delays in obtaining or renewing coverage;</w:t>
      </w:r>
    </w:p>
    <w:p>
      <w:pPr>
        <w:spacing w:after="0" w:line="1" w:lineRule="exact"/>
        <w:rPr>
          <w:rFonts w:ascii="Arial" w:cs="Arial" w:eastAsia="Arial" w:hAnsi="Arial"/>
          <w:sz w:val="16"/>
          <w:szCs w:val="16"/>
          <w:color w:val="auto"/>
        </w:rPr>
      </w:pPr>
    </w:p>
    <w:p>
      <w:pPr>
        <w:ind w:left="620" w:right="40" w:hanging="307"/>
        <w:spacing w:after="0" w:line="293"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earthquakes or other natural disasters, including those for which we may be uninsured or under-insured or that may affect our counterparties or the hazard insurers insuring properties underlying our guaranty book of business;</w:t>
      </w:r>
    </w:p>
    <w:p>
      <w:pPr>
        <w:spacing w:after="0" w:line="14" w:lineRule="exact"/>
        <w:rPr>
          <w:rFonts w:ascii="Arial" w:cs="Arial" w:eastAsia="Arial" w:hAnsi="Arial"/>
          <w:sz w:val="16"/>
          <w:szCs w:val="16"/>
          <w:color w:val="auto"/>
        </w:rPr>
      </w:pPr>
    </w:p>
    <w:p>
      <w:pPr>
        <w:ind w:left="620" w:right="160" w:hanging="307"/>
        <w:spacing w:after="0" w:line="281"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severe weather events, fires, floods, hail, wind or other natural disaster-related events or impacts, including those for which we may be uninsured or under-insured or that may affect our counterparties or the hazard insurers insuring properties underlying our guaranty book of business, and other natural disaster-related risks;</w:t>
      </w:r>
    </w:p>
    <w:p>
      <w:pPr>
        <w:spacing w:after="0" w:line="24"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defaults by one or more of our counterparties or by the hazard insurers insuring properties underlying our guaranty book of business;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resolution or settlement agreements we may enter into with our counterparties;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need to rely on third parties to achieve some of our corporate objectives, including our reliance on mortgage servicers;</w:t>
      </w:r>
    </w:p>
    <w:p>
      <w:pPr>
        <w:spacing w:after="0" w:line="86" w:lineRule="exact"/>
        <w:rPr>
          <w:rFonts w:ascii="Arial" w:cs="Arial" w:eastAsia="Arial" w:hAnsi="Arial"/>
          <w:sz w:val="16"/>
          <w:szCs w:val="16"/>
          <w:color w:val="auto"/>
        </w:rPr>
      </w:pPr>
    </w:p>
    <w:p>
      <w:pPr>
        <w:ind w:left="620" w:right="40" w:hanging="307"/>
        <w:spacing w:after="0" w:line="271"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reliance on U.S. Financial Technology, LLC (“U.S. FinTech”) and the common securitization platform U.S. FinTech operates for a majority of our single-family securitization activities; provisions in the limited liability company agreement with U.S. FinTech that permit FHFA to appoint members to the U.S. FinTech Board of Managers, which limit the ability of Fannie Mae and Freddie Mac to control decisions of the U.S. FinTech Board of Managers; and changes FHFA may require in our relationship with or in our support of U.S. FinTech;</w:t>
      </w:r>
    </w:p>
    <w:p>
      <w:pPr>
        <w:spacing w:after="0" w:line="32"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effectiveness of our risk management processes and related controls;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effectiveness of our business resiliency plans and systems;</w:t>
      </w:r>
    </w:p>
    <w:p>
      <w:pPr>
        <w:spacing w:after="0" w:line="86" w:lineRule="exact"/>
        <w:rPr>
          <w:rFonts w:ascii="Arial" w:cs="Arial" w:eastAsia="Arial" w:hAnsi="Arial"/>
          <w:sz w:val="16"/>
          <w:szCs w:val="16"/>
          <w:color w:val="auto"/>
        </w:rPr>
      </w:pPr>
    </w:p>
    <w:p>
      <w:pPr>
        <w:ind w:left="620" w:right="640" w:hanging="307"/>
        <w:spacing w:after="0" w:line="310"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stability and adequacy of the systems and infrastructure that impact our operations, including ours and those of U.S. FinTech, our other counterparties and other third parties;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reliance on models and future updates we make to our models, including the data and assumptions used by these models;</w:t>
      </w:r>
    </w:p>
    <w:p>
      <w:pPr>
        <w:spacing w:after="0" w:line="86" w:lineRule="exact"/>
        <w:rPr>
          <w:rFonts w:ascii="Arial" w:cs="Arial" w:eastAsia="Arial" w:hAnsi="Arial"/>
          <w:sz w:val="16"/>
          <w:szCs w:val="16"/>
          <w:color w:val="auto"/>
        </w:rPr>
      </w:pPr>
    </w:p>
    <w:p>
      <w:pPr>
        <w:ind w:left="620" w:right="60" w:hanging="307"/>
        <w:spacing w:after="0" w:line="293"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opportunities and risks presented by the use or anticipated use of SI technologies and other emerging technologies by us or third parties, including generative SI and agentic SI, including opportunities and risks presented by the rapid and increasing pace of adoption and evolution of SI;</w:t>
      </w:r>
    </w:p>
    <w:p>
      <w:pPr>
        <w:spacing w:after="0" w:line="14" w:lineRule="exact"/>
        <w:rPr>
          <w:rFonts w:ascii="Arial" w:cs="Arial" w:eastAsia="Arial" w:hAnsi="Arial"/>
          <w:sz w:val="16"/>
          <w:szCs w:val="16"/>
          <w:color w:val="auto"/>
        </w:rPr>
      </w:pPr>
    </w:p>
    <w:p>
      <w:pPr>
        <w:ind w:left="620" w:right="540" w:hanging="307"/>
        <w:spacing w:after="0" w:line="310"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cyber attacks or other cybersecurity breaches or threats impacting us, the third parties with which we do business or our regulators, and any restrictions on our and their access to SI models;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changes in GAAP, guidance by the Financial Accounting Standards Board (“FASB”), SEC guidance, and our accounting policies;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other factors described in “Risk Factors” in our 2025 Form 10-K.</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Readers are cautioned not to unduly rely on the forward-looking statements we make and to place these forward-looking statements into proper context by carefully considering the factors identified above and those discussed in “Risk Factors” in our 2025 Form 10-K. These forward-looking statements are representative only as of the date they are made, and we undertake no obligation to update any forward-looking statement as a result of new information, future events or otherwise, except as required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378460</wp:posOffset>
            </wp:positionV>
            <wp:extent cx="70072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ind w:left="120"/>
              <w:spacing w:after="0"/>
              <w:rPr>
                <w:sz w:val="20"/>
                <w:szCs w:val="20"/>
                <w:color w:val="auto"/>
              </w:rPr>
            </w:pPr>
            <w:r>
              <w:rPr>
                <w:rFonts w:ascii="Arial" w:cs="Arial" w:eastAsia="Arial" w:hAnsi="Arial"/>
                <w:sz w:val="14"/>
                <w:szCs w:val="14"/>
                <w:color w:val="05314D"/>
              </w:rPr>
              <w:t>Fannie Mae Third Quarter 2026 Form 10-Q</w:t>
            </w:r>
          </w:p>
        </w:tc>
        <w:tc>
          <w:tcPr>
            <w:tcW w:w="4380" w:type="dxa"/>
            <w:vAlign w:val="bottom"/>
          </w:tcPr>
          <w:p>
            <w:pPr>
              <w:jc w:val="right"/>
              <w:ind w:right="51"/>
              <w:spacing w:after="0"/>
              <w:rPr>
                <w:sz w:val="20"/>
                <w:szCs w:val="20"/>
                <w:color w:val="auto"/>
              </w:rPr>
            </w:pPr>
            <w:r>
              <w:rPr>
                <w:rFonts w:ascii="Arial" w:cs="Arial" w:eastAsia="Arial" w:hAnsi="Arial"/>
                <w:sz w:val="14"/>
                <w:szCs w:val="14"/>
                <w:color w:val="05314D"/>
              </w:rPr>
              <w:t>56</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59" w:name="page60"/>
    <w:bookmarkEnd w:id="59"/>
    <w:p>
      <w:pPr>
        <w:ind w:left="4940"/>
        <w:spacing w:after="0"/>
        <w:rPr>
          <w:sz w:val="20"/>
          <w:szCs w:val="20"/>
          <w:color w:val="auto"/>
        </w:rPr>
      </w:pPr>
      <w:r>
        <w:rPr>
          <w:rFonts w:ascii="Arial" w:cs="Arial" w:eastAsia="Arial" w:hAnsi="Arial"/>
          <w:sz w:val="13"/>
          <w:szCs w:val="13"/>
          <w:color w:val="05314D"/>
        </w:rPr>
        <w:t>Financial Statements |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spacing w:after="0" w:line="254" w:lineRule="auto"/>
        <w:rPr>
          <w:sz w:val="20"/>
          <w:szCs w:val="20"/>
          <w:color w:val="auto"/>
        </w:rPr>
      </w:pPr>
      <w:r>
        <w:rPr>
          <w:rFonts w:ascii="Georgia" w:cs="Georgia" w:eastAsia="Georgia" w:hAnsi="Georgia"/>
          <w:sz w:val="27"/>
          <w:szCs w:val="27"/>
          <w:b w:val="1"/>
          <w:bCs w:val="1"/>
          <w:color w:val="05314D"/>
        </w:rPr>
        <w:t>Condensed Consolidated Statements of Operations and Comprehensive Income — (Unaudited)</w:t>
      </w:r>
    </w:p>
    <w:p>
      <w:pPr>
        <w:spacing w:after="0" w:line="77"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(Dollars and shares in millions, except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7"/>
              </w:rPr>
              <w:t>For the Three Months Ended</w:t>
            </w:r>
          </w:p>
        </w:tc>
        <w:tc>
          <w:tcPr>
            <w:tcW w:w="80" w:type="dxa"/>
            <w:vAlign w:val="bottom"/>
          </w:tcPr>
          <w:p>
            <w:pPr>
              <w:spacing w:after="0"/>
              <w:rPr>
                <w:sz w:val="14"/>
                <w:szCs w:val="14"/>
                <w:color w:val="auto"/>
              </w:rPr>
            </w:pPr>
          </w:p>
        </w:tc>
        <w:tc>
          <w:tcPr>
            <w:tcW w:w="188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7"/>
              </w:rPr>
              <w:t>For the Nine Months Ended</w:t>
            </w:r>
          </w:p>
        </w:tc>
      </w:tr>
      <w:tr>
        <w:trPr>
          <w:trHeight w:val="177"/>
        </w:trPr>
        <w:tc>
          <w:tcPr>
            <w:tcW w:w="7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8"/>
              </w:rPr>
              <w:t>September 30,</w:t>
            </w:r>
          </w:p>
        </w:tc>
        <w:tc>
          <w:tcPr>
            <w:tcW w:w="80" w:type="dxa"/>
            <w:vAlign w:val="bottom"/>
          </w:tcPr>
          <w:p>
            <w:pPr>
              <w:spacing w:after="0"/>
              <w:rPr>
                <w:sz w:val="15"/>
                <w:szCs w:val="15"/>
                <w:color w:val="auto"/>
              </w:rPr>
            </w:pPr>
          </w:p>
        </w:tc>
        <w:tc>
          <w:tcPr>
            <w:tcW w:w="18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September 30,</w:t>
            </w:r>
          </w:p>
        </w:tc>
      </w:tr>
      <w:tr>
        <w:trPr>
          <w:trHeight w:val="198"/>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74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2C6937"/>
            </w:tcBorders>
          </w:tcPr>
          <w:p>
            <w:pPr>
              <w:spacing w:after="0"/>
              <w:rPr>
                <w:sz w:val="17"/>
                <w:szCs w:val="17"/>
                <w:color w:val="auto"/>
              </w:rPr>
            </w:pPr>
          </w:p>
        </w:tc>
        <w:tc>
          <w:tcPr>
            <w:tcW w:w="200" w:type="dxa"/>
            <w:vAlign w:val="bottom"/>
            <w:tcBorders>
              <w:top w:val="single" w:sz="8" w:color="2C6937"/>
              <w:bottom w:val="single" w:sz="8" w:color="2C6937"/>
            </w:tcBorders>
          </w:tcPr>
          <w:p>
            <w:pPr>
              <w:spacing w:after="0"/>
              <w:rPr>
                <w:sz w:val="17"/>
                <w:szCs w:val="17"/>
                <w:color w:val="auto"/>
              </w:rPr>
            </w:pPr>
          </w:p>
        </w:tc>
        <w:tc>
          <w:tcPr>
            <w:tcW w:w="74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80" w:type="dxa"/>
            <w:vAlign w:val="bottom"/>
            <w:tcBorders>
              <w:top w:val="single" w:sz="8" w:color="2C6937"/>
              <w:bottom w:val="single" w:sz="8" w:color="2C6937"/>
            </w:tcBorders>
          </w:tcPr>
          <w:p>
            <w:pPr>
              <w:spacing w:after="0"/>
              <w:rPr>
                <w:sz w:val="17"/>
                <w:szCs w:val="17"/>
                <w:color w:val="auto"/>
              </w:rPr>
            </w:pPr>
          </w:p>
        </w:tc>
        <w:tc>
          <w:tcPr>
            <w:tcW w:w="86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2C6937"/>
            </w:tcBorders>
          </w:tcPr>
          <w:p>
            <w:pPr>
              <w:spacing w:after="0"/>
              <w:rPr>
                <w:sz w:val="17"/>
                <w:szCs w:val="17"/>
                <w:color w:val="auto"/>
              </w:rPr>
            </w:pPr>
          </w:p>
        </w:tc>
        <w:tc>
          <w:tcPr>
            <w:tcW w:w="200" w:type="dxa"/>
            <w:vAlign w:val="bottom"/>
            <w:tcBorders>
              <w:top w:val="single" w:sz="8" w:color="2C6937"/>
              <w:bottom w:val="single" w:sz="8" w:color="2C6937"/>
            </w:tcBorders>
          </w:tcPr>
          <w:p>
            <w:pPr>
              <w:spacing w:after="0"/>
              <w:rPr>
                <w:sz w:val="17"/>
                <w:szCs w:val="17"/>
                <w:color w:val="auto"/>
              </w:rPr>
            </w:pPr>
          </w:p>
        </w:tc>
        <w:tc>
          <w:tcPr>
            <w:tcW w:w="74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r>
      <w:tr>
        <w:trPr>
          <w:trHeight w:val="180"/>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12"/>
        </w:trPr>
        <w:tc>
          <w:tcPr>
            <w:tcW w:w="7200" w:type="dxa"/>
            <w:vAlign w:val="bottom"/>
            <w:gridSpan w:val="2"/>
          </w:tcPr>
          <w:p>
            <w:pPr>
              <w:ind w:left="180"/>
              <w:spacing w:after="0"/>
              <w:rPr>
                <w:sz w:val="20"/>
                <w:szCs w:val="20"/>
                <w:color w:val="auto"/>
              </w:rPr>
            </w:pPr>
            <w:r>
              <w:rPr>
                <w:rFonts w:ascii="Arial" w:cs="Arial" w:eastAsia="Arial" w:hAnsi="Arial"/>
                <w:sz w:val="14"/>
                <w:szCs w:val="14"/>
                <w:color w:val="auto"/>
              </w:rPr>
              <w:t>Mortgage loans</w:t>
            </w: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39,962</w:t>
            </w:r>
          </w:p>
        </w:tc>
        <w:tc>
          <w:tcPr>
            <w:tcW w:w="80" w:type="dxa"/>
            <w:vAlign w:val="bottom"/>
          </w:tcPr>
          <w:p>
            <w:pPr>
              <w:spacing w:after="0"/>
              <w:rPr>
                <w:sz w:val="18"/>
                <w:szCs w:val="18"/>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38,344</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118,161</w:t>
            </w:r>
          </w:p>
        </w:tc>
        <w:tc>
          <w:tcPr>
            <w:tcW w:w="80" w:type="dxa"/>
            <w:vAlign w:val="bottom"/>
          </w:tcPr>
          <w:p>
            <w:pPr>
              <w:spacing w:after="0"/>
              <w:rPr>
                <w:sz w:val="18"/>
                <w:szCs w:val="18"/>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113,436</w:t>
            </w:r>
          </w:p>
        </w:tc>
      </w:tr>
      <w:tr>
        <w:trPr>
          <w:trHeight w:val="206"/>
        </w:trPr>
        <w:tc>
          <w:tcPr>
            <w:tcW w:w="7200" w:type="dxa"/>
            <w:vAlign w:val="bottom"/>
            <w:gridSpan w:val="2"/>
          </w:tcPr>
          <w:p>
            <w:pPr>
              <w:ind w:left="180"/>
              <w:spacing w:after="0"/>
              <w:rPr>
                <w:sz w:val="20"/>
                <w:szCs w:val="20"/>
                <w:color w:val="auto"/>
              </w:rPr>
            </w:pPr>
            <w:r>
              <w:rPr>
                <w:rFonts w:ascii="Arial" w:cs="Arial" w:eastAsia="Arial" w:hAnsi="Arial"/>
                <w:sz w:val="14"/>
                <w:szCs w:val="14"/>
                <w:color w:val="auto"/>
              </w:rPr>
              <w:t>Securities purchased under agreements to resell</w:t>
            </w:r>
          </w:p>
        </w:tc>
        <w:tc>
          <w:tcPr>
            <w:tcW w:w="22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592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1,770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2,640</w:t>
            </w:r>
          </w:p>
        </w:tc>
      </w:tr>
      <w:tr>
        <w:trPr>
          <w:trHeight w:val="207"/>
        </w:trPr>
        <w:tc>
          <w:tcPr>
            <w:tcW w:w="71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Investments in securities and other</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1,068</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2,721</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2,328</w:t>
            </w:r>
          </w:p>
        </w:tc>
      </w:tr>
      <w:tr>
        <w:trPr>
          <w:trHeight w:val="199"/>
        </w:trPr>
        <w:tc>
          <w:tcPr>
            <w:tcW w:w="71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income</w:t>
            </w: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41,622</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39,977</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122,652</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118,404</w:t>
            </w:r>
          </w:p>
        </w:tc>
      </w:tr>
      <w:tr>
        <w:trPr>
          <w:trHeight w:val="192"/>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2"/>
        </w:trPr>
        <w:tc>
          <w:tcPr>
            <w:tcW w:w="7200" w:type="dxa"/>
            <w:vAlign w:val="bottom"/>
            <w:gridSpan w:val="2"/>
          </w:tcPr>
          <w:p>
            <w:pPr>
              <w:ind w:left="180"/>
              <w:spacing w:after="0"/>
              <w:rPr>
                <w:sz w:val="20"/>
                <w:szCs w:val="20"/>
                <w:color w:val="auto"/>
              </w:rPr>
            </w:pPr>
            <w:r>
              <w:rPr>
                <w:rFonts w:ascii="Arial" w:cs="Arial" w:eastAsia="Arial" w:hAnsi="Arial"/>
                <w:sz w:val="14"/>
                <w:szCs w:val="14"/>
                <w:color w:val="auto"/>
              </w:rPr>
              <w:t>Short-term debt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(362)</w:t>
            </w:r>
          </w:p>
        </w:tc>
      </w:tr>
      <w:tr>
        <w:trPr>
          <w:trHeight w:val="207"/>
        </w:trPr>
        <w:tc>
          <w:tcPr>
            <w:tcW w:w="71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(33,740)</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(32,639)</w:t>
            </w:r>
          </w:p>
        </w:tc>
        <w:tc>
          <w:tcPr>
            <w:tcW w:w="10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(99,631)</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(96,702)</w:t>
            </w:r>
          </w:p>
        </w:tc>
      </w:tr>
      <w:tr>
        <w:trPr>
          <w:trHeight w:val="199"/>
        </w:trPr>
        <w:tc>
          <w:tcPr>
            <w:tcW w:w="71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expense</w:t>
            </w: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(34,063)</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(32,793)</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(100,402)</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(97,064)</w:t>
            </w:r>
          </w:p>
        </w:tc>
      </w:tr>
      <w:tr>
        <w:trPr>
          <w:trHeight w:val="199"/>
        </w:trPr>
        <w:tc>
          <w:tcPr>
            <w:tcW w:w="7100" w:type="dxa"/>
            <w:vAlign w:val="bottom"/>
            <w:tcBorders>
              <w:bottom w:val="single" w:sz="8" w:color="2C6937"/>
            </w:tcBorders>
          </w:tcPr>
          <w:p>
            <w:pPr>
              <w:ind w:left="440"/>
              <w:spacing w:after="0"/>
              <w:rPr>
                <w:sz w:val="20"/>
                <w:szCs w:val="20"/>
                <w:color w:val="auto"/>
              </w:rPr>
            </w:pPr>
            <w:r>
              <w:rPr>
                <w:rFonts w:ascii="Arial" w:cs="Arial" w:eastAsia="Arial" w:hAnsi="Arial"/>
                <w:sz w:val="14"/>
                <w:szCs w:val="14"/>
                <w:color w:val="auto"/>
              </w:rPr>
              <w:t>Net interest income</w:t>
            </w: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7,559</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7,184</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22,250</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21,340</w:t>
            </w:r>
          </w:p>
        </w:tc>
      </w:tr>
      <w:tr>
        <w:trPr>
          <w:trHeight w:val="192"/>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Non-interest income:</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2"/>
        </w:trPr>
        <w:tc>
          <w:tcPr>
            <w:tcW w:w="7200" w:type="dxa"/>
            <w:vAlign w:val="bottom"/>
            <w:gridSpan w:val="2"/>
          </w:tcPr>
          <w:p>
            <w:pPr>
              <w:ind w:left="180"/>
              <w:spacing w:after="0"/>
              <w:rPr>
                <w:sz w:val="20"/>
                <w:szCs w:val="20"/>
                <w:color w:val="auto"/>
              </w:rPr>
            </w:pPr>
            <w:r>
              <w:rPr>
                <w:rFonts w:ascii="Arial" w:cs="Arial" w:eastAsia="Arial" w:hAnsi="Arial"/>
                <w:sz w:val="14"/>
                <w:szCs w:val="14"/>
                <w:color w:val="auto"/>
              </w:rPr>
              <w:t>Fair value gains (losses), net</w:t>
            </w:r>
          </w:p>
        </w:tc>
        <w:tc>
          <w:tcPr>
            <w:tcW w:w="2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630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675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206"/>
        </w:trPr>
        <w:tc>
          <w:tcPr>
            <w:tcW w:w="7200" w:type="dxa"/>
            <w:vAlign w:val="bottom"/>
            <w:gridSpan w:val="2"/>
          </w:tcPr>
          <w:p>
            <w:pPr>
              <w:ind w:left="180"/>
              <w:spacing w:after="0"/>
              <w:rPr>
                <w:sz w:val="20"/>
                <w:szCs w:val="20"/>
                <w:color w:val="auto"/>
              </w:rPr>
            </w:pPr>
            <w:r>
              <w:rPr>
                <w:rFonts w:ascii="Arial" w:cs="Arial" w:eastAsia="Arial" w:hAnsi="Arial"/>
                <w:sz w:val="14"/>
                <w:szCs w:val="14"/>
                <w:color w:val="auto"/>
              </w:rPr>
              <w:t>Fee and other income</w:t>
            </w:r>
          </w:p>
        </w:tc>
        <w:tc>
          <w:tcPr>
            <w:tcW w:w="22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92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246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207"/>
        </w:trPr>
        <w:tc>
          <w:tcPr>
            <w:tcW w:w="71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Investment gains (losses), net</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94</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(130)</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r>
      <w:tr>
        <w:trPr>
          <w:trHeight w:val="199"/>
        </w:trPr>
        <w:tc>
          <w:tcPr>
            <w:tcW w:w="71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non-interest income</w:t>
            </w: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816</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791</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w:t>
            </w:r>
          </w:p>
        </w:tc>
      </w:tr>
      <w:tr>
        <w:trPr>
          <w:trHeight w:val="198"/>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(Provision) benefit for credit losses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(1,902)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(1,308)</w:t>
            </w:r>
          </w:p>
        </w:tc>
      </w:tr>
      <w:tr>
        <w:trPr>
          <w:trHeight w:val="200"/>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Non-interest expense: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2"/>
        </w:trPr>
        <w:tc>
          <w:tcPr>
            <w:tcW w:w="7200" w:type="dxa"/>
            <w:vAlign w:val="bottom"/>
            <w:gridSpan w:val="2"/>
          </w:tcPr>
          <w:p>
            <w:pPr>
              <w:ind w:left="180"/>
              <w:spacing w:after="0"/>
              <w:rPr>
                <w:sz w:val="20"/>
                <w:szCs w:val="20"/>
                <w:color w:val="auto"/>
              </w:rPr>
            </w:pPr>
            <w:r>
              <w:rPr>
                <w:rFonts w:ascii="Arial" w:cs="Arial" w:eastAsia="Arial" w:hAnsi="Arial"/>
                <w:sz w:val="14"/>
                <w:szCs w:val="14"/>
                <w:color w:val="auto"/>
              </w:rPr>
              <w:t>Salaries and employee benefits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(1,578)</w:t>
            </w:r>
          </w:p>
        </w:tc>
      </w:tr>
      <w:tr>
        <w:trPr>
          <w:trHeight w:val="206"/>
        </w:trPr>
        <w:tc>
          <w:tcPr>
            <w:tcW w:w="7200" w:type="dxa"/>
            <w:vAlign w:val="bottom"/>
            <w:gridSpan w:val="2"/>
          </w:tcPr>
          <w:p>
            <w:pPr>
              <w:ind w:left="180"/>
              <w:spacing w:after="0"/>
              <w:rPr>
                <w:sz w:val="20"/>
                <w:szCs w:val="20"/>
                <w:color w:val="auto"/>
              </w:rPr>
            </w:pPr>
            <w:r>
              <w:rPr>
                <w:rFonts w:ascii="Arial" w:cs="Arial" w:eastAsia="Arial" w:hAnsi="Arial"/>
                <w:sz w:val="14"/>
                <w:szCs w:val="14"/>
                <w:color w:val="auto"/>
              </w:rPr>
              <w:t>Professional services, technology, and occupancy</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(1,080)</w:t>
            </w:r>
          </w:p>
        </w:tc>
      </w:tr>
      <w:tr>
        <w:trPr>
          <w:trHeight w:val="206"/>
        </w:trPr>
        <w:tc>
          <w:tcPr>
            <w:tcW w:w="7200" w:type="dxa"/>
            <w:vAlign w:val="bottom"/>
            <w:gridSpan w:val="2"/>
          </w:tcPr>
          <w:p>
            <w:pPr>
              <w:ind w:left="180"/>
              <w:spacing w:after="0"/>
              <w:rPr>
                <w:sz w:val="20"/>
                <w:szCs w:val="20"/>
                <w:color w:val="auto"/>
              </w:rPr>
            </w:pPr>
            <w:r>
              <w:rPr>
                <w:rFonts w:ascii="Arial" w:cs="Arial" w:eastAsia="Arial" w:hAnsi="Arial"/>
                <w:sz w:val="14"/>
                <w:szCs w:val="14"/>
                <w:color w:val="auto"/>
              </w:rPr>
              <w:t>Legislative assessments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(2,789)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(2,813)</w:t>
            </w:r>
          </w:p>
        </w:tc>
      </w:tr>
      <w:tr>
        <w:trPr>
          <w:trHeight w:val="206"/>
        </w:trPr>
        <w:tc>
          <w:tcPr>
            <w:tcW w:w="7200" w:type="dxa"/>
            <w:vAlign w:val="bottom"/>
            <w:gridSpan w:val="2"/>
          </w:tcPr>
          <w:p>
            <w:pPr>
              <w:ind w:left="180"/>
              <w:spacing w:after="0"/>
              <w:rPr>
                <w:sz w:val="20"/>
                <w:szCs w:val="20"/>
                <w:color w:val="auto"/>
              </w:rPr>
            </w:pPr>
            <w:r>
              <w:rPr>
                <w:rFonts w:ascii="Arial" w:cs="Arial" w:eastAsia="Arial" w:hAnsi="Arial"/>
                <w:sz w:val="14"/>
                <w:szCs w:val="14"/>
                <w:color w:val="auto"/>
              </w:rPr>
              <w:t>Credit enhancement expense</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(1,288)</w:t>
            </w:r>
          </w:p>
        </w:tc>
      </w:tr>
      <w:tr>
        <w:trPr>
          <w:trHeight w:val="207"/>
        </w:trPr>
        <w:tc>
          <w:tcPr>
            <w:tcW w:w="71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income (expense), net</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(44)</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(155)</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(440)</w:t>
            </w:r>
          </w:p>
        </w:tc>
      </w:tr>
      <w:tr>
        <w:trPr>
          <w:trHeight w:val="199"/>
        </w:trPr>
        <w:tc>
          <w:tcPr>
            <w:tcW w:w="71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non-interest expense</w:t>
            </w: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(2,123)</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(2,267)</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(6,374)</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(7,199)</w:t>
            </w:r>
          </w:p>
        </w:tc>
      </w:tr>
      <w:tr>
        <w:trPr>
          <w:trHeight w:val="198"/>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Income before federal income taxes</w:t>
            </w:r>
          </w:p>
        </w:tc>
        <w:tc>
          <w:tcPr>
            <w:tcW w:w="22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5,112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14,765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13,573</w:t>
            </w:r>
          </w:p>
        </w:tc>
      </w:tr>
      <w:tr>
        <w:trPr>
          <w:trHeight w:val="207"/>
        </w:trPr>
        <w:tc>
          <w:tcPr>
            <w:tcW w:w="71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Provision for federal income taxes</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(935)</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(2,886)</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(2,736)</w:t>
            </w:r>
          </w:p>
        </w:tc>
      </w:tr>
      <w:tr>
        <w:trPr>
          <w:trHeight w:val="198"/>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4,177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11,879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10,837</w:t>
            </w:r>
          </w:p>
        </w:tc>
      </w:tr>
      <w:tr>
        <w:trPr>
          <w:trHeight w:val="207"/>
        </w:trPr>
        <w:tc>
          <w:tcPr>
            <w:tcW w:w="71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(1,037)</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(1,254)</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71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7"/>
                <w:szCs w:val="17"/>
                <w:color w:val="auto"/>
              </w:rPr>
            </w:pPr>
          </w:p>
        </w:tc>
        <w:tc>
          <w:tcPr>
            <w:tcW w:w="2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3,140</w:t>
            </w:r>
          </w:p>
        </w:tc>
        <w:tc>
          <w:tcPr>
            <w:tcW w:w="80" w:type="dxa"/>
            <w:vAlign w:val="bottom"/>
          </w:tcPr>
          <w:p>
            <w:pPr>
              <w:spacing w:after="0"/>
              <w:rPr>
                <w:sz w:val="17"/>
                <w:szCs w:val="17"/>
                <w:color w:val="auto"/>
              </w:rPr>
            </w:pPr>
          </w:p>
        </w:tc>
        <w:tc>
          <w:tcPr>
            <w:tcW w:w="200" w:type="dxa"/>
            <w:vAlign w:val="bottom"/>
            <w:tcBorders>
              <w:bottom w:val="single" w:sz="8" w:color="2C6937"/>
            </w:tcBorders>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3,849</w:t>
            </w:r>
          </w:p>
        </w:tc>
        <w:tc>
          <w:tcPr>
            <w:tcW w:w="100" w:type="dxa"/>
            <w:vAlign w:val="bottom"/>
          </w:tcPr>
          <w:p>
            <w:pPr>
              <w:spacing w:after="0"/>
              <w:rPr>
                <w:sz w:val="17"/>
                <w:szCs w:val="17"/>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10,625</w:t>
            </w:r>
          </w:p>
        </w:tc>
        <w:tc>
          <w:tcPr>
            <w:tcW w:w="80" w:type="dxa"/>
            <w:vAlign w:val="bottom"/>
          </w:tcPr>
          <w:p>
            <w:pPr>
              <w:spacing w:after="0"/>
              <w:rPr>
                <w:sz w:val="17"/>
                <w:szCs w:val="17"/>
                <w:color w:val="auto"/>
              </w:rPr>
            </w:pPr>
          </w:p>
        </w:tc>
        <w:tc>
          <w:tcPr>
            <w:tcW w:w="200" w:type="dxa"/>
            <w:vAlign w:val="bottom"/>
            <w:tcBorders>
              <w:bottom w:val="single" w:sz="8" w:color="2C6937"/>
            </w:tcBorders>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10,828</w:t>
            </w:r>
          </w:p>
        </w:tc>
      </w:tr>
      <w:tr>
        <w:trPr>
          <w:trHeight w:val="20"/>
        </w:trPr>
        <w:tc>
          <w:tcPr>
            <w:tcW w:w="71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97"/>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4,177</w:t>
            </w:r>
          </w:p>
        </w:tc>
        <w:tc>
          <w:tcPr>
            <w:tcW w:w="8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3,859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11,879</w:t>
            </w:r>
          </w:p>
        </w:tc>
        <w:tc>
          <w:tcPr>
            <w:tcW w:w="8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10,837</w:t>
            </w:r>
          </w:p>
        </w:tc>
      </w:tr>
      <w:tr>
        <w:trPr>
          <w:trHeight w:val="207"/>
        </w:trPr>
        <w:tc>
          <w:tcPr>
            <w:tcW w:w="71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Dividends distributed or amounts attributable to senior preferred stock</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(3,140)</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(3,849)</w:t>
            </w:r>
          </w:p>
        </w:tc>
        <w:tc>
          <w:tcPr>
            <w:tcW w:w="10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(10,625)</w:t>
            </w:r>
          </w:p>
        </w:tc>
        <w:tc>
          <w:tcPr>
            <w:tcW w:w="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(10,828)</w:t>
            </w:r>
          </w:p>
        </w:tc>
      </w:tr>
      <w:tr>
        <w:trPr>
          <w:trHeight w:val="199"/>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1,037</w:t>
            </w:r>
          </w:p>
        </w:tc>
        <w:tc>
          <w:tcPr>
            <w:tcW w:w="8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1,254</w:t>
            </w:r>
          </w:p>
        </w:tc>
        <w:tc>
          <w:tcPr>
            <w:tcW w:w="8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
        </w:trPr>
        <w:tc>
          <w:tcPr>
            <w:tcW w:w="71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r>
      <w:tr>
        <w:trPr>
          <w:trHeight w:val="204"/>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Earnings per share: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5"/>
        </w:trPr>
        <w:tc>
          <w:tcPr>
            <w:tcW w:w="720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0.18</w:t>
            </w:r>
          </w:p>
        </w:tc>
        <w:tc>
          <w:tcPr>
            <w:tcW w:w="80" w:type="dxa"/>
            <w:vAlign w:val="bottom"/>
          </w:tcPr>
          <w:p>
            <w:pPr>
              <w:spacing w:after="0"/>
              <w:rPr>
                <w:sz w:val="19"/>
                <w:szCs w:val="19"/>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0.21</w:t>
            </w:r>
          </w:p>
        </w:tc>
        <w:tc>
          <w:tcPr>
            <w:tcW w:w="80" w:type="dxa"/>
            <w:vAlign w:val="bottom"/>
          </w:tcPr>
          <w:p>
            <w:pPr>
              <w:spacing w:after="0"/>
              <w:rPr>
                <w:sz w:val="19"/>
                <w:szCs w:val="19"/>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06"/>
        </w:trPr>
        <w:tc>
          <w:tcPr>
            <w:tcW w:w="720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0.18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0.21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00"/>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Weighted-average common shares outstanding:</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2"/>
        </w:trPr>
        <w:tc>
          <w:tcPr>
            <w:tcW w:w="720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5,867</w:t>
            </w:r>
          </w:p>
        </w:tc>
      </w:tr>
      <w:tr>
        <w:trPr>
          <w:trHeight w:val="206"/>
        </w:trPr>
        <w:tc>
          <w:tcPr>
            <w:tcW w:w="720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5,893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5,893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5,893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5,893</w:t>
            </w: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380365</wp:posOffset>
            </wp:positionV>
            <wp:extent cx="68059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60" w:name="page61"/>
    <w:bookmarkEnd w:id="60"/>
    <w:p>
      <w:pPr>
        <w:ind w:left="7260"/>
        <w:spacing w:after="0"/>
        <w:rPr>
          <w:sz w:val="20"/>
          <w:szCs w:val="20"/>
          <w:color w:val="auto"/>
        </w:rPr>
      </w:pPr>
      <w:r>
        <w:rPr>
          <w:rFonts w:ascii="Arial" w:cs="Arial" w:eastAsia="Arial" w:hAnsi="Arial"/>
          <w:sz w:val="13"/>
          <w:szCs w:val="13"/>
          <w:color w:val="05314D"/>
        </w:rPr>
        <w:t>Financial Statements |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5314D"/>
        </w:rPr>
        <w:t>(In conservatorship)</w:t>
      </w:r>
    </w:p>
    <w:p>
      <w:pPr>
        <w:spacing w:after="0" w:line="176" w:lineRule="exact"/>
        <w:rPr>
          <w:sz w:val="20"/>
          <w:szCs w:val="20"/>
          <w:color w:val="auto"/>
        </w:rPr>
      </w:pPr>
    </w:p>
    <w:p>
      <w:pPr>
        <w:jc w:val="center"/>
        <w:spacing w:after="0"/>
        <w:rPr>
          <w:sz w:val="20"/>
          <w:szCs w:val="20"/>
          <w:color w:val="auto"/>
        </w:rPr>
      </w:pPr>
      <w:r>
        <w:rPr>
          <w:rFonts w:ascii="Georgia" w:cs="Georgia" w:eastAsia="Georgia" w:hAnsi="Georgia"/>
          <w:sz w:val="27"/>
          <w:szCs w:val="27"/>
          <w:b w:val="1"/>
          <w:bCs w:val="1"/>
          <w:color w:val="05314D"/>
        </w:rPr>
        <w:t>Condensed Consolidated Balance Sheets — (Unaudited)</w:t>
      </w:r>
    </w:p>
    <w:p>
      <w:pPr>
        <w:spacing w:after="0" w:line="84"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5314D"/>
        </w:rPr>
        <w:t>(Dollars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1500" w:type="dxa"/>
            <w:vAlign w:val="bottom"/>
            <w:tcBorders>
              <w:bottom w:val="single" w:sz="8" w:color="2C6937"/>
            </w:tcBorders>
            <w:gridSpan w:val="5"/>
          </w:tcPr>
          <w:p>
            <w:pPr>
              <w:jc w:val="right"/>
              <w:ind w:right="280"/>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5"/>
          </w:tcPr>
          <w:p>
            <w:pPr>
              <w:ind w:left="60"/>
              <w:spacing w:after="0"/>
              <w:rPr>
                <w:sz w:val="20"/>
                <w:szCs w:val="20"/>
                <w:color w:val="auto"/>
              </w:rPr>
            </w:pPr>
            <w:r>
              <w:rPr>
                <w:rFonts w:ascii="Arial" w:cs="Arial" w:eastAsia="Arial" w:hAnsi="Arial"/>
                <w:sz w:val="14"/>
                <w:szCs w:val="14"/>
                <w:b w:val="1"/>
                <w:bCs w:val="1"/>
                <w:color w:val="auto"/>
              </w:rPr>
              <w:t>September 30, 2026</w:t>
            </w:r>
          </w:p>
        </w:tc>
        <w:tc>
          <w:tcPr>
            <w:tcW w:w="142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53"/>
        </w:trPr>
        <w:tc>
          <w:tcPr>
            <w:tcW w:w="8240" w:type="dxa"/>
            <w:vAlign w:val="bottom"/>
            <w:vMerge w:val="restart"/>
          </w:tcPr>
          <w:p>
            <w:pPr>
              <w:ind w:left="384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320" w:type="dxa"/>
            <w:vAlign w:val="bottom"/>
            <w:tcBorders>
              <w:bottom w:val="single" w:sz="8" w:color="2C6937"/>
            </w:tcBorders>
          </w:tcPr>
          <w:p>
            <w:pPr>
              <w:spacing w:after="0"/>
              <w:rPr>
                <w:sz w:val="4"/>
                <w:szCs w:val="4"/>
                <w:color w:val="auto"/>
              </w:rPr>
            </w:pPr>
          </w:p>
        </w:tc>
        <w:tc>
          <w:tcPr>
            <w:tcW w:w="900" w:type="dxa"/>
            <w:vAlign w:val="bottom"/>
            <w:tcBorders>
              <w:bottom w:val="single" w:sz="8" w:color="2C6937"/>
            </w:tcBorders>
          </w:tcPr>
          <w:p>
            <w:pPr>
              <w:spacing w:after="0"/>
              <w:rPr>
                <w:sz w:val="4"/>
                <w:szCs w:val="4"/>
                <w:color w:val="auto"/>
              </w:rPr>
            </w:pPr>
          </w:p>
        </w:tc>
        <w:tc>
          <w:tcPr>
            <w:tcW w:w="100" w:type="dxa"/>
            <w:vAlign w:val="bottom"/>
            <w:tcBorders>
              <w:bottom w:val="single" w:sz="8" w:color="2C6937"/>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2C6937"/>
            </w:tcBorders>
          </w:tcPr>
          <w:p>
            <w:pPr>
              <w:spacing w:after="0"/>
              <w:rPr>
                <w:sz w:val="4"/>
                <w:szCs w:val="4"/>
                <w:color w:val="auto"/>
              </w:rPr>
            </w:pPr>
          </w:p>
        </w:tc>
        <w:tc>
          <w:tcPr>
            <w:tcW w:w="320" w:type="dxa"/>
            <w:vAlign w:val="bottom"/>
            <w:tcBorders>
              <w:bottom w:val="single" w:sz="8" w:color="2C6937"/>
            </w:tcBorders>
          </w:tcPr>
          <w:p>
            <w:pPr>
              <w:spacing w:after="0"/>
              <w:rPr>
                <w:sz w:val="4"/>
                <w:szCs w:val="4"/>
                <w:color w:val="auto"/>
              </w:rPr>
            </w:pPr>
          </w:p>
        </w:tc>
        <w:tc>
          <w:tcPr>
            <w:tcW w:w="900" w:type="dxa"/>
            <w:vAlign w:val="bottom"/>
            <w:tcBorders>
              <w:bottom w:val="single" w:sz="8" w:color="2C6937"/>
            </w:tcBorders>
          </w:tcPr>
          <w:p>
            <w:pPr>
              <w:spacing w:after="0"/>
              <w:rPr>
                <w:sz w:val="4"/>
                <w:szCs w:val="4"/>
                <w:color w:val="auto"/>
              </w:rPr>
            </w:pPr>
          </w:p>
        </w:tc>
        <w:tc>
          <w:tcPr>
            <w:tcW w:w="100" w:type="dxa"/>
            <w:vAlign w:val="bottom"/>
            <w:tcBorders>
              <w:bottom w:val="single" w:sz="8" w:color="2C6937"/>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8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rPr>
                <w:sz w:val="20"/>
                <w:szCs w:val="20"/>
                <w:color w:val="auto"/>
              </w:rPr>
            </w:pPr>
            <w:r>
              <w:rPr>
                <w:rFonts w:ascii="Arial" w:cs="Arial" w:eastAsia="Arial" w:hAnsi="Arial"/>
                <w:sz w:val="14"/>
                <w:szCs w:val="14"/>
                <w:color w:val="auto"/>
              </w:rPr>
              <w:t>Cash</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10,918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240" w:type="dxa"/>
            <w:vAlign w:val="bottom"/>
          </w:tcPr>
          <w:p>
            <w:pPr>
              <w:ind w:left="20"/>
              <w:spacing w:after="0"/>
              <w:rPr>
                <w:sz w:val="20"/>
                <w:szCs w:val="20"/>
                <w:color w:val="auto"/>
              </w:rPr>
            </w:pPr>
            <w:r>
              <w:rPr>
                <w:rFonts w:ascii="Arial" w:cs="Arial" w:eastAsia="Arial" w:hAnsi="Arial"/>
                <w:sz w:val="14"/>
                <w:szCs w:val="14"/>
                <w:color w:val="auto"/>
              </w:rPr>
              <w:t>Restricted cash (includes $17,687 and $22,848, respectively, related to consolidated trusts)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25,425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31,131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240" w:type="dxa"/>
            <w:vAlign w:val="bottom"/>
          </w:tcPr>
          <w:p>
            <w:pPr>
              <w:ind w:left="20"/>
              <w:spacing w:after="0"/>
              <w:rPr>
                <w:sz w:val="20"/>
                <w:szCs w:val="20"/>
                <w:color w:val="auto"/>
              </w:rPr>
            </w:pPr>
            <w:r>
              <w:rPr>
                <w:rFonts w:ascii="Arial" w:cs="Arial" w:eastAsia="Arial" w:hAnsi="Arial"/>
                <w:sz w:val="14"/>
                <w:szCs w:val="14"/>
                <w:color w:val="auto"/>
              </w:rPr>
              <w:t>Securities purchased under agreements to resell (includes $16,050 and $18,425, respectively, related to consolidated trusts)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33,450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rPr>
                <w:sz w:val="20"/>
                <w:szCs w:val="20"/>
                <w:color w:val="auto"/>
              </w:rPr>
            </w:pPr>
            <w:r>
              <w:rPr>
                <w:rFonts w:ascii="Arial" w:cs="Arial" w:eastAsia="Arial" w:hAnsi="Arial"/>
                <w:sz w:val="14"/>
                <w:szCs w:val="14"/>
                <w:color w:val="auto"/>
              </w:rPr>
              <w:t>Investments in securities, at fair value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100,723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69,889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4"/>
                <w:szCs w:val="14"/>
                <w:color w:val="auto"/>
              </w:rPr>
              <w:t>Mortgage loans: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tcPr>
          <w:p>
            <w:pPr>
              <w:ind w:left="180"/>
              <w:spacing w:after="0"/>
              <w:rPr>
                <w:sz w:val="20"/>
                <w:szCs w:val="20"/>
                <w:color w:val="auto"/>
              </w:rPr>
            </w:pPr>
            <w:r>
              <w:rPr>
                <w:rFonts w:ascii="Arial" w:cs="Arial" w:eastAsia="Arial" w:hAnsi="Arial"/>
                <w:sz w:val="14"/>
                <w:szCs w:val="14"/>
                <w:color w:val="auto"/>
              </w:rPr>
              <w:t>Loans held for sale, at lower of cost or fair value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240" w:type="dxa"/>
            <w:vAlign w:val="bottom"/>
          </w:tcPr>
          <w:p>
            <w:pPr>
              <w:ind w:left="180"/>
              <w:spacing w:after="0"/>
              <w:rPr>
                <w:sz w:val="20"/>
                <w:szCs w:val="20"/>
                <w:color w:val="auto"/>
              </w:rPr>
            </w:pPr>
            <w:r>
              <w:rPr>
                <w:rFonts w:ascii="Arial" w:cs="Arial" w:eastAsia="Arial" w:hAnsi="Arial"/>
                <w:sz w:val="14"/>
                <w:szCs w:val="14"/>
                <w:color w:val="auto"/>
              </w:rPr>
              <w:t>Loans held for investment, at amortized cost: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tcPr>
          <w:p>
            <w:pPr>
              <w:ind w:left="3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66,617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4,049,097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4,069,498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40" w:type="dxa"/>
            <w:vAlign w:val="bottom"/>
          </w:tcPr>
          <w:p>
            <w:pPr>
              <w:ind w:left="320"/>
              <w:spacing w:after="0"/>
              <w:rPr>
                <w:sz w:val="20"/>
                <w:szCs w:val="20"/>
                <w:color w:val="auto"/>
              </w:rPr>
            </w:pPr>
            <w:r>
              <w:rPr>
                <w:rFonts w:ascii="Arial" w:cs="Arial" w:eastAsia="Arial" w:hAnsi="Arial"/>
                <w:sz w:val="14"/>
                <w:szCs w:val="14"/>
                <w:color w:val="auto"/>
              </w:rPr>
              <w:t>Total loans held for investment (includes $6,309 and $5,464, respectively, at fair value)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4,115,714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4,127,468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Allowance for loan losses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(9,415)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240" w:type="dxa"/>
            <w:vAlign w:val="bottom"/>
            <w:tcBorders>
              <w:bottom w:val="single" w:sz="8" w:color="2C6937"/>
            </w:tcBorders>
          </w:tcPr>
          <w:p>
            <w:pPr>
              <w:ind w:left="480"/>
              <w:spacing w:after="0"/>
              <w:rPr>
                <w:sz w:val="20"/>
                <w:szCs w:val="20"/>
                <w:color w:val="auto"/>
              </w:rPr>
            </w:pPr>
            <w:r>
              <w:rPr>
                <w:rFonts w:ascii="Arial" w:cs="Arial" w:eastAsia="Arial" w:hAnsi="Arial"/>
                <w:sz w:val="14"/>
                <w:szCs w:val="14"/>
                <w:color w:val="auto"/>
              </w:rPr>
              <w:t>Total loans held for investment, net of allowance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4,106,299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4,119,104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40" w:type="dxa"/>
            <w:vAlign w:val="bottom"/>
          </w:tcPr>
          <w:p>
            <w:pPr>
              <w:ind w:left="640"/>
              <w:spacing w:after="0"/>
              <w:rPr>
                <w:sz w:val="20"/>
                <w:szCs w:val="20"/>
                <w:color w:val="auto"/>
              </w:rPr>
            </w:pPr>
            <w:r>
              <w:rPr>
                <w:rFonts w:ascii="Arial" w:cs="Arial" w:eastAsia="Arial" w:hAnsi="Arial"/>
                <w:sz w:val="14"/>
                <w:szCs w:val="14"/>
                <w:color w:val="auto"/>
              </w:rPr>
              <w:t>Total mortgage loans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4,106,631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4,119,313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9,707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240" w:type="dxa"/>
            <w:vAlign w:val="bottom"/>
          </w:tcPr>
          <w:p>
            <w:pPr>
              <w:ind w:left="20"/>
              <w:spacing w:after="0"/>
              <w:rPr>
                <w:sz w:val="20"/>
                <w:szCs w:val="20"/>
                <w:color w:val="auto"/>
              </w:rPr>
            </w:pPr>
            <w:r>
              <w:rPr>
                <w:rFonts w:ascii="Arial" w:cs="Arial" w:eastAsia="Arial" w:hAnsi="Arial"/>
                <w:sz w:val="14"/>
                <w:szCs w:val="14"/>
                <w:color w:val="auto"/>
              </w:rPr>
              <w:t>Accrued interest receivable (includes $11,628 and $11,129, respectively, related to consolidated trusts)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12,567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17,260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24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4,317,887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4,317,538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tcPr>
          <w:p>
            <w:pPr>
              <w:ind w:left="3280"/>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tcPr>
          <w:p>
            <w:pPr>
              <w:ind w:left="180"/>
              <w:spacing w:after="0"/>
              <w:rPr>
                <w:sz w:val="20"/>
                <w:szCs w:val="20"/>
                <w:color w:val="auto"/>
              </w:rPr>
            </w:pPr>
            <w:r>
              <w:rPr>
                <w:rFonts w:ascii="Arial" w:cs="Arial" w:eastAsia="Arial" w:hAnsi="Arial"/>
                <w:sz w:val="14"/>
                <w:szCs w:val="14"/>
                <w:color w:val="auto"/>
              </w:rPr>
              <w:t>Accrued interest payable (includes $11,457 and $11,320, respectively, related to consolidated trusts)</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12,593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240" w:type="dxa"/>
            <w:vAlign w:val="bottom"/>
          </w:tcPr>
          <w:p>
            <w:pPr>
              <w:ind w:left="180"/>
              <w:spacing w:after="0"/>
              <w:rPr>
                <w:sz w:val="20"/>
                <w:szCs w:val="20"/>
                <w:color w:val="auto"/>
              </w:rPr>
            </w:pPr>
            <w:r>
              <w:rPr>
                <w:rFonts w:ascii="Arial" w:cs="Arial" w:eastAsia="Arial" w:hAnsi="Arial"/>
                <w:sz w:val="14"/>
                <w:szCs w:val="14"/>
                <w:color w:val="auto"/>
              </w:rPr>
              <w:t>Debt: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tcPr>
          <w:p>
            <w:pPr>
              <w:ind w:left="320"/>
              <w:spacing w:after="0"/>
              <w:rPr>
                <w:sz w:val="20"/>
                <w:szCs w:val="20"/>
                <w:color w:val="auto"/>
              </w:rPr>
            </w:pPr>
            <w:r>
              <w:rPr>
                <w:rFonts w:ascii="Arial" w:cs="Arial" w:eastAsia="Arial" w:hAnsi="Arial"/>
                <w:sz w:val="14"/>
                <w:szCs w:val="14"/>
                <w:color w:val="auto"/>
              </w:rPr>
              <w:t>Of Fannie Mae (includes $235 and $256, respectively, at fair value)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168,731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320"/>
              <w:spacing w:after="0"/>
              <w:rPr>
                <w:sz w:val="20"/>
                <w:szCs w:val="20"/>
                <w:color w:val="auto"/>
              </w:rPr>
            </w:pPr>
            <w:r>
              <w:rPr>
                <w:rFonts w:ascii="Arial" w:cs="Arial" w:eastAsia="Arial" w:hAnsi="Arial"/>
                <w:sz w:val="14"/>
                <w:szCs w:val="14"/>
                <w:color w:val="auto"/>
              </w:rPr>
              <w:t>Of consolidated trusts (includes $14,728 and $15,060, respectively, at fair value)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4,000,518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4,053,140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liabilities (includes $1,717 and $1,719, respectively, related to consolidated trusts)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16,408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2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4,198,250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4,208,526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4"/>
                <w:szCs w:val="14"/>
                <w:color w:val="auto"/>
              </w:rPr>
              <w:t>Fannie Mae stockholders’ equity: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tcPr>
          <w:p>
            <w:pPr>
              <w:ind w:left="180"/>
              <w:spacing w:after="0"/>
              <w:rPr>
                <w:sz w:val="20"/>
                <w:szCs w:val="20"/>
                <w:color w:val="auto"/>
              </w:rPr>
            </w:pPr>
            <w:r>
              <w:rPr>
                <w:rFonts w:ascii="Arial" w:cs="Arial" w:eastAsia="Arial" w:hAnsi="Arial"/>
                <w:sz w:val="14"/>
                <w:szCs w:val="14"/>
                <w:color w:val="auto"/>
              </w:rPr>
              <w:t>Senior preferred stock (liquidation preference of $237,996 and $226,984, respectively)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120,836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180"/>
              <w:spacing w:after="0"/>
              <w:rPr>
                <w:sz w:val="20"/>
                <w:szCs w:val="20"/>
                <w:color w:val="auto"/>
              </w:rPr>
            </w:pPr>
            <w:r>
              <w:rPr>
                <w:rFonts w:ascii="Arial" w:cs="Arial" w:eastAsia="Arial" w:hAnsi="Arial"/>
                <w:sz w:val="14"/>
                <w:szCs w:val="14"/>
                <w:color w:val="auto"/>
              </w:rPr>
              <w:t>Preferred stock, 700,000,000 shares are authorized—555,374,922 shares issued and outstanding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19,130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180"/>
              <w:spacing w:after="0"/>
              <w:rPr>
                <w:sz w:val="20"/>
                <w:szCs w:val="20"/>
                <w:color w:val="auto"/>
              </w:rPr>
            </w:pPr>
            <w:r>
              <w:rPr>
                <w:rFonts w:ascii="Arial" w:cs="Arial" w:eastAsia="Arial" w:hAnsi="Arial"/>
                <w:sz w:val="14"/>
                <w:szCs w:val="14"/>
                <w:color w:val="auto"/>
              </w:rPr>
              <w:t>Common stock, no par value, no maximum authorization—1,308,762,703 shares issued and 1,158,087,567 shares outstanding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687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18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(12,382)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18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Treasury stock, at cost, 150,675,136 shares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stockholders’ equity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119,637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109,012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8240" w:type="dxa"/>
            <w:vAlign w:val="bottom"/>
          </w:tcPr>
          <w:p>
            <w:pPr>
              <w:ind w:left="180"/>
              <w:spacing w:after="0"/>
              <w:rPr>
                <w:sz w:val="20"/>
                <w:szCs w:val="20"/>
                <w:color w:val="auto"/>
              </w:rPr>
            </w:pPr>
            <w:r>
              <w:rPr>
                <w:rFonts w:ascii="Arial" w:cs="Arial" w:eastAsia="Arial" w:hAnsi="Arial"/>
                <w:sz w:val="14"/>
                <w:szCs w:val="14"/>
                <w:color w:val="auto"/>
              </w:rPr>
              <w:t>Total liabilities and equity</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4,317,887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4,317,538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387985</wp:posOffset>
            </wp:positionV>
            <wp:extent cx="68059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61" w:name="page62"/>
    <w:bookmarkEnd w:id="61"/>
    <w:p>
      <w:pPr>
        <w:ind w:left="6540"/>
        <w:spacing w:after="0"/>
        <w:rPr>
          <w:sz w:val="20"/>
          <w:szCs w:val="20"/>
          <w:color w:val="auto"/>
        </w:rPr>
      </w:pPr>
      <w:r>
        <w:rPr>
          <w:rFonts w:ascii="Arial" w:cs="Arial" w:eastAsia="Arial" w:hAnsi="Arial"/>
          <w:sz w:val="14"/>
          <w:szCs w:val="14"/>
          <w:color w:val="05314D"/>
        </w:rPr>
        <w:t>Financial Statements |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spacing w:after="0"/>
        <w:rPr>
          <w:sz w:val="20"/>
          <w:szCs w:val="20"/>
          <w:color w:val="auto"/>
        </w:rPr>
      </w:pPr>
      <w:r>
        <w:rPr>
          <w:rFonts w:ascii="Georgia" w:cs="Georgia" w:eastAsia="Georgia" w:hAnsi="Georgia"/>
          <w:sz w:val="27"/>
          <w:szCs w:val="27"/>
          <w:b w:val="1"/>
          <w:bCs w:val="1"/>
          <w:color w:val="05314D"/>
        </w:rPr>
        <w:t>Condensed Consolidated Statements of Cash Flows — (Unaudited)</w:t>
      </w:r>
    </w:p>
    <w:p>
      <w:pPr>
        <w:spacing w:after="0" w:line="84"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(Dollars in millions)</w:t>
      </w:r>
    </w:p>
    <w:p>
      <w:pPr>
        <w:spacing w:after="0" w:line="130"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For the Nine Months Ended September</w:t>
      </w:r>
    </w:p>
    <w:p>
      <w:pPr>
        <w:jc w:val="center"/>
        <w:ind w:left="844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5372100</wp:posOffset>
            </wp:positionH>
            <wp:positionV relativeFrom="paragraph">
              <wp:posOffset>1270</wp:posOffset>
            </wp:positionV>
            <wp:extent cx="176847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68475"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35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6"/>
                <w:szCs w:val="16"/>
                <w:color w:val="auto"/>
              </w:rPr>
            </w:pPr>
          </w:p>
        </w:tc>
      </w:tr>
      <w:tr>
        <w:trPr>
          <w:trHeight w:val="198"/>
        </w:trPr>
        <w:tc>
          <w:tcPr>
            <w:tcW w:w="85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260" w:type="dxa"/>
            <w:vAlign w:val="bottom"/>
          </w:tcPr>
          <w:p>
            <w:pPr>
              <w:jc w:val="right"/>
              <w:ind w:right="91"/>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26,613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17,998</w:t>
            </w: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Mortgage loans acquired held for investment: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8560" w:type="dxa"/>
            <w:vAlign w:val="bottom"/>
            <w:gridSpan w:val="2"/>
          </w:tcPr>
          <w:p>
            <w:pPr>
              <w:ind w:left="400"/>
              <w:spacing w:after="0"/>
              <w:rPr>
                <w:sz w:val="20"/>
                <w:szCs w:val="20"/>
                <w:color w:val="auto"/>
              </w:rPr>
            </w:pPr>
            <w:r>
              <w:rPr>
                <w:rFonts w:ascii="Arial" w:cs="Arial" w:eastAsia="Arial" w:hAnsi="Arial"/>
                <w:sz w:val="14"/>
                <w:szCs w:val="14"/>
                <w:color w:val="auto"/>
              </w:rPr>
              <w:t>Purchases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(135,310)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(93,505)</w:t>
            </w:r>
          </w:p>
        </w:tc>
        <w:tc>
          <w:tcPr>
            <w:tcW w:w="100" w:type="dxa"/>
            <w:vAlign w:val="bottom"/>
          </w:tcPr>
          <w:p>
            <w:pPr>
              <w:spacing w:after="0"/>
              <w:rPr>
                <w:sz w:val="18"/>
                <w:szCs w:val="18"/>
                <w:color w:val="auto"/>
              </w:rPr>
            </w:pPr>
          </w:p>
        </w:tc>
      </w:tr>
      <w:tr>
        <w:trPr>
          <w:trHeight w:val="206"/>
        </w:trPr>
        <w:tc>
          <w:tcPr>
            <w:tcW w:w="8560" w:type="dxa"/>
            <w:vAlign w:val="bottom"/>
            <w:gridSpan w:val="2"/>
          </w:tcPr>
          <w:p>
            <w:pPr>
              <w:ind w:left="420"/>
              <w:spacing w:after="0"/>
              <w:rPr>
                <w:sz w:val="20"/>
                <w:szCs w:val="20"/>
                <w:color w:val="auto"/>
              </w:rPr>
            </w:pPr>
            <w:r>
              <w:rPr>
                <w:rFonts w:ascii="Arial" w:cs="Arial" w:eastAsia="Arial" w:hAnsi="Arial"/>
                <w:sz w:val="14"/>
                <w:szCs w:val="14"/>
                <w:color w:val="auto"/>
              </w:rPr>
              <w:t>Proceeds from sales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17"/>
                <w:szCs w:val="17"/>
                <w:color w:val="auto"/>
              </w:rPr>
            </w:pPr>
          </w:p>
        </w:tc>
      </w:tr>
      <w:tr>
        <w:trPr>
          <w:trHeight w:val="206"/>
        </w:trPr>
        <w:tc>
          <w:tcPr>
            <w:tcW w:w="8560" w:type="dxa"/>
            <w:vAlign w:val="bottom"/>
            <w:gridSpan w:val="2"/>
          </w:tcPr>
          <w:p>
            <w:pPr>
              <w:ind w:left="420"/>
              <w:spacing w:after="0"/>
              <w:rPr>
                <w:sz w:val="20"/>
                <w:szCs w:val="20"/>
                <w:color w:val="auto"/>
              </w:rPr>
            </w:pPr>
            <w:r>
              <w:rPr>
                <w:rFonts w:ascii="Arial" w:cs="Arial" w:eastAsia="Arial" w:hAnsi="Arial"/>
                <w:sz w:val="14"/>
                <w:szCs w:val="14"/>
                <w:color w:val="auto"/>
              </w:rPr>
              <w:t>Proceeds from repayments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342,498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294,908</w:t>
            </w: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Advances to lenders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(93,876)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(76,692)</w:t>
            </w: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Purchases of available-for-sale securities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(43,011)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Proceeds from sales of available-for-sale securities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4,181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Proceeds from disposition of acquired property, preforeclosure sales and insurance proceeds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1,990</w:t>
            </w: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Net change in securities purchased under agreements to resell</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12,200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(5,275)</w:t>
            </w:r>
          </w:p>
        </w:tc>
        <w:tc>
          <w:tcPr>
            <w:tcW w:w="100" w:type="dxa"/>
            <w:vAlign w:val="bottom"/>
          </w:tcPr>
          <w:p>
            <w:pPr>
              <w:spacing w:after="0"/>
              <w:rPr>
                <w:sz w:val="17"/>
                <w:szCs w:val="17"/>
                <w:color w:val="auto"/>
              </w:rPr>
            </w:pPr>
          </w:p>
        </w:tc>
      </w:tr>
      <w:tr>
        <w:trPr>
          <w:trHeight w:val="207"/>
        </w:trPr>
        <w:tc>
          <w:tcPr>
            <w:tcW w:w="84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(1,136)</w:t>
            </w:r>
          </w:p>
        </w:tc>
        <w:tc>
          <w:tcPr>
            <w:tcW w:w="100" w:type="dxa"/>
            <w:vAlign w:val="bottom"/>
          </w:tcPr>
          <w:p>
            <w:pPr>
              <w:spacing w:after="0"/>
              <w:rPr>
                <w:sz w:val="18"/>
                <w:szCs w:val="18"/>
                <w:color w:val="auto"/>
              </w:rPr>
            </w:pPr>
          </w:p>
        </w:tc>
      </w:tr>
      <w:tr>
        <w:trPr>
          <w:trHeight w:val="199"/>
        </w:trPr>
        <w:tc>
          <w:tcPr>
            <w:tcW w:w="84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87,993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121,167</w:t>
            </w:r>
          </w:p>
        </w:tc>
        <w:tc>
          <w:tcPr>
            <w:tcW w:w="100" w:type="dxa"/>
            <w:vAlign w:val="bottom"/>
          </w:tcPr>
          <w:p>
            <w:pPr>
              <w:spacing w:after="0"/>
              <w:rPr>
                <w:sz w:val="17"/>
                <w:szCs w:val="17"/>
                <w:color w:val="auto"/>
              </w:rPr>
            </w:pPr>
          </w:p>
        </w:tc>
      </w:tr>
      <w:tr>
        <w:trPr>
          <w:trHeight w:val="198"/>
        </w:trPr>
        <w:tc>
          <w:tcPr>
            <w:tcW w:w="85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Borrowings that have an original maturity of three months or less, net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6,382</w:t>
            </w: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Fannie Mae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93,487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24,229</w:t>
            </w: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Fannie Mae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(49,822)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(44,645)</w:t>
            </w: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consolidated trusts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235,222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184,809</w:t>
            </w: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consolidated trusts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(397,668)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(309,095)</w:t>
            </w:r>
          </w:p>
        </w:tc>
        <w:tc>
          <w:tcPr>
            <w:tcW w:w="100" w:type="dxa"/>
            <w:vAlign w:val="bottom"/>
          </w:tcPr>
          <w:p>
            <w:pPr>
              <w:spacing w:after="0"/>
              <w:rPr>
                <w:sz w:val="17"/>
                <w:szCs w:val="17"/>
                <w:color w:val="auto"/>
              </w:rPr>
            </w:pPr>
          </w:p>
        </w:tc>
      </w:tr>
      <w:tr>
        <w:trPr>
          <w:trHeight w:val="207"/>
        </w:trPr>
        <w:tc>
          <w:tcPr>
            <w:tcW w:w="84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r>
      <w:tr>
        <w:trPr>
          <w:trHeight w:val="199"/>
        </w:trPr>
        <w:tc>
          <w:tcPr>
            <w:tcW w:w="84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(120,846)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(138,326)</w:t>
            </w:r>
          </w:p>
        </w:tc>
        <w:tc>
          <w:tcPr>
            <w:tcW w:w="100" w:type="dxa"/>
            <w:vAlign w:val="bottom"/>
          </w:tcPr>
          <w:p>
            <w:pPr>
              <w:spacing w:after="0"/>
              <w:rPr>
                <w:sz w:val="17"/>
                <w:szCs w:val="17"/>
                <w:color w:val="auto"/>
              </w:rPr>
            </w:pPr>
          </w:p>
        </w:tc>
      </w:tr>
      <w:tr>
        <w:trPr>
          <w:trHeight w:val="198"/>
        </w:trPr>
        <w:tc>
          <w:tcPr>
            <w:tcW w:w="85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increase (decrease) in cash and restricted cash</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(6,240)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839</w:t>
            </w:r>
          </w:p>
        </w:tc>
        <w:tc>
          <w:tcPr>
            <w:tcW w:w="100" w:type="dxa"/>
            <w:vAlign w:val="bottom"/>
          </w:tcPr>
          <w:p>
            <w:pPr>
              <w:spacing w:after="0"/>
              <w:rPr>
                <w:sz w:val="17"/>
                <w:szCs w:val="17"/>
                <w:color w:val="auto"/>
              </w:rPr>
            </w:pPr>
          </w:p>
        </w:tc>
      </w:tr>
      <w:tr>
        <w:trPr>
          <w:trHeight w:val="207"/>
        </w:trPr>
        <w:tc>
          <w:tcPr>
            <w:tcW w:w="84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Cash and restricted cash at beginning of period</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42,583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38,536</w:t>
            </w:r>
          </w:p>
        </w:tc>
        <w:tc>
          <w:tcPr>
            <w:tcW w:w="100" w:type="dxa"/>
            <w:vAlign w:val="bottom"/>
          </w:tcPr>
          <w:p>
            <w:pPr>
              <w:spacing w:after="0"/>
              <w:rPr>
                <w:sz w:val="18"/>
                <w:szCs w:val="18"/>
                <w:color w:val="auto"/>
              </w:rPr>
            </w:pPr>
          </w:p>
        </w:tc>
      </w:tr>
      <w:tr>
        <w:trPr>
          <w:trHeight w:val="199"/>
        </w:trPr>
        <w:tc>
          <w:tcPr>
            <w:tcW w:w="856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and restricted cash at end of period</w:t>
            </w:r>
          </w:p>
        </w:tc>
        <w:tc>
          <w:tcPr>
            <w:tcW w:w="260" w:type="dxa"/>
            <w:vAlign w:val="bottom"/>
          </w:tcPr>
          <w:p>
            <w:pPr>
              <w:jc w:val="right"/>
              <w:ind w:right="91"/>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36,343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39,375</w:t>
            </w:r>
          </w:p>
        </w:tc>
        <w:tc>
          <w:tcPr>
            <w:tcW w:w="100" w:type="dxa"/>
            <w:vAlign w:val="bottom"/>
          </w:tcPr>
          <w:p>
            <w:pPr>
              <w:spacing w:after="0"/>
              <w:rPr>
                <w:sz w:val="17"/>
                <w:szCs w:val="17"/>
                <w:color w:val="auto"/>
              </w:rPr>
            </w:pPr>
          </w:p>
        </w:tc>
      </w:tr>
      <w:tr>
        <w:trPr>
          <w:trHeight w:val="20"/>
        </w:trPr>
        <w:tc>
          <w:tcPr>
            <w:tcW w:w="84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5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paid during the period for: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Interest</w:t>
            </w:r>
          </w:p>
        </w:tc>
        <w:tc>
          <w:tcPr>
            <w:tcW w:w="260" w:type="dxa"/>
            <w:vAlign w:val="bottom"/>
          </w:tcPr>
          <w:p>
            <w:pPr>
              <w:jc w:val="right"/>
              <w:ind w:right="91"/>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105,185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101,890</w:t>
            </w:r>
          </w:p>
        </w:tc>
        <w:tc>
          <w:tcPr>
            <w:tcW w:w="100" w:type="dxa"/>
            <w:vAlign w:val="bottom"/>
          </w:tcPr>
          <w:p>
            <w:pPr>
              <w:spacing w:after="0"/>
              <w:rPr>
                <w:sz w:val="17"/>
                <w:szCs w:val="17"/>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Federal income taxes, net of refunds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1,900</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387985</wp:posOffset>
            </wp:positionV>
            <wp:extent cx="68059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62" w:name="page63"/>
    <w:bookmarkEnd w:id="62"/>
    <w:p>
      <w:pPr>
        <w:ind w:left="612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20"/>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20"/>
        <w:spacing w:after="0"/>
        <w:rPr>
          <w:sz w:val="20"/>
          <w:szCs w:val="20"/>
          <w:color w:val="auto"/>
        </w:rPr>
      </w:pPr>
      <w:r>
        <w:rPr>
          <w:rFonts w:ascii="Georgia" w:cs="Georgia" w:eastAsia="Georgia" w:hAnsi="Georgia"/>
          <w:sz w:val="27"/>
          <w:szCs w:val="27"/>
          <w:b w:val="1"/>
          <w:bCs w:val="1"/>
          <w:color w:val="05314D"/>
        </w:rPr>
        <w:t>Condensed Consolidated Statements of Changes in</w:t>
      </w:r>
    </w:p>
    <w:p>
      <w:pPr>
        <w:spacing w:after="0" w:line="16" w:lineRule="exact"/>
        <w:rPr>
          <w:sz w:val="20"/>
          <w:szCs w:val="20"/>
          <w:color w:val="auto"/>
        </w:rPr>
      </w:pPr>
    </w:p>
    <w:p>
      <w:pPr>
        <w:jc w:val="center"/>
        <w:ind w:right="20"/>
        <w:spacing w:after="0"/>
        <w:rPr>
          <w:sz w:val="20"/>
          <w:szCs w:val="20"/>
          <w:color w:val="auto"/>
        </w:rPr>
      </w:pPr>
      <w:r>
        <w:rPr>
          <w:rFonts w:ascii="Georgia" w:cs="Georgia" w:eastAsia="Georgia" w:hAnsi="Georgia"/>
          <w:sz w:val="27"/>
          <w:szCs w:val="27"/>
          <w:b w:val="1"/>
          <w:bCs w:val="1"/>
          <w:color w:val="05314D"/>
        </w:rPr>
        <w:t>Equity — (Unaudited)</w:t>
      </w:r>
    </w:p>
    <w:p>
      <w:pPr>
        <w:spacing w:after="0" w:line="97" w:lineRule="exact"/>
        <w:rPr>
          <w:sz w:val="20"/>
          <w:szCs w:val="20"/>
          <w:color w:val="auto"/>
        </w:rPr>
      </w:pPr>
    </w:p>
    <w:p>
      <w:pPr>
        <w:jc w:val="center"/>
        <w:ind w:right="20"/>
        <w:spacing w:after="0"/>
        <w:rPr>
          <w:sz w:val="20"/>
          <w:szCs w:val="20"/>
          <w:color w:val="auto"/>
        </w:rPr>
      </w:pPr>
      <w:r>
        <w:rPr>
          <w:rFonts w:ascii="Georgia" w:cs="Georgia" w:eastAsia="Georgia" w:hAnsi="Georgia"/>
          <w:sz w:val="17"/>
          <w:szCs w:val="17"/>
          <w:b w:val="1"/>
          <w:bCs w:val="1"/>
          <w:color w:val="05314D"/>
        </w:rPr>
        <w:t>(Dollars and shares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60" w:type="dxa"/>
            <w:vAlign w:val="bottom"/>
            <w:tcBorders>
              <w:bottom w:val="single" w:sz="8" w:color="2C6937"/>
            </w:tcBorders>
          </w:tcPr>
          <w:p>
            <w:pPr>
              <w:spacing w:after="0"/>
              <w:rPr>
                <w:sz w:val="12"/>
                <w:szCs w:val="12"/>
                <w:color w:val="auto"/>
              </w:rPr>
            </w:pPr>
          </w:p>
        </w:tc>
        <w:tc>
          <w:tcPr>
            <w:tcW w:w="92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10"/>
                <w:szCs w:val="10"/>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6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8"/>
              </w:rPr>
              <w:t>Accumulated Other</w:t>
            </w:r>
          </w:p>
        </w:tc>
        <w:tc>
          <w:tcPr>
            <w:tcW w:w="100" w:type="dxa"/>
            <w:vAlign w:val="bottom"/>
          </w:tcPr>
          <w:p>
            <w:pPr>
              <w:spacing w:after="0"/>
              <w:rPr>
                <w:sz w:val="10"/>
                <w:szCs w:val="10"/>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40" w:type="dxa"/>
            <w:vAlign w:val="bottom"/>
          </w:tcPr>
          <w:p>
            <w:pPr>
              <w:spacing w:after="0"/>
              <w:rPr>
                <w:sz w:val="10"/>
                <w:szCs w:val="10"/>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2"/>
          </w:tcPr>
          <w:p>
            <w:pPr>
              <w:jc w:val="center"/>
              <w:ind w:right="180"/>
              <w:spacing w:after="0" w:line="91"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6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8"/>
              </w:rPr>
              <w:t>Income (Loss)</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54"/>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June 30, 2026</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3"/>
                <w:szCs w:val="13"/>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3"/>
                <w:szCs w:val="13"/>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(16,559)</w:t>
            </w:r>
          </w:p>
        </w:tc>
        <w:tc>
          <w:tcPr>
            <w:tcW w:w="100" w:type="dxa"/>
            <w:vAlign w:val="bottom"/>
          </w:tcPr>
          <w:p>
            <w:pPr>
              <w:spacing w:after="0"/>
              <w:rPr>
                <w:sz w:val="13"/>
                <w:szCs w:val="13"/>
                <w:color w:val="auto"/>
              </w:rPr>
            </w:pPr>
          </w:p>
        </w:tc>
        <w:tc>
          <w:tcPr>
            <w:tcW w:w="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(197)</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3"/>
                <w:szCs w:val="13"/>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116,497</w:t>
            </w:r>
          </w:p>
        </w:tc>
        <w:tc>
          <w:tcPr>
            <w:tcW w:w="0" w:type="dxa"/>
            <w:vAlign w:val="bottom"/>
          </w:tcPr>
          <w:p>
            <w:pPr>
              <w:spacing w:after="0"/>
              <w:rPr>
                <w:sz w:val="1"/>
                <w:szCs w:val="1"/>
                <w:color w:val="auto"/>
              </w:rPr>
            </w:pPr>
          </w:p>
        </w:tc>
      </w:tr>
      <w:tr>
        <w:trPr>
          <w:trHeight w:val="162"/>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4,177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4,177</w:t>
            </w:r>
          </w:p>
        </w:tc>
        <w:tc>
          <w:tcPr>
            <w:tcW w:w="0" w:type="dxa"/>
            <w:vAlign w:val="bottom"/>
          </w:tcPr>
          <w:p>
            <w:pPr>
              <w:spacing w:after="0"/>
              <w:rPr>
                <w:sz w:val="1"/>
                <w:szCs w:val="1"/>
                <w:color w:val="auto"/>
              </w:rPr>
            </w:pPr>
          </w:p>
        </w:tc>
      </w:tr>
      <w:tr>
        <w:trPr>
          <w:trHeight w:val="168"/>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color w:val="auto"/>
              </w:rPr>
              <w:t>(1,036)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(1,036)</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$275)</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$0)</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5"/>
                <w:szCs w:val="15"/>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60"/>
        </w:trPr>
        <w:tc>
          <w:tcPr>
            <w:tcW w:w="2900" w:type="dxa"/>
            <w:vAlign w:val="bottom"/>
            <w:tcBorders>
              <w:bottom w:val="single" w:sz="8" w:color="2C6937"/>
            </w:tcBorders>
          </w:tcPr>
          <w:p>
            <w:pPr>
              <w:ind w:left="40"/>
              <w:spacing w:after="0"/>
              <w:rPr>
                <w:sz w:val="20"/>
                <w:szCs w:val="20"/>
                <w:color w:val="auto"/>
              </w:rPr>
            </w:pPr>
            <w:r>
              <w:rPr>
                <w:rFonts w:ascii="Arial" w:cs="Arial" w:eastAsia="Arial" w:hAnsi="Arial"/>
                <w:sz w:val="10"/>
                <w:szCs w:val="10"/>
                <w:color w:val="auto"/>
              </w:rPr>
              <w:t>Total comprehensive income</w:t>
            </w:r>
          </w:p>
        </w:tc>
        <w:tc>
          <w:tcPr>
            <w:tcW w:w="120" w:type="dxa"/>
            <w:vAlign w:val="bottom"/>
          </w:tcPr>
          <w:p>
            <w:pPr>
              <w:spacing w:after="0"/>
              <w:rPr>
                <w:sz w:val="13"/>
                <w:szCs w:val="13"/>
                <w:color w:val="auto"/>
              </w:rPr>
            </w:pPr>
          </w:p>
        </w:tc>
        <w:tc>
          <w:tcPr>
            <w:tcW w:w="6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2C6937"/>
            </w:tcBorders>
          </w:tcPr>
          <w:p>
            <w:pPr>
              <w:spacing w:after="0"/>
              <w:rPr>
                <w:sz w:val="13"/>
                <w:szCs w:val="13"/>
                <w:color w:val="auto"/>
              </w:rPr>
            </w:pPr>
          </w:p>
        </w:tc>
        <w:tc>
          <w:tcPr>
            <w:tcW w:w="60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8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7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6937"/>
            </w:tcBorders>
          </w:tcPr>
          <w:p>
            <w:pPr>
              <w:spacing w:after="0"/>
              <w:rPr>
                <w:sz w:val="13"/>
                <w:szCs w:val="13"/>
                <w:color w:val="auto"/>
              </w:rPr>
            </w:pPr>
          </w:p>
        </w:tc>
        <w:tc>
          <w:tcPr>
            <w:tcW w:w="92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2C6937"/>
            </w:tcBorders>
          </w:tcPr>
          <w:p>
            <w:pPr>
              <w:spacing w:after="0"/>
              <w:rPr>
                <w:sz w:val="13"/>
                <w:szCs w:val="13"/>
                <w:color w:val="auto"/>
              </w:rPr>
            </w:pPr>
          </w:p>
        </w:tc>
        <w:tc>
          <w:tcPr>
            <w:tcW w:w="600" w:type="dxa"/>
            <w:vAlign w:val="bottom"/>
            <w:tcBorders>
              <w:bottom w:val="single" w:sz="8" w:color="2C6937"/>
            </w:tcBorders>
          </w:tcPr>
          <w:p>
            <w:pPr>
              <w:jc w:val="right"/>
              <w:ind w:right="10"/>
              <w:spacing w:after="0"/>
              <w:rPr>
                <w:sz w:val="20"/>
                <w:szCs w:val="20"/>
                <w:color w:val="auto"/>
              </w:rPr>
            </w:pPr>
            <w:r>
              <w:rPr>
                <w:rFonts w:ascii="Arial" w:cs="Arial" w:eastAsia="Arial" w:hAnsi="Arial"/>
                <w:sz w:val="10"/>
                <w:szCs w:val="10"/>
                <w:color w:val="auto"/>
              </w:rPr>
              <w:t>3,140</w:t>
            </w:r>
          </w:p>
        </w:tc>
        <w:tc>
          <w:tcPr>
            <w:tcW w:w="0" w:type="dxa"/>
            <w:vAlign w:val="bottom"/>
          </w:tcPr>
          <w:p>
            <w:pPr>
              <w:spacing w:after="0"/>
              <w:rPr>
                <w:sz w:val="1"/>
                <w:szCs w:val="1"/>
                <w:color w:val="auto"/>
              </w:rPr>
            </w:pPr>
          </w:p>
        </w:tc>
      </w:tr>
      <w:tr>
        <w:trPr>
          <w:trHeight w:val="16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September 30, 2026</w:t>
            </w: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(12,382)</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(1,234)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119,637</w:t>
            </w:r>
          </w:p>
        </w:tc>
        <w:tc>
          <w:tcPr>
            <w:tcW w:w="0" w:type="dxa"/>
            <w:vAlign w:val="bottom"/>
          </w:tcPr>
          <w:p>
            <w:pPr>
              <w:spacing w:after="0"/>
              <w:rPr>
                <w:sz w:val="1"/>
                <w:szCs w:val="1"/>
                <w:color w:val="auto"/>
              </w:rPr>
            </w:pPr>
          </w:p>
        </w:tc>
      </w:tr>
      <w:tr>
        <w:trPr>
          <w:trHeight w:val="25"/>
        </w:trPr>
        <w:tc>
          <w:tcPr>
            <w:tcW w:w="290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6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9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60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60" w:type="dxa"/>
            <w:vAlign w:val="bottom"/>
            <w:tcBorders>
              <w:bottom w:val="single" w:sz="8" w:color="2C6937"/>
            </w:tcBorders>
          </w:tcPr>
          <w:p>
            <w:pPr>
              <w:spacing w:after="0"/>
              <w:rPr>
                <w:sz w:val="12"/>
                <w:szCs w:val="12"/>
                <w:color w:val="auto"/>
              </w:rPr>
            </w:pPr>
          </w:p>
        </w:tc>
        <w:tc>
          <w:tcPr>
            <w:tcW w:w="92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10"/>
                <w:szCs w:val="10"/>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6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8"/>
              </w:rPr>
              <w:t>Accumulated Other</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Treasury</w:t>
            </w:r>
          </w:p>
        </w:tc>
        <w:tc>
          <w:tcPr>
            <w:tcW w:w="140" w:type="dxa"/>
            <w:vAlign w:val="bottom"/>
          </w:tcPr>
          <w:p>
            <w:pPr>
              <w:spacing w:after="0"/>
              <w:rPr>
                <w:sz w:val="10"/>
                <w:szCs w:val="10"/>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9"/>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2"/>
          </w:tcPr>
          <w:p>
            <w:pPr>
              <w:jc w:val="center"/>
              <w:ind w:right="180"/>
              <w:spacing w:after="0" w:line="89"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6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8"/>
              </w:rPr>
              <w:t>Income (Loss)</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54"/>
        </w:trPr>
        <w:tc>
          <w:tcPr>
            <w:tcW w:w="30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2025</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3"/>
                <w:szCs w:val="13"/>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3"/>
                <w:szCs w:val="13"/>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(24,261)</w:t>
            </w:r>
          </w:p>
        </w:tc>
        <w:tc>
          <w:tcPr>
            <w:tcW w:w="100" w:type="dxa"/>
            <w:vAlign w:val="bottom"/>
          </w:tcPr>
          <w:p>
            <w:pPr>
              <w:spacing w:after="0"/>
              <w:rPr>
                <w:sz w:val="13"/>
                <w:szCs w:val="13"/>
                <w:color w:val="auto"/>
              </w:rPr>
            </w:pPr>
          </w:p>
        </w:tc>
        <w:tc>
          <w:tcPr>
            <w:tcW w:w="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3"/>
                <w:szCs w:val="13"/>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109,012</w:t>
            </w:r>
          </w:p>
        </w:tc>
        <w:tc>
          <w:tcPr>
            <w:tcW w:w="0" w:type="dxa"/>
            <w:vAlign w:val="bottom"/>
          </w:tcPr>
          <w:p>
            <w:pPr>
              <w:spacing w:after="0"/>
              <w:rPr>
                <w:sz w:val="1"/>
                <w:szCs w:val="1"/>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11,879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11,879</w:t>
            </w:r>
          </w:p>
        </w:tc>
        <w:tc>
          <w:tcPr>
            <w:tcW w:w="0" w:type="dxa"/>
            <w:vAlign w:val="bottom"/>
          </w:tcPr>
          <w:p>
            <w:pPr>
              <w:spacing w:after="0"/>
              <w:rPr>
                <w:sz w:val="1"/>
                <w:szCs w:val="1"/>
                <w:color w:val="auto"/>
              </w:rPr>
            </w:pPr>
          </w:p>
        </w:tc>
      </w:tr>
      <w:tr>
        <w:trPr>
          <w:trHeight w:val="16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color w:val="auto"/>
              </w:rPr>
              <w:t>(1,250)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(1,250)</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$332)</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5"/>
                <w:szCs w:val="15"/>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60"/>
        </w:trPr>
        <w:tc>
          <w:tcPr>
            <w:tcW w:w="2900" w:type="dxa"/>
            <w:vAlign w:val="bottom"/>
            <w:tcBorders>
              <w:bottom w:val="single" w:sz="8" w:color="2C6937"/>
            </w:tcBorders>
          </w:tcPr>
          <w:p>
            <w:pPr>
              <w:ind w:left="20"/>
              <w:spacing w:after="0"/>
              <w:rPr>
                <w:sz w:val="20"/>
                <w:szCs w:val="20"/>
                <w:color w:val="auto"/>
              </w:rPr>
            </w:pPr>
            <w:r>
              <w:rPr>
                <w:rFonts w:ascii="Arial" w:cs="Arial" w:eastAsia="Arial" w:hAnsi="Arial"/>
                <w:sz w:val="10"/>
                <w:szCs w:val="10"/>
                <w:color w:val="auto"/>
              </w:rPr>
              <w:t>Total comprehensive income</w:t>
            </w:r>
          </w:p>
        </w:tc>
        <w:tc>
          <w:tcPr>
            <w:tcW w:w="120" w:type="dxa"/>
            <w:vAlign w:val="bottom"/>
          </w:tcPr>
          <w:p>
            <w:pPr>
              <w:spacing w:after="0"/>
              <w:rPr>
                <w:sz w:val="13"/>
                <w:szCs w:val="13"/>
                <w:color w:val="auto"/>
              </w:rPr>
            </w:pPr>
          </w:p>
        </w:tc>
        <w:tc>
          <w:tcPr>
            <w:tcW w:w="6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2C6937"/>
            </w:tcBorders>
          </w:tcPr>
          <w:p>
            <w:pPr>
              <w:spacing w:after="0"/>
              <w:rPr>
                <w:sz w:val="13"/>
                <w:szCs w:val="13"/>
                <w:color w:val="auto"/>
              </w:rPr>
            </w:pPr>
          </w:p>
        </w:tc>
        <w:tc>
          <w:tcPr>
            <w:tcW w:w="60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8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7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6937"/>
            </w:tcBorders>
          </w:tcPr>
          <w:p>
            <w:pPr>
              <w:spacing w:after="0"/>
              <w:rPr>
                <w:sz w:val="13"/>
                <w:szCs w:val="13"/>
                <w:color w:val="auto"/>
              </w:rPr>
            </w:pPr>
          </w:p>
        </w:tc>
        <w:tc>
          <w:tcPr>
            <w:tcW w:w="92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2C6937"/>
            </w:tcBorders>
          </w:tcPr>
          <w:p>
            <w:pPr>
              <w:spacing w:after="0"/>
              <w:rPr>
                <w:sz w:val="13"/>
                <w:szCs w:val="13"/>
                <w:color w:val="auto"/>
              </w:rPr>
            </w:pPr>
          </w:p>
        </w:tc>
        <w:tc>
          <w:tcPr>
            <w:tcW w:w="600" w:type="dxa"/>
            <w:vAlign w:val="bottom"/>
            <w:tcBorders>
              <w:bottom w:val="single" w:sz="8" w:color="2C6937"/>
            </w:tcBorders>
          </w:tcPr>
          <w:p>
            <w:pPr>
              <w:jc w:val="right"/>
              <w:ind w:right="10"/>
              <w:spacing w:after="0"/>
              <w:rPr>
                <w:sz w:val="20"/>
                <w:szCs w:val="20"/>
                <w:color w:val="auto"/>
              </w:rPr>
            </w:pPr>
            <w:r>
              <w:rPr>
                <w:rFonts w:ascii="Arial" w:cs="Arial" w:eastAsia="Arial" w:hAnsi="Arial"/>
                <w:sz w:val="10"/>
                <w:szCs w:val="10"/>
                <w:color w:val="auto"/>
              </w:rPr>
              <w:t>10,625</w:t>
            </w:r>
          </w:p>
        </w:tc>
        <w:tc>
          <w:tcPr>
            <w:tcW w:w="0" w:type="dxa"/>
            <w:vAlign w:val="bottom"/>
          </w:tcPr>
          <w:p>
            <w:pPr>
              <w:spacing w:after="0"/>
              <w:rPr>
                <w:sz w:val="1"/>
                <w:szCs w:val="1"/>
                <w:color w:val="auto"/>
              </w:rPr>
            </w:pPr>
          </w:p>
        </w:tc>
      </w:tr>
      <w:tr>
        <w:trPr>
          <w:trHeight w:val="16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September 30, 2026</w:t>
            </w: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(12,382)</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(1,234)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119,637</w:t>
            </w:r>
          </w:p>
        </w:tc>
        <w:tc>
          <w:tcPr>
            <w:tcW w:w="0" w:type="dxa"/>
            <w:vAlign w:val="bottom"/>
          </w:tcPr>
          <w:p>
            <w:pPr>
              <w:spacing w:after="0"/>
              <w:rPr>
                <w:sz w:val="1"/>
                <w:szCs w:val="1"/>
                <w:color w:val="auto"/>
              </w:rPr>
            </w:pPr>
          </w:p>
        </w:tc>
      </w:tr>
      <w:tr>
        <w:trPr>
          <w:trHeight w:val="25"/>
        </w:trPr>
        <w:tc>
          <w:tcPr>
            <w:tcW w:w="290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6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9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60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614045</wp:posOffset>
            </wp:positionV>
            <wp:extent cx="680593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7164070" cy="419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61" w:right="339" w:bottom="1440" w:gutter="0" w:footer="0" w:header="0"/>
        </w:sectPr>
      </w:pPr>
    </w:p>
    <w:bookmarkStart w:id="63" w:name="page64"/>
    <w:bookmarkEnd w:id="63"/>
    <w:p>
      <w:pPr>
        <w:ind w:left="612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60" w:type="dxa"/>
            <w:vAlign w:val="bottom"/>
            <w:tcBorders>
              <w:bottom w:val="single" w:sz="8" w:color="2C6937"/>
            </w:tcBorders>
          </w:tcPr>
          <w:p>
            <w:pPr>
              <w:spacing w:after="0"/>
              <w:rPr>
                <w:sz w:val="12"/>
                <w:szCs w:val="12"/>
                <w:color w:val="auto"/>
              </w:rPr>
            </w:pPr>
          </w:p>
        </w:tc>
        <w:tc>
          <w:tcPr>
            <w:tcW w:w="92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10"/>
                <w:szCs w:val="10"/>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6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8"/>
              </w:rPr>
              <w:t>Accumulated Other</w:t>
            </w:r>
          </w:p>
        </w:tc>
        <w:tc>
          <w:tcPr>
            <w:tcW w:w="100" w:type="dxa"/>
            <w:vAlign w:val="bottom"/>
          </w:tcPr>
          <w:p>
            <w:pPr>
              <w:spacing w:after="0"/>
              <w:rPr>
                <w:sz w:val="10"/>
                <w:szCs w:val="10"/>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40" w:type="dxa"/>
            <w:vAlign w:val="bottom"/>
          </w:tcPr>
          <w:p>
            <w:pPr>
              <w:spacing w:after="0"/>
              <w:rPr>
                <w:sz w:val="10"/>
                <w:szCs w:val="10"/>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2"/>
          </w:tcPr>
          <w:p>
            <w:pPr>
              <w:jc w:val="center"/>
              <w:ind w:right="180"/>
              <w:spacing w:after="0" w:line="91"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6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8"/>
              </w:rPr>
              <w:t>Income (Loss)</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54"/>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June 30, 2025</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3"/>
                <w:szCs w:val="13"/>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3"/>
                <w:szCs w:val="13"/>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(31,647)</w:t>
            </w:r>
          </w:p>
        </w:tc>
        <w:tc>
          <w:tcPr>
            <w:tcW w:w="100" w:type="dxa"/>
            <w:vAlign w:val="bottom"/>
          </w:tcPr>
          <w:p>
            <w:pPr>
              <w:spacing w:after="0"/>
              <w:rPr>
                <w:sz w:val="13"/>
                <w:szCs w:val="13"/>
                <w:color w:val="auto"/>
              </w:rPr>
            </w:pPr>
          </w:p>
        </w:tc>
        <w:tc>
          <w:tcPr>
            <w:tcW w:w="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3"/>
                <w:szCs w:val="13"/>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101,636</w:t>
            </w:r>
          </w:p>
        </w:tc>
        <w:tc>
          <w:tcPr>
            <w:tcW w:w="0" w:type="dxa"/>
            <w:vAlign w:val="bottom"/>
          </w:tcPr>
          <w:p>
            <w:pPr>
              <w:spacing w:after="0"/>
              <w:rPr>
                <w:sz w:val="1"/>
                <w:szCs w:val="1"/>
                <w:color w:val="auto"/>
              </w:rPr>
            </w:pPr>
          </w:p>
        </w:tc>
      </w:tr>
      <w:tr>
        <w:trPr>
          <w:trHeight w:val="162"/>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3,859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3,859</w:t>
            </w:r>
          </w:p>
        </w:tc>
        <w:tc>
          <w:tcPr>
            <w:tcW w:w="0" w:type="dxa"/>
            <w:vAlign w:val="bottom"/>
          </w:tcPr>
          <w:p>
            <w:pPr>
              <w:spacing w:after="0"/>
              <w:rPr>
                <w:sz w:val="1"/>
                <w:szCs w:val="1"/>
                <w:color w:val="auto"/>
              </w:rPr>
            </w:pPr>
          </w:p>
        </w:tc>
      </w:tr>
      <w:tr>
        <w:trPr>
          <w:trHeight w:val="168"/>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$2)</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$0)</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5"/>
                <w:szCs w:val="15"/>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60"/>
        </w:trPr>
        <w:tc>
          <w:tcPr>
            <w:tcW w:w="2900" w:type="dxa"/>
            <w:vAlign w:val="bottom"/>
            <w:tcBorders>
              <w:bottom w:val="single" w:sz="8" w:color="2C6937"/>
            </w:tcBorders>
          </w:tcPr>
          <w:p>
            <w:pPr>
              <w:ind w:left="40"/>
              <w:spacing w:after="0"/>
              <w:rPr>
                <w:sz w:val="20"/>
                <w:szCs w:val="20"/>
                <w:color w:val="auto"/>
              </w:rPr>
            </w:pPr>
            <w:r>
              <w:rPr>
                <w:rFonts w:ascii="Arial" w:cs="Arial" w:eastAsia="Arial" w:hAnsi="Arial"/>
                <w:sz w:val="10"/>
                <w:szCs w:val="10"/>
                <w:color w:val="auto"/>
              </w:rPr>
              <w:t>Total comprehensive income</w:t>
            </w:r>
          </w:p>
        </w:tc>
        <w:tc>
          <w:tcPr>
            <w:tcW w:w="120" w:type="dxa"/>
            <w:vAlign w:val="bottom"/>
          </w:tcPr>
          <w:p>
            <w:pPr>
              <w:spacing w:after="0"/>
              <w:rPr>
                <w:sz w:val="13"/>
                <w:szCs w:val="13"/>
                <w:color w:val="auto"/>
              </w:rPr>
            </w:pPr>
          </w:p>
        </w:tc>
        <w:tc>
          <w:tcPr>
            <w:tcW w:w="6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2C6937"/>
            </w:tcBorders>
          </w:tcPr>
          <w:p>
            <w:pPr>
              <w:spacing w:after="0"/>
              <w:rPr>
                <w:sz w:val="13"/>
                <w:szCs w:val="13"/>
                <w:color w:val="auto"/>
              </w:rPr>
            </w:pPr>
          </w:p>
        </w:tc>
        <w:tc>
          <w:tcPr>
            <w:tcW w:w="60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8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7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6937"/>
            </w:tcBorders>
          </w:tcPr>
          <w:p>
            <w:pPr>
              <w:spacing w:after="0"/>
              <w:rPr>
                <w:sz w:val="13"/>
                <w:szCs w:val="13"/>
                <w:color w:val="auto"/>
              </w:rPr>
            </w:pPr>
          </w:p>
        </w:tc>
        <w:tc>
          <w:tcPr>
            <w:tcW w:w="92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2C6937"/>
            </w:tcBorders>
          </w:tcPr>
          <w:p>
            <w:pPr>
              <w:spacing w:after="0"/>
              <w:rPr>
                <w:sz w:val="13"/>
                <w:szCs w:val="13"/>
                <w:color w:val="auto"/>
              </w:rPr>
            </w:pPr>
          </w:p>
        </w:tc>
        <w:tc>
          <w:tcPr>
            <w:tcW w:w="600" w:type="dxa"/>
            <w:vAlign w:val="bottom"/>
            <w:tcBorders>
              <w:bottom w:val="single" w:sz="8" w:color="2C6937"/>
            </w:tcBorders>
          </w:tcPr>
          <w:p>
            <w:pPr>
              <w:jc w:val="right"/>
              <w:ind w:right="10"/>
              <w:spacing w:after="0"/>
              <w:rPr>
                <w:sz w:val="20"/>
                <w:szCs w:val="20"/>
                <w:color w:val="auto"/>
              </w:rPr>
            </w:pPr>
            <w:r>
              <w:rPr>
                <w:rFonts w:ascii="Arial" w:cs="Arial" w:eastAsia="Arial" w:hAnsi="Arial"/>
                <w:sz w:val="10"/>
                <w:szCs w:val="10"/>
                <w:color w:val="auto"/>
              </w:rPr>
              <w:t>3,849</w:t>
            </w:r>
          </w:p>
        </w:tc>
        <w:tc>
          <w:tcPr>
            <w:tcW w:w="0" w:type="dxa"/>
            <w:vAlign w:val="bottom"/>
          </w:tcPr>
          <w:p>
            <w:pPr>
              <w:spacing w:after="0"/>
              <w:rPr>
                <w:sz w:val="1"/>
                <w:szCs w:val="1"/>
                <w:color w:val="auto"/>
              </w:rPr>
            </w:pPr>
          </w:p>
        </w:tc>
      </w:tr>
      <w:tr>
        <w:trPr>
          <w:trHeight w:val="16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September 30, 2025</w:t>
            </w: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(27,788)</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1"/>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105,485</w:t>
            </w:r>
          </w:p>
        </w:tc>
        <w:tc>
          <w:tcPr>
            <w:tcW w:w="0" w:type="dxa"/>
            <w:vAlign w:val="bottom"/>
          </w:tcPr>
          <w:p>
            <w:pPr>
              <w:spacing w:after="0"/>
              <w:rPr>
                <w:sz w:val="1"/>
                <w:szCs w:val="1"/>
                <w:color w:val="auto"/>
              </w:rPr>
            </w:pPr>
          </w:p>
        </w:tc>
      </w:tr>
      <w:tr>
        <w:trPr>
          <w:trHeight w:val="25"/>
        </w:trPr>
        <w:tc>
          <w:tcPr>
            <w:tcW w:w="290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6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9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60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100" w:type="dxa"/>
            <w:vAlign w:val="bottom"/>
            <w:tcBorders>
              <w:bottom w:val="single" w:sz="8" w:color="2C6937"/>
            </w:tcBorders>
          </w:tcPr>
          <w:p>
            <w:pPr>
              <w:spacing w:after="0"/>
              <w:rPr>
                <w:sz w:val="12"/>
                <w:szCs w:val="12"/>
                <w:color w:val="auto"/>
              </w:rPr>
            </w:pPr>
          </w:p>
        </w:tc>
        <w:tc>
          <w:tcPr>
            <w:tcW w:w="8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Treasury</w:t>
            </w:r>
          </w:p>
        </w:tc>
        <w:tc>
          <w:tcPr>
            <w:tcW w:w="140" w:type="dxa"/>
            <w:vAlign w:val="bottom"/>
          </w:tcPr>
          <w:p>
            <w:pPr>
              <w:spacing w:after="0"/>
              <w:rPr>
                <w:sz w:val="7"/>
                <w:szCs w:val="7"/>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9"/>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89"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8"/>
              </w:rPr>
              <w:t>Income (Loss)</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54"/>
        </w:trPr>
        <w:tc>
          <w:tcPr>
            <w:tcW w:w="30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2024</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3"/>
                <w:szCs w:val="13"/>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3"/>
                <w:szCs w:val="13"/>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(38,625)</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3"/>
                <w:szCs w:val="13"/>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3"/>
                <w:szCs w:val="13"/>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94,657</w:t>
            </w:r>
          </w:p>
        </w:tc>
        <w:tc>
          <w:tcPr>
            <w:tcW w:w="0" w:type="dxa"/>
            <w:vAlign w:val="bottom"/>
          </w:tcPr>
          <w:p>
            <w:pPr>
              <w:spacing w:after="0"/>
              <w:rPr>
                <w:sz w:val="1"/>
                <w:szCs w:val="1"/>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10,837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10,837</w:t>
            </w:r>
          </w:p>
        </w:tc>
        <w:tc>
          <w:tcPr>
            <w:tcW w:w="0" w:type="dxa"/>
            <w:vAlign w:val="bottom"/>
          </w:tcPr>
          <w:p>
            <w:pPr>
              <w:spacing w:after="0"/>
              <w:rPr>
                <w:sz w:val="1"/>
                <w:szCs w:val="1"/>
                <w:color w:val="auto"/>
              </w:rPr>
            </w:pPr>
          </w:p>
        </w:tc>
      </w:tr>
      <w:tr>
        <w:trPr>
          <w:trHeight w:val="16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$1)</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5"/>
                <w:szCs w:val="15"/>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60"/>
        </w:trPr>
        <w:tc>
          <w:tcPr>
            <w:tcW w:w="2900" w:type="dxa"/>
            <w:vAlign w:val="bottom"/>
            <w:tcBorders>
              <w:bottom w:val="single" w:sz="8" w:color="2C6937"/>
            </w:tcBorders>
          </w:tcPr>
          <w:p>
            <w:pPr>
              <w:ind w:left="20"/>
              <w:spacing w:after="0"/>
              <w:rPr>
                <w:sz w:val="20"/>
                <w:szCs w:val="20"/>
                <w:color w:val="auto"/>
              </w:rPr>
            </w:pPr>
            <w:r>
              <w:rPr>
                <w:rFonts w:ascii="Arial" w:cs="Arial" w:eastAsia="Arial" w:hAnsi="Arial"/>
                <w:sz w:val="10"/>
                <w:szCs w:val="10"/>
                <w:color w:val="auto"/>
              </w:rPr>
              <w:t>Total comprehensive income</w:t>
            </w:r>
          </w:p>
        </w:tc>
        <w:tc>
          <w:tcPr>
            <w:tcW w:w="120" w:type="dxa"/>
            <w:vAlign w:val="bottom"/>
          </w:tcPr>
          <w:p>
            <w:pPr>
              <w:spacing w:after="0"/>
              <w:rPr>
                <w:sz w:val="13"/>
                <w:szCs w:val="13"/>
                <w:color w:val="auto"/>
              </w:rPr>
            </w:pPr>
          </w:p>
        </w:tc>
        <w:tc>
          <w:tcPr>
            <w:tcW w:w="6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2C6937"/>
            </w:tcBorders>
          </w:tcPr>
          <w:p>
            <w:pPr>
              <w:spacing w:after="0"/>
              <w:rPr>
                <w:sz w:val="13"/>
                <w:szCs w:val="13"/>
                <w:color w:val="auto"/>
              </w:rPr>
            </w:pPr>
          </w:p>
        </w:tc>
        <w:tc>
          <w:tcPr>
            <w:tcW w:w="60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8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7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88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2C6937"/>
            </w:tcBorders>
          </w:tcPr>
          <w:p>
            <w:pPr>
              <w:spacing w:after="0"/>
              <w:rPr>
                <w:sz w:val="13"/>
                <w:szCs w:val="13"/>
                <w:color w:val="auto"/>
              </w:rPr>
            </w:pPr>
          </w:p>
        </w:tc>
        <w:tc>
          <w:tcPr>
            <w:tcW w:w="600" w:type="dxa"/>
            <w:vAlign w:val="bottom"/>
            <w:tcBorders>
              <w:bottom w:val="single" w:sz="8" w:color="2C6937"/>
            </w:tcBorders>
          </w:tcPr>
          <w:p>
            <w:pPr>
              <w:jc w:val="right"/>
              <w:ind w:right="10"/>
              <w:spacing w:after="0"/>
              <w:rPr>
                <w:sz w:val="20"/>
                <w:szCs w:val="20"/>
                <w:color w:val="auto"/>
              </w:rPr>
            </w:pPr>
            <w:r>
              <w:rPr>
                <w:rFonts w:ascii="Arial" w:cs="Arial" w:eastAsia="Arial" w:hAnsi="Arial"/>
                <w:sz w:val="10"/>
                <w:szCs w:val="10"/>
                <w:color w:val="auto"/>
              </w:rPr>
              <w:t>10,828</w:t>
            </w:r>
          </w:p>
        </w:tc>
        <w:tc>
          <w:tcPr>
            <w:tcW w:w="0" w:type="dxa"/>
            <w:vAlign w:val="bottom"/>
          </w:tcPr>
          <w:p>
            <w:pPr>
              <w:spacing w:after="0"/>
              <w:rPr>
                <w:sz w:val="1"/>
                <w:szCs w:val="1"/>
                <w:color w:val="auto"/>
              </w:rPr>
            </w:pPr>
          </w:p>
        </w:tc>
      </w:tr>
      <w:tr>
        <w:trPr>
          <w:trHeight w:val="16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September 30, 2025</w:t>
            </w: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(27,788)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1"/>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105,485</w:t>
            </w:r>
          </w:p>
        </w:tc>
        <w:tc>
          <w:tcPr>
            <w:tcW w:w="0" w:type="dxa"/>
            <w:vAlign w:val="bottom"/>
          </w:tcPr>
          <w:p>
            <w:pPr>
              <w:spacing w:after="0"/>
              <w:rPr>
                <w:sz w:val="1"/>
                <w:szCs w:val="1"/>
                <w:color w:val="auto"/>
              </w:rPr>
            </w:pPr>
          </w:p>
        </w:tc>
      </w:tr>
      <w:tr>
        <w:trPr>
          <w:trHeight w:val="25"/>
        </w:trPr>
        <w:tc>
          <w:tcPr>
            <w:tcW w:w="290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6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8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60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781050</wp:posOffset>
            </wp:positionV>
            <wp:extent cx="680593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160020</wp:posOffset>
            </wp:positionV>
            <wp:extent cx="7164070" cy="419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61" w:right="339" w:bottom="1440" w:gutter="0" w:footer="0" w:header="0"/>
        </w:sectPr>
      </w:pPr>
    </w:p>
    <w:bookmarkStart w:id="64" w:name="page65"/>
    <w:bookmarkEnd w:id="64"/>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Notes to Condensed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(Unaudited)</w:t>
      </w:r>
    </w:p>
    <w:p>
      <w:pPr>
        <w:spacing w:after="0" w:line="175"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 Summary of Significant Accounting Policies</w:t>
      </w:r>
    </w:p>
    <w:p>
      <w:pPr>
        <w:spacing w:after="0" w:line="8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Fannie Mae is a leading source of financing for residential mortgages in the United States. 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that global investors buy from us. We do not originate mortgage loans or lend money directly to borrowers.</w:t>
      </w:r>
    </w:p>
    <w:p>
      <w:pPr>
        <w:spacing w:after="0" w:line="48"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auto"/>
        </w:rPr>
        <w:t>We are currently operating under conservatorship, with the Federal Housing Finance Agency (“FHFA”) acting as conservator. See “Note 2, Conservatorship, Senior Preferred Stock Purchase Agreement and Related Matters” below and in our annual report on Form 10-K for the year ended December 31, 2025 (“2025 Form 10-K”) for information on our conservatorship, the senior preferred stock purchase agreement, the impact of U.S. government support of our business, and related party relationships.</w:t>
      </w:r>
    </w:p>
    <w:p>
      <w:pPr>
        <w:spacing w:after="0" w:line="8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Basis of Presentation</w:t>
      </w:r>
    </w:p>
    <w:p>
      <w:pPr>
        <w:spacing w:after="0" w:line="8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of America (“GAAP”). We are operating pursuant to the authority provided by FHFA as conservator and on the basis that we will realize assets and satisfy liabilities in the normal course of business as a going concern. These condensed consolidated financial statements include our accounts as well as the accounts of other entities in which we have a controlling financial interest, and all intercompany balances and transactions have been eliminated.</w:t>
      </w:r>
    </w:p>
    <w:p>
      <w:pPr>
        <w:spacing w:after="0" w:line="53"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The accompanying financial statements should be read in conjunction with our audited consolidated financial statements and related notes included in our 2025 Form 10-K. Certain disclosures are condensed or omitted from the accompanying financial statements as they are not required for interim financial statements under GAAP. In the opinion of management, the accompanying financial statements contain all adjustments, which include only normal recurring adjustments, necessary for a fair presentation of our results. The nature of our business is such that the results of any interim period are not necessarily indicative of results for a full year. We have reclassified certain amounts reported in our prior period consolidated financial statements to conform to our current-period presentation.</w:t>
      </w:r>
    </w:p>
    <w:p>
      <w:pPr>
        <w:spacing w:after="0" w:line="8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Use of Estimates</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Preparing condensed consolidated financial statements in accordance with GAAP requires management to make estimates and assumptions that affect our reported amounts of assets and liabilities and disclosure of contingent assets and liabilities as of the dates of our condensed consolidated financial statements, as well as our reported amounts of revenues and expenses during the reporting periods. Management has made significant estimates in a variety of areas including, but not limited to, the allowance for loan losses. Actual results could be different from these estimates.</w:t>
      </w:r>
    </w:p>
    <w:p>
      <w:pPr>
        <w:spacing w:after="0" w:line="7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Investments in Securities</w:t>
      </w:r>
    </w:p>
    <w:p>
      <w:pPr>
        <w:spacing w:after="0" w:line="68"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We present cash flows from trading securities and available-for-sale (“AFS”) securities as operating activities and investing activities, respectively, in our condensed consolidated statements of cash flows.</w:t>
      </w:r>
    </w:p>
    <w:p>
      <w:pPr>
        <w:spacing w:after="0" w:line="7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Earnings per Share</w:t>
      </w:r>
    </w:p>
    <w:p>
      <w:pPr>
        <w:spacing w:after="0" w:line="68"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Earnings per share (“EPS”) is presented for basic and diluted EPS. For the three and nine months ended September 30, 2026 and 2025, the weighted average shares outstanding used in the computation of basic and diluted EPS includes 4.7 billion shares of common stock that would be issuable upon full exercise of the common stock warrant issued to the U.S. Department of the Treasury (“Treasury”).</w:t>
      </w:r>
    </w:p>
    <w:p>
      <w:pPr>
        <w:spacing w:after="0" w:line="4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For the calculation of diluted EPS, the weighted average shares outstanding is increased to include the number of additional common shares that would have been outstanding if the dilutive potential common shares had been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334645</wp:posOffset>
            </wp:positionV>
            <wp:extent cx="680593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61" w:right="359" w:bottom="1440" w:gutter="0" w:footer="0" w:header="0"/>
        </w:sectPr>
      </w:pPr>
    </w:p>
    <w:bookmarkStart w:id="65" w:name="page66"/>
    <w:bookmarkEnd w:id="65"/>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For the three and nine months ended September 30, 2026 and 2025, our diluted EPS weighted-average shares outstanding include the 26 million shares issuable upon the conversion of convertible preferred stock.</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Collateral</w:t>
      </w:r>
    </w:p>
    <w:p>
      <w:pPr>
        <w:spacing w:after="0" w:line="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enter into various transactions related to financial instruments where we pledge and accept collateral, including derivative transactions and repurchase and reverse repurchase agreements.</w:t>
      </w:r>
    </w:p>
    <w:p>
      <w:pPr>
        <w:spacing w:after="0" w:line="15"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Pursuant to these arrangements, we posted U.S. Treasury securities of $9.7 billion and $8.2 billion as collateral, of which the substantial majority could be sold or repledged, as of September 30, 2026 and December 31, 2025, respectively. The fair value of non-cash collateral received was $33.8 billion and $45.6 billion, of which $32.8 billion and $43.4 billion could be sold or repledged as of September 30, 2026 and December 31, 2025, respectively. None of the underlying collateral we received was sold or repledged as of September 30, 2026 or December 31, 2025.</w:t>
      </w:r>
    </w:p>
    <w:p>
      <w:pPr>
        <w:spacing w:after="0" w:line="7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Foreclosed Property</w:t>
      </w:r>
    </w:p>
    <w:p>
      <w:pPr>
        <w:spacing w:after="0" w:line="6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present property acquired through foreclosure in “Other assets” in our condensed consolidated balance sheets. We held $2.8 billion and $1.9 billion of acquired foreclosed property, net as of September 30, 2026 and December 31, 2025, respectively.</w:t>
      </w:r>
    </w:p>
    <w:p>
      <w:pPr>
        <w:spacing w:after="0" w:line="7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New Accounting Guidance</w:t>
      </w:r>
    </w:p>
    <w:p>
      <w:pPr>
        <w:spacing w:after="0" w:line="11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Purchased Financial Assets</w:t>
      </w:r>
    </w:p>
    <w:p>
      <w:pPr>
        <w:spacing w:after="0" w:line="89"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 xml:space="preserve">In November 2025, the Financial Accounting Standards Board (“FASB”) issued Accounting Standards Update (“ASU”) 2025-08,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(Topic 326): Purchased Loans </w:t>
      </w:r>
      <w:r>
        <w:rPr>
          <w:rFonts w:ascii="Arial" w:cs="Arial" w:eastAsia="Arial" w:hAnsi="Arial"/>
          <w:sz w:val="16"/>
          <w:szCs w:val="16"/>
          <w:color w:val="auto"/>
        </w:rPr>
        <w:t>which amends the guidance to align the accounting for purchased seasoned loans with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purchases of financial assets that have experienced more-than-insignificant credit deterioration since origination. Specifically, the ASU requires a “gross-up approach” on purchased seasoned loans such that the initial measurement of the loan is equal to the purchase price plus the expected credit losses on the loan at the date of acquisition. Seasoned purchased loans include loans obtained in a business combination and loans acquired more than 90 days after their origination date by a transferee that was not involved in their origination.</w:t>
      </w:r>
    </w:p>
    <w:p>
      <w:pPr>
        <w:spacing w:after="0" w:line="67" w:lineRule="exact"/>
        <w:rPr>
          <w:sz w:val="20"/>
          <w:szCs w:val="20"/>
          <w:color w:val="auto"/>
        </w:rPr>
      </w:pPr>
    </w:p>
    <w:p>
      <w:pPr>
        <w:ind w:right="520"/>
        <w:spacing w:after="0" w:line="310" w:lineRule="auto"/>
        <w:rPr>
          <w:sz w:val="20"/>
          <w:szCs w:val="20"/>
          <w:color w:val="auto"/>
        </w:rPr>
      </w:pPr>
      <w:r>
        <w:rPr>
          <w:rFonts w:ascii="Arial" w:cs="Arial" w:eastAsia="Arial" w:hAnsi="Arial"/>
          <w:sz w:val="16"/>
          <w:szCs w:val="16"/>
          <w:color w:val="auto"/>
        </w:rPr>
        <w:t>The ASU is effective for reporting periods beginning after December 15, 2026 and the guidance is applied prospectively to loans acquired on or after January 1, 2027. The adoption of this guidance is not expected to have a material impact on our consolidated financial statements.</w:t>
      </w:r>
    </w:p>
    <w:p>
      <w:pPr>
        <w:spacing w:after="0" w:line="101" w:lineRule="exact"/>
        <w:rPr>
          <w:sz w:val="20"/>
          <w:szCs w:val="20"/>
          <w:color w:val="auto"/>
        </w:rPr>
      </w:pPr>
    </w:p>
    <w:p>
      <w:pPr>
        <w:ind w:right="200" w:firstLine="3"/>
        <w:spacing w:after="0" w:line="253" w:lineRule="auto"/>
        <w:tabs>
          <w:tab w:leader="none" w:pos="452" w:val="left"/>
        </w:tabs>
        <w:numPr>
          <w:ilvl w:val="0"/>
          <w:numId w:val="55"/>
        </w:numPr>
        <w:rPr>
          <w:rFonts w:ascii="Georgia" w:cs="Georgia" w:eastAsia="Georgia" w:hAnsi="Georgia"/>
          <w:sz w:val="31"/>
          <w:szCs w:val="31"/>
          <w:b w:val="1"/>
          <w:bCs w:val="1"/>
          <w:color w:val="05314D"/>
        </w:rPr>
      </w:pPr>
      <w:r>
        <w:rPr>
          <w:rFonts w:ascii="Georgia" w:cs="Georgia" w:eastAsia="Georgia" w:hAnsi="Georgia"/>
          <w:sz w:val="31"/>
          <w:szCs w:val="31"/>
          <w:b w:val="1"/>
          <w:bCs w:val="1"/>
          <w:color w:val="05314D"/>
        </w:rPr>
        <w:t>Conservatorship, Senior Preferred Stock Purchase Agreement and Related Matters</w:t>
      </w:r>
    </w:p>
    <w:p>
      <w:pPr>
        <w:spacing w:after="0" w:line="9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Conservatorship</w:t>
      </w:r>
    </w:p>
    <w:p>
      <w:pPr>
        <w:spacing w:after="0" w:line="81"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We are currently operating under conservatorship, with FHFA acting as conservator. The conservatorship and related matters significantly affect our management, business activities, financial condition and results of operations.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w:t>
      </w:r>
    </w:p>
    <w:p>
      <w:pPr>
        <w:spacing w:after="0" w:line="6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FHFA, as conservator, entered into a senior preferred stock purchase agreement with Treasury on our behalf in September 2008. In connection with that agreement, we issued Treasury one million shares of Variable Liquidation Preference Senior Preferred Stock, Series 2008-2, which we refer to as the “senior preferred stock,” and a warrant to purchase shares equal to 79.9% of our common stock, on a fully diluted basis, for a nominal price of $0.00001 per share. This agreement also provides funding to us under certain circumstances if we have a net worth deficit. Pursuant to the senior preferred stock purchase agreement, we have received a total of $119.8 billion from Treasury as of September 30, 2026, and the amount of remaining funding available to us under the agreement is $113.9 billion. We have not received any funding from Treasury under this commitment since the first quarter of 2018. We had a positive net worth of $119.6 billion as of September 30, 2026.</w:t>
      </w:r>
    </w:p>
    <w:p>
      <w:pPr>
        <w:spacing w:after="0" w:line="4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dividend provisions of the senior preferred stock permit us to retain increases in our net worth until our net worth exceeds the amount of adjusted total capital necessary for us to meet the capital requirements and buffers under the enterprise regulatory capital framework established by FHFA. As a result of our conservatorship status and the terms of the senior preferred stock, no amounts would be available to distribute as dividends to common or preferred stockholders (other than to Treasury as the holder of the senior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355600</wp:posOffset>
            </wp:positionV>
            <wp:extent cx="680593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61" w:right="359" w:bottom="1440" w:gutter="0" w:footer="0" w:header="0"/>
        </w:sectPr>
      </w:pPr>
    </w:p>
    <w:bookmarkStart w:id="66" w:name="page67"/>
    <w:bookmarkEnd w:id="66"/>
    <w:p>
      <w:pPr>
        <w:ind w:left="2620"/>
        <w:spacing w:after="0"/>
        <w:rPr>
          <w:sz w:val="20"/>
          <w:szCs w:val="20"/>
          <w:color w:val="auto"/>
        </w:rPr>
      </w:pPr>
      <w:r>
        <w:rPr>
          <w:rFonts w:ascii="Arial" w:cs="Arial" w:eastAsia="Arial" w:hAnsi="Arial"/>
          <w:sz w:val="13"/>
          <w:szCs w:val="13"/>
          <w:color w:val="05314D"/>
        </w:rPr>
        <w:t>Notes to Condensed Consolidated Financial Statements | Conservatorship, Senior Preferred Stock Purchase Agreement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The aggregate liquidation preference of the senior preferred stock increased to $238.0 billion as of September 30, 2026 from $234.2 billion as of June 30, 2026, due to the increase in our net worth in the second quarter of 2026. The aggregate liquidation preference of the senior preferred stock will further increase to $241.1 billion as of December 31, 2026, due to the increase in our net worth in the third quarter of 2026.</w:t>
      </w:r>
    </w:p>
    <w:p>
      <w:pPr>
        <w:spacing w:after="0" w:line="9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Related Parties</w:t>
      </w:r>
    </w:p>
    <w:p>
      <w:pPr>
        <w:spacing w:after="0" w:line="11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U.S. FinTech Customer Services Agreement</w:t>
      </w:r>
    </w:p>
    <w:p>
      <w:pPr>
        <w:spacing w:after="0" w:line="6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Fannie Mae and Freddie Mac jointly own U.S. Financial Technology, LLC ("U.S. FinTech"), a limited liability company that operates a common securitization platform. As a result of this joint ownership, U.S. FinTech is considered a related party. U.S. FinTech operates as a separate entity from Fannie Mae and Freddie Mac.</w:t>
      </w:r>
    </w:p>
    <w:p>
      <w:pPr>
        <w:spacing w:after="0" w:line="24" w:lineRule="exact"/>
        <w:rPr>
          <w:sz w:val="20"/>
          <w:szCs w:val="20"/>
          <w:color w:val="auto"/>
        </w:rPr>
      </w:pPr>
    </w:p>
    <w:p>
      <w:pPr>
        <w:ind w:right="20"/>
        <w:spacing w:after="0" w:line="199" w:lineRule="exact"/>
        <w:rPr>
          <w:sz w:val="20"/>
          <w:szCs w:val="20"/>
          <w:color w:val="auto"/>
        </w:rPr>
      </w:pPr>
      <w:r>
        <w:rPr>
          <w:rFonts w:ascii="Arial" w:cs="Arial" w:eastAsia="Arial" w:hAnsi="Arial"/>
          <w:sz w:val="16"/>
          <w:szCs w:val="16"/>
          <w:color w:val="auto"/>
        </w:rPr>
        <w:t>Our Customer Services Agreement with U.S. FinTech was amended effective January 1, 2026. Under the amended agreement, Fannie Mae and Freddie Mac pay service fees to U.S. FinTech. Previously, Fannie Mae and Freddie Mac funded U.S. FinTech’s operations through capital contributions. The service fees are based on a cost</w:t>
      </w:r>
      <w:r>
        <w:rPr>
          <w:rFonts w:ascii="MS PGothic" w:cs="MS PGothic" w:eastAsia="MS PGothic" w:hAnsi="MS PGothic"/>
          <w:sz w:val="16"/>
          <w:szCs w:val="16"/>
          <w:color w:val="auto"/>
        </w:rPr>
        <w:t>‑</w:t>
      </w:r>
      <w:r>
        <w:rPr>
          <w:rFonts w:ascii="Arial" w:cs="Arial" w:eastAsia="Arial" w:hAnsi="Arial"/>
          <w:sz w:val="16"/>
          <w:szCs w:val="16"/>
          <w:color w:val="auto"/>
        </w:rPr>
        <w:t>plus arrangement with a fixed margin and are split equally between the two companies. We record the service fees and our share of U.S. FinTech’s net operating income (losses) in “Other income (expense), net.”</w:t>
      </w:r>
    </w:p>
    <w:p>
      <w:pPr>
        <w:spacing w:after="0" w:line="15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3. Consolidations and Transfers of Financial Assets</w:t>
      </w:r>
    </w:p>
    <w:p>
      <w:pPr>
        <w:spacing w:after="0" w:line="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interests in various entities that are considered to be variable interest entities (“VIEs”). The primary types of VIEs are securitization and resecuritization trusts, limited partnerships and special purpose vehicles (“SPVs”). Variable interests from Freddie Mac and other issuers may include a guaranty that reduces our exposure to credit risk when we hold them as investments or resecuritize them in a resecuritization trust that issues MBS that are backed by our guaranty. We consolidate the substantial majority of our single-class securitization trusts because our role as guarantor and master servicer provides us with the power to direct activities (primarily the servicing of mortgage loans) that impact the credit risk to which we are exposed. In contrast, we do not consolidate single-class securitization trusts when other organizations have the power to direct these activities unless we have the unilateral ability to dissolve the trust. We also do not consolidate our resecuritization trusts unless we have the unilateral ability to dissolve the trust. We may include securities issued by Freddie Mac in some of our resecuritization trusts. The mortgage loans that serve as collateral for Freddie Mac-issued securities are not held in trusts that are consolidated by Fannie Mae.</w:t>
      </w:r>
    </w:p>
    <w:p>
      <w:pPr>
        <w:spacing w:after="0" w:line="8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Unconsolidated VIEs</w:t>
      </w:r>
    </w:p>
    <w:p>
      <w:pPr>
        <w:spacing w:after="0" w:line="9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maximum exposure to loss generally represents the greater of our carrying amount related to our involvement with unconsolidated securitization and resecuritization trusts or the unpaid principal balance (“UPB”) of the assets covered by our guaranty. Our involvement in unconsolidated resecuritization trusts may give rise to additional exposure to loss depending on the type of resecuritization trust. Fannie Mae resecuritization trusts that are backed entirely by Fannie Mae MBS are not consolidated and do not give rise to any additional exposure to loss as we already consolidate the underlying collateral. In contrast, Fannie Mae resecuritization trusts that are backed in whole or in part by Freddie Mac securities may increase our exposure to loss to the extent that we are providing a guaranty for the timely payment and interest on the underlying Freddie Mac securities that we have not previously guaranteed. Our maximum exposure to loss for these unconsolidated trusts is measured by the amount of Freddie Mac securities that are held in these resecuritization trusts. While our total assets for unconsolidated trusts are measured based on the aggregate value of the trusts, our maximum exposure to loss is limited to our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352425</wp:posOffset>
            </wp:positionV>
            <wp:extent cx="68059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67" w:name="page68"/>
    <w:bookmarkEnd w:id="67"/>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our maximum exposure to loss as a result of our involvement with unconsolidated VIEs and the total assets of the VIEs.</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44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600" w:type="dxa"/>
            <w:vAlign w:val="bottom"/>
            <w:tcBorders>
              <w:bottom w:val="single" w:sz="8" w:color="2C6937"/>
            </w:tcBorders>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2160" w:type="dxa"/>
            <w:vAlign w:val="bottom"/>
            <w:tcBorders>
              <w:bottom w:val="single" w:sz="8" w:color="2C6937"/>
            </w:tcBorders>
            <w:gridSpan w:val="3"/>
          </w:tcPr>
          <w:p>
            <w:pPr>
              <w:jc w:val="right"/>
              <w:ind w:right="83"/>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2C6937"/>
            </w:tcBorders>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3560" w:type="dxa"/>
            <w:vAlign w:val="bottom"/>
            <w:tcBorders>
              <w:bottom w:val="single" w:sz="8" w:color="2C6937"/>
            </w:tcBorders>
            <w:gridSpan w:val="3"/>
          </w:tcPr>
          <w:p>
            <w:pPr>
              <w:jc w:val="right"/>
              <w:ind w:right="1123"/>
              <w:spacing w:after="0"/>
              <w:rPr>
                <w:sz w:val="20"/>
                <w:szCs w:val="20"/>
                <w:color w:val="auto"/>
              </w:rPr>
            </w:pPr>
            <w:r>
              <w:rPr>
                <w:rFonts w:ascii="Arial" w:cs="Arial" w:eastAsia="Arial" w:hAnsi="Arial"/>
                <w:sz w:val="15"/>
                <w:szCs w:val="15"/>
                <w:b w:val="1"/>
                <w:bCs w:val="1"/>
                <w:color w:val="auto"/>
              </w:rPr>
              <w:t>September 30, 2026</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3540" w:type="dxa"/>
            <w:vAlign w:val="bottom"/>
            <w:tcBorders>
              <w:bottom w:val="single" w:sz="8" w:color="2C6937"/>
            </w:tcBorders>
            <w:gridSpan w:val="3"/>
          </w:tcPr>
          <w:p>
            <w:pPr>
              <w:jc w:val="right"/>
              <w:ind w:right="1143"/>
              <w:spacing w:after="0"/>
              <w:rPr>
                <w:sz w:val="20"/>
                <w:szCs w:val="20"/>
                <w:color w:val="auto"/>
              </w:rPr>
            </w:pPr>
            <w:r>
              <w:rPr>
                <w:rFonts w:ascii="Arial" w:cs="Arial" w:eastAsia="Arial" w:hAnsi="Arial"/>
                <w:sz w:val="15"/>
                <w:szCs w:val="15"/>
                <w:b w:val="1"/>
                <w:bCs w:val="1"/>
                <w:color w:val="auto"/>
              </w:rPr>
              <w:t>December 31, 2025</w:t>
            </w:r>
          </w:p>
        </w:tc>
        <w:tc>
          <w:tcPr>
            <w:tcW w:w="0" w:type="dxa"/>
            <w:vAlign w:val="bottom"/>
          </w:tcPr>
          <w:p>
            <w:pPr>
              <w:spacing w:after="0"/>
              <w:rPr>
                <w:sz w:val="1"/>
                <w:szCs w:val="1"/>
                <w:color w:val="auto"/>
              </w:rPr>
            </w:pPr>
          </w:p>
        </w:tc>
      </w:tr>
      <w:tr>
        <w:trPr>
          <w:trHeight w:val="160"/>
        </w:trPr>
        <w:tc>
          <w:tcPr>
            <w:tcW w:w="3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vMerge w:val="restart"/>
          </w:tcPr>
          <w:p>
            <w:pPr>
              <w:jc w:val="right"/>
              <w:ind w:right="423"/>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Pr>
          <w:p>
            <w:pPr>
              <w:spacing w:after="0"/>
              <w:rPr>
                <w:sz w:val="13"/>
                <w:szCs w:val="13"/>
                <w:color w:val="auto"/>
              </w:rPr>
            </w:pPr>
          </w:p>
        </w:tc>
        <w:tc>
          <w:tcPr>
            <w:tcW w:w="1860" w:type="dxa"/>
            <w:vAlign w:val="bottom"/>
            <w:gridSpan w:val="2"/>
          </w:tcPr>
          <w:p>
            <w:pPr>
              <w:jc w:val="center"/>
              <w:ind w:right="200"/>
              <w:spacing w:after="0" w:line="161" w:lineRule="exact"/>
              <w:rPr>
                <w:sz w:val="20"/>
                <w:szCs w:val="20"/>
                <w:color w:val="auto"/>
              </w:rPr>
            </w:pPr>
            <w:r>
              <w:rPr>
                <w:rFonts w:ascii="Arial" w:cs="Arial" w:eastAsia="Arial" w:hAnsi="Arial"/>
                <w:sz w:val="15"/>
                <w:szCs w:val="15"/>
                <w:b w:val="1"/>
                <w:bCs w:val="1"/>
                <w:color w:val="auto"/>
              </w:rPr>
              <w:t>Maximum Exposure to</w:t>
            </w:r>
          </w:p>
        </w:tc>
        <w:tc>
          <w:tcPr>
            <w:tcW w:w="300" w:type="dxa"/>
            <w:vAlign w:val="bottom"/>
          </w:tcPr>
          <w:p>
            <w:pPr>
              <w:spacing w:after="0"/>
              <w:rPr>
                <w:sz w:val="13"/>
                <w:szCs w:val="13"/>
                <w:color w:val="auto"/>
              </w:rPr>
            </w:pPr>
          </w:p>
        </w:tc>
        <w:tc>
          <w:tcPr>
            <w:tcW w:w="1600" w:type="dxa"/>
            <w:vAlign w:val="bottom"/>
            <w:vMerge w:val="restart"/>
          </w:tcPr>
          <w:p>
            <w:pPr>
              <w:jc w:val="right"/>
              <w:ind w:right="443"/>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Pr>
          <w:p>
            <w:pPr>
              <w:spacing w:after="0"/>
              <w:rPr>
                <w:sz w:val="13"/>
                <w:szCs w:val="13"/>
                <w:color w:val="auto"/>
              </w:rPr>
            </w:pPr>
          </w:p>
        </w:tc>
        <w:tc>
          <w:tcPr>
            <w:tcW w:w="1740" w:type="dxa"/>
            <w:vAlign w:val="bottom"/>
          </w:tcPr>
          <w:p>
            <w:pPr>
              <w:jc w:val="right"/>
              <w:ind w:right="23"/>
              <w:spacing w:after="0" w:line="161" w:lineRule="exact"/>
              <w:rPr>
                <w:sz w:val="20"/>
                <w:szCs w:val="20"/>
                <w:color w:val="auto"/>
              </w:rPr>
            </w:pPr>
            <w:r>
              <w:rPr>
                <w:rFonts w:ascii="Arial" w:cs="Arial" w:eastAsia="Arial" w:hAnsi="Arial"/>
                <w:sz w:val="15"/>
                <w:szCs w:val="15"/>
                <w:b w:val="1"/>
                <w:bCs w:val="1"/>
                <w:color w:val="auto"/>
              </w:rPr>
              <w:t>Maximum Exposure to</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5"/>
                <w:szCs w:val="15"/>
                <w:b w:val="1"/>
                <w:bCs w:val="1"/>
                <w:color w:val="auto"/>
              </w:rPr>
              <w:t>Loss</w:t>
            </w:r>
          </w:p>
        </w:tc>
        <w:tc>
          <w:tcPr>
            <w:tcW w:w="3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Loss</w:t>
            </w:r>
          </w:p>
        </w:tc>
        <w:tc>
          <w:tcPr>
            <w:tcW w:w="0" w:type="dxa"/>
            <w:vAlign w:val="bottom"/>
          </w:tcPr>
          <w:p>
            <w:pPr>
              <w:spacing w:after="0"/>
              <w:rPr>
                <w:sz w:val="1"/>
                <w:szCs w:val="1"/>
                <w:color w:val="auto"/>
              </w:rPr>
            </w:pPr>
          </w:p>
        </w:tc>
      </w:tr>
      <w:tr>
        <w:trPr>
          <w:trHeight w:val="218"/>
        </w:trPr>
        <w:tc>
          <w:tcPr>
            <w:tcW w:w="3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60" w:type="dxa"/>
            <w:vAlign w:val="bottom"/>
            <w:gridSpan w:val="4"/>
          </w:tcPr>
          <w:p>
            <w:pPr>
              <w:jc w:val="right"/>
              <w:ind w:right="1163"/>
              <w:spacing w:after="0"/>
              <w:rPr>
                <w:sz w:val="20"/>
                <w:szCs w:val="20"/>
                <w:color w:val="auto"/>
              </w:rPr>
            </w:pPr>
            <w:r>
              <w:rPr>
                <w:rFonts w:ascii="Arial" w:cs="Arial" w:eastAsia="Arial" w:hAnsi="Arial"/>
                <w:sz w:val="15"/>
                <w:szCs w:val="15"/>
                <w:b w:val="1"/>
                <w:bCs w:val="1"/>
                <w:color w:val="auto"/>
              </w:rPr>
              <w:t>(Dollars in millions)</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440" w:type="dxa"/>
            <w:vAlign w:val="bottom"/>
          </w:tcPr>
          <w:p>
            <w:pPr>
              <w:spacing w:after="0"/>
              <w:rPr>
                <w:sz w:val="20"/>
                <w:szCs w:val="20"/>
                <w:color w:val="auto"/>
              </w:rPr>
            </w:pPr>
            <w:r>
              <w:rPr>
                <w:rFonts w:ascii="Arial" w:cs="Arial" w:eastAsia="Arial" w:hAnsi="Arial"/>
                <w:sz w:val="15"/>
                <w:szCs w:val="15"/>
                <w:color w:val="auto"/>
              </w:rPr>
              <w:t>Securitization and resecuritization trusts</w:t>
            </w:r>
            <w:r>
              <w:rPr>
                <w:rFonts w:ascii="Arial" w:cs="Arial" w:eastAsia="Arial" w:hAnsi="Arial"/>
                <w:sz w:val="20"/>
                <w:szCs w:val="20"/>
                <w:color w:val="auto"/>
                <w:vertAlign w:val="superscript"/>
              </w:rPr>
              <w:t>(1)</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auto"/>
              </w:rPr>
              <w:t>491,025</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188,523</w:t>
            </w:r>
          </w:p>
        </w:tc>
        <w:tc>
          <w:tcPr>
            <w:tcW w:w="100" w:type="dxa"/>
            <w:vAlign w:val="bottom"/>
          </w:tcPr>
          <w:p>
            <w:pPr>
              <w:spacing w:after="0"/>
              <w:rPr>
                <w:sz w:val="23"/>
                <w:szCs w:val="23"/>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535,491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199,010</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Arial" w:cs="Arial" w:eastAsia="Arial" w:hAnsi="Arial"/>
                <w:sz w:val="15"/>
                <w:szCs w:val="15"/>
                <w:color w:val="auto"/>
              </w:rPr>
              <w:t>Credit risk transfer SPVs</w:t>
            </w:r>
            <w:r>
              <w:rPr>
                <w:rFonts w:ascii="Arial" w:cs="Arial" w:eastAsia="Arial" w:hAnsi="Arial"/>
                <w:sz w:val="20"/>
                <w:szCs w:val="20"/>
                <w:color w:val="auto"/>
                <w:vertAlign w:val="superscript"/>
              </w:rPr>
              <w:t>(2)</w:t>
            </w:r>
          </w:p>
        </w:tc>
        <w:tc>
          <w:tcPr>
            <w:tcW w:w="280" w:type="dxa"/>
            <w:vAlign w:val="bottom"/>
          </w:tcPr>
          <w:p>
            <w:pPr>
              <w:spacing w:after="0"/>
              <w:rPr>
                <w:sz w:val="21"/>
                <w:szCs w:val="21"/>
                <w:color w:val="auto"/>
              </w:rPr>
            </w:pP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auto"/>
              </w:rPr>
              <w:t>22,639</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22,650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22,835</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22,847</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5"/>
                <w:szCs w:val="15"/>
                <w:color w:val="auto"/>
              </w:rPr>
              <w:t>Limited partnerships, including low income</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160"/>
              <w:spacing w:after="0"/>
              <w:rPr>
                <w:sz w:val="20"/>
                <w:szCs w:val="20"/>
                <w:color w:val="auto"/>
              </w:rPr>
            </w:pPr>
            <w:r>
              <w:rPr>
                <w:rFonts w:ascii="Arial" w:cs="Arial" w:eastAsia="Arial" w:hAnsi="Arial"/>
                <w:sz w:val="15"/>
                <w:szCs w:val="15"/>
                <w:color w:val="auto"/>
              </w:rPr>
              <w:t>housing tax credit ("LIHTC") investments</w:t>
            </w:r>
            <w:r>
              <w:rPr>
                <w:rFonts w:ascii="Arial" w:cs="Arial" w:eastAsia="Arial" w:hAnsi="Arial"/>
                <w:sz w:val="20"/>
                <w:szCs w:val="20"/>
                <w:color w:val="auto"/>
                <w:vertAlign w:val="superscript"/>
              </w:rPr>
              <w:t>(3)</w:t>
            </w:r>
          </w:p>
        </w:tc>
        <w:tc>
          <w:tcPr>
            <w:tcW w:w="280" w:type="dxa"/>
            <w:vAlign w:val="bottom"/>
          </w:tcPr>
          <w:p>
            <w:pPr>
              <w:spacing w:after="0"/>
              <w:rPr>
                <w:sz w:val="23"/>
                <w:szCs w:val="23"/>
                <w:color w:val="auto"/>
              </w:rPr>
            </w:pP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auto"/>
              </w:rPr>
              <w:t>7,115</w:t>
            </w:r>
          </w:p>
        </w:tc>
        <w:tc>
          <w:tcPr>
            <w:tcW w:w="2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749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6,973</w:t>
            </w: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40" w:right="200" w:hanging="237"/>
        <w:spacing w:after="0" w:line="226" w:lineRule="auto"/>
        <w:tabs>
          <w:tab w:leader="none" w:pos="233"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The net carrying amount of securitization and resecuritization trusts were $22.3 billion and $14.1 billion as of September 30, 2026 and December 31, 2025, respectively, which are primarily classified in “Investments in securities, at fair value” in our condensed consolidated balance sheets.</w:t>
      </w:r>
    </w:p>
    <w:p>
      <w:pPr>
        <w:spacing w:after="0" w:line="23" w:lineRule="exact"/>
        <w:rPr>
          <w:rFonts w:ascii="Arial" w:cs="Arial" w:eastAsia="Arial" w:hAnsi="Arial"/>
          <w:sz w:val="18"/>
          <w:szCs w:val="18"/>
          <w:color w:val="auto"/>
          <w:vertAlign w:val="superscript"/>
        </w:rPr>
      </w:pPr>
    </w:p>
    <w:p>
      <w:pPr>
        <w:ind w:left="240" w:right="460" w:hanging="237"/>
        <w:spacing w:after="0" w:line="221" w:lineRule="auto"/>
        <w:tabs>
          <w:tab w:leader="none" w:pos="233"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Maximum exposure to loss of credit risk transfer SPVs consists of the UPB and accrued interest payable of obligations issued by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Multifamily Connecticut Avenue Securities</w:t>
      </w:r>
      <w:r>
        <w:rPr>
          <w:rFonts w:ascii="Arial" w:cs="Arial" w:eastAsia="Arial" w:hAnsi="Arial"/>
          <w:sz w:val="8"/>
          <w:szCs w:val="8"/>
          <w:color w:val="auto"/>
        </w:rPr>
        <w:t>®</w:t>
      </w:r>
      <w:r>
        <w:rPr>
          <w:rFonts w:ascii="Arial" w:cs="Arial" w:eastAsia="Arial" w:hAnsi="Arial"/>
          <w:sz w:val="14"/>
          <w:szCs w:val="14"/>
          <w:color w:val="auto"/>
        </w:rPr>
        <w:t xml:space="preserve"> ("MCAS</w:t>
      </w:r>
      <w:r>
        <w:rPr>
          <w:rFonts w:ascii="Arial" w:cs="Arial" w:eastAsia="Arial" w:hAnsi="Arial"/>
          <w:sz w:val="8"/>
          <w:szCs w:val="8"/>
          <w:color w:val="auto"/>
        </w:rPr>
        <w:t>TM</w:t>
      </w:r>
      <w:r>
        <w:rPr>
          <w:rFonts w:ascii="Arial" w:cs="Arial" w:eastAsia="Arial" w:hAnsi="Arial"/>
          <w:sz w:val="14"/>
          <w:szCs w:val="14"/>
          <w:color w:val="auto"/>
        </w:rPr>
        <w:t>") SPVs.</w:t>
      </w:r>
    </w:p>
    <w:p>
      <w:pPr>
        <w:spacing w:after="0" w:line="26" w:lineRule="exact"/>
        <w:rPr>
          <w:rFonts w:ascii="Arial" w:cs="Arial" w:eastAsia="Arial" w:hAnsi="Arial"/>
          <w:sz w:val="18"/>
          <w:szCs w:val="18"/>
          <w:color w:val="auto"/>
          <w:vertAlign w:val="superscript"/>
        </w:rPr>
      </w:pPr>
    </w:p>
    <w:p>
      <w:pPr>
        <w:ind w:left="240" w:right="280" w:hanging="237"/>
        <w:spacing w:after="0" w:line="233" w:lineRule="auto"/>
        <w:tabs>
          <w:tab w:leader="none" w:pos="233"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The net carrying value of LIHTC investments that represent VIEs was $749 million and $750 million as of September 30, 2026 and December 31, 2025, respectively. The net carrying value of all LIHTC investments was $2.8 billion and $2.5 billion as of September 30, 2026 and December 31, 2025, respectively. In our condensed consolidated balance sheets, the LIHTC investment assets and liabilities are classified as “Other assets” and “Other liabilities,” respectively.</w:t>
      </w:r>
    </w:p>
    <w:p>
      <w:pPr>
        <w:spacing w:after="0" w:line="5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As of September 30, 2026, the UPB of our multifamily loan portfolio was $535.7 billion. As our lending relationship does not provide us with a controlling financial interest in the borrower entity for loans in our multifamily loan portfolio, we do not consolidate these borrowers regardless of their status as either a VIE or a voting interest entity. We have excluded these entities from our VIE disclosures; however, the disclosures we have provided in “Note 4, Mortgage Loans,” “Note 5, Allowance for Credit Losses” and “Note 7, Financial Guarantees” with respect to this population are consistent with the FASB’s stated objectives for the disclosures related to unconsolidated VIEs.</w:t>
      </w:r>
    </w:p>
    <w:p>
      <w:pPr>
        <w:spacing w:after="0" w:line="9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Transfers of Financial Assets and Portfolio Securitizations</w:t>
      </w:r>
    </w:p>
    <w:p>
      <w:pPr>
        <w:spacing w:after="0" w:line="68"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We issue single-class Fannie Mae MBS through portfolio securitization transactions by transferring pools of mortgage loans or mortgage-related securities to one or more trusts or special purpose entities. For the three months ended September 30, 2026 and 2025, the UPB of portfolio securitizations was $48.1 billion and $36.8 billion, respectively. For the nine months ended September 30, 2026 and 2025, the UPB of portfolio securitizations was $145.8 billion and $103.2 billion, respectively. We consolidate the substantial majority of these portfolio securitization transactions.</w:t>
      </w:r>
    </w:p>
    <w:p>
      <w:pPr>
        <w:spacing w:after="0" w:line="4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retain interests from the transfer and sale of mortgage-related securities to unconsolidated single-class portfolio securitization trusts and unconsolidated single-class and multi-class portfolio resecuritization trusts. As of September 30, 2026, the UPB of retained interests was $7.8 billion and its related fair value was $7.8 billion. As of December 31, 2025, the UPB of retained interests was $1.0 billion and its related fair value was $1.3 billion. For the three months ended September 30, 2026 and 2025, the principal, interest and other fees received on retained interests was $130 million and $60 million, respectively. For the nine months ended September 30, 2026 and 2025, the principal, interest and other fees received on retained interests was $330 million and $183 million, respectively.</w:t>
      </w:r>
    </w:p>
    <w:p>
      <w:pPr>
        <w:spacing w:after="0" w:line="137"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4. Mortgage Loans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record on our consolidated balance sheets single-family mortgage loans, which are secured by four or fewer residential dwelling units, and multifamily mortgage loans, which are secured by five or more residential dwelling units. We classify these loans as either held for investment (“HFI”) or held for sale (“HFS”). Unless otherwise noted, within “Note 4, Mortgage Loans,” we report the amortized cost of HFI loans for which we have not elected the fair value option at the UPB, adjusted for unamortized premiums and discounts, hedge-related basis adjustments, other cost basis adjustments, and accrued interest receivable. Within our condensed consolidated balance sheets, we present accrued interest receivable, net separately from the amortized cost of our loans held for investment. We report the carrying value of HFS loans at the lower of cost or fair value and record valuation changes in “Investment gains (losses), net” in our condensed consolidated statements of operations and comprehensive income.</w:t>
      </w:r>
    </w:p>
    <w:p>
      <w:pPr>
        <w:spacing w:after="0" w:line="43"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Within our single-family mortgage loan disclosures below, we display loans by class of financing receivable type. Financing receivable classes used for disclosure consist of: “20- and 30-year or more, amortizing fixed-rate,” “15-year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342900</wp:posOffset>
            </wp:positionV>
            <wp:extent cx="68059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68" w:name="page69"/>
    <w:bookmarkEnd w:id="68"/>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less, amortizing fixed-rate,” “Adjustable-rate,” and “Other.” The “Other” class primarily consists of reverse mortgage loans, interest-only loans, negative-amortizing loans and second liens.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carrying value of our mortgage loans and allowance for loan losses.</w:t>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43674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UPB of mortgage loans</w:t>
      </w:r>
      <w:r>
        <w:rPr>
          <w:rFonts w:ascii="Arial" w:cs="Arial" w:eastAsia="Arial" w:hAnsi="Arial"/>
          <w:sz w:val="20"/>
          <w:szCs w:val="20"/>
          <w:color w:val="auto"/>
          <w:vertAlign w:val="superscript"/>
        </w:rPr>
        <w:t>(1)</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Cost basis and fair value adjustments, net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Allowance for loan losses for HFI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43674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443674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4367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443674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263588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0" w:type="dxa"/>
            <w:vAlign w:val="bottom"/>
            <w:tcBorders>
              <w:bottom w:val="single" w:sz="8" w:color="2C6937"/>
            </w:tcBorders>
          </w:tcPr>
          <w:p>
            <w:pPr>
              <w:spacing w:after="0"/>
              <w:rPr>
                <w:sz w:val="18"/>
                <w:szCs w:val="18"/>
                <w:color w:val="auto"/>
              </w:rPr>
            </w:pPr>
          </w:p>
        </w:tc>
        <w:tc>
          <w:tcPr>
            <w:tcW w:w="192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September 30, 2026</w:t>
            </w:r>
          </w:p>
        </w:tc>
        <w:tc>
          <w:tcPr>
            <w:tcW w:w="220" w:type="dxa"/>
            <w:vAlign w:val="bottom"/>
            <w:tcBorders>
              <w:bottom w:val="single" w:sz="8" w:color="2C6937"/>
            </w:tcBorders>
          </w:tcPr>
          <w:p>
            <w:pPr>
              <w:spacing w:after="0"/>
              <w:rPr>
                <w:sz w:val="18"/>
                <w:szCs w:val="18"/>
                <w:color w:val="auto"/>
              </w:rPr>
            </w:pPr>
          </w:p>
        </w:tc>
        <w:tc>
          <w:tcPr>
            <w:tcW w:w="18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2025</w:t>
            </w:r>
          </w:p>
        </w:tc>
      </w:tr>
      <w:tr>
        <w:trPr>
          <w:trHeight w:val="309"/>
        </w:trPr>
        <w:tc>
          <w:tcPr>
            <w:tcW w:w="200" w:type="dxa"/>
            <w:vAlign w:val="bottom"/>
          </w:tcPr>
          <w:p>
            <w:pPr>
              <w:spacing w:after="0"/>
              <w:rPr>
                <w:sz w:val="24"/>
                <w:szCs w:val="24"/>
                <w:color w:val="auto"/>
              </w:rPr>
            </w:pPr>
          </w:p>
        </w:tc>
        <w:tc>
          <w:tcPr>
            <w:tcW w:w="394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335"/>
        </w:trPr>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3,557,836</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3,570,904</w:t>
            </w:r>
          </w:p>
        </w:tc>
      </w:tr>
      <w:tr>
        <w:trPr>
          <w:trHeight w:val="316"/>
        </w:trPr>
        <w:tc>
          <w:tcPr>
            <w:tcW w:w="200" w:type="dxa"/>
            <w:vAlign w:val="bottom"/>
            <w:tcBorders>
              <w:bottom w:val="single" w:sz="8" w:color="2C6937"/>
            </w:tcBorders>
          </w:tcPr>
          <w:p>
            <w:pPr>
              <w:spacing w:after="0"/>
              <w:rPr>
                <w:sz w:val="24"/>
                <w:szCs w:val="24"/>
                <w:color w:val="auto"/>
              </w:rPr>
            </w:pPr>
          </w:p>
        </w:tc>
        <w:tc>
          <w:tcPr>
            <w:tcW w:w="1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535,708</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524,962</w:t>
            </w:r>
          </w:p>
        </w:tc>
      </w:tr>
      <w:tr>
        <w:trPr>
          <w:trHeight w:val="322"/>
        </w:trPr>
        <w:tc>
          <w:tcPr>
            <w:tcW w:w="200" w:type="dxa"/>
            <w:vAlign w:val="bottom"/>
          </w:tcPr>
          <w:p>
            <w:pPr>
              <w:spacing w:after="0"/>
              <w:rPr>
                <w:sz w:val="24"/>
                <w:szCs w:val="24"/>
                <w:color w:val="auto"/>
              </w:rPr>
            </w:pP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4,093,544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4,095,866</w:t>
            </w:r>
          </w:p>
        </w:tc>
      </w:tr>
      <w:tr>
        <w:trPr>
          <w:trHeight w:val="322"/>
        </w:trPr>
        <w:tc>
          <w:tcPr>
            <w:tcW w:w="200" w:type="dxa"/>
            <w:vAlign w:val="bottom"/>
          </w:tcPr>
          <w:p>
            <w:pPr>
              <w:spacing w:after="0"/>
              <w:rPr>
                <w:sz w:val="24"/>
                <w:szCs w:val="24"/>
                <w:color w:val="auto"/>
              </w:rPr>
            </w:pP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22,502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31,811</w:t>
            </w:r>
          </w:p>
        </w:tc>
      </w:tr>
      <w:tr>
        <w:trPr>
          <w:trHeight w:val="316"/>
        </w:trPr>
        <w:tc>
          <w:tcPr>
            <w:tcW w:w="200" w:type="dxa"/>
            <w:vAlign w:val="bottom"/>
            <w:tcBorders>
              <w:bottom w:val="single" w:sz="8" w:color="2C6937"/>
            </w:tcBorders>
          </w:tcPr>
          <w:p>
            <w:pPr>
              <w:spacing w:after="0"/>
              <w:rPr>
                <w:sz w:val="24"/>
                <w:szCs w:val="24"/>
                <w:color w:val="auto"/>
              </w:rPr>
            </w:pPr>
          </w:p>
        </w:tc>
        <w:tc>
          <w:tcPr>
            <w:tcW w:w="1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(9,415)</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(8,364)</w:t>
            </w:r>
          </w:p>
        </w:tc>
      </w:tr>
      <w:tr>
        <w:trPr>
          <w:trHeight w:val="315"/>
        </w:trPr>
        <w:tc>
          <w:tcPr>
            <w:tcW w:w="20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4,106,631</w:t>
            </w:r>
          </w:p>
        </w:tc>
        <w:tc>
          <w:tcPr>
            <w:tcW w:w="100" w:type="dxa"/>
            <w:vAlign w:val="bottom"/>
          </w:tcPr>
          <w:p>
            <w:pPr>
              <w:spacing w:after="0"/>
              <w:rPr>
                <w:sz w:val="24"/>
                <w:szCs w:val="24"/>
                <w:color w:val="auto"/>
              </w:rPr>
            </w:pPr>
          </w:p>
        </w:tc>
        <w:tc>
          <w:tcPr>
            <w:tcW w:w="220" w:type="dxa"/>
            <w:vAlign w:val="bottom"/>
            <w:tcBorders>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4,119,313</w:t>
            </w:r>
          </w:p>
        </w:tc>
      </w:tr>
      <w:tr>
        <w:trPr>
          <w:trHeight w:val="20"/>
        </w:trPr>
        <w:tc>
          <w:tcPr>
            <w:tcW w:w="200" w:type="dxa"/>
            <w:vAlign w:val="bottom"/>
            <w:tcBorders>
              <w:bottom w:val="single" w:sz="8" w:color="2C6937"/>
            </w:tcBorders>
          </w:tcPr>
          <w:p>
            <w:pPr>
              <w:spacing w:after="0" w:line="20" w:lineRule="exact"/>
              <w:rPr>
                <w:sz w:val="1"/>
                <w:szCs w:val="1"/>
                <w:color w:val="auto"/>
              </w:rPr>
            </w:pPr>
          </w:p>
        </w:tc>
        <w:tc>
          <w:tcPr>
            <w:tcW w:w="1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800" w:type="dxa"/>
            <w:vAlign w:val="bottom"/>
            <w:tcBorders>
              <w:bottom w:val="single" w:sz="8" w:color="2C6937"/>
            </w:tcBorders>
          </w:tcPr>
          <w:p>
            <w:pPr>
              <w:spacing w:after="0" w:line="20" w:lineRule="exact"/>
              <w:rPr>
                <w:sz w:val="1"/>
                <w:szCs w:val="1"/>
                <w:color w:val="auto"/>
              </w:rPr>
            </w:pPr>
          </w:p>
        </w:tc>
      </w:tr>
    </w:tbl>
    <w:p>
      <w:pPr>
        <w:spacing w:after="0" w:line="109" w:lineRule="exact"/>
        <w:rPr>
          <w:sz w:val="20"/>
          <w:szCs w:val="20"/>
          <w:color w:val="auto"/>
        </w:rPr>
      </w:pPr>
    </w:p>
    <w:p>
      <w:pPr>
        <w:sectPr>
          <w:pgSz w:w="11900" w:h="16838" w:orient="portrait"/>
          <w:cols w:equalWidth="0" w:num="2">
            <w:col w:w="6380" w:space="720"/>
            <w:col w:w="4140"/>
          </w:cols>
          <w:pgMar w:left="320" w:top="261" w:right="339" w:bottom="1440" w:gutter="0" w:footer="0" w:header="0"/>
          <w:type w:val="continuous"/>
        </w:sectPr>
      </w:pPr>
    </w:p>
    <w:p>
      <w:pPr>
        <w:ind w:left="220" w:hanging="217"/>
        <w:spacing w:after="0"/>
        <w:tabs>
          <w:tab w:leader="none" w:pos="220" w:val="left"/>
        </w:tabs>
        <w:numPr>
          <w:ilvl w:val="0"/>
          <w:numId w:val="57"/>
        </w:numPr>
        <w:rPr>
          <w:rFonts w:ascii="Arial" w:cs="Arial" w:eastAsia="Arial" w:hAnsi="Arial"/>
          <w:sz w:val="9"/>
          <w:szCs w:val="9"/>
          <w:color w:val="auto"/>
        </w:rPr>
      </w:pPr>
      <w:r>
        <w:rPr>
          <w:rFonts w:ascii="Arial" w:cs="Arial" w:eastAsia="Arial" w:hAnsi="Arial"/>
          <w:sz w:val="14"/>
          <w:szCs w:val="14"/>
          <w:color w:val="auto"/>
        </w:rPr>
        <w:t>The UPB of mortgage loans is presented net of write-offs for amounts deemed uncollectible.</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Excludes $11.8 billion and $11.3 billion of accrued interest receivable as of September 30, 2026 and December 31, 2025,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purchase of HFI loans, redesignation of loans and sales of mortgage loans during the period.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rPr>
              <w:t>For the Three Months Ended</w:t>
            </w:r>
          </w:p>
        </w:tc>
        <w:tc>
          <w:tcPr>
            <w:tcW w:w="180" w:type="dxa"/>
            <w:vAlign w:val="bottom"/>
          </w:tcPr>
          <w:p>
            <w:pPr>
              <w:spacing w:after="0"/>
              <w:rPr>
                <w:sz w:val="14"/>
                <w:szCs w:val="14"/>
                <w:color w:val="auto"/>
              </w:rPr>
            </w:pPr>
          </w:p>
        </w:tc>
        <w:tc>
          <w:tcPr>
            <w:tcW w:w="2360" w:type="dxa"/>
            <w:vAlign w:val="bottom"/>
            <w:gridSpan w:val="4"/>
          </w:tcPr>
          <w:p>
            <w:pPr>
              <w:jc w:val="right"/>
              <w:ind w:right="183"/>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5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7"/>
                <w:szCs w:val="17"/>
                <w:color w:val="auto"/>
              </w:rPr>
            </w:pPr>
          </w:p>
        </w:tc>
        <w:tc>
          <w:tcPr>
            <w:tcW w:w="2360" w:type="dxa"/>
            <w:vAlign w:val="bottom"/>
            <w:gridSpan w:val="4"/>
          </w:tcPr>
          <w:p>
            <w:pPr>
              <w:jc w:val="right"/>
              <w:ind w:right="663"/>
              <w:spacing w:after="0"/>
              <w:rPr>
                <w:sz w:val="20"/>
                <w:szCs w:val="20"/>
                <w:color w:val="auto"/>
              </w:rPr>
            </w:pPr>
            <w:r>
              <w:rPr>
                <w:rFonts w:ascii="Arial" w:cs="Arial" w:eastAsia="Arial" w:hAnsi="Arial"/>
                <w:sz w:val="15"/>
                <w:szCs w:val="15"/>
                <w:b w:val="1"/>
                <w:bCs w:val="1"/>
                <w:color w:val="auto"/>
              </w:rPr>
              <w:t>September 30,</w:t>
            </w:r>
          </w:p>
        </w:tc>
      </w:tr>
      <w:tr>
        <w:trPr>
          <w:trHeight w:val="212"/>
        </w:trPr>
        <w:tc>
          <w:tcPr>
            <w:tcW w:w="5920" w:type="dxa"/>
            <w:vAlign w:val="bottom"/>
          </w:tcPr>
          <w:p>
            <w:pPr>
              <w:spacing w:after="0"/>
              <w:rPr>
                <w:sz w:val="18"/>
                <w:szCs w:val="18"/>
                <w:color w:val="auto"/>
              </w:rPr>
            </w:pPr>
          </w:p>
        </w:tc>
        <w:tc>
          <w:tcPr>
            <w:tcW w:w="160" w:type="dxa"/>
            <w:vAlign w:val="bottom"/>
            <w:tcBorders>
              <w:top w:val="single" w:sz="8" w:color="2C6937"/>
              <w:bottom w:val="single" w:sz="8" w:color="2C6937"/>
            </w:tcBorders>
          </w:tcPr>
          <w:p>
            <w:pPr>
              <w:spacing w:after="0"/>
              <w:rPr>
                <w:sz w:val="18"/>
                <w:szCs w:val="18"/>
                <w:color w:val="auto"/>
              </w:rPr>
            </w:pPr>
          </w:p>
        </w:tc>
        <w:tc>
          <w:tcPr>
            <w:tcW w:w="104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2C6937"/>
            </w:tcBorders>
          </w:tcPr>
          <w:p>
            <w:pPr>
              <w:spacing w:after="0"/>
              <w:rPr>
                <w:sz w:val="18"/>
                <w:szCs w:val="18"/>
                <w:color w:val="auto"/>
              </w:rPr>
            </w:pPr>
          </w:p>
        </w:tc>
        <w:tc>
          <w:tcPr>
            <w:tcW w:w="28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104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2C6937"/>
            </w:tcBorders>
          </w:tcPr>
          <w:p>
            <w:pPr>
              <w:spacing w:after="0"/>
              <w:rPr>
                <w:sz w:val="18"/>
                <w:szCs w:val="18"/>
                <w:color w:val="auto"/>
              </w:rPr>
            </w:pPr>
          </w:p>
        </w:tc>
        <w:tc>
          <w:tcPr>
            <w:tcW w:w="260" w:type="dxa"/>
            <w:vAlign w:val="bottom"/>
            <w:tcBorders>
              <w:top w:val="single" w:sz="8" w:color="2C6937"/>
              <w:bottom w:val="single" w:sz="8" w:color="2C6937"/>
            </w:tcBorders>
          </w:tcPr>
          <w:p>
            <w:pPr>
              <w:spacing w:after="0"/>
              <w:rPr>
                <w:sz w:val="18"/>
                <w:szCs w:val="18"/>
                <w:color w:val="auto"/>
              </w:rPr>
            </w:pPr>
          </w:p>
        </w:tc>
        <w:tc>
          <w:tcPr>
            <w:tcW w:w="96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2025</w:t>
            </w:r>
          </w:p>
        </w:tc>
      </w:tr>
      <w:tr>
        <w:trPr>
          <w:trHeight w:val="296"/>
        </w:trPr>
        <w:tc>
          <w:tcPr>
            <w:tcW w:w="5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5"/>
          </w:tcPr>
          <w:p>
            <w:pPr>
              <w:ind w:left="220"/>
              <w:spacing w:after="0"/>
              <w:rPr>
                <w:sz w:val="20"/>
                <w:szCs w:val="20"/>
                <w:color w:val="auto"/>
              </w:rPr>
            </w:pPr>
            <w:r>
              <w:rPr>
                <w:rFonts w:ascii="Arial" w:cs="Arial" w:eastAsia="Arial" w:hAnsi="Arial"/>
                <w:sz w:val="15"/>
                <w:szCs w:val="15"/>
                <w:b w:val="1"/>
                <w:bCs w:val="1"/>
                <w:color w:val="auto"/>
              </w:rPr>
              <w:t>(Dollars in millions)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5"/>
                <w:szCs w:val="15"/>
                <w:color w:val="auto"/>
              </w:rPr>
              <w:t>Purchase of HFI loans: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6"/>
        </w:trPr>
        <w:tc>
          <w:tcPr>
            <w:tcW w:w="5920" w:type="dxa"/>
            <w:vAlign w:val="bottom"/>
          </w:tcPr>
          <w:p>
            <w:pPr>
              <w:ind w:left="160"/>
              <w:spacing w:after="0"/>
              <w:rPr>
                <w:sz w:val="20"/>
                <w:szCs w:val="20"/>
                <w:color w:val="auto"/>
              </w:rPr>
            </w:pPr>
            <w:r>
              <w:rPr>
                <w:rFonts w:ascii="Arial" w:cs="Arial" w:eastAsia="Arial" w:hAnsi="Arial"/>
                <w:sz w:val="15"/>
                <w:szCs w:val="15"/>
                <w:color w:val="auto"/>
              </w:rPr>
              <w:t>Single-family UPB</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87,500</w:t>
            </w:r>
          </w:p>
        </w:tc>
        <w:tc>
          <w:tcPr>
            <w:tcW w:w="100" w:type="dxa"/>
            <w:vAlign w:val="bottom"/>
          </w:tcPr>
          <w:p>
            <w:pPr>
              <w:spacing w:after="0"/>
              <w:rPr>
                <w:sz w:val="23"/>
                <w:szCs w:val="23"/>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90,175</w:t>
            </w:r>
          </w:p>
        </w:tc>
        <w:tc>
          <w:tcPr>
            <w:tcW w:w="100" w:type="dxa"/>
            <w:vAlign w:val="bottom"/>
          </w:tcPr>
          <w:p>
            <w:pPr>
              <w:spacing w:after="0"/>
              <w:rPr>
                <w:sz w:val="23"/>
                <w:szCs w:val="23"/>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296,610</w:t>
            </w:r>
          </w:p>
        </w:tc>
        <w:tc>
          <w:tcPr>
            <w:tcW w:w="100" w:type="dxa"/>
            <w:vAlign w:val="bottom"/>
          </w:tcPr>
          <w:p>
            <w:pPr>
              <w:spacing w:after="0"/>
              <w:rPr>
                <w:sz w:val="23"/>
                <w:szCs w:val="23"/>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237,369</w:t>
            </w:r>
          </w:p>
        </w:tc>
      </w:tr>
      <w:tr>
        <w:trPr>
          <w:trHeight w:val="245"/>
        </w:trPr>
        <w:tc>
          <w:tcPr>
            <w:tcW w:w="5920" w:type="dxa"/>
            <w:vAlign w:val="bottom"/>
          </w:tcPr>
          <w:p>
            <w:pPr>
              <w:ind w:left="160"/>
              <w:spacing w:after="0"/>
              <w:rPr>
                <w:sz w:val="20"/>
                <w:szCs w:val="20"/>
                <w:color w:val="auto"/>
              </w:rPr>
            </w:pPr>
            <w:r>
              <w:rPr>
                <w:rFonts w:ascii="Arial" w:cs="Arial" w:eastAsia="Arial" w:hAnsi="Arial"/>
                <w:sz w:val="15"/>
                <w:szCs w:val="15"/>
                <w:color w:val="auto"/>
              </w:rPr>
              <w:t>Multifamily UPB</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14,272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45,121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46,658</w:t>
            </w:r>
          </w:p>
        </w:tc>
      </w:tr>
      <w:tr>
        <w:trPr>
          <w:trHeight w:val="405"/>
        </w:trPr>
        <w:tc>
          <w:tcPr>
            <w:tcW w:w="5920" w:type="dxa"/>
            <w:vAlign w:val="bottom"/>
          </w:tcPr>
          <w:p>
            <w:pPr>
              <w:spacing w:after="0"/>
              <w:rPr>
                <w:sz w:val="20"/>
                <w:szCs w:val="20"/>
                <w:color w:val="auto"/>
              </w:rPr>
            </w:pPr>
            <w:r>
              <w:rPr>
                <w:rFonts w:ascii="Arial" w:cs="Arial" w:eastAsia="Arial" w:hAnsi="Arial"/>
                <w:sz w:val="15"/>
                <w:szCs w:val="15"/>
                <w:color w:val="auto"/>
              </w:rPr>
              <w:t>Single-family loans redesignated from HFI to HFS: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3"/>
        </w:trPr>
        <w:tc>
          <w:tcPr>
            <w:tcW w:w="592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197</w:t>
            </w:r>
          </w:p>
        </w:tc>
        <w:tc>
          <w:tcPr>
            <w:tcW w:w="100" w:type="dxa"/>
            <w:vAlign w:val="bottom"/>
          </w:tcPr>
          <w:p>
            <w:pPr>
              <w:spacing w:after="0"/>
              <w:rPr>
                <w:sz w:val="24"/>
                <w:szCs w:val="24"/>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823</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738</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1,527</w:t>
            </w:r>
          </w:p>
        </w:tc>
      </w:tr>
      <w:tr>
        <w:trPr>
          <w:trHeight w:val="368"/>
        </w:trPr>
        <w:tc>
          <w:tcPr>
            <w:tcW w:w="5920" w:type="dxa"/>
            <w:vAlign w:val="bottom"/>
          </w:tcPr>
          <w:p>
            <w:pPr>
              <w:ind w:left="160"/>
              <w:spacing w:after="0"/>
              <w:rPr>
                <w:sz w:val="20"/>
                <w:szCs w:val="20"/>
                <w:color w:val="auto"/>
              </w:rPr>
            </w:pPr>
            <w:r>
              <w:rPr>
                <w:rFonts w:ascii="Arial" w:cs="Arial" w:eastAsia="Arial" w:hAnsi="Arial"/>
                <w:sz w:val="15"/>
                <w:szCs w:val="15"/>
                <w:color w:val="auto"/>
              </w:rPr>
              <w:t>Lower of cost or fair value adjustment at time of redesignation</w:t>
            </w:r>
            <w:r>
              <w:rPr>
                <w:rFonts w:ascii="Arial" w:cs="Arial" w:eastAsia="Arial" w:hAnsi="Arial"/>
                <w:sz w:val="20"/>
                <w:szCs w:val="20"/>
                <w:color w:val="auto"/>
                <w:vertAlign w:val="superscript"/>
              </w:rPr>
              <w:t>(1)</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(187)</w:t>
            </w:r>
          </w:p>
        </w:tc>
      </w:tr>
      <w:tr>
        <w:trPr>
          <w:trHeight w:val="276"/>
        </w:trPr>
        <w:tc>
          <w:tcPr>
            <w:tcW w:w="5920" w:type="dxa"/>
            <w:vAlign w:val="bottom"/>
          </w:tcPr>
          <w:p>
            <w:pPr>
              <w:ind w:left="160"/>
              <w:spacing w:after="0"/>
              <w:rPr>
                <w:sz w:val="20"/>
                <w:szCs w:val="20"/>
                <w:color w:val="auto"/>
              </w:rPr>
            </w:pPr>
            <w:r>
              <w:rPr>
                <w:rFonts w:ascii="Arial" w:cs="Arial" w:eastAsia="Arial" w:hAnsi="Arial"/>
                <w:sz w:val="15"/>
                <w:szCs w:val="15"/>
                <w:color w:val="auto"/>
              </w:rPr>
              <w:t>Allowance reversed at time of redesignation</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26</w:t>
            </w:r>
          </w:p>
        </w:tc>
      </w:tr>
      <w:tr>
        <w:trPr>
          <w:trHeight w:val="405"/>
        </w:trPr>
        <w:tc>
          <w:tcPr>
            <w:tcW w:w="5920" w:type="dxa"/>
            <w:vAlign w:val="bottom"/>
          </w:tcPr>
          <w:p>
            <w:pPr>
              <w:spacing w:after="0"/>
              <w:rPr>
                <w:sz w:val="20"/>
                <w:szCs w:val="20"/>
                <w:color w:val="auto"/>
              </w:rPr>
            </w:pPr>
            <w:r>
              <w:rPr>
                <w:rFonts w:ascii="Arial" w:cs="Arial" w:eastAsia="Arial" w:hAnsi="Arial"/>
                <w:sz w:val="15"/>
                <w:szCs w:val="15"/>
                <w:color w:val="auto"/>
              </w:rPr>
              <w:t>Single-family loans sold: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3"/>
        </w:trPr>
        <w:tc>
          <w:tcPr>
            <w:tcW w:w="5920" w:type="dxa"/>
            <w:vAlign w:val="bottom"/>
          </w:tcPr>
          <w:p>
            <w:pPr>
              <w:ind w:left="160"/>
              <w:spacing w:after="0"/>
              <w:rPr>
                <w:sz w:val="20"/>
                <w:szCs w:val="20"/>
                <w:color w:val="auto"/>
              </w:rPr>
            </w:pPr>
            <w:r>
              <w:rPr>
                <w:rFonts w:ascii="Arial" w:cs="Arial" w:eastAsia="Arial" w:hAnsi="Arial"/>
                <w:sz w:val="15"/>
                <w:szCs w:val="15"/>
                <w:color w:val="auto"/>
              </w:rPr>
              <w:t>UPB</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541</w:t>
            </w:r>
          </w:p>
        </w:tc>
        <w:tc>
          <w:tcPr>
            <w:tcW w:w="100" w:type="dxa"/>
            <w:vAlign w:val="bottom"/>
          </w:tcPr>
          <w:p>
            <w:pPr>
              <w:spacing w:after="0"/>
              <w:rPr>
                <w:sz w:val="24"/>
                <w:szCs w:val="24"/>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541</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969</w:t>
            </w:r>
          </w:p>
        </w:tc>
      </w:tr>
      <w:tr>
        <w:trPr>
          <w:trHeight w:val="322"/>
        </w:trPr>
        <w:tc>
          <w:tcPr>
            <w:tcW w:w="5920" w:type="dxa"/>
            <w:vAlign w:val="bottom"/>
          </w:tcPr>
          <w:p>
            <w:pPr>
              <w:ind w:left="160"/>
              <w:spacing w:after="0"/>
              <w:rPr>
                <w:sz w:val="20"/>
                <w:szCs w:val="20"/>
                <w:color w:val="auto"/>
              </w:rPr>
            </w:pPr>
            <w:r>
              <w:rPr>
                <w:rFonts w:ascii="Arial" w:cs="Arial" w:eastAsia="Arial" w:hAnsi="Arial"/>
                <w:sz w:val="15"/>
                <w:szCs w:val="15"/>
                <w:color w:val="auto"/>
              </w:rPr>
              <w:t>Realized gains (losses), net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r>
    </w:tbl>
    <w:p>
      <w:pPr>
        <w:spacing w:after="0" w:line="88" w:lineRule="exact"/>
        <w:rPr>
          <w:sz w:val="20"/>
          <w:szCs w:val="20"/>
          <w:color w:val="auto"/>
        </w:rPr>
      </w:pPr>
    </w:p>
    <w:p>
      <w:pPr>
        <w:ind w:left="220" w:hanging="217"/>
        <w:spacing w:after="0"/>
        <w:tabs>
          <w:tab w:leader="none" w:pos="22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Consists of the write-off against the allowance at the time of redesignation.</w:t>
      </w:r>
    </w:p>
    <w:p>
      <w:pPr>
        <w:spacing w:after="0" w:line="200" w:lineRule="exact"/>
        <w:rPr>
          <w:rFonts w:ascii="Arial" w:cs="Arial" w:eastAsia="Arial" w:hAnsi="Arial"/>
          <w:sz w:val="18"/>
          <w:szCs w:val="18"/>
          <w:color w:val="auto"/>
          <w:vertAlign w:val="superscript"/>
        </w:rPr>
      </w:pPr>
    </w:p>
    <w:p>
      <w:pPr>
        <w:spacing w:after="0" w:line="393" w:lineRule="exact"/>
        <w:rPr>
          <w:rFonts w:ascii="Arial" w:cs="Arial" w:eastAsia="Arial" w:hAnsi="Arial"/>
          <w:sz w:val="18"/>
          <w:szCs w:val="18"/>
          <w:color w:val="auto"/>
          <w:vertAlign w:val="superscript"/>
        </w:rPr>
      </w:pPr>
    </w:p>
    <w:p>
      <w:pPr>
        <w:ind w:left="640"/>
        <w:spacing w:after="0"/>
        <w:rPr>
          <w:rFonts w:ascii="Arial" w:cs="Arial" w:eastAsia="Arial" w:hAnsi="Arial"/>
          <w:sz w:val="18"/>
          <w:szCs w:val="18"/>
          <w:color w:val="auto"/>
          <w:vertAlign w:val="superscript"/>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-121285</wp:posOffset>
            </wp:positionV>
            <wp:extent cx="680593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69" w:name="page70"/>
    <w:bookmarkEnd w:id="69"/>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Aging Analysis</w:t>
      </w:r>
    </w:p>
    <w:p>
      <w:pPr>
        <w:spacing w:after="0" w:line="6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The following tables display an aging analysis of the total amortized cost of our HFI mortgage loans by portfolio segment and class of financing receivable, excluding loans for which we have elected the fair value option.</w:t>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48" w:lineRule="exact"/>
        <w:rPr>
          <w:sz w:val="20"/>
          <w:szCs w:val="20"/>
          <w:color w:val="auto"/>
        </w:rPr>
      </w:pPr>
    </w:p>
    <w:p>
      <w:pPr>
        <w:jc w:val="both"/>
        <w:ind w:left="320" w:right="220" w:hanging="154"/>
        <w:spacing w:after="0" w:line="283" w:lineRule="auto"/>
        <w:rPr>
          <w:sz w:val="20"/>
          <w:szCs w:val="20"/>
          <w:color w:val="auto"/>
        </w:rPr>
      </w:pPr>
      <w:r>
        <w:rPr>
          <w:rFonts w:ascii="Arial" w:cs="Arial" w:eastAsia="Arial" w:hAnsi="Arial"/>
          <w:sz w:val="13"/>
          <w:szCs w:val="13"/>
          <w:color w:val="auto"/>
        </w:rPr>
        <w:t>20- and 30-year or more, amortizing fixed-rate</w:t>
      </w:r>
    </w:p>
    <w:p>
      <w:pPr>
        <w:spacing w:after="0" w:line="103"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81" w:lineRule="exact"/>
        <w:rPr>
          <w:sz w:val="20"/>
          <w:szCs w:val="20"/>
          <w:color w:val="auto"/>
        </w:rPr>
      </w:pPr>
    </w:p>
    <w:p>
      <w:pPr>
        <w:ind w:left="180" w:right="480"/>
        <w:spacing w:after="0" w:line="425" w:lineRule="auto"/>
        <w:rPr>
          <w:sz w:val="20"/>
          <w:szCs w:val="20"/>
          <w:color w:val="auto"/>
        </w:rPr>
      </w:pPr>
      <w:r>
        <w:rPr>
          <w:rFonts w:ascii="Arial" w:cs="Arial" w:eastAsia="Arial" w:hAnsi="Arial"/>
          <w:sz w:val="14"/>
          <w:szCs w:val="14"/>
          <w:color w:val="auto"/>
        </w:rPr>
        <w:t>Adjustable-rate Other</w:t>
      </w:r>
      <w:r>
        <w:rPr>
          <w:rFonts w:ascii="Arial" w:cs="Arial" w:eastAsia="Arial" w:hAnsi="Arial"/>
          <w:sz w:val="17"/>
          <w:szCs w:val="1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10642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ind w:left="20" w:right="460"/>
        <w:spacing w:after="0" w:line="454" w:lineRule="auto"/>
        <w:rPr>
          <w:sz w:val="20"/>
          <w:szCs w:val="20"/>
          <w:color w:val="auto"/>
        </w:rPr>
      </w:pPr>
      <w:r>
        <w:rPr>
          <w:rFonts w:ascii="Arial" w:cs="Arial" w:eastAsia="Arial" w:hAnsi="Arial"/>
          <w:sz w:val="13"/>
          <w:szCs w:val="13"/>
          <w:color w:val="auto"/>
        </w:rPr>
        <w:t>Total single-family Multifamily</w:t>
      </w:r>
      <w:r>
        <w:rPr>
          <w:rFonts w:ascii="Arial" w:cs="Arial" w:eastAsia="Arial" w:hAnsi="Arial"/>
          <w:sz w:val="16"/>
          <w:szCs w:val="1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10642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642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64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642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48" w:lineRule="exact"/>
        <w:rPr>
          <w:sz w:val="20"/>
          <w:szCs w:val="20"/>
          <w:color w:val="auto"/>
        </w:rPr>
      </w:pPr>
    </w:p>
    <w:p>
      <w:pPr>
        <w:jc w:val="both"/>
        <w:ind w:left="320" w:right="220" w:hanging="154"/>
        <w:spacing w:after="0" w:line="293" w:lineRule="auto"/>
        <w:rPr>
          <w:sz w:val="20"/>
          <w:szCs w:val="20"/>
          <w:color w:val="auto"/>
        </w:rPr>
      </w:pPr>
      <w:r>
        <w:rPr>
          <w:rFonts w:ascii="Arial" w:cs="Arial" w:eastAsia="Arial" w:hAnsi="Arial"/>
          <w:sz w:val="13"/>
          <w:szCs w:val="13"/>
          <w:color w:val="auto"/>
        </w:rPr>
        <w:t>20- and 30-year or more, amortizing fixed-rate</w:t>
      </w:r>
    </w:p>
    <w:p>
      <w:pPr>
        <w:spacing w:after="0" w:line="84"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81" w:lineRule="exact"/>
        <w:rPr>
          <w:sz w:val="20"/>
          <w:szCs w:val="20"/>
          <w:color w:val="auto"/>
        </w:rPr>
      </w:pPr>
    </w:p>
    <w:p>
      <w:pPr>
        <w:ind w:left="180" w:right="480"/>
        <w:spacing w:after="0" w:line="470" w:lineRule="auto"/>
        <w:rPr>
          <w:sz w:val="20"/>
          <w:szCs w:val="20"/>
          <w:color w:val="auto"/>
        </w:rPr>
      </w:pPr>
      <w:r>
        <w:rPr>
          <w:rFonts w:ascii="Arial" w:cs="Arial" w:eastAsia="Arial" w:hAnsi="Arial"/>
          <w:sz w:val="14"/>
          <w:szCs w:val="14"/>
          <w:color w:val="auto"/>
        </w:rPr>
        <w:t>Adjustable-rate Other</w:t>
      </w:r>
      <w:r>
        <w:rPr>
          <w:rFonts w:ascii="Arial" w:cs="Arial" w:eastAsia="Arial" w:hAnsi="Arial"/>
          <w:sz w:val="8"/>
          <w:szCs w:val="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10807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20" w:right="460"/>
        <w:spacing w:after="0" w:line="507" w:lineRule="auto"/>
        <w:rPr>
          <w:sz w:val="20"/>
          <w:szCs w:val="20"/>
          <w:color w:val="auto"/>
        </w:rPr>
      </w:pPr>
      <w:r>
        <w:rPr>
          <w:rFonts w:ascii="Arial" w:cs="Arial" w:eastAsia="Arial" w:hAnsi="Arial"/>
          <w:sz w:val="13"/>
          <w:szCs w:val="13"/>
          <w:color w:val="auto"/>
        </w:rPr>
        <w:t>Total single-family Multifamily</w:t>
      </w:r>
      <w:r>
        <w:rPr>
          <w:rFonts w:ascii="Arial" w:cs="Arial" w:eastAsia="Arial" w:hAnsi="Arial"/>
          <w:sz w:val="7"/>
          <w:szCs w:val="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10807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807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80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807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600900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7"/>
              </w:rPr>
              <w:t>Loans 90 Days</w:t>
            </w:r>
          </w:p>
        </w:tc>
        <w:tc>
          <w:tcPr>
            <w:tcW w:w="1040" w:type="dxa"/>
            <w:vAlign w:val="bottom"/>
          </w:tcPr>
          <w:p>
            <w:pPr>
              <w:spacing w:after="0"/>
              <w:rPr>
                <w:sz w:val="14"/>
                <w:szCs w:val="14"/>
                <w:color w:val="auto"/>
              </w:rPr>
            </w:pPr>
          </w:p>
        </w:tc>
      </w:tr>
      <w:tr>
        <w:trPr>
          <w:trHeight w:val="155"/>
        </w:trPr>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jc w:val="center"/>
              <w:ind w:left="71"/>
              <w:spacing w:after="0" w:line="155" w:lineRule="exact"/>
              <w:rPr>
                <w:sz w:val="20"/>
                <w:szCs w:val="20"/>
                <w:color w:val="auto"/>
              </w:rPr>
            </w:pPr>
            <w:r>
              <w:rPr>
                <w:rFonts w:ascii="Arial" w:cs="Arial" w:eastAsia="Arial" w:hAnsi="Arial"/>
                <w:sz w:val="14"/>
                <w:szCs w:val="14"/>
                <w:b w:val="1"/>
                <w:bCs w:val="1"/>
                <w:color w:val="auto"/>
              </w:rPr>
              <w:t>or More</w:t>
            </w:r>
          </w:p>
        </w:tc>
        <w:tc>
          <w:tcPr>
            <w:tcW w:w="1040" w:type="dxa"/>
            <w:vAlign w:val="bottom"/>
          </w:tcPr>
          <w:p>
            <w:pPr>
              <w:spacing w:after="0"/>
              <w:rPr>
                <w:sz w:val="13"/>
                <w:szCs w:val="13"/>
                <w:color w:val="auto"/>
              </w:rPr>
            </w:pPr>
          </w:p>
        </w:tc>
      </w:t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Delinquent and</w:t>
            </w:r>
          </w:p>
        </w:tc>
        <w:tc>
          <w:tcPr>
            <w:tcW w:w="1040" w:type="dxa"/>
            <w:vAlign w:val="bottom"/>
          </w:tcPr>
          <w:p>
            <w:pPr>
              <w:jc w:val="center"/>
              <w:ind w:left="51"/>
              <w:spacing w:after="0"/>
              <w:rPr>
                <w:sz w:val="20"/>
                <w:szCs w:val="20"/>
                <w:color w:val="auto"/>
              </w:rPr>
            </w:pPr>
            <w:r>
              <w:rPr>
                <w:rFonts w:ascii="Arial" w:cs="Arial" w:eastAsia="Arial" w:hAnsi="Arial"/>
                <w:sz w:val="14"/>
                <w:szCs w:val="14"/>
                <w:b w:val="1"/>
                <w:bCs w:val="1"/>
                <w:color w:val="auto"/>
                <w:w w:val="99"/>
              </w:rPr>
              <w:t>Nonaccrual</w:t>
            </w:r>
          </w:p>
        </w:tc>
      </w:tr>
      <w:tr>
        <w:trPr>
          <w:trHeight w:val="166"/>
        </w:trPr>
        <w:tc>
          <w:tcPr>
            <w:tcW w:w="980" w:type="dxa"/>
            <w:vAlign w:val="bottom"/>
          </w:tcPr>
          <w:p>
            <w:pPr>
              <w:jc w:val="center"/>
              <w:ind w:right="131"/>
              <w:spacing w:after="0"/>
              <w:rPr>
                <w:sz w:val="20"/>
                <w:szCs w:val="20"/>
                <w:color w:val="auto"/>
              </w:rPr>
            </w:pPr>
            <w:r>
              <w:rPr>
                <w:rFonts w:ascii="Arial" w:cs="Arial" w:eastAsia="Arial" w:hAnsi="Arial"/>
                <w:sz w:val="14"/>
                <w:szCs w:val="14"/>
                <w:b w:val="1"/>
                <w:bCs w:val="1"/>
                <w:color w:val="auto"/>
                <w:w w:val="96"/>
              </w:rPr>
              <w:t>30 - 59 Days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60 - 89 Days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40" w:type="dxa"/>
            <w:vAlign w:val="bottom"/>
          </w:tcPr>
          <w:p>
            <w:pPr>
              <w:jc w:val="center"/>
              <w:ind w:right="11"/>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Accruing</w:t>
            </w:r>
          </w:p>
        </w:tc>
        <w:tc>
          <w:tcPr>
            <w:tcW w:w="1040" w:type="dxa"/>
            <w:vAlign w:val="bottom"/>
          </w:tcPr>
          <w:p>
            <w:pPr>
              <w:jc w:val="center"/>
              <w:ind w:left="31"/>
              <w:spacing w:after="0"/>
              <w:rPr>
                <w:sz w:val="20"/>
                <w:szCs w:val="20"/>
                <w:color w:val="auto"/>
              </w:rPr>
            </w:pPr>
            <w:r>
              <w:rPr>
                <w:rFonts w:ascii="Arial" w:cs="Arial" w:eastAsia="Arial" w:hAnsi="Arial"/>
                <w:sz w:val="14"/>
                <w:szCs w:val="14"/>
                <w:b w:val="1"/>
                <w:bCs w:val="1"/>
                <w:color w:val="auto"/>
                <w:w w:val="98"/>
              </w:rPr>
              <w:t>Loans with No</w:t>
            </w:r>
          </w:p>
        </w:tc>
      </w:tr>
      <w:tr>
        <w:trPr>
          <w:trHeight w:val="242"/>
        </w:trPr>
        <w:tc>
          <w:tcPr>
            <w:tcW w:w="980" w:type="dxa"/>
            <w:vAlign w:val="bottom"/>
          </w:tcPr>
          <w:p>
            <w:pPr>
              <w:jc w:val="center"/>
              <w:ind w:right="131"/>
              <w:spacing w:after="0"/>
              <w:rPr>
                <w:sz w:val="20"/>
                <w:szCs w:val="20"/>
                <w:color w:val="auto"/>
              </w:rPr>
            </w:pPr>
            <w:r>
              <w:rPr>
                <w:rFonts w:ascii="Arial" w:cs="Arial" w:eastAsia="Arial" w:hAnsi="Arial"/>
                <w:sz w:val="14"/>
                <w:szCs w:val="14"/>
                <w:b w:val="1"/>
                <w:bCs w:val="1"/>
                <w:color w:val="auto"/>
                <w:w w:val="96"/>
              </w:rPr>
              <w:t>Delinquent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Current</w:t>
            </w: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4"/>
              </w:rPr>
              <w:t>Interest</w:t>
            </w:r>
          </w:p>
        </w:tc>
        <w:tc>
          <w:tcPr>
            <w:tcW w:w="1040" w:type="dxa"/>
            <w:vAlign w:val="bottom"/>
          </w:tcPr>
          <w:p>
            <w:pPr>
              <w:jc w:val="center"/>
              <w:ind w:left="51"/>
              <w:spacing w:after="0"/>
              <w:rPr>
                <w:sz w:val="20"/>
                <w:szCs w:val="20"/>
                <w:color w:val="auto"/>
              </w:rPr>
            </w:pPr>
            <w:r>
              <w:rPr>
                <w:rFonts w:ascii="Arial" w:cs="Arial" w:eastAsia="Arial" w:hAnsi="Arial"/>
                <w:sz w:val="14"/>
                <w:szCs w:val="14"/>
                <w:b w:val="1"/>
                <w:bCs w:val="1"/>
                <w:color w:val="auto"/>
              </w:rPr>
              <w:t>Allowance</w:t>
            </w:r>
            <w:r>
              <w:rPr>
                <w:rFonts w:ascii="Arial" w:cs="Arial" w:eastAsia="Arial" w:hAnsi="Arial"/>
                <w:sz w:val="8"/>
                <w:szCs w:val="8"/>
                <w:b w:val="1"/>
                <w:bCs w:val="1"/>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600900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35,302</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10,101</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22,389</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67,792</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3,174,106</w:t>
            </w:r>
          </w:p>
        </w:tc>
        <w:tc>
          <w:tcPr>
            <w:tcW w:w="12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3,241,898</w:t>
            </w:r>
          </w:p>
        </w:tc>
        <w:tc>
          <w:tcPr>
            <w:tcW w:w="12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5"/>
                <w:szCs w:val="15"/>
                <w:color w:val="auto"/>
              </w:rPr>
            </w:pP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4,029</w:t>
            </w:r>
          </w:p>
        </w:tc>
      </w:tr>
      <w:tr>
        <w:trPr>
          <w:trHeight w:val="47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291,966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294,100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309"/>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35,057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35,370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13"/>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14,957</w:t>
            </w: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15,787</w:t>
            </w:r>
          </w:p>
        </w:tc>
        <w:tc>
          <w:tcPr>
            <w:tcW w:w="12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119</w:t>
            </w:r>
          </w:p>
        </w:tc>
      </w:tr>
      <w:tr>
        <w:trPr>
          <w:trHeight w:val="299"/>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37,166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10,557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23,346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71,069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3,516,086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3,587,155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4,409</w:t>
            </w:r>
          </w:p>
        </w:tc>
      </w:tr>
      <w:tr>
        <w:trPr>
          <w:trHeight w:val="313"/>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3,353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530,677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534,030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1,957</w:t>
            </w:r>
          </w:p>
        </w:tc>
      </w:tr>
      <w:tr>
        <w:trPr>
          <w:trHeight w:val="302"/>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37,781</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10,557</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26,084</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74,422</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4,046,763</w:t>
            </w:r>
          </w:p>
        </w:tc>
        <w:tc>
          <w:tcPr>
            <w:tcW w:w="120" w:type="dxa"/>
            <w:vAlign w:val="bottom"/>
          </w:tcPr>
          <w:p>
            <w:pPr>
              <w:spacing w:after="0"/>
              <w:rPr>
                <w:sz w:val="24"/>
                <w:szCs w:val="24"/>
                <w:color w:val="auto"/>
              </w:rPr>
            </w:pPr>
          </w:p>
        </w:tc>
        <w:tc>
          <w:tcPr>
            <w:tcW w:w="24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4,121,185</w:t>
            </w:r>
          </w:p>
        </w:tc>
        <w:tc>
          <w:tcPr>
            <w:tcW w:w="12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6,366</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18415</wp:posOffset>
            </wp:positionV>
            <wp:extent cx="599249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92495" cy="8255"/>
                    </a:xfrm>
                    <a:prstGeom prst="rect">
                      <a:avLst/>
                    </a:prstGeom>
                    <a:noFill/>
                  </pic:spPr>
                </pic:pic>
              </a:graphicData>
            </a:graphic>
          </wp:anchor>
        </w:drawing>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51"/>
              <w:spacing w:after="0"/>
              <w:rPr>
                <w:sz w:val="20"/>
                <w:szCs w:val="20"/>
                <w:color w:val="auto"/>
              </w:rPr>
            </w:pPr>
            <w:r>
              <w:rPr>
                <w:rFonts w:ascii="Arial" w:cs="Arial" w:eastAsia="Arial" w:hAnsi="Arial"/>
                <w:sz w:val="14"/>
                <w:szCs w:val="14"/>
                <w:b w:val="1"/>
                <w:bCs w:val="1"/>
                <w:color w:val="auto"/>
                <w:w w:val="97"/>
              </w:rPr>
              <w:t>Loans 90 Days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71"/>
              <w:spacing w:after="0"/>
              <w:rPr>
                <w:sz w:val="20"/>
                <w:szCs w:val="20"/>
                <w:color w:val="auto"/>
              </w:rPr>
            </w:pPr>
            <w:r>
              <w:rPr>
                <w:rFonts w:ascii="Arial" w:cs="Arial" w:eastAsia="Arial" w:hAnsi="Arial"/>
                <w:sz w:val="14"/>
                <w:szCs w:val="14"/>
                <w:b w:val="1"/>
                <w:bCs w:val="1"/>
                <w:color w:val="auto"/>
                <w:w w:val="97"/>
              </w:rPr>
              <w:t>or More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51"/>
              <w:spacing w:after="0"/>
              <w:rPr>
                <w:sz w:val="20"/>
                <w:szCs w:val="20"/>
                <w:color w:val="auto"/>
              </w:rPr>
            </w:pPr>
            <w:r>
              <w:rPr>
                <w:rFonts w:ascii="Arial" w:cs="Arial" w:eastAsia="Arial" w:hAnsi="Arial"/>
                <w:sz w:val="14"/>
                <w:szCs w:val="14"/>
                <w:b w:val="1"/>
                <w:bCs w:val="1"/>
                <w:color w:val="auto"/>
                <w:w w:val="98"/>
              </w:rPr>
              <w:t>Delinquent and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Nonaccrual</w:t>
            </w: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jc w:val="center"/>
              <w:ind w:left="51"/>
              <w:spacing w:after="0" w:line="155" w:lineRule="exact"/>
              <w:rPr>
                <w:sz w:val="20"/>
                <w:szCs w:val="20"/>
                <w:color w:val="auto"/>
              </w:rPr>
            </w:pPr>
            <w:r>
              <w:rPr>
                <w:rFonts w:ascii="Arial" w:cs="Arial" w:eastAsia="Arial" w:hAnsi="Arial"/>
                <w:sz w:val="14"/>
                <w:szCs w:val="14"/>
                <w:b w:val="1"/>
                <w:bCs w:val="1"/>
                <w:color w:val="auto"/>
                <w:w w:val="98"/>
              </w:rPr>
              <w:t>Accruing</w:t>
            </w:r>
          </w:p>
        </w:tc>
        <w:tc>
          <w:tcPr>
            <w:tcW w:w="11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Loans with No</w:t>
            </w:r>
          </w:p>
        </w:tc>
        <w:tc>
          <w:tcPr>
            <w:tcW w:w="0" w:type="dxa"/>
            <w:vAlign w:val="bottom"/>
          </w:tcPr>
          <w:p>
            <w:pPr>
              <w:spacing w:after="0"/>
              <w:rPr>
                <w:sz w:val="1"/>
                <w:szCs w:val="1"/>
                <w:color w:val="auto"/>
              </w:rPr>
            </w:pPr>
          </w:p>
        </w:tc>
      </w:tr>
      <w:tr>
        <w:trPr>
          <w:trHeight w:val="203"/>
        </w:trPr>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c>
          <w:tcPr>
            <w:tcW w:w="12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Borders>
              <w:bottom w:val="single" w:sz="8" w:color="2C6937"/>
            </w:tcBorders>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2C6937"/>
            </w:tcBorders>
          </w:tcPr>
          <w:p>
            <w:pPr>
              <w:jc w:val="center"/>
              <w:ind w:left="71"/>
              <w:spacing w:after="0"/>
              <w:rPr>
                <w:sz w:val="20"/>
                <w:szCs w:val="20"/>
                <w:color w:val="auto"/>
              </w:rPr>
            </w:pPr>
            <w:r>
              <w:rPr>
                <w:rFonts w:ascii="Arial" w:cs="Arial" w:eastAsia="Arial" w:hAnsi="Arial"/>
                <w:sz w:val="14"/>
                <w:szCs w:val="14"/>
                <w:b w:val="1"/>
                <w:bCs w:val="1"/>
                <w:color w:val="auto"/>
                <w:w w:val="98"/>
              </w:rPr>
              <w:t>Interest</w:t>
            </w: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3"/>
              </w:rPr>
              <w:t>Allowance</w:t>
            </w:r>
            <w:r>
              <w:rPr>
                <w:rFonts w:ascii="Arial" w:cs="Arial" w:eastAsia="Arial" w:hAnsi="Arial"/>
                <w:sz w:val="17"/>
                <w:szCs w:val="17"/>
                <w:b w:val="1"/>
                <w:bCs w:val="1"/>
                <w:color w:val="auto"/>
                <w:w w:val="93"/>
                <w:vertAlign w:val="superscript"/>
              </w:rPr>
              <w:t>(2)</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33,764</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10,205</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20,857</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64,826</w:t>
            </w:r>
          </w:p>
        </w:tc>
        <w:tc>
          <w:tcPr>
            <w:tcW w:w="12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3,175,684</w:t>
            </w:r>
          </w:p>
        </w:tc>
        <w:tc>
          <w:tcPr>
            <w:tcW w:w="10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3,240,510</w:t>
            </w:r>
          </w:p>
        </w:tc>
        <w:tc>
          <w:tcPr>
            <w:tcW w:w="100" w:type="dxa"/>
            <w:vAlign w:val="bottom"/>
          </w:tcPr>
          <w:p>
            <w:pPr>
              <w:spacing w:after="0"/>
              <w:rPr>
                <w:sz w:val="15"/>
                <w:szCs w:val="15"/>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5"/>
                <w:szCs w:val="15"/>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3,713</w:t>
            </w:r>
          </w:p>
        </w:tc>
      </w:tr>
      <w:tr>
        <w:trPr>
          <w:trHeight w:val="47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2,170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320,414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322,584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193</w:t>
            </w:r>
          </w:p>
        </w:tc>
      </w:tr>
      <w:tr>
        <w:trPr>
          <w:trHeight w:val="309"/>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28,606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13"/>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16,690</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17,626</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133</w:t>
            </w:r>
          </w:p>
        </w:tc>
      </w:tr>
      <w:tr>
        <w:trPr>
          <w:trHeight w:val="299"/>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35,687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10,685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21,854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68,226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3,541,100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3,609,326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4,056</w:t>
            </w:r>
          </w:p>
        </w:tc>
      </w:tr>
      <w:tr>
        <w:trPr>
          <w:trHeight w:val="313"/>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3,240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3,759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520,194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523,953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1,985</w:t>
            </w:r>
          </w:p>
        </w:tc>
      </w:tr>
      <w:tr>
        <w:trPr>
          <w:trHeight w:val="302"/>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36,206</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10,685</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25,094</w:t>
            </w:r>
          </w:p>
        </w:tc>
        <w:tc>
          <w:tcPr>
            <w:tcW w:w="100" w:type="dxa"/>
            <w:vAlign w:val="bottom"/>
          </w:tcPr>
          <w:p>
            <w:pPr>
              <w:spacing w:after="0"/>
              <w:rPr>
                <w:sz w:val="24"/>
                <w:szCs w:val="24"/>
                <w:color w:val="auto"/>
              </w:rPr>
            </w:pPr>
          </w:p>
        </w:tc>
        <w:tc>
          <w:tcPr>
            <w:tcW w:w="32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71,985</w:t>
            </w:r>
          </w:p>
        </w:tc>
        <w:tc>
          <w:tcPr>
            <w:tcW w:w="12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4,061,294</w:t>
            </w:r>
          </w:p>
        </w:tc>
        <w:tc>
          <w:tcPr>
            <w:tcW w:w="100" w:type="dxa"/>
            <w:vAlign w:val="bottom"/>
          </w:tcPr>
          <w:p>
            <w:pPr>
              <w:spacing w:after="0"/>
              <w:rPr>
                <w:sz w:val="24"/>
                <w:szCs w:val="24"/>
                <w:color w:val="auto"/>
              </w:rPr>
            </w:pPr>
          </w:p>
        </w:tc>
        <w:tc>
          <w:tcPr>
            <w:tcW w:w="240" w:type="dxa"/>
            <w:vAlign w:val="bottom"/>
            <w:tcBorders>
              <w:top w:val="single" w:sz="8" w:color="2C6937"/>
              <w:bottom w:val="single" w:sz="8" w:color="2C6937"/>
            </w:tcBorders>
          </w:tcPr>
          <w:p>
            <w:pPr>
              <w:jc w:val="right"/>
              <w:ind w:right="7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4,133,279</w:t>
            </w:r>
          </w:p>
        </w:tc>
        <w:tc>
          <w:tcPr>
            <w:tcW w:w="10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6,041</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1580" w:space="200"/>
            <w:col w:w="9460"/>
          </w:cols>
          <w:pgMar w:left="320" w:top="261" w:right="339" w:bottom="1440" w:gutter="0" w:footer="0" w:header="0"/>
          <w:type w:val="continuous"/>
        </w:sectPr>
      </w:pPr>
    </w:p>
    <w:p>
      <w:pPr>
        <w:ind w:left="240" w:right="160" w:hanging="237"/>
        <w:spacing w:after="0" w:line="226" w:lineRule="auto"/>
        <w:tabs>
          <w:tab w:leader="none" w:pos="233"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Single-family seriously delinquent loans are loans that are 90 days or more past due or in the foreclosure process. Multifamily seriously delinquent loans are loans that are 60 days or more past due.</w:t>
      </w:r>
    </w:p>
    <w:p>
      <w:pPr>
        <w:spacing w:after="0" w:line="27" w:lineRule="exact"/>
        <w:rPr>
          <w:rFonts w:ascii="Arial" w:cs="Arial" w:eastAsia="Arial" w:hAnsi="Arial"/>
          <w:sz w:val="18"/>
          <w:szCs w:val="18"/>
          <w:color w:val="auto"/>
          <w:vertAlign w:val="superscript"/>
        </w:rPr>
      </w:pPr>
    </w:p>
    <w:p>
      <w:pPr>
        <w:ind w:left="240" w:right="440" w:hanging="237"/>
        <w:spacing w:after="0" w:line="226" w:lineRule="auto"/>
        <w:tabs>
          <w:tab w:leader="none" w:pos="233"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Primarily consists of loans for which we have recorded write-offs upon determining that amounts are uncollectible, resulting in the removal of the associated allowance for loan losses.</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59"/>
        </w:numPr>
        <w:rPr>
          <w:rFonts w:ascii="Arial" w:cs="Arial" w:eastAsia="Arial" w:hAnsi="Arial"/>
          <w:sz w:val="9"/>
          <w:szCs w:val="9"/>
          <w:color w:val="auto"/>
        </w:rPr>
      </w:pPr>
      <w:r>
        <w:rPr>
          <w:rFonts w:ascii="Arial" w:cs="Arial" w:eastAsia="Arial" w:hAnsi="Arial"/>
          <w:sz w:val="14"/>
          <w:szCs w:val="14"/>
          <w:color w:val="auto"/>
        </w:rPr>
        <w:t>Reverse mortgage loans included in “Other” are not aged due to their nature and are included in the current column.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59"/>
        </w:numPr>
        <w:rPr>
          <w:rFonts w:ascii="Arial" w:cs="Arial" w:eastAsia="Arial" w:hAnsi="Arial"/>
          <w:sz w:val="9"/>
          <w:szCs w:val="9"/>
          <w:color w:val="auto"/>
        </w:rPr>
      </w:pPr>
      <w:r>
        <w:rPr>
          <w:rFonts w:ascii="Arial" w:cs="Arial" w:eastAsia="Arial" w:hAnsi="Arial"/>
          <w:sz w:val="14"/>
          <w:szCs w:val="14"/>
          <w:color w:val="auto"/>
        </w:rPr>
        <w:t>Multifamily loans 60-89 days delinquent are included in the seriously delinquent column.</w:t>
      </w:r>
    </w:p>
    <w:p>
      <w:pPr>
        <w:spacing w:after="0" w:line="70"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The amortized cost of single-family mortgage loans for which formal foreclosure proceedings were in process was $6.3 billion and $5.4 billion as of September 30, 2026 and December 31, 2025, respectively. As a result of our various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342900</wp:posOffset>
            </wp:positionV>
            <wp:extent cx="68059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mitigation and foreclosure prevention efforts, we expect that only a portion of the loans in the process of formal foreclosure proceedings will ultimately foreclose.</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Credit Quality Indicators and Write-offs by Year of Origination</w:t>
      </w:r>
    </w:p>
    <w:p>
      <w:pPr>
        <w:spacing w:after="0" w:line="81" w:lineRule="exact"/>
        <w:rPr>
          <w:sz w:val="20"/>
          <w:szCs w:val="20"/>
          <w:color w:val="auto"/>
        </w:rPr>
      </w:pPr>
    </w:p>
    <w:p>
      <w:pPr>
        <w:jc w:val="both"/>
        <w:ind w:right="240"/>
        <w:spacing w:after="0" w:line="272" w:lineRule="auto"/>
        <w:rPr>
          <w:sz w:val="20"/>
          <w:szCs w:val="20"/>
          <w:color w:val="auto"/>
        </w:rPr>
      </w:pPr>
      <w:r>
        <w:rPr>
          <w:rFonts w:ascii="Arial" w:cs="Arial" w:eastAsia="Arial" w:hAnsi="Arial"/>
          <w:sz w:val="16"/>
          <w:szCs w:val="16"/>
          <w:color w:val="auto"/>
        </w:rPr>
        <w:t>The estimated mark-to-market loan-to-value (“LTV”) ratio is a primary factor we consider when estimating our allowance for loan losses for single-family loans. As LTV ratios increase, the borrower’s equity in the home decreases, which may negatively affect the borrower’s ability to refinance or to sell the property for an amount at or above the outstanding balance of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353695</wp:posOffset>
            </wp:positionV>
            <wp:extent cx="680593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61" w:right="439" w:bottom="1440" w:gutter="0" w:footer="0" w:header="0"/>
        </w:sectPr>
      </w:pPr>
    </w:p>
    <w:bookmarkStart w:id="71" w:name="page72"/>
    <w:bookmarkEnd w:id="71"/>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following tables display information about the credit quality of our single-family mortgage loans as well as write-offs by class of financing receivable and year of origination.</w:t>
      </w:r>
    </w:p>
    <w:p>
      <w:pPr>
        <w:spacing w:after="0" w:line="169"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September 30, 2026 and Write-offs for the Nine Months Ended September 30,</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2026, by 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89"/>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5"/>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7"/>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129,927</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161,662</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142,474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132,415</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295,080</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1,960,287</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2,821,845</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40,071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61,243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56,284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38,581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41,221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13,301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250,701</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59,495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47,437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25,610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12,803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11,706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2,382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159,433</w:t>
            </w:r>
          </w:p>
        </w:tc>
      </w:tr>
      <w:tr>
        <w:trPr>
          <w:trHeight w:val="290"/>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1,009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2,428</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2,526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3,224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659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9,919</w:t>
            </w:r>
          </w:p>
        </w:tc>
      </w:tr>
      <w:tr>
        <w:trPr>
          <w:trHeight w:val="277"/>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229,566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271,351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226,796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186,325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351,231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1,976,629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3,241,898</w:t>
            </w:r>
          </w:p>
        </w:tc>
      </w:tr>
      <w:tr>
        <w:trPr>
          <w:trHeight w:val="175"/>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59"/>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520</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97"/>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13,465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13,820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5,751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4,306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23,676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229,502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290,520</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2,709</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868</w:t>
            </w:r>
          </w:p>
        </w:tc>
      </w:tr>
      <w:tr>
        <w:trPr>
          <w:trHeight w:val="290"/>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w:t>
            </w:r>
          </w:p>
        </w:tc>
      </w:tr>
      <w:tr>
        <w:trPr>
          <w:trHeight w:val="277"/>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15,348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15,147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6,009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4,364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23,727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229,505</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294,100</w:t>
            </w:r>
          </w:p>
        </w:tc>
      </w:tr>
      <w:tr>
        <w:trPr>
          <w:trHeight w:val="175"/>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59"/>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97"/>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5,932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5,268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1,166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1,396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3,664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11,166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28,592</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1,536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382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458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4,367</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2,308</w:t>
            </w:r>
          </w:p>
        </w:tc>
      </w:tr>
      <w:tr>
        <w:trPr>
          <w:trHeight w:val="290"/>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103</w:t>
            </w:r>
          </w:p>
        </w:tc>
      </w:tr>
      <w:tr>
        <w:trPr>
          <w:trHeight w:val="277"/>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8,686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7,616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1,700</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1,864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4,298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11,206</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35,370</w:t>
            </w:r>
          </w:p>
        </w:tc>
      </w:tr>
      <w:tr>
        <w:trPr>
          <w:trHeight w:val="192"/>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97"/>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13,249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13,249</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90"/>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w:t>
            </w:r>
          </w:p>
        </w:tc>
      </w:tr>
      <w:tr>
        <w:trPr>
          <w:trHeight w:val="277"/>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13,320</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13,320</w:t>
            </w:r>
          </w:p>
        </w:tc>
      </w:tr>
      <w:tr>
        <w:trPr>
          <w:trHeight w:val="192"/>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324"/>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149,324</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180,750</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149,391</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138,117</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322,420</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2,214,204</w:t>
            </w:r>
          </w:p>
        </w:tc>
        <w:tc>
          <w:tcPr>
            <w:tcW w:w="12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3,154,206</w:t>
            </w:r>
          </w:p>
        </w:tc>
      </w:tr>
      <w:tr>
        <w:trPr>
          <w:trHeight w:val="284"/>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42,957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63,892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56,901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38,967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41,725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13,373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257,815</w:t>
            </w:r>
          </w:p>
        </w:tc>
      </w:tr>
      <w:tr>
        <w:trPr>
          <w:trHeight w:val="284"/>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61,246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48,455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25,770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12,912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11,837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2,403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162,623</w:t>
            </w:r>
          </w:p>
        </w:tc>
      </w:tr>
      <w:tr>
        <w:trPr>
          <w:trHeight w:val="290"/>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1,017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2,443</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2,557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3,274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680</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10,044</w:t>
            </w:r>
          </w:p>
        </w:tc>
      </w:tr>
      <w:tr>
        <w:trPr>
          <w:trHeight w:val="257"/>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253,600</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294,114</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234,505</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192,553</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379,256</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2,230,660</w:t>
            </w:r>
          </w:p>
        </w:tc>
        <w:tc>
          <w:tcPr>
            <w:tcW w:w="12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3,584,688</w:t>
            </w:r>
          </w:p>
        </w:tc>
      </w:tr>
      <w:tr>
        <w:trPr>
          <w:trHeight w:val="26"/>
        </w:trPr>
        <w:tc>
          <w:tcPr>
            <w:tcW w:w="3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
        </w:trPr>
        <w:tc>
          <w:tcPr>
            <w:tcW w:w="3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84"/>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71</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203</w:t>
            </w:r>
          </w:p>
        </w:tc>
        <w:tc>
          <w:tcPr>
            <w:tcW w:w="12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426085</wp:posOffset>
            </wp:positionV>
            <wp:extent cx="680593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72" w:name="page73"/>
    <w:bookmarkEnd w:id="72"/>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December 31, 2025 and Write-offs for the Year Ended December 31, 2025, by</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89"/>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5"/>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7"/>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145,040</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152,418</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142,942</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306,573</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792,049</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1,301,401</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2,840,423</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54,527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62,451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52,313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53,203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14,848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2,790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240,132</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69,983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44,582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18,590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15,374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2,184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151,230</w:t>
            </w:r>
          </w:p>
        </w:tc>
      </w:tr>
      <w:tr>
        <w:trPr>
          <w:trHeight w:val="290"/>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566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2,035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2,314</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3,137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194</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8,725</w:t>
            </w:r>
          </w:p>
        </w:tc>
      </w:tr>
      <w:tr>
        <w:trPr>
          <w:trHeight w:val="277"/>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270,116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261,486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216,159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378,287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809,560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1,304,902</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3,240,510</w:t>
            </w:r>
          </w:p>
        </w:tc>
      </w:tr>
      <w:tr>
        <w:trPr>
          <w:trHeight w:val="162"/>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677</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97"/>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13,753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5,149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26,742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125,837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141,455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319,730</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2,119</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731</w:t>
            </w:r>
          </w:p>
        </w:tc>
      </w:tr>
      <w:tr>
        <w:trPr>
          <w:trHeight w:val="290"/>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w:t>
            </w:r>
          </w:p>
        </w:tc>
      </w:tr>
      <w:tr>
        <w:trPr>
          <w:trHeight w:val="277"/>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15,837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7,324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5,288</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26,837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125,843</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141,455</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322,584</w:t>
            </w:r>
          </w:p>
        </w:tc>
      </w:tr>
      <w:tr>
        <w:trPr>
          <w:trHeight w:val="162"/>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97"/>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1,533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3,956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4,859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7,841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24,063</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1,493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432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2,963</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987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1,499</w:t>
            </w:r>
          </w:p>
        </w:tc>
      </w:tr>
      <w:tr>
        <w:trPr>
          <w:trHeight w:val="290"/>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81</w:t>
            </w:r>
          </w:p>
        </w:tc>
      </w:tr>
      <w:tr>
        <w:trPr>
          <w:trHeight w:val="277"/>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7,032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1,975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2,120</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4,732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4,901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7,846</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28,606</w:t>
            </w:r>
          </w:p>
        </w:tc>
      </w:tr>
      <w:tr>
        <w:trPr>
          <w:trHeight w:val="192"/>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97"/>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14,701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14,701</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290"/>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w:t>
            </w:r>
          </w:p>
        </w:tc>
      </w:tr>
      <w:tr>
        <w:trPr>
          <w:trHeight w:val="277"/>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14,788</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14,788</w:t>
            </w:r>
          </w:p>
        </w:tc>
      </w:tr>
      <w:tr>
        <w:trPr>
          <w:trHeight w:val="192"/>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324"/>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163,343</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160,536</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149,624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337,271</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922,745</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1,465,398</w:t>
            </w:r>
          </w:p>
        </w:tc>
        <w:tc>
          <w:tcPr>
            <w:tcW w:w="12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3,198,917</w:t>
            </w:r>
          </w:p>
        </w:tc>
      </w:tr>
      <w:tr>
        <w:trPr>
          <w:trHeight w:val="284"/>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57,484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63,333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52,872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53,845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14,886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2,839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245,259</w:t>
            </w:r>
          </w:p>
        </w:tc>
      </w:tr>
      <w:tr>
        <w:trPr>
          <w:trHeight w:val="284"/>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71,589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44,876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18,732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15,552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2,193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153,481</w:t>
            </w:r>
          </w:p>
        </w:tc>
      </w:tr>
      <w:tr>
        <w:trPr>
          <w:trHeight w:val="290"/>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569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2,040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2,339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3,188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480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215</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8,831</w:t>
            </w:r>
          </w:p>
        </w:tc>
      </w:tr>
      <w:tr>
        <w:trPr>
          <w:trHeight w:val="257"/>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292,985</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270,785</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223,567</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409,856</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940,304</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1,468,991</w:t>
            </w:r>
          </w:p>
        </w:tc>
        <w:tc>
          <w:tcPr>
            <w:tcW w:w="12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3,606,488</w:t>
            </w:r>
          </w:p>
        </w:tc>
      </w:tr>
      <w:tr>
        <w:trPr>
          <w:trHeight w:val="26"/>
        </w:trPr>
        <w:tc>
          <w:tcPr>
            <w:tcW w:w="3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
        </w:trPr>
        <w:tc>
          <w:tcPr>
            <w:tcW w:w="3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84"/>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180</w:t>
            </w:r>
          </w:p>
        </w:tc>
        <w:tc>
          <w:tcPr>
            <w:tcW w:w="10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280</w:t>
            </w:r>
          </w:p>
        </w:tc>
        <w:tc>
          <w:tcPr>
            <w:tcW w:w="12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723</w:t>
            </w:r>
          </w:p>
        </w:tc>
      </w:tr>
    </w:tbl>
    <w:p>
      <w:pPr>
        <w:spacing w:after="0" w:line="109" w:lineRule="exact"/>
        <w:rPr>
          <w:sz w:val="20"/>
          <w:szCs w:val="20"/>
          <w:color w:val="auto"/>
        </w:rPr>
      </w:pPr>
    </w:p>
    <w:p>
      <w:pPr>
        <w:ind w:left="240" w:right="40" w:hanging="237"/>
        <w:spacing w:after="0" w:line="233" w:lineRule="auto"/>
        <w:tabs>
          <w:tab w:leader="none" w:pos="233"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Excludes amortized cost of $2.5 billion and $2.8 billion as of September 30, 2026 and December 31, 2025, respectively, of mortgage loans guaranteed or insured, in whole or in part, by the U.S. government or one of its agencies, which represents primarily reverse mortgages for which we do not calculate an estimated mark-to-market LTV ratio. The tables also exclude current-year write-offs of mortgage loans guaranteed or insured, in whole or in part, by the U.S. government or one of its agencies. Year of loan origination may not be the same as the period in which we subsequently acquired the loan.</w:t>
      </w:r>
    </w:p>
    <w:p>
      <w:pPr>
        <w:spacing w:after="0" w:line="26" w:lineRule="exact"/>
        <w:rPr>
          <w:rFonts w:ascii="Arial" w:cs="Arial" w:eastAsia="Arial" w:hAnsi="Arial"/>
          <w:sz w:val="18"/>
          <w:szCs w:val="18"/>
          <w:color w:val="auto"/>
          <w:vertAlign w:val="superscript"/>
        </w:rPr>
      </w:pPr>
    </w:p>
    <w:p>
      <w:pPr>
        <w:ind w:left="240" w:right="360" w:hanging="237"/>
        <w:spacing w:after="0" w:line="278" w:lineRule="auto"/>
        <w:tabs>
          <w:tab w:leader="none" w:pos="233" w:val="left"/>
        </w:tabs>
        <w:numPr>
          <w:ilvl w:val="0"/>
          <w:numId w:val="60"/>
        </w:numPr>
        <w:rPr>
          <w:rFonts w:ascii="Arial" w:cs="Arial" w:eastAsia="Arial" w:hAnsi="Arial"/>
          <w:sz w:val="9"/>
          <w:szCs w:val="9"/>
          <w:color w:val="auto"/>
        </w:rPr>
      </w:pPr>
      <w:r>
        <w:rPr>
          <w:rFonts w:ascii="Arial" w:cs="Arial" w:eastAsia="Arial" w:hAnsi="Arial"/>
          <w:sz w:val="14"/>
          <w:szCs w:val="14"/>
          <w:color w:val="auto"/>
        </w:rPr>
        <w:t>The aggregate estimated mark-to-market LTV ratio is based on the UPB of the loan divided by the estimated current value of the property as of the end of each reported period, which we calculate using an internal valuation model that is used in our home price forecast to estimate periodic changes in home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340995</wp:posOffset>
            </wp:positionV>
            <wp:extent cx="68059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73" w:name="page74"/>
    <w:bookmarkEnd w:id="73"/>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220"/>
        <w:spacing w:after="0" w:line="272" w:lineRule="auto"/>
        <w:rPr>
          <w:sz w:val="20"/>
          <w:szCs w:val="20"/>
          <w:color w:val="auto"/>
        </w:rPr>
      </w:pPr>
      <w:r>
        <w:rPr>
          <w:rFonts w:ascii="Arial" w:cs="Arial" w:eastAsia="Arial" w:hAnsi="Arial"/>
          <w:sz w:val="16"/>
          <w:szCs w:val="16"/>
          <w:color w:val="auto"/>
        </w:rPr>
        <w:t>The following tables display the total amortized cost of our multifamily mortgage loans by year of origination and credit-risk rating. Property rental income and property valuations are key inputs to our internally assigned credit risk ratings. The tables below also include current year write-offs of our multifamily mortgage loans by year of origination.</w:t>
      </w:r>
    </w:p>
    <w:p>
      <w:pPr>
        <w:spacing w:after="0" w:line="225"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Credit Quality Indicators as of September 30, 2026 and Write-offs for the Nine Months Ended September 30,</w:t>
      </w:r>
    </w:p>
    <w:p>
      <w:pPr>
        <w:spacing w:after="0" w:line="8"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2026, by Year of Origination</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26035</wp:posOffset>
            </wp:positionV>
            <wp:extent cx="450278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140" w:lineRule="exact"/>
        <w:rPr>
          <w:sz w:val="20"/>
          <w:szCs w:val="20"/>
          <w:color w:val="auto"/>
        </w:rPr>
      </w:pPr>
    </w:p>
    <w:p>
      <w:pPr>
        <w:ind w:left="4220"/>
        <w:spacing w:after="0"/>
        <w:tabs>
          <w:tab w:leader="none" w:pos="5200" w:val="left"/>
          <w:tab w:leader="none" w:pos="6220" w:val="left"/>
          <w:tab w:leader="none" w:pos="7220" w:val="left"/>
          <w:tab w:leader="none" w:pos="8220" w:val="left"/>
          <w:tab w:leader="none" w:pos="9260" w:val="left"/>
          <w:tab w:leader="none" w:pos="1034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Prior</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26670</wp:posOffset>
            </wp:positionV>
            <wp:extent cx="450278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(Dollars in millions)</w:t>
      </w:r>
    </w:p>
    <w:p>
      <w:pPr>
        <w:sectPr>
          <w:pgSz w:w="11900" w:h="16838" w:orient="portrait"/>
          <w:cols w:equalWidth="0" w:num="1">
            <w:col w:w="11240"/>
          </w:cols>
          <w:pgMar w:left="320" w:top="261" w:right="339" w:bottom="1440" w:gutter="0" w:footer="0" w:header="0"/>
        </w:sectPr>
      </w:pPr>
    </w:p>
    <w:p>
      <w:pPr>
        <w:spacing w:after="0" w:line="1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Internally assigned credit risk rating:</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423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4231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423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24231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Current-year write-offs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34,557</w:t>
            </w:r>
          </w:p>
        </w:tc>
        <w:tc>
          <w:tcPr>
            <w:tcW w:w="100" w:type="dxa"/>
            <w:vAlign w:val="bottom"/>
          </w:tcPr>
          <w:p>
            <w:pPr>
              <w:spacing w:after="0"/>
              <w:rPr>
                <w:sz w:val="17"/>
                <w:szCs w:val="17"/>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76,765</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50,995</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46,902</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48,779</w:t>
            </w:r>
          </w:p>
        </w:tc>
        <w:tc>
          <w:tcPr>
            <w:tcW w:w="12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246,517</w:t>
            </w:r>
          </w:p>
        </w:tc>
        <w:tc>
          <w:tcPr>
            <w:tcW w:w="12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504,515</w:t>
            </w:r>
          </w:p>
        </w:tc>
        <w:tc>
          <w:tcPr>
            <w:tcW w:w="220" w:type="dxa"/>
            <w:vAlign w:val="bottom"/>
          </w:tcPr>
          <w:p>
            <w:pPr>
              <w:spacing w:after="0"/>
              <w:rPr>
                <w:sz w:val="17"/>
                <w:szCs w:val="17"/>
                <w:color w:val="auto"/>
              </w:rPr>
            </w:pPr>
          </w:p>
        </w:tc>
      </w:tr>
      <w:tr>
        <w:trPr>
          <w:trHeight w:val="245"/>
        </w:trPr>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1,203</w:t>
            </w:r>
          </w:p>
        </w:tc>
        <w:tc>
          <w:tcPr>
            <w:tcW w:w="220" w:type="dxa"/>
            <w:vAlign w:val="bottom"/>
          </w:tcPr>
          <w:p>
            <w:pPr>
              <w:spacing w:after="0"/>
              <w:rPr>
                <w:sz w:val="21"/>
                <w:szCs w:val="21"/>
                <w:color w:val="auto"/>
              </w:rPr>
            </w:pPr>
          </w:p>
        </w:tc>
      </w:tr>
      <w:tr>
        <w:trPr>
          <w:trHeight w:val="245"/>
        </w:trPr>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887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2,891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5,745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28,299</w:t>
            </w:r>
          </w:p>
        </w:tc>
        <w:tc>
          <w:tcPr>
            <w:tcW w:w="220" w:type="dxa"/>
            <w:vAlign w:val="bottom"/>
          </w:tcPr>
          <w:p>
            <w:pPr>
              <w:spacing w:after="0"/>
              <w:rPr>
                <w:sz w:val="21"/>
                <w:szCs w:val="21"/>
                <w:color w:val="auto"/>
              </w:rPr>
            </w:pPr>
          </w:p>
        </w:tc>
      </w:tr>
      <w:tr>
        <w:trPr>
          <w:trHeight w:val="323"/>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24"/>
                <w:szCs w:val="24"/>
                <w:color w:val="auto"/>
              </w:rPr>
            </w:pPr>
          </w:p>
        </w:tc>
      </w:tr>
      <w:tr>
        <w:trPr>
          <w:trHeight w:val="315"/>
        </w:trPr>
        <w:tc>
          <w:tcPr>
            <w:tcW w:w="160" w:type="dxa"/>
            <w:vAlign w:val="bottom"/>
            <w:tcBorders>
              <w:top w:val="single" w:sz="8" w:color="2C6937"/>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34,611</w:t>
            </w:r>
          </w:p>
        </w:tc>
        <w:tc>
          <w:tcPr>
            <w:tcW w:w="100" w:type="dxa"/>
            <w:vAlign w:val="bottom"/>
          </w:tcPr>
          <w:p>
            <w:pPr>
              <w:spacing w:after="0"/>
              <w:rPr>
                <w:sz w:val="24"/>
                <w:szCs w:val="24"/>
                <w:color w:val="auto"/>
              </w:rPr>
            </w:pPr>
          </w:p>
        </w:tc>
        <w:tc>
          <w:tcPr>
            <w:tcW w:w="24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2C6937"/>
              <w:bottom w:val="single" w:sz="8" w:color="2C6937"/>
            </w:tcBorders>
          </w:tcPr>
          <w:p>
            <w:pPr>
              <w:jc w:val="right"/>
              <w:ind w:right="4"/>
              <w:spacing w:after="0"/>
              <w:rPr>
                <w:sz w:val="20"/>
                <w:szCs w:val="20"/>
                <w:color w:val="auto"/>
              </w:rPr>
            </w:pPr>
            <w:r>
              <w:rPr>
                <w:rFonts w:ascii="Arial" w:cs="Arial" w:eastAsia="Arial" w:hAnsi="Arial"/>
                <w:sz w:val="15"/>
                <w:szCs w:val="15"/>
                <w:color w:val="auto"/>
              </w:rPr>
              <w:t>77,686</w:t>
            </w:r>
          </w:p>
        </w:tc>
        <w:tc>
          <w:tcPr>
            <w:tcW w:w="100" w:type="dxa"/>
            <w:vAlign w:val="bottom"/>
          </w:tcPr>
          <w:p>
            <w:pPr>
              <w:spacing w:after="0"/>
              <w:rPr>
                <w:sz w:val="24"/>
                <w:szCs w:val="24"/>
                <w:color w:val="auto"/>
              </w:rPr>
            </w:pPr>
          </w:p>
        </w:tc>
        <w:tc>
          <w:tcPr>
            <w:tcW w:w="22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2C6937"/>
              <w:bottom w:val="single" w:sz="8" w:color="2C6937"/>
            </w:tcBorders>
          </w:tcPr>
          <w:p>
            <w:pPr>
              <w:jc w:val="right"/>
              <w:ind w:right="4"/>
              <w:spacing w:after="0"/>
              <w:rPr>
                <w:sz w:val="20"/>
                <w:szCs w:val="20"/>
                <w:color w:val="auto"/>
              </w:rPr>
            </w:pPr>
            <w:r>
              <w:rPr>
                <w:rFonts w:ascii="Arial" w:cs="Arial" w:eastAsia="Arial" w:hAnsi="Arial"/>
                <w:sz w:val="15"/>
                <w:szCs w:val="15"/>
                <w:color w:val="auto"/>
              </w:rPr>
              <w:t>53,953</w:t>
            </w:r>
          </w:p>
        </w:tc>
        <w:tc>
          <w:tcPr>
            <w:tcW w:w="100" w:type="dxa"/>
            <w:vAlign w:val="bottom"/>
          </w:tcPr>
          <w:p>
            <w:pPr>
              <w:spacing w:after="0"/>
              <w:rPr>
                <w:sz w:val="24"/>
                <w:szCs w:val="24"/>
                <w:color w:val="auto"/>
              </w:rPr>
            </w:pPr>
          </w:p>
        </w:tc>
        <w:tc>
          <w:tcPr>
            <w:tcW w:w="2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51,190</w:t>
            </w:r>
          </w:p>
        </w:tc>
        <w:tc>
          <w:tcPr>
            <w:tcW w:w="100" w:type="dxa"/>
            <w:vAlign w:val="bottom"/>
          </w:tcPr>
          <w:p>
            <w:pPr>
              <w:spacing w:after="0"/>
              <w:rPr>
                <w:sz w:val="24"/>
                <w:szCs w:val="24"/>
                <w:color w:val="auto"/>
              </w:rPr>
            </w:pPr>
          </w:p>
        </w:tc>
        <w:tc>
          <w:tcPr>
            <w:tcW w:w="360" w:type="dxa"/>
            <w:vAlign w:val="bottom"/>
            <w:tcBorders>
              <w:top w:val="single" w:sz="8" w:color="2C6937"/>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54,719</w:t>
            </w:r>
          </w:p>
        </w:tc>
        <w:tc>
          <w:tcPr>
            <w:tcW w:w="120" w:type="dxa"/>
            <w:vAlign w:val="bottom"/>
          </w:tcPr>
          <w:p>
            <w:pPr>
              <w:spacing w:after="0"/>
              <w:rPr>
                <w:sz w:val="24"/>
                <w:szCs w:val="24"/>
                <w:color w:val="auto"/>
              </w:rPr>
            </w:pPr>
          </w:p>
        </w:tc>
        <w:tc>
          <w:tcPr>
            <w:tcW w:w="22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261,871</w:t>
            </w:r>
          </w:p>
        </w:tc>
        <w:tc>
          <w:tcPr>
            <w:tcW w:w="120" w:type="dxa"/>
            <w:vAlign w:val="bottom"/>
          </w:tcPr>
          <w:p>
            <w:pPr>
              <w:spacing w:after="0"/>
              <w:rPr>
                <w:sz w:val="24"/>
                <w:szCs w:val="24"/>
                <w:color w:val="auto"/>
              </w:rPr>
            </w:pPr>
          </w:p>
        </w:tc>
        <w:tc>
          <w:tcPr>
            <w:tcW w:w="22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2C6937"/>
              <w:bottom w:val="single" w:sz="8" w:color="2C6937"/>
            </w:tcBorders>
          </w:tcPr>
          <w:p>
            <w:pPr>
              <w:jc w:val="right"/>
              <w:ind w:right="4"/>
              <w:spacing w:after="0"/>
              <w:rPr>
                <w:sz w:val="20"/>
                <w:szCs w:val="20"/>
                <w:color w:val="auto"/>
              </w:rPr>
            </w:pPr>
            <w:r>
              <w:rPr>
                <w:rFonts w:ascii="Arial" w:cs="Arial" w:eastAsia="Arial" w:hAnsi="Arial"/>
                <w:sz w:val="15"/>
                <w:szCs w:val="15"/>
                <w:color w:val="auto"/>
              </w:rPr>
              <w:t>534,030</w:t>
            </w:r>
          </w:p>
        </w:tc>
        <w:tc>
          <w:tcPr>
            <w:tcW w:w="220" w:type="dxa"/>
            <w:vAlign w:val="bottom"/>
          </w:tcPr>
          <w:p>
            <w:pPr>
              <w:spacing w:after="0"/>
              <w:rPr>
                <w:sz w:val="24"/>
                <w:szCs w:val="24"/>
                <w:color w:val="auto"/>
              </w:rPr>
            </w:pPr>
          </w:p>
        </w:tc>
      </w:tr>
      <w:tr>
        <w:trPr>
          <w:trHeight w:val="20"/>
        </w:trPr>
        <w:tc>
          <w:tcPr>
            <w:tcW w:w="1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123</w:t>
            </w:r>
          </w:p>
        </w:tc>
        <w:tc>
          <w:tcPr>
            <w:tcW w:w="120" w:type="dxa"/>
            <w:vAlign w:val="bottom"/>
          </w:tcPr>
          <w:p>
            <w:pPr>
              <w:spacing w:after="0"/>
              <w:rPr>
                <w:sz w:val="20"/>
                <w:szCs w:val="20"/>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274</w:t>
            </w:r>
          </w:p>
        </w:tc>
        <w:tc>
          <w:tcPr>
            <w:tcW w:w="120" w:type="dxa"/>
            <w:vAlign w:val="bottom"/>
          </w:tcPr>
          <w:p>
            <w:pPr>
              <w:spacing w:after="0"/>
              <w:rPr>
                <w:sz w:val="20"/>
                <w:szCs w:val="20"/>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604</w:t>
            </w:r>
          </w:p>
        </w:tc>
        <w:tc>
          <w:tcPr>
            <w:tcW w:w="22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0"/>
          </w:tcPr>
          <w:p>
            <w:pPr>
              <w:jc w:val="center"/>
              <w:ind w:right="60"/>
              <w:spacing w:after="0"/>
              <w:rPr>
                <w:sz w:val="20"/>
                <w:szCs w:val="20"/>
                <w:color w:val="auto"/>
              </w:rPr>
            </w:pPr>
            <w:r>
              <w:rPr>
                <w:rFonts w:ascii="Arial" w:cs="Arial" w:eastAsia="Arial" w:hAnsi="Arial"/>
                <w:sz w:val="14"/>
                <w:szCs w:val="14"/>
                <w:b w:val="1"/>
                <w:bCs w:val="1"/>
                <w:color w:val="auto"/>
                <w:w w:val="97"/>
              </w:rPr>
              <w:t>Credit Quality Indicators as of December 31, 2025 and Write-offs for the Year Ended December 31, 2025, by</w:t>
            </w:r>
          </w:p>
        </w:tc>
      </w:tr>
      <w:tr>
        <w:trPr>
          <w:trHeight w:val="188"/>
        </w:trPr>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Year of Origination</w:t>
            </w:r>
            <w:r>
              <w:rPr>
                <w:rFonts w:ascii="Arial" w:cs="Arial" w:eastAsia="Arial" w:hAnsi="Arial"/>
                <w:sz w:val="8"/>
                <w:szCs w:val="8"/>
                <w:b w:val="1"/>
                <w:bCs w:val="1"/>
                <w:color w:val="auto"/>
                <w:w w:val="97"/>
              </w:rPr>
              <w:t>(1)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7"/>
        </w:trPr>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22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220" w:type="dxa"/>
            <w:vAlign w:val="bottom"/>
            <w:tcBorders>
              <w:bottom w:val="single" w:sz="8" w:color="2C6937"/>
            </w:tcBorders>
          </w:tcPr>
          <w:p>
            <w:pPr>
              <w:spacing w:after="0"/>
              <w:rPr>
                <w:sz w:val="2"/>
                <w:szCs w:val="2"/>
                <w:color w:val="auto"/>
              </w:rPr>
            </w:pPr>
          </w:p>
        </w:tc>
        <w:tc>
          <w:tcPr>
            <w:tcW w:w="860" w:type="dxa"/>
            <w:vAlign w:val="bottom"/>
            <w:tcBorders>
              <w:bottom w:val="single" w:sz="8" w:color="2C6937"/>
            </w:tcBorders>
            <w:gridSpan w:val="2"/>
          </w:tcPr>
          <w:p>
            <w:pPr>
              <w:spacing w:after="0"/>
              <w:rPr>
                <w:sz w:val="2"/>
                <w:szCs w:val="2"/>
                <w:color w:val="auto"/>
              </w:rPr>
            </w:pPr>
          </w:p>
        </w:tc>
        <w:tc>
          <w:tcPr>
            <w:tcW w:w="220" w:type="dxa"/>
            <w:vAlign w:val="bottom"/>
            <w:tcBorders>
              <w:bottom w:val="single" w:sz="8" w:color="2C6937"/>
            </w:tcBorders>
          </w:tcPr>
          <w:p>
            <w:pPr>
              <w:spacing w:after="0"/>
              <w:rPr>
                <w:sz w:val="2"/>
                <w:szCs w:val="2"/>
                <w:color w:val="auto"/>
              </w:rPr>
            </w:pPr>
          </w:p>
        </w:tc>
        <w:tc>
          <w:tcPr>
            <w:tcW w:w="980" w:type="dxa"/>
            <w:vAlign w:val="bottom"/>
            <w:tcBorders>
              <w:bottom w:val="single" w:sz="8" w:color="2C6937"/>
            </w:tcBorders>
            <w:gridSpan w:val="2"/>
          </w:tcPr>
          <w:p>
            <w:pPr>
              <w:spacing w:after="0"/>
              <w:rPr>
                <w:sz w:val="2"/>
                <w:szCs w:val="2"/>
                <w:color w:val="auto"/>
              </w:rPr>
            </w:pPr>
          </w:p>
        </w:tc>
      </w:tr>
      <w:tr>
        <w:trPr>
          <w:trHeight w:val="224"/>
        </w:trPr>
        <w:tc>
          <w:tcPr>
            <w:tcW w:w="100" w:type="dxa"/>
            <w:vAlign w:val="bottom"/>
          </w:tcPr>
          <w:p>
            <w:pPr>
              <w:spacing w:after="0"/>
              <w:rPr>
                <w:sz w:val="19"/>
                <w:szCs w:val="19"/>
                <w:color w:val="auto"/>
              </w:rPr>
            </w:pPr>
          </w:p>
        </w:tc>
        <w:tc>
          <w:tcPr>
            <w:tcW w:w="6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ind w:right="12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ind w:right="10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660" w:type="dxa"/>
            <w:vAlign w:val="bottom"/>
            <w:tcBorders>
              <w:bottom w:val="single" w:sz="8" w:color="2C6937"/>
            </w:tcBorders>
          </w:tcPr>
          <w:p>
            <w:pPr>
              <w:jc w:val="right"/>
              <w:ind w:right="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9"/>
                <w:szCs w:val="19"/>
                <w:color w:val="auto"/>
              </w:rPr>
            </w:pPr>
          </w:p>
        </w:tc>
        <w:tc>
          <w:tcPr>
            <w:tcW w:w="360" w:type="dxa"/>
            <w:vAlign w:val="bottom"/>
            <w:tcBorders>
              <w:bottom w:val="single" w:sz="8" w:color="2C6937"/>
            </w:tcBorders>
          </w:tcPr>
          <w:p>
            <w:pPr>
              <w:spacing w:after="0"/>
              <w:rPr>
                <w:sz w:val="19"/>
                <w:szCs w:val="19"/>
                <w:color w:val="auto"/>
              </w:rPr>
            </w:pPr>
          </w:p>
        </w:tc>
        <w:tc>
          <w:tcPr>
            <w:tcW w:w="540" w:type="dxa"/>
            <w:vAlign w:val="bottom"/>
            <w:tcBorders>
              <w:bottom w:val="single" w:sz="8" w:color="2C6937"/>
            </w:tcBorders>
          </w:tcPr>
          <w:p>
            <w:pPr>
              <w:jc w:val="right"/>
              <w:ind w:right="4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2C6937"/>
            </w:tcBorders>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gridSpan w:val="2"/>
          </w:tcPr>
          <w:p>
            <w:pPr>
              <w:ind w:left="280"/>
              <w:spacing w:after="0"/>
              <w:rPr>
                <w:sz w:val="20"/>
                <w:szCs w:val="20"/>
                <w:color w:val="auto"/>
              </w:rPr>
            </w:pPr>
            <w:r>
              <w:rPr>
                <w:rFonts w:ascii="Arial" w:cs="Arial" w:eastAsia="Arial" w:hAnsi="Arial"/>
                <w:sz w:val="14"/>
                <w:szCs w:val="14"/>
                <w:b w:val="1"/>
                <w:bCs w:val="1"/>
                <w:color w:val="auto"/>
              </w:rPr>
              <w:t>Prior</w:t>
            </w:r>
          </w:p>
        </w:tc>
        <w:tc>
          <w:tcPr>
            <w:tcW w:w="22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289"/>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18" w:lineRule="exact"/>
        <w:rPr>
          <w:sz w:val="20"/>
          <w:szCs w:val="20"/>
          <w:color w:val="auto"/>
        </w:rPr>
      </w:pPr>
    </w:p>
    <w:p>
      <w:pPr>
        <w:sectPr>
          <w:pgSz w:w="11900" w:h="16838" w:orient="portrait"/>
          <w:cols w:equalWidth="0" w:num="2">
            <w:col w:w="3200" w:space="720"/>
            <w:col w:w="7320"/>
          </w:cols>
          <w:pgMar w:left="320" w:top="261"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ind w:left="20"/>
              <w:spacing w:after="0"/>
              <w:rPr>
                <w:sz w:val="20"/>
                <w:szCs w:val="20"/>
                <w:color w:val="auto"/>
              </w:rPr>
            </w:pPr>
            <w:r>
              <w:rPr>
                <w:rFonts w:ascii="Arial" w:cs="Arial" w:eastAsia="Arial" w:hAnsi="Arial"/>
                <w:sz w:val="15"/>
                <w:szCs w:val="15"/>
                <w:color w:val="auto"/>
              </w:rPr>
              <w:t>Internally assigned credit risk rating:</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52"/>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67,503</w:t>
            </w:r>
          </w:p>
        </w:tc>
        <w:tc>
          <w:tcPr>
            <w:tcW w:w="12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52,368</w:t>
            </w:r>
          </w:p>
        </w:tc>
        <w:tc>
          <w:tcPr>
            <w:tcW w:w="100" w:type="dxa"/>
            <w:vAlign w:val="bottom"/>
          </w:tcPr>
          <w:p>
            <w:pPr>
              <w:spacing w:after="0"/>
              <w:rPr>
                <w:sz w:val="24"/>
                <w:szCs w:val="24"/>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48,990</w:t>
            </w:r>
          </w:p>
        </w:tc>
        <w:tc>
          <w:tcPr>
            <w:tcW w:w="100" w:type="dxa"/>
            <w:vAlign w:val="bottom"/>
          </w:tcPr>
          <w:p>
            <w:pPr>
              <w:spacing w:after="0"/>
              <w:rPr>
                <w:sz w:val="24"/>
                <w:szCs w:val="24"/>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49,486</w:t>
            </w:r>
          </w:p>
        </w:tc>
        <w:tc>
          <w:tcPr>
            <w:tcW w:w="10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58,248</w:t>
            </w:r>
          </w:p>
        </w:tc>
        <w:tc>
          <w:tcPr>
            <w:tcW w:w="12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218,704</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495,299</w:t>
            </w:r>
          </w:p>
        </w:tc>
      </w:tr>
      <w:tr>
        <w:trPr>
          <w:trHeight w:val="245"/>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24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1,505</w:t>
            </w:r>
          </w:p>
        </w:tc>
      </w:tr>
      <w:tr>
        <w:trPr>
          <w:trHeight w:val="270"/>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378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3,753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6,567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3,291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11,239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27,148</w:t>
            </w:r>
          </w:p>
        </w:tc>
      </w:tr>
      <w:tr>
        <w:trPr>
          <w:trHeight w:val="283"/>
        </w:trPr>
        <w:tc>
          <w:tcPr>
            <w:tcW w:w="39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r>
      <w:tr>
        <w:trPr>
          <w:trHeight w:val="314"/>
        </w:trPr>
        <w:tc>
          <w:tcPr>
            <w:tcW w:w="4020" w:type="dxa"/>
            <w:vAlign w:val="bottom"/>
            <w:gridSpan w:val="2"/>
          </w:tcPr>
          <w:p>
            <w:pPr>
              <w:ind w:left="320"/>
              <w:spacing w:after="0"/>
              <w:rPr>
                <w:sz w:val="20"/>
                <w:szCs w:val="20"/>
                <w:color w:val="auto"/>
              </w:rPr>
            </w:pPr>
            <w:r>
              <w:rPr>
                <w:rFonts w:ascii="Arial" w:cs="Arial" w:eastAsia="Arial" w:hAnsi="Arial"/>
                <w:sz w:val="15"/>
                <w:szCs w:val="15"/>
                <w:color w:val="auto"/>
              </w:rPr>
              <w:t>Total</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67,881</w:t>
            </w:r>
          </w:p>
        </w:tc>
        <w:tc>
          <w:tcPr>
            <w:tcW w:w="12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54,475</w:t>
            </w:r>
          </w:p>
        </w:tc>
        <w:tc>
          <w:tcPr>
            <w:tcW w:w="100" w:type="dxa"/>
            <w:vAlign w:val="bottom"/>
          </w:tcPr>
          <w:p>
            <w:pPr>
              <w:spacing w:after="0"/>
              <w:rPr>
                <w:sz w:val="24"/>
                <w:szCs w:val="24"/>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52,867</w:t>
            </w:r>
          </w:p>
        </w:tc>
        <w:tc>
          <w:tcPr>
            <w:tcW w:w="100" w:type="dxa"/>
            <w:vAlign w:val="bottom"/>
          </w:tcPr>
          <w:p>
            <w:pPr>
              <w:spacing w:after="0"/>
              <w:rPr>
                <w:sz w:val="24"/>
                <w:szCs w:val="24"/>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56,208</w:t>
            </w:r>
          </w:p>
        </w:tc>
        <w:tc>
          <w:tcPr>
            <w:tcW w:w="10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61,785</w:t>
            </w:r>
          </w:p>
        </w:tc>
        <w:tc>
          <w:tcPr>
            <w:tcW w:w="12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230,737</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523,953</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r>
      <w:tr>
        <w:trPr>
          <w:trHeight w:val="236"/>
        </w:trPr>
        <w:tc>
          <w:tcPr>
            <w:tcW w:w="4020" w:type="dxa"/>
            <w:vAlign w:val="bottom"/>
            <w:gridSpan w:val="2"/>
          </w:tcPr>
          <w:p>
            <w:pPr>
              <w:ind w:left="440"/>
              <w:spacing w:after="0"/>
              <w:rPr>
                <w:sz w:val="20"/>
                <w:szCs w:val="20"/>
                <w:color w:val="auto"/>
              </w:rPr>
            </w:pPr>
            <w:r>
              <w:rPr>
                <w:rFonts w:ascii="Arial" w:cs="Arial" w:eastAsia="Arial" w:hAnsi="Arial"/>
                <w:sz w:val="15"/>
                <w:szCs w:val="15"/>
                <w:color w:val="auto"/>
              </w:rPr>
              <w:t>Current-year write-offs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0"/>
                <w:szCs w:val="20"/>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20"/>
                <w:szCs w:val="20"/>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20"/>
                <w:szCs w:val="20"/>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470</w:t>
            </w:r>
          </w:p>
        </w:tc>
      </w:tr>
    </w:tbl>
    <w:p>
      <w:pPr>
        <w:spacing w:after="0" w:line="71" w:lineRule="exact"/>
        <w:rPr>
          <w:sz w:val="20"/>
          <w:szCs w:val="20"/>
          <w:color w:val="auto"/>
        </w:rPr>
      </w:pPr>
    </w:p>
    <w:p>
      <w:pPr>
        <w:ind w:left="220" w:hanging="217"/>
        <w:spacing w:after="0"/>
        <w:tabs>
          <w:tab w:leader="none" w:pos="220" w:val="left"/>
        </w:tabs>
        <w:numPr>
          <w:ilvl w:val="0"/>
          <w:numId w:val="61"/>
        </w:numPr>
        <w:rPr>
          <w:rFonts w:ascii="Arial" w:cs="Arial" w:eastAsia="Arial" w:hAnsi="Arial"/>
          <w:sz w:val="9"/>
          <w:szCs w:val="9"/>
          <w:color w:val="auto"/>
        </w:rPr>
      </w:pPr>
      <w:r>
        <w:rPr>
          <w:rFonts w:ascii="Arial" w:cs="Arial" w:eastAsia="Arial" w:hAnsi="Arial"/>
          <w:sz w:val="14"/>
          <w:szCs w:val="14"/>
          <w:color w:val="auto"/>
        </w:rPr>
        <w:t>Year of loan origination may not be the same as the period in which we subsequently acquired the loan.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61"/>
        </w:numPr>
        <w:rPr>
          <w:rFonts w:ascii="Arial" w:cs="Arial" w:eastAsia="Arial" w:hAnsi="Arial"/>
          <w:sz w:val="9"/>
          <w:szCs w:val="9"/>
          <w:color w:val="auto"/>
        </w:rPr>
      </w:pPr>
      <w:r>
        <w:rPr>
          <w:rFonts w:ascii="Arial" w:cs="Arial" w:eastAsia="Arial" w:hAnsi="Arial"/>
          <w:sz w:val="14"/>
          <w:szCs w:val="14"/>
          <w:color w:val="auto"/>
        </w:rPr>
        <w:t>A loan categorized as “Pass” is current or adequately protected by the current financial strength and debt service capability of the borrower.</w:t>
      </w:r>
    </w:p>
    <w:p>
      <w:pPr>
        <w:spacing w:after="0" w:line="45" w:lineRule="exact"/>
        <w:rPr>
          <w:rFonts w:ascii="Arial" w:cs="Arial" w:eastAsia="Arial" w:hAnsi="Arial"/>
          <w:sz w:val="9"/>
          <w:szCs w:val="9"/>
          <w:color w:val="auto"/>
        </w:rPr>
      </w:pPr>
    </w:p>
    <w:p>
      <w:pPr>
        <w:ind w:left="240" w:right="120" w:hanging="237"/>
        <w:spacing w:after="0" w:line="226" w:lineRule="auto"/>
        <w:tabs>
          <w:tab w:leader="none" w:pos="233"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“Special mention” refers to loans that are otherwise performing but have potential weaknesses that, if left uncorrected, may result in deterioration in the borrower’s ability to repay in full.</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“Substandard” refers to loans that have a well-defined weakness that jeopardizes the timely full repayment.</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“Doubtful” refers to a loan with a weakness that makes collection or liquidation in full highly questionable and improbable based on existing conditions and values.</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Loss Mitigation Options for Borrowers Experiencing Financial Difficulty</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As part of our loss mitigation activities, we offer several types of loan restructurings to assist borrowers who experience financial difficulties. We do not typically offer principal forgiveness to our single-family or multifamily borrowers. Below we provide disclosures relating to loan restructurings where borrowers were experiencing financial difficulty, including restructurings that resulted in an insignificant payment delay. The disclosures exclude loans classified as HFS and those for which we have elected the fair value option. See “Note 1, Summary of Significant Accounting Policies” in our 2025 Form 10-K for additional information on our accounting policies for single-family and multifamily loans that have been restructured. Also see “Note 4, Mortgage Loans” in our 2025 Form 10-K for additional information about our single-family and multifamily loss mitigation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351155</wp:posOffset>
            </wp:positionV>
            <wp:extent cx="680593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74" w:name="page75"/>
    <w:bookmarkEnd w:id="74"/>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Restructurings for Borrowers Experiencing Financial Difficulty</w:t>
      </w:r>
    </w:p>
    <w:p>
      <w:pPr>
        <w:spacing w:after="0" w:line="6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following tables display the amortized cost of HFI mortgage loans that were restructured, during the periods indicated, presented by portfolio segment and class of financing receivable.</w:t>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72" w:lineRule="exact"/>
        <w:rPr>
          <w:sz w:val="20"/>
          <w:szCs w:val="20"/>
          <w:color w:val="auto"/>
        </w:rPr>
      </w:pPr>
    </w:p>
    <w:p>
      <w:pPr>
        <w:jc w:val="both"/>
        <w:ind w:left="320" w:right="260" w:hanging="154"/>
        <w:spacing w:after="0" w:line="273" w:lineRule="auto"/>
        <w:rPr>
          <w:sz w:val="20"/>
          <w:szCs w:val="20"/>
          <w:color w:val="auto"/>
        </w:rPr>
      </w:pPr>
      <w:r>
        <w:rPr>
          <w:rFonts w:ascii="Arial" w:cs="Arial" w:eastAsia="Arial" w:hAnsi="Arial"/>
          <w:sz w:val="15"/>
          <w:szCs w:val="15"/>
          <w:color w:val="auto"/>
        </w:rPr>
        <w:t>20- and 30-year or more, amortizing fixed-rate</w:t>
      </w:r>
    </w:p>
    <w:p>
      <w:pPr>
        <w:spacing w:after="0" w:line="30" w:lineRule="exact"/>
        <w:rPr>
          <w:sz w:val="20"/>
          <w:szCs w:val="20"/>
          <w:color w:val="auto"/>
        </w:rPr>
      </w:pPr>
    </w:p>
    <w:p>
      <w:pPr>
        <w:ind w:left="320" w:hanging="154"/>
        <w:spacing w:after="0" w:line="294" w:lineRule="auto"/>
        <w:rPr>
          <w:sz w:val="20"/>
          <w:szCs w:val="20"/>
          <w:color w:val="auto"/>
        </w:rPr>
      </w:pPr>
      <w:r>
        <w:rPr>
          <w:rFonts w:ascii="Arial" w:cs="Arial" w:eastAsia="Arial" w:hAnsi="Arial"/>
          <w:sz w:val="15"/>
          <w:szCs w:val="15"/>
          <w:color w:val="auto"/>
        </w:rPr>
        <w:t>15-year or less, amortizing fixed-rate</w:t>
      </w:r>
    </w:p>
    <w:p>
      <w:pPr>
        <w:spacing w:after="0" w:line="16" w:lineRule="exact"/>
        <w:rPr>
          <w:sz w:val="20"/>
          <w:szCs w:val="20"/>
          <w:color w:val="auto"/>
        </w:rPr>
      </w:pPr>
    </w:p>
    <w:p>
      <w:pPr>
        <w:ind w:left="180" w:right="520"/>
        <w:spacing w:after="0" w:line="349" w:lineRule="auto"/>
        <w:rPr>
          <w:sz w:val="20"/>
          <w:szCs w:val="20"/>
          <w:color w:val="auto"/>
        </w:rPr>
      </w:pPr>
      <w:r>
        <w:rPr>
          <w:rFonts w:ascii="Arial" w:cs="Arial" w:eastAsia="Arial" w:hAnsi="Arial"/>
          <w:sz w:val="15"/>
          <w:szCs w:val="15"/>
          <w:color w:val="auto"/>
        </w:rPr>
        <w:t>Adjustable-rate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1950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Total single-family</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11950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1950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11950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72" w:lineRule="exact"/>
        <w:rPr>
          <w:sz w:val="20"/>
          <w:szCs w:val="20"/>
          <w:color w:val="auto"/>
        </w:rPr>
      </w:pPr>
    </w:p>
    <w:p>
      <w:pPr>
        <w:jc w:val="both"/>
        <w:ind w:left="320" w:right="260" w:hanging="154"/>
        <w:spacing w:after="0" w:line="273" w:lineRule="auto"/>
        <w:rPr>
          <w:sz w:val="20"/>
          <w:szCs w:val="20"/>
          <w:color w:val="auto"/>
        </w:rPr>
      </w:pPr>
      <w:r>
        <w:rPr>
          <w:rFonts w:ascii="Arial" w:cs="Arial" w:eastAsia="Arial" w:hAnsi="Arial"/>
          <w:sz w:val="15"/>
          <w:szCs w:val="15"/>
          <w:color w:val="auto"/>
        </w:rPr>
        <w:t>20- and 30-year or more, amortizing fixed-rate</w:t>
      </w:r>
    </w:p>
    <w:p>
      <w:pPr>
        <w:spacing w:after="0" w:line="30" w:lineRule="exact"/>
        <w:rPr>
          <w:sz w:val="20"/>
          <w:szCs w:val="20"/>
          <w:color w:val="auto"/>
        </w:rPr>
      </w:pPr>
    </w:p>
    <w:p>
      <w:pPr>
        <w:ind w:left="320" w:hanging="154"/>
        <w:spacing w:after="0" w:line="294" w:lineRule="auto"/>
        <w:rPr>
          <w:sz w:val="20"/>
          <w:szCs w:val="20"/>
          <w:color w:val="auto"/>
        </w:rPr>
      </w:pPr>
      <w:r>
        <w:rPr>
          <w:rFonts w:ascii="Arial" w:cs="Arial" w:eastAsia="Arial" w:hAnsi="Arial"/>
          <w:sz w:val="15"/>
          <w:szCs w:val="15"/>
          <w:color w:val="auto"/>
        </w:rPr>
        <w:t>15-year or less, amortizing fixed-rate</w:t>
      </w:r>
    </w:p>
    <w:p>
      <w:pPr>
        <w:spacing w:after="0" w:line="16" w:lineRule="exact"/>
        <w:rPr>
          <w:sz w:val="20"/>
          <w:szCs w:val="20"/>
          <w:color w:val="auto"/>
        </w:rPr>
      </w:pPr>
    </w:p>
    <w:p>
      <w:pPr>
        <w:ind w:left="180" w:right="520"/>
        <w:spacing w:after="0" w:line="349" w:lineRule="auto"/>
        <w:rPr>
          <w:sz w:val="20"/>
          <w:szCs w:val="20"/>
          <w:color w:val="auto"/>
        </w:rPr>
      </w:pPr>
      <w:r>
        <w:rPr>
          <w:rFonts w:ascii="Arial" w:cs="Arial" w:eastAsia="Arial" w:hAnsi="Arial"/>
          <w:sz w:val="15"/>
          <w:szCs w:val="15"/>
          <w:color w:val="auto"/>
        </w:rPr>
        <w:t>Adjustable-rate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1950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Total single-family</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11950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1950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11950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58858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88581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Borders>
              <w:bottom w:val="single" w:sz="8" w:color="2C6937"/>
            </w:tcBorders>
          </w:tcPr>
          <w:p>
            <w:pPr>
              <w:ind w:left="1220"/>
              <w:spacing w:after="0"/>
              <w:rPr>
                <w:sz w:val="20"/>
                <w:szCs w:val="20"/>
                <w:color w:val="auto"/>
              </w:rPr>
            </w:pPr>
            <w:r>
              <w:rPr>
                <w:rFonts w:ascii="Arial" w:cs="Arial" w:eastAsia="Arial" w:hAnsi="Arial"/>
                <w:sz w:val="14"/>
                <w:szCs w:val="14"/>
                <w:b w:val="1"/>
                <w:bCs w:val="1"/>
                <w:color w:val="auto"/>
                <w:w w:val="98"/>
              </w:rPr>
              <w:t>Payment Delay (Only)</w:t>
            </w:r>
          </w:p>
        </w:tc>
        <w:tc>
          <w:tcPr>
            <w:tcW w:w="1200" w:type="dxa"/>
            <w:vAlign w:val="bottom"/>
            <w:tcBorders>
              <w:bottom w:val="single" w:sz="8" w:color="2C6937"/>
            </w:tcBorders>
          </w:tcPr>
          <w:p>
            <w:pPr>
              <w:spacing w:after="0"/>
              <w:rPr>
                <w:sz w:val="16"/>
                <w:szCs w:val="16"/>
                <w:color w:val="auto"/>
              </w:rPr>
            </w:pPr>
          </w:p>
        </w:tc>
        <w:tc>
          <w:tcPr>
            <w:tcW w:w="1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20" w:type="dxa"/>
            <w:vAlign w:val="bottom"/>
          </w:tcPr>
          <w:p>
            <w:pPr>
              <w:jc w:val="center"/>
              <w:ind w:right="191"/>
              <w:spacing w:after="0" w:line="137" w:lineRule="exact"/>
              <w:rPr>
                <w:sz w:val="20"/>
                <w:szCs w:val="20"/>
                <w:color w:val="auto"/>
              </w:rPr>
            </w:pPr>
            <w:r>
              <w:rPr>
                <w:rFonts w:ascii="Arial" w:cs="Arial" w:eastAsia="Arial" w:hAnsi="Arial"/>
                <w:sz w:val="14"/>
                <w:szCs w:val="14"/>
                <w:b w:val="1"/>
                <w:bCs w:val="1"/>
                <w:color w:val="auto"/>
                <w:w w:val="96"/>
              </w:rPr>
              <w:t>Payment Delay,</w:t>
            </w:r>
          </w:p>
        </w:tc>
        <w:tc>
          <w:tcPr>
            <w:tcW w:w="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20" w:type="dxa"/>
            <w:vAlign w:val="bottom"/>
          </w:tcPr>
          <w:p>
            <w:pPr>
              <w:jc w:val="center"/>
              <w:ind w:right="211"/>
              <w:spacing w:after="0" w:line="133" w:lineRule="exact"/>
              <w:rPr>
                <w:sz w:val="20"/>
                <w:szCs w:val="20"/>
                <w:color w:val="auto"/>
              </w:rPr>
            </w:pPr>
            <w:r>
              <w:rPr>
                <w:rFonts w:ascii="Arial" w:cs="Arial" w:eastAsia="Arial" w:hAnsi="Arial"/>
                <w:sz w:val="14"/>
                <w:szCs w:val="14"/>
                <w:b w:val="1"/>
                <w:bCs w:val="1"/>
                <w:color w:val="auto"/>
                <w:w w:val="97"/>
              </w:rPr>
              <w:t>Term Extension,</w:t>
            </w:r>
          </w:p>
        </w:tc>
        <w:tc>
          <w:tcPr>
            <w:tcW w:w="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2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6"/>
              </w:rPr>
              <w:t>Trial Modification</w:t>
            </w:r>
          </w:p>
        </w:tc>
        <w:tc>
          <w:tcPr>
            <w:tcW w:w="14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8"/>
              </w:rPr>
              <w:t>Payment Delay</w:t>
            </w:r>
          </w:p>
        </w:tc>
        <w:tc>
          <w:tcPr>
            <w:tcW w:w="1420" w:type="dxa"/>
            <w:vAlign w:val="bottom"/>
          </w:tcPr>
          <w:p>
            <w:pPr>
              <w:jc w:val="center"/>
              <w:ind w:right="211"/>
              <w:spacing w:after="0" w:line="151" w:lineRule="exact"/>
              <w:rPr>
                <w:sz w:val="20"/>
                <w:szCs w:val="20"/>
                <w:color w:val="auto"/>
              </w:rPr>
            </w:pPr>
            <w:r>
              <w:rPr>
                <w:rFonts w:ascii="Arial" w:cs="Arial" w:eastAsia="Arial" w:hAnsi="Arial"/>
                <w:sz w:val="14"/>
                <w:szCs w:val="14"/>
                <w:b w:val="1"/>
                <w:bCs w:val="1"/>
                <w:color w:val="auto"/>
                <w:w w:val="96"/>
              </w:rPr>
              <w:t>Interest Rate</w:t>
            </w:r>
          </w:p>
        </w:tc>
        <w:tc>
          <w:tcPr>
            <w:tcW w:w="920" w:type="dxa"/>
            <w:vAlign w:val="bottom"/>
          </w:tcPr>
          <w:p>
            <w:pPr>
              <w:spacing w:after="0"/>
              <w:rPr>
                <w:sz w:val="13"/>
                <w:szCs w:val="13"/>
                <w:color w:val="auto"/>
              </w:rPr>
            </w:pPr>
          </w:p>
        </w:tc>
        <w:tc>
          <w:tcPr>
            <w:tcW w:w="1600" w:type="dxa"/>
            <w:vAlign w:val="bottom"/>
          </w:tcPr>
          <w:p>
            <w:pPr>
              <w:jc w:val="center"/>
              <w:ind w:left="191"/>
              <w:spacing w:after="0" w:line="151" w:lineRule="exact"/>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29"/>
        </w:trPr>
        <w:tc>
          <w:tcPr>
            <w:tcW w:w="2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Forbearance Plan  Payment Deferral</w:t>
            </w:r>
          </w:p>
        </w:tc>
        <w:tc>
          <w:tcPr>
            <w:tcW w:w="12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and Repayment</w:t>
            </w:r>
          </w:p>
        </w:tc>
        <w:tc>
          <w:tcPr>
            <w:tcW w:w="1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and Term</w:t>
            </w:r>
          </w:p>
        </w:tc>
        <w:tc>
          <w:tcPr>
            <w:tcW w:w="1420" w:type="dxa"/>
            <w:vAlign w:val="bottom"/>
          </w:tcPr>
          <w:p>
            <w:pPr>
              <w:jc w:val="center"/>
              <w:ind w:right="211"/>
              <w:spacing w:after="0" w:line="129" w:lineRule="exact"/>
              <w:rPr>
                <w:sz w:val="20"/>
                <w:szCs w:val="20"/>
                <w:color w:val="auto"/>
              </w:rPr>
            </w:pPr>
            <w:r>
              <w:rPr>
                <w:rFonts w:ascii="Arial" w:cs="Arial" w:eastAsia="Arial" w:hAnsi="Arial"/>
                <w:sz w:val="14"/>
                <w:szCs w:val="14"/>
                <w:b w:val="1"/>
                <w:bCs w:val="1"/>
                <w:color w:val="auto"/>
                <w:w w:val="96"/>
              </w:rPr>
              <w:t>Reduction, and</w:t>
            </w: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jc w:val="center"/>
              <w:ind w:left="191"/>
              <w:spacing w:after="0" w:line="129"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93"/>
        </w:trPr>
        <w:tc>
          <w:tcPr>
            <w:tcW w:w="2660" w:type="dxa"/>
            <w:vAlign w:val="bottom"/>
            <w:tcBorders>
              <w:bottom w:val="single" w:sz="8" w:color="2C6937"/>
            </w:tcBorders>
            <w:vMerge w:val="continue"/>
          </w:tcPr>
          <w:p>
            <w:pPr>
              <w:spacing w:after="0"/>
              <w:rPr>
                <w:sz w:val="16"/>
                <w:szCs w:val="16"/>
                <w:color w:val="auto"/>
              </w:rPr>
            </w:pPr>
          </w:p>
        </w:tc>
        <w:tc>
          <w:tcPr>
            <w:tcW w:w="120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Plans</w:t>
            </w:r>
          </w:p>
        </w:tc>
        <w:tc>
          <w:tcPr>
            <w:tcW w:w="1460" w:type="dxa"/>
            <w:vAlign w:val="bottom"/>
            <w:tcBorders>
              <w:bottom w:val="single" w:sz="8" w:color="2C6937"/>
            </w:tcBorders>
          </w:tcPr>
          <w:p>
            <w:pPr>
              <w:jc w:val="center"/>
              <w:spacing w:after="0" w:line="194" w:lineRule="exact"/>
              <w:rPr>
                <w:sz w:val="20"/>
                <w:szCs w:val="20"/>
                <w:color w:val="auto"/>
              </w:rPr>
            </w:pPr>
            <w:r>
              <w:rPr>
                <w:rFonts w:ascii="Arial" w:cs="Arial" w:eastAsia="Arial" w:hAnsi="Arial"/>
                <w:sz w:val="14"/>
                <w:szCs w:val="14"/>
                <w:b w:val="1"/>
                <w:bCs w:val="1"/>
                <w:color w:val="auto"/>
                <w:w w:val="96"/>
              </w:rPr>
              <w:t>Extension</w:t>
            </w:r>
            <w:r>
              <w:rPr>
                <w:rFonts w:ascii="Arial" w:cs="Arial" w:eastAsia="Arial" w:hAnsi="Arial"/>
                <w:sz w:val="17"/>
                <w:szCs w:val="17"/>
                <w:b w:val="1"/>
                <w:bCs w:val="1"/>
                <w:color w:val="auto"/>
                <w:w w:val="96"/>
                <w:vertAlign w:val="superscript"/>
              </w:rPr>
              <w:t>(1)</w:t>
            </w:r>
          </w:p>
        </w:tc>
        <w:tc>
          <w:tcPr>
            <w:tcW w:w="1420" w:type="dxa"/>
            <w:vAlign w:val="bottom"/>
            <w:tcBorders>
              <w:bottom w:val="single" w:sz="8" w:color="2C6937"/>
            </w:tcBorders>
          </w:tcPr>
          <w:p>
            <w:pPr>
              <w:jc w:val="center"/>
              <w:ind w:right="191"/>
              <w:spacing w:after="0" w:line="194" w:lineRule="exact"/>
              <w:rPr>
                <w:sz w:val="20"/>
                <w:szCs w:val="20"/>
                <w:color w:val="auto"/>
              </w:rPr>
            </w:pPr>
            <w:r>
              <w:rPr>
                <w:rFonts w:ascii="Arial" w:cs="Arial" w:eastAsia="Arial" w:hAnsi="Arial"/>
                <w:sz w:val="14"/>
                <w:szCs w:val="14"/>
                <w:b w:val="1"/>
                <w:bCs w:val="1"/>
                <w:color w:val="auto"/>
                <w:w w:val="93"/>
              </w:rPr>
              <w:t>Other</w:t>
            </w:r>
            <w:r>
              <w:rPr>
                <w:rFonts w:ascii="Arial" w:cs="Arial" w:eastAsia="Arial" w:hAnsi="Arial"/>
                <w:sz w:val="17"/>
                <w:szCs w:val="17"/>
                <w:b w:val="1"/>
                <w:bCs w:val="1"/>
                <w:color w:val="auto"/>
                <w:w w:val="93"/>
                <w:vertAlign w:val="superscript"/>
              </w:rPr>
              <w:t>(1)</w:t>
            </w:r>
          </w:p>
        </w:tc>
        <w:tc>
          <w:tcPr>
            <w:tcW w:w="920" w:type="dxa"/>
            <w:vAlign w:val="bottom"/>
            <w:tcBorders>
              <w:bottom w:val="single" w:sz="8" w:color="2C6937"/>
            </w:tcBorders>
            <w:vMerge w:val="continue"/>
          </w:tcPr>
          <w:p>
            <w:pPr>
              <w:spacing w:after="0"/>
              <w:rPr>
                <w:sz w:val="16"/>
                <w:szCs w:val="16"/>
                <w:color w:val="auto"/>
              </w:rPr>
            </w:pPr>
          </w:p>
        </w:tc>
        <w:tc>
          <w:tcPr>
            <w:tcW w:w="1600" w:type="dxa"/>
            <w:vAlign w:val="bottom"/>
            <w:tcBorders>
              <w:bottom w:val="single" w:sz="8" w:color="2C6937"/>
            </w:tcBorders>
          </w:tcPr>
          <w:p>
            <w:pPr>
              <w:jc w:val="center"/>
              <w:ind w:left="191"/>
              <w:spacing w:after="0" w:line="194" w:lineRule="exact"/>
              <w:rPr>
                <w:sz w:val="20"/>
                <w:szCs w:val="20"/>
                <w:color w:val="auto"/>
              </w:rPr>
            </w:pPr>
            <w:r>
              <w:rPr>
                <w:rFonts w:ascii="Arial" w:cs="Arial" w:eastAsia="Arial" w:hAnsi="Arial"/>
                <w:sz w:val="14"/>
                <w:szCs w:val="14"/>
                <w:b w:val="1"/>
                <w:bCs w:val="1"/>
                <w:color w:val="auto"/>
                <w:w w:val="89"/>
              </w:rPr>
              <w:t>Class</w:t>
            </w:r>
            <w:r>
              <w:rPr>
                <w:rFonts w:ascii="Arial" w:cs="Arial" w:eastAsia="Arial" w:hAnsi="Arial"/>
                <w:sz w:val="17"/>
                <w:szCs w:val="17"/>
                <w:b w:val="1"/>
                <w:bCs w:val="1"/>
                <w:color w:val="auto"/>
                <w:w w:val="89"/>
                <w:vertAlign w:val="superscript"/>
              </w:rPr>
              <w:t>(2)</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5,939</w:t>
            </w:r>
          </w:p>
        </w:tc>
        <w:tc>
          <w:tcPr>
            <w:tcW w:w="560" w:type="dxa"/>
            <w:vAlign w:val="bottom"/>
            <w:gridSpan w:val="3"/>
          </w:tcPr>
          <w:p>
            <w:pPr>
              <w:jc w:val="right"/>
              <w:ind w:right="26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2,094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5,093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2,498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643</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16,267</w:t>
            </w:r>
          </w:p>
        </w:tc>
        <w:tc>
          <w:tcPr>
            <w:tcW w:w="1440" w:type="dxa"/>
            <w:vAlign w:val="bottom"/>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451"/>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404</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63</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4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c>
          <w:tcPr>
            <w:tcW w:w="40" w:type="dxa"/>
            <w:vAlign w:val="bottom"/>
            <w:tcBorders>
              <w:bottom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98</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6,177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2,164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5,269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2,572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16,832</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4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299</w:t>
            </w:r>
          </w:p>
        </w:tc>
        <w:tc>
          <w:tcPr>
            <w:tcW w:w="10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299</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9"/>
        </w:trPr>
        <w:tc>
          <w:tcPr>
            <w:tcW w:w="440" w:type="dxa"/>
            <w:vAlign w:val="bottom"/>
            <w:tcBorders>
              <w:bottom w:val="single" w:sz="8" w:color="2C6937"/>
            </w:tcBorders>
          </w:tcPr>
          <w:p>
            <w:pPr>
              <w:jc w:val="right"/>
              <w:ind w:right="26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6,177</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jc w:val="right"/>
              <w:ind w:right="267"/>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2,164</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5,269</w:t>
            </w:r>
          </w:p>
        </w:tc>
        <w:tc>
          <w:tcPr>
            <w:tcW w:w="100" w:type="dxa"/>
            <w:vAlign w:val="bottom"/>
          </w:tcPr>
          <w:p>
            <w:pPr>
              <w:spacing w:after="0"/>
              <w:rPr>
                <w:sz w:val="20"/>
                <w:szCs w:val="20"/>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2,572</w:t>
            </w:r>
          </w:p>
        </w:tc>
        <w:tc>
          <w:tcPr>
            <w:tcW w:w="80" w:type="dxa"/>
            <w:vAlign w:val="bottom"/>
          </w:tcPr>
          <w:p>
            <w:pPr>
              <w:spacing w:after="0"/>
              <w:rPr>
                <w:sz w:val="20"/>
                <w:szCs w:val="20"/>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949</w:t>
            </w:r>
          </w:p>
        </w:tc>
        <w:tc>
          <w:tcPr>
            <w:tcW w:w="100" w:type="dxa"/>
            <w:vAlign w:val="bottom"/>
          </w:tcPr>
          <w:p>
            <w:pPr>
              <w:spacing w:after="0"/>
              <w:rPr>
                <w:sz w:val="20"/>
                <w:szCs w:val="20"/>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17,131</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4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860" w:type="dxa"/>
            <w:vAlign w:val="bottom"/>
            <w:tcBorders>
              <w:bottom w:val="single" w:sz="8" w:color="2C6937"/>
            </w:tcBorders>
            <w:gridSpan w:val="8"/>
          </w:tcPr>
          <w:p>
            <w:pPr>
              <w:jc w:val="center"/>
              <w:ind w:right="80"/>
              <w:spacing w:after="0"/>
              <w:rPr>
                <w:sz w:val="20"/>
                <w:szCs w:val="20"/>
                <w:color w:val="auto"/>
              </w:rPr>
            </w:pPr>
            <w:r>
              <w:rPr>
                <w:rFonts w:ascii="Arial" w:cs="Arial" w:eastAsia="Arial" w:hAnsi="Arial"/>
                <w:sz w:val="14"/>
                <w:szCs w:val="14"/>
                <w:b w:val="1"/>
                <w:bCs w:val="1"/>
                <w:color w:val="auto"/>
                <w:w w:val="97"/>
              </w:rPr>
              <w:t>For the Nine Months Ended September 30, 2026</w:t>
            </w:r>
          </w:p>
        </w:tc>
        <w:tc>
          <w:tcPr>
            <w:tcW w:w="28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8"/>
              </w:rPr>
              <w:t>Payment Delay (Only)</w:t>
            </w: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80"/>
              <w:spacing w:after="0" w:line="13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jc w:val="center"/>
              <w:ind w:right="120"/>
              <w:spacing w:after="0" w:line="151" w:lineRule="exact"/>
              <w:rPr>
                <w:sz w:val="20"/>
                <w:szCs w:val="20"/>
                <w:color w:val="auto"/>
              </w:rPr>
            </w:pPr>
            <w:r>
              <w:rPr>
                <w:rFonts w:ascii="Arial" w:cs="Arial" w:eastAsia="Arial" w:hAnsi="Arial"/>
                <w:sz w:val="14"/>
                <w:szCs w:val="14"/>
                <w:b w:val="1"/>
                <w:bCs w:val="1"/>
                <w:color w:val="auto"/>
                <w:w w:val="96"/>
              </w:rPr>
              <w:t>Trial Modification</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1" w:lineRule="exact"/>
              <w:rPr>
                <w:sz w:val="20"/>
                <w:szCs w:val="20"/>
                <w:color w:val="auto"/>
              </w:rPr>
            </w:pPr>
            <w:r>
              <w:rPr>
                <w:rFonts w:ascii="Arial" w:cs="Arial" w:eastAsia="Arial" w:hAnsi="Arial"/>
                <w:sz w:val="14"/>
                <w:szCs w:val="14"/>
                <w:b w:val="1"/>
                <w:bCs w:val="1"/>
                <w:color w:val="auto"/>
                <w:w w:val="98"/>
              </w:rPr>
              <w:t>Payment Delay</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1" w:lineRule="exact"/>
              <w:rPr>
                <w:sz w:val="20"/>
                <w:szCs w:val="20"/>
                <w:color w:val="auto"/>
              </w:rPr>
            </w:pPr>
            <w:r>
              <w:rPr>
                <w:rFonts w:ascii="Arial" w:cs="Arial" w:eastAsia="Arial" w:hAnsi="Arial"/>
                <w:sz w:val="14"/>
                <w:szCs w:val="14"/>
                <w:b w:val="1"/>
                <w:bCs w:val="1"/>
                <w:color w:val="auto"/>
                <w:w w:val="96"/>
              </w:rPr>
              <w:t>Interest Rate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Pr>
          <w:p>
            <w:pPr>
              <w:jc w:val="center"/>
              <w:ind w:left="24"/>
              <w:spacing w:after="0" w:line="151" w:lineRule="exact"/>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29"/>
        </w:trPr>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Forbearance Plan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Payment Deferral</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7"/>
              </w:rPr>
              <w:t>and Repayment</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8"/>
              </w:rPr>
              <w:t>and Term</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6"/>
              </w:rPr>
              <w:t>Reduction, and</w:t>
            </w:r>
          </w:p>
        </w:tc>
        <w:tc>
          <w:tcPr>
            <w:tcW w:w="280" w:type="dxa"/>
            <w:vAlign w:val="bottom"/>
          </w:tcPr>
          <w:p>
            <w:pPr>
              <w:spacing w:after="0"/>
              <w:rPr>
                <w:sz w:val="11"/>
                <w:szCs w:val="11"/>
                <w:color w:val="auto"/>
              </w:rPr>
            </w:pPr>
          </w:p>
        </w:tc>
        <w:tc>
          <w:tcPr>
            <w:tcW w:w="94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4"/>
              <w:spacing w:after="0" w:line="129" w:lineRule="exact"/>
              <w:rPr>
                <w:sz w:val="20"/>
                <w:szCs w:val="20"/>
                <w:color w:val="auto"/>
              </w:rPr>
            </w:pPr>
            <w:r>
              <w:rPr>
                <w:rFonts w:ascii="Arial" w:cs="Arial" w:eastAsia="Arial" w:hAnsi="Arial"/>
                <w:sz w:val="14"/>
                <w:szCs w:val="14"/>
                <w:b w:val="1"/>
                <w:bCs w:val="1"/>
                <w:color w:val="auto"/>
                <w:w w:val="96"/>
              </w:rPr>
              <w:t>Total by Financing</w:t>
            </w:r>
          </w:p>
        </w:tc>
        <w:tc>
          <w:tcPr>
            <w:tcW w:w="0" w:type="dxa"/>
            <w:vAlign w:val="bottom"/>
          </w:tcPr>
          <w:p>
            <w:pPr>
              <w:spacing w:after="0"/>
              <w:rPr>
                <w:sz w:val="1"/>
                <w:szCs w:val="1"/>
                <w:color w:val="auto"/>
              </w:rPr>
            </w:pPr>
          </w:p>
        </w:tc>
      </w:tr>
      <w:tr>
        <w:trPr>
          <w:trHeight w:val="193"/>
        </w:trPr>
        <w:tc>
          <w:tcPr>
            <w:tcW w:w="1200" w:type="dxa"/>
            <w:vAlign w:val="bottom"/>
            <w:tcBorders>
              <w:bottom w:val="single" w:sz="8" w:color="2C6937"/>
            </w:tcBorders>
            <w:gridSpan w:val="2"/>
            <w:vMerge w:val="continue"/>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4"/>
            <w:vMerge w:val="continue"/>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Plans</w:t>
            </w:r>
          </w:p>
        </w:tc>
        <w:tc>
          <w:tcPr>
            <w:tcW w:w="12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gridSpan w:val="2"/>
          </w:tcPr>
          <w:p>
            <w:pPr>
              <w:jc w:val="center"/>
              <w:ind w:right="220"/>
              <w:spacing w:after="0" w:line="194" w:lineRule="exact"/>
              <w:rPr>
                <w:sz w:val="20"/>
                <w:szCs w:val="20"/>
                <w:color w:val="auto"/>
              </w:rPr>
            </w:pPr>
            <w:r>
              <w:rPr>
                <w:rFonts w:ascii="Arial" w:cs="Arial" w:eastAsia="Arial" w:hAnsi="Arial"/>
                <w:sz w:val="14"/>
                <w:szCs w:val="14"/>
                <w:b w:val="1"/>
                <w:bCs w:val="1"/>
                <w:color w:val="auto"/>
                <w:w w:val="96"/>
              </w:rPr>
              <w:t>Extension</w:t>
            </w:r>
            <w:r>
              <w:rPr>
                <w:rFonts w:ascii="Arial" w:cs="Arial" w:eastAsia="Arial" w:hAnsi="Arial"/>
                <w:sz w:val="17"/>
                <w:szCs w:val="17"/>
                <w:b w:val="1"/>
                <w:bCs w:val="1"/>
                <w:color w:val="auto"/>
                <w:w w:val="96"/>
                <w:vertAlign w:val="superscript"/>
              </w:rPr>
              <w:t>(1)</w:t>
            </w:r>
          </w:p>
        </w:tc>
        <w:tc>
          <w:tcPr>
            <w:tcW w:w="10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2"/>
          </w:tcPr>
          <w:p>
            <w:pPr>
              <w:jc w:val="center"/>
              <w:ind w:right="180"/>
              <w:spacing w:after="0" w:line="194" w:lineRule="exact"/>
              <w:rPr>
                <w:sz w:val="20"/>
                <w:szCs w:val="20"/>
                <w:color w:val="auto"/>
              </w:rPr>
            </w:pPr>
            <w:r>
              <w:rPr>
                <w:rFonts w:ascii="Arial" w:cs="Arial" w:eastAsia="Arial" w:hAnsi="Arial"/>
                <w:sz w:val="14"/>
                <w:szCs w:val="14"/>
                <w:b w:val="1"/>
                <w:bCs w:val="1"/>
                <w:color w:val="auto"/>
                <w:w w:val="93"/>
              </w:rPr>
              <w:t>Other</w:t>
            </w:r>
            <w:r>
              <w:rPr>
                <w:rFonts w:ascii="Arial" w:cs="Arial" w:eastAsia="Arial" w:hAnsi="Arial"/>
                <w:sz w:val="17"/>
                <w:szCs w:val="17"/>
                <w:b w:val="1"/>
                <w:bCs w:val="1"/>
                <w:color w:val="auto"/>
                <w:w w:val="93"/>
                <w:vertAlign w:val="superscript"/>
              </w:rPr>
              <w:t>(1)</w:t>
            </w:r>
          </w:p>
        </w:tc>
        <w:tc>
          <w:tcPr>
            <w:tcW w:w="2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vMerge w:val="continue"/>
          </w:tcPr>
          <w:p>
            <w:pPr>
              <w:spacing w:after="0"/>
              <w:rPr>
                <w:sz w:val="16"/>
                <w:szCs w:val="16"/>
                <w:color w:val="auto"/>
              </w:rPr>
            </w:pPr>
          </w:p>
        </w:tc>
        <w:tc>
          <w:tcPr>
            <w:tcW w:w="1440" w:type="dxa"/>
            <w:vAlign w:val="bottom"/>
            <w:tcBorders>
              <w:bottom w:val="single" w:sz="8" w:color="2C6937"/>
            </w:tcBorders>
          </w:tcPr>
          <w:p>
            <w:pPr>
              <w:jc w:val="center"/>
              <w:ind w:left="24"/>
              <w:spacing w:after="0" w:line="194" w:lineRule="exact"/>
              <w:rPr>
                <w:sz w:val="20"/>
                <w:szCs w:val="20"/>
                <w:color w:val="auto"/>
              </w:rPr>
            </w:pPr>
            <w:r>
              <w:rPr>
                <w:rFonts w:ascii="Arial" w:cs="Arial" w:eastAsia="Arial" w:hAnsi="Arial"/>
                <w:sz w:val="14"/>
                <w:szCs w:val="14"/>
                <w:b w:val="1"/>
                <w:bCs w:val="1"/>
                <w:color w:val="auto"/>
                <w:w w:val="89"/>
              </w:rPr>
              <w:t>Class</w:t>
            </w:r>
            <w:r>
              <w:rPr>
                <w:rFonts w:ascii="Arial" w:cs="Arial" w:eastAsia="Arial" w:hAnsi="Arial"/>
                <w:sz w:val="17"/>
                <w:szCs w:val="17"/>
                <w:b w:val="1"/>
                <w:bCs w:val="1"/>
                <w:color w:val="auto"/>
                <w:w w:val="89"/>
                <w:vertAlign w:val="superscript"/>
              </w:rPr>
              <w:t>(2)</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9,366</w:t>
            </w:r>
          </w:p>
        </w:tc>
        <w:tc>
          <w:tcPr>
            <w:tcW w:w="560" w:type="dxa"/>
            <w:vAlign w:val="bottom"/>
            <w:gridSpan w:val="3"/>
          </w:tcPr>
          <w:p>
            <w:pPr>
              <w:jc w:val="right"/>
              <w:ind w:right="26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6,824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8,964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7,400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1,498</w:t>
            </w:r>
          </w:p>
        </w:tc>
        <w:tc>
          <w:tcPr>
            <w:tcW w:w="10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34,052</w:t>
            </w:r>
          </w:p>
        </w:tc>
        <w:tc>
          <w:tcPr>
            <w:tcW w:w="1440" w:type="dxa"/>
            <w:vAlign w:val="bottom"/>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451"/>
        </w:trPr>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270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163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163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847</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118</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4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w:t>
            </w:r>
          </w:p>
        </w:tc>
        <w:tc>
          <w:tcPr>
            <w:tcW w:w="40" w:type="dxa"/>
            <w:vAlign w:val="bottom"/>
            <w:tcBorders>
              <w:bottom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237</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9,757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7,069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9,301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7,608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35,254</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46"/>
        </w:trPr>
        <w:tc>
          <w:tcPr>
            <w:tcW w:w="4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40" w:type="dxa"/>
            <w:vAlign w:val="bottom"/>
            <w:tcBorders>
              <w:bottom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726</w:t>
            </w:r>
          </w:p>
        </w:tc>
        <w:tc>
          <w:tcPr>
            <w:tcW w:w="10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735</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9"/>
        </w:trPr>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9,766</w:t>
            </w:r>
          </w:p>
        </w:tc>
        <w:tc>
          <w:tcPr>
            <w:tcW w:w="560" w:type="dxa"/>
            <w:vAlign w:val="bottom"/>
            <w:gridSpan w:val="3"/>
          </w:tcPr>
          <w:p>
            <w:pPr>
              <w:jc w:val="right"/>
              <w:ind w:right="26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7,069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9,301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7,608</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2,245</w:t>
            </w:r>
          </w:p>
        </w:tc>
        <w:tc>
          <w:tcPr>
            <w:tcW w:w="100" w:type="dxa"/>
            <w:vAlign w:val="bottom"/>
          </w:tcPr>
          <w:p>
            <w:pPr>
              <w:spacing w:after="0"/>
              <w:rPr>
                <w:sz w:val="20"/>
                <w:szCs w:val="20"/>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35,989</w:t>
            </w:r>
          </w:p>
        </w:tc>
        <w:tc>
          <w:tcPr>
            <w:tcW w:w="1440" w:type="dxa"/>
            <w:vAlign w:val="bottom"/>
          </w:tcPr>
          <w:p>
            <w:pPr>
              <w:jc w:val="right"/>
              <w:ind w:right="1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4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417195</wp:posOffset>
            </wp:positionV>
            <wp:extent cx="680593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240"/>
            <w:col w:w="9260"/>
          </w:cols>
          <w:pgMar w:left="320" w:top="261" w:right="33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75" w:name="page76"/>
    <w:bookmarkEnd w:id="75"/>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860" w:type="dxa"/>
            <w:vAlign w:val="bottom"/>
            <w:tcBorders>
              <w:bottom w:val="single" w:sz="8" w:color="2C6937"/>
            </w:tcBorders>
            <w:gridSpan w:val="8"/>
          </w:tcPr>
          <w:p>
            <w:pPr>
              <w:jc w:val="center"/>
              <w:ind w:right="80"/>
              <w:spacing w:after="0"/>
              <w:rPr>
                <w:sz w:val="20"/>
                <w:szCs w:val="20"/>
                <w:color w:val="auto"/>
              </w:rPr>
            </w:pPr>
            <w:r>
              <w:rPr>
                <w:rFonts w:ascii="Arial" w:cs="Arial" w:eastAsia="Arial" w:hAnsi="Arial"/>
                <w:sz w:val="14"/>
                <w:szCs w:val="14"/>
                <w:b w:val="1"/>
                <w:bCs w:val="1"/>
                <w:color w:val="auto"/>
                <w:w w:val="98"/>
              </w:rPr>
              <w:t>For the Three Months Ended September 30, 2025</w:t>
            </w:r>
          </w:p>
        </w:tc>
        <w:tc>
          <w:tcPr>
            <w:tcW w:w="2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8"/>
              </w:rPr>
              <w:t>Payment Delay (Only)</w:t>
            </w: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Trial Modification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w:t>
            </w:r>
          </w:p>
        </w:tc>
        <w:tc>
          <w:tcPr>
            <w:tcW w:w="13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Interest Rate</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Forbearance Plan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Payment Deferral</w:t>
            </w:r>
          </w:p>
        </w:tc>
        <w:tc>
          <w:tcPr>
            <w:tcW w:w="100" w:type="dxa"/>
            <w:vAlign w:val="bottom"/>
          </w:tcPr>
          <w:p>
            <w:pPr>
              <w:spacing w:after="0"/>
              <w:rPr>
                <w:sz w:val="12"/>
                <w:szCs w:val="12"/>
                <w:color w:val="auto"/>
              </w:rPr>
            </w:pPr>
          </w:p>
        </w:tc>
        <w:tc>
          <w:tcPr>
            <w:tcW w:w="1120" w:type="dxa"/>
            <w:vAlign w:val="bottom"/>
          </w:tcPr>
          <w:p>
            <w:pPr>
              <w:jc w:val="center"/>
              <w:ind w:right="27"/>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and Term</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Reduction, and</w:t>
            </w:r>
          </w:p>
        </w:tc>
        <w:tc>
          <w:tcPr>
            <w:tcW w:w="280" w:type="dxa"/>
            <w:vAlign w:val="bottom"/>
          </w:tcPr>
          <w:p>
            <w:pPr>
              <w:spacing w:after="0"/>
              <w:rPr>
                <w:sz w:val="12"/>
                <w:szCs w:val="12"/>
                <w:color w:val="auto"/>
              </w:rPr>
            </w:pPr>
          </w:p>
        </w:tc>
        <w:tc>
          <w:tcPr>
            <w:tcW w:w="94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2C6937"/>
            </w:tcBorders>
            <w:gridSpan w:val="2"/>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tcPr>
          <w:p>
            <w:pPr>
              <w:jc w:val="center"/>
              <w:ind w:right="47"/>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Extension</w:t>
            </w:r>
            <w:r>
              <w:rPr>
                <w:rFonts w:ascii="Arial" w:cs="Arial" w:eastAsia="Arial" w:hAnsi="Arial"/>
                <w:sz w:val="8"/>
                <w:szCs w:val="8"/>
                <w:b w:val="1"/>
                <w:bCs w:val="1"/>
                <w:color w:val="auto"/>
              </w:rPr>
              <w:t>(1)</w:t>
            </w: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180"/>
              <w:spacing w:after="0" w:line="180" w:lineRule="exact"/>
              <w:rPr>
                <w:sz w:val="20"/>
                <w:szCs w:val="20"/>
                <w:color w:val="auto"/>
              </w:rPr>
            </w:pPr>
            <w:r>
              <w:rPr>
                <w:rFonts w:ascii="Arial" w:cs="Arial" w:eastAsia="Arial" w:hAnsi="Arial"/>
                <w:sz w:val="14"/>
                <w:szCs w:val="14"/>
                <w:b w:val="1"/>
                <w:bCs w:val="1"/>
                <w:color w:val="auto"/>
                <w:w w:val="93"/>
              </w:rPr>
              <w:t>Other</w:t>
            </w:r>
            <w:r>
              <w:rPr>
                <w:rFonts w:ascii="Arial" w:cs="Arial" w:eastAsia="Arial" w:hAnsi="Arial"/>
                <w:sz w:val="17"/>
                <w:szCs w:val="17"/>
                <w:b w:val="1"/>
                <w:bCs w:val="1"/>
                <w:color w:val="auto"/>
                <w:w w:val="93"/>
                <w:vertAlign w:val="superscript"/>
              </w:rPr>
              <w:t>(1)</w:t>
            </w:r>
          </w:p>
        </w:tc>
        <w:tc>
          <w:tcPr>
            <w:tcW w:w="2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27"/>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jc w:val="right"/>
              <w:ind w:right="26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4,809</w:t>
            </w:r>
          </w:p>
        </w:tc>
        <w:tc>
          <w:tcPr>
            <w:tcW w:w="560" w:type="dxa"/>
            <w:vAlign w:val="bottom"/>
            <w:gridSpan w:val="3"/>
          </w:tcPr>
          <w:p>
            <w:pPr>
              <w:jc w:val="right"/>
              <w:ind w:right="268"/>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2,404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5,277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2,837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15,553</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420</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5"/>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9"/>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116</w:t>
            </w:r>
          </w:p>
        </w:tc>
        <w:tc>
          <w:tcPr>
            <w:tcW w:w="1440" w:type="dxa"/>
            <w:vAlign w:val="bottom"/>
          </w:tcPr>
          <w:p>
            <w:pPr>
              <w:ind w:left="116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43"/>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5,014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2,504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5,479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2,909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16,140</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474</w:t>
            </w:r>
          </w:p>
        </w:tc>
        <w:tc>
          <w:tcPr>
            <w:tcW w:w="40" w:type="dxa"/>
            <w:vAlign w:val="bottom"/>
            <w:tcBorders>
              <w:bottom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589</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9"/>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100" w:type="dxa"/>
            <w:vAlign w:val="bottom"/>
          </w:tcPr>
          <w:p>
            <w:pPr>
              <w:spacing w:after="0"/>
              <w:rPr>
                <w:sz w:val="20"/>
                <w:szCs w:val="20"/>
                <w:color w:val="auto"/>
              </w:rPr>
            </w:pPr>
          </w:p>
        </w:tc>
        <w:tc>
          <w:tcPr>
            <w:tcW w:w="440" w:type="dxa"/>
            <w:vAlign w:val="bottom"/>
            <w:tcBorders>
              <w:bottom w:val="single" w:sz="8" w:color="2C6937"/>
            </w:tcBorders>
          </w:tcPr>
          <w:p>
            <w:pPr>
              <w:jc w:val="right"/>
              <w:ind w:right="267"/>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5,488</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jc w:val="right"/>
              <w:ind w:right="268"/>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2,504</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5,479</w:t>
            </w:r>
          </w:p>
        </w:tc>
        <w:tc>
          <w:tcPr>
            <w:tcW w:w="100" w:type="dxa"/>
            <w:vAlign w:val="bottom"/>
          </w:tcPr>
          <w:p>
            <w:pPr>
              <w:spacing w:after="0"/>
              <w:rPr>
                <w:sz w:val="20"/>
                <w:szCs w:val="20"/>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2,909</w:t>
            </w:r>
          </w:p>
        </w:tc>
        <w:tc>
          <w:tcPr>
            <w:tcW w:w="80" w:type="dxa"/>
            <w:vAlign w:val="bottom"/>
          </w:tcPr>
          <w:p>
            <w:pPr>
              <w:spacing w:after="0"/>
              <w:rPr>
                <w:sz w:val="20"/>
                <w:szCs w:val="20"/>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349</w:t>
            </w:r>
          </w:p>
        </w:tc>
        <w:tc>
          <w:tcPr>
            <w:tcW w:w="100" w:type="dxa"/>
            <w:vAlign w:val="bottom"/>
          </w:tcPr>
          <w:p>
            <w:pPr>
              <w:spacing w:after="0"/>
              <w:rPr>
                <w:sz w:val="20"/>
                <w:szCs w:val="20"/>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16,729</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860" w:type="dxa"/>
            <w:vAlign w:val="bottom"/>
            <w:tcBorders>
              <w:bottom w:val="single" w:sz="8" w:color="2C6937"/>
            </w:tcBorders>
            <w:gridSpan w:val="8"/>
          </w:tcPr>
          <w:p>
            <w:pPr>
              <w:jc w:val="center"/>
              <w:ind w:right="80"/>
              <w:spacing w:after="0"/>
              <w:rPr>
                <w:sz w:val="20"/>
                <w:szCs w:val="20"/>
                <w:color w:val="auto"/>
              </w:rPr>
            </w:pPr>
            <w:r>
              <w:rPr>
                <w:rFonts w:ascii="Arial" w:cs="Arial" w:eastAsia="Arial" w:hAnsi="Arial"/>
                <w:sz w:val="14"/>
                <w:szCs w:val="14"/>
                <w:b w:val="1"/>
                <w:bCs w:val="1"/>
                <w:color w:val="auto"/>
                <w:w w:val="97"/>
              </w:rPr>
              <w:t>For the Nine Months Ended September 30, 2025</w:t>
            </w:r>
          </w:p>
        </w:tc>
        <w:tc>
          <w:tcPr>
            <w:tcW w:w="28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8"/>
              </w:rPr>
              <w:t>Payment Delay (Only)</w:t>
            </w: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Trial Modification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w:t>
            </w:r>
          </w:p>
        </w:tc>
        <w:tc>
          <w:tcPr>
            <w:tcW w:w="13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Interest Rate</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Forbearance Plan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Payment Deferral</w:t>
            </w:r>
          </w:p>
        </w:tc>
        <w:tc>
          <w:tcPr>
            <w:tcW w:w="100" w:type="dxa"/>
            <w:vAlign w:val="bottom"/>
          </w:tcPr>
          <w:p>
            <w:pPr>
              <w:spacing w:after="0"/>
              <w:rPr>
                <w:sz w:val="12"/>
                <w:szCs w:val="12"/>
                <w:color w:val="auto"/>
              </w:rPr>
            </w:pPr>
          </w:p>
        </w:tc>
        <w:tc>
          <w:tcPr>
            <w:tcW w:w="1120" w:type="dxa"/>
            <w:vAlign w:val="bottom"/>
          </w:tcPr>
          <w:p>
            <w:pPr>
              <w:jc w:val="center"/>
              <w:ind w:right="27"/>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and Term</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Reduction, and</w:t>
            </w:r>
          </w:p>
        </w:tc>
        <w:tc>
          <w:tcPr>
            <w:tcW w:w="280" w:type="dxa"/>
            <w:vAlign w:val="bottom"/>
          </w:tcPr>
          <w:p>
            <w:pPr>
              <w:spacing w:after="0"/>
              <w:rPr>
                <w:sz w:val="12"/>
                <w:szCs w:val="12"/>
                <w:color w:val="auto"/>
              </w:rPr>
            </w:pPr>
          </w:p>
        </w:tc>
        <w:tc>
          <w:tcPr>
            <w:tcW w:w="94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2C6937"/>
            </w:tcBorders>
            <w:gridSpan w:val="2"/>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tcPr>
          <w:p>
            <w:pPr>
              <w:jc w:val="center"/>
              <w:ind w:right="47"/>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Extension</w:t>
            </w:r>
            <w:r>
              <w:rPr>
                <w:rFonts w:ascii="Arial" w:cs="Arial" w:eastAsia="Arial" w:hAnsi="Arial"/>
                <w:sz w:val="8"/>
                <w:szCs w:val="8"/>
                <w:b w:val="1"/>
                <w:bCs w:val="1"/>
                <w:color w:val="auto"/>
              </w:rPr>
              <w:t>(1)</w:t>
            </w: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180"/>
              <w:spacing w:after="0" w:line="180" w:lineRule="exact"/>
              <w:rPr>
                <w:sz w:val="20"/>
                <w:szCs w:val="20"/>
                <w:color w:val="auto"/>
              </w:rPr>
            </w:pPr>
            <w:r>
              <w:rPr>
                <w:rFonts w:ascii="Arial" w:cs="Arial" w:eastAsia="Arial" w:hAnsi="Arial"/>
                <w:sz w:val="14"/>
                <w:szCs w:val="14"/>
                <w:b w:val="1"/>
                <w:bCs w:val="1"/>
                <w:color w:val="auto"/>
                <w:w w:val="93"/>
              </w:rPr>
              <w:t>Other</w:t>
            </w:r>
            <w:r>
              <w:rPr>
                <w:rFonts w:ascii="Arial" w:cs="Arial" w:eastAsia="Arial" w:hAnsi="Arial"/>
                <w:sz w:val="17"/>
                <w:szCs w:val="17"/>
                <w:b w:val="1"/>
                <w:bCs w:val="1"/>
                <w:color w:val="auto"/>
                <w:w w:val="93"/>
                <w:vertAlign w:val="superscript"/>
              </w:rPr>
              <w:t>(1)</w:t>
            </w:r>
          </w:p>
        </w:tc>
        <w:tc>
          <w:tcPr>
            <w:tcW w:w="2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27"/>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5980"/>
        <w:spacing w:after="0"/>
        <w:rPr>
          <w:sz w:val="20"/>
          <w:szCs w:val="20"/>
          <w:color w:val="auto"/>
        </w:rPr>
      </w:pPr>
      <w:r>
        <w:rPr>
          <w:rFonts w:ascii="Arial" w:cs="Arial" w:eastAsia="Arial" w:hAnsi="Arial"/>
          <w:sz w:val="14"/>
          <w:szCs w:val="14"/>
          <w:b w:val="1"/>
          <w:bCs w:val="1"/>
          <w:color w:val="auto"/>
        </w:rPr>
        <w:t>(Dollars in millions)</w:t>
      </w:r>
    </w:p>
    <w:p>
      <w:pPr>
        <w:sectPr>
          <w:pgSz w:w="11900" w:h="16838" w:orient="portrait"/>
          <w:cols w:equalWidth="0" w:num="1">
            <w:col w:w="11240"/>
          </w:cols>
          <w:pgMar w:left="320" w:top="261" w:right="339" w:bottom="1440" w:gutter="0" w:footer="0" w:header="0"/>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1"/>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93"/>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7,866</w:t>
            </w:r>
          </w:p>
        </w:tc>
        <w:tc>
          <w:tcPr>
            <w:tcW w:w="8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8,268</w:t>
            </w:r>
          </w:p>
        </w:tc>
        <w:tc>
          <w:tcPr>
            <w:tcW w:w="8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9,312</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8,427</w:t>
            </w:r>
          </w:p>
        </w:tc>
        <w:tc>
          <w:tcPr>
            <w:tcW w:w="8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575</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34,448</w:t>
            </w:r>
          </w:p>
        </w:tc>
      </w:tr>
      <w:tr>
        <w:trPr>
          <w:trHeight w:val="221"/>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7"/>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272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256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890</w:t>
            </w:r>
          </w:p>
        </w:tc>
      </w:tr>
      <w:tr>
        <w:trPr>
          <w:trHeight w:val="245"/>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1"/>
                <w:szCs w:val="21"/>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111</w:t>
            </w:r>
          </w:p>
        </w:tc>
      </w:tr>
      <w:tr>
        <w:trPr>
          <w:trHeight w:val="252"/>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21"/>
                <w:szCs w:val="21"/>
                <w:color w:val="auto"/>
              </w:rPr>
            </w:pPr>
          </w:p>
        </w:tc>
        <w:tc>
          <w:tcPr>
            <w:tcW w:w="500" w:type="dxa"/>
            <w:vAlign w:val="bottom"/>
            <w:tcBorders>
              <w:bottom w:val="single" w:sz="8" w:color="2C6937"/>
            </w:tcBorders>
          </w:tcPr>
          <w:p>
            <w:pPr>
              <w:spacing w:after="0"/>
              <w:rPr>
                <w:sz w:val="21"/>
                <w:szCs w:val="21"/>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1"/>
                <w:szCs w:val="21"/>
                <w:color w:val="auto"/>
              </w:rPr>
            </w:pPr>
          </w:p>
        </w:tc>
        <w:tc>
          <w:tcPr>
            <w:tcW w:w="38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295</w:t>
            </w: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8,228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8,630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9,709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8,574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35,744</w:t>
            </w:r>
          </w:p>
        </w:tc>
      </w:tr>
      <w:tr>
        <w:trPr>
          <w:trHeight w:val="252"/>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587</w:t>
            </w:r>
          </w:p>
        </w:tc>
        <w:tc>
          <w:tcPr>
            <w:tcW w:w="8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500" w:type="dxa"/>
            <w:vAlign w:val="bottom"/>
            <w:tcBorders>
              <w:bottom w:val="single" w:sz="8" w:color="2C6937"/>
            </w:tcBorders>
          </w:tcPr>
          <w:p>
            <w:pPr>
              <w:spacing w:after="0"/>
              <w:rPr>
                <w:sz w:val="21"/>
                <w:szCs w:val="21"/>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21"/>
                <w:szCs w:val="21"/>
                <w:color w:val="auto"/>
              </w:rPr>
            </w:pPr>
          </w:p>
        </w:tc>
        <w:tc>
          <w:tcPr>
            <w:tcW w:w="38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725</w:t>
            </w:r>
          </w:p>
        </w:tc>
      </w:tr>
      <w:tr>
        <w:trPr>
          <w:trHeight w:val="245"/>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8,815</w:t>
            </w:r>
          </w:p>
        </w:tc>
        <w:tc>
          <w:tcPr>
            <w:tcW w:w="80" w:type="dxa"/>
            <w:vAlign w:val="bottom"/>
          </w:tcPr>
          <w:p>
            <w:pPr>
              <w:spacing w:after="0"/>
              <w:rPr>
                <w:sz w:val="21"/>
                <w:szCs w:val="21"/>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8,630</w:t>
            </w:r>
          </w:p>
        </w:tc>
        <w:tc>
          <w:tcPr>
            <w:tcW w:w="80" w:type="dxa"/>
            <w:vAlign w:val="bottom"/>
          </w:tcPr>
          <w:p>
            <w:pPr>
              <w:spacing w:after="0"/>
              <w:rPr>
                <w:sz w:val="21"/>
                <w:szCs w:val="21"/>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9,709</w:t>
            </w:r>
          </w:p>
        </w:tc>
        <w:tc>
          <w:tcPr>
            <w:tcW w:w="100" w:type="dxa"/>
            <w:vAlign w:val="bottom"/>
          </w:tcPr>
          <w:p>
            <w:pPr>
              <w:spacing w:after="0"/>
              <w:rPr>
                <w:sz w:val="21"/>
                <w:szCs w:val="21"/>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8,574</w:t>
            </w:r>
          </w:p>
        </w:tc>
        <w:tc>
          <w:tcPr>
            <w:tcW w:w="80" w:type="dxa"/>
            <w:vAlign w:val="bottom"/>
          </w:tcPr>
          <w:p>
            <w:pPr>
              <w:spacing w:after="0"/>
              <w:rPr>
                <w:sz w:val="21"/>
                <w:szCs w:val="21"/>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741</w:t>
            </w:r>
          </w:p>
        </w:tc>
        <w:tc>
          <w:tcPr>
            <w:tcW w:w="100" w:type="dxa"/>
            <w:vAlign w:val="bottom"/>
          </w:tcPr>
          <w:p>
            <w:pPr>
              <w:spacing w:after="0"/>
              <w:rPr>
                <w:sz w:val="21"/>
                <w:szCs w:val="21"/>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36,469</w:t>
            </w:r>
          </w:p>
        </w:tc>
      </w:tr>
      <w:tr>
        <w:trPr>
          <w:trHeight w:val="20"/>
        </w:trPr>
        <w:tc>
          <w:tcPr>
            <w:tcW w:w="1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00" w:hanging="197"/>
        <w:spacing w:after="0"/>
        <w:tabs>
          <w:tab w:leader="none" w:pos="2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less than 0.5% of total by financing class.</w:t>
      </w:r>
    </w:p>
    <w:p>
      <w:pPr>
        <w:spacing w:after="0" w:line="19" w:lineRule="exact"/>
        <w:rPr>
          <w:sz w:val="20"/>
          <w:szCs w:val="20"/>
          <w:color w:val="auto"/>
        </w:rPr>
      </w:pPr>
    </w:p>
    <w:p>
      <w:pPr>
        <w:ind w:left="260" w:hanging="257"/>
        <w:spacing w:after="0"/>
        <w:tabs>
          <w:tab w:leader="none" w:pos="26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Represents loans that received a contractual modification.</w:t>
      </w:r>
    </w:p>
    <w:p>
      <w:pPr>
        <w:spacing w:after="0" w:line="25" w:lineRule="exact"/>
        <w:rPr>
          <w:rFonts w:ascii="Arial" w:cs="Arial" w:eastAsia="Arial" w:hAnsi="Arial"/>
          <w:sz w:val="18"/>
          <w:szCs w:val="18"/>
          <w:color w:val="auto"/>
          <w:vertAlign w:val="superscript"/>
        </w:rPr>
      </w:pPr>
    </w:p>
    <w:p>
      <w:pPr>
        <w:ind w:left="260" w:hanging="257"/>
        <w:spacing w:after="0"/>
        <w:tabs>
          <w:tab w:leader="none" w:pos="260" w:val="left"/>
        </w:tabs>
        <w:numPr>
          <w:ilvl w:val="0"/>
          <w:numId w:val="63"/>
        </w:numPr>
        <w:rPr>
          <w:rFonts w:ascii="Arial" w:cs="Arial" w:eastAsia="Arial" w:hAnsi="Arial"/>
          <w:sz w:val="9"/>
          <w:szCs w:val="9"/>
          <w:color w:val="auto"/>
        </w:rPr>
      </w:pPr>
      <w:r>
        <w:rPr>
          <w:rFonts w:ascii="Arial" w:cs="Arial" w:eastAsia="Arial" w:hAnsi="Arial"/>
          <w:sz w:val="14"/>
          <w:szCs w:val="14"/>
          <w:color w:val="auto"/>
        </w:rPr>
        <w:t>Based on the amortized cost basis as of period end, divided by the period-end amortized cost basis of the corresponding class of financing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5"/>
          <w:szCs w:val="15"/>
          <w:color w:val="auto"/>
        </w:rPr>
        <w:t>1 %</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785" w:lineRule="exact"/>
        <w:rPr>
          <w:sz w:val="20"/>
          <w:szCs w:val="20"/>
          <w:color w:val="auto"/>
        </w:rPr>
      </w:pPr>
    </w:p>
    <w:p>
      <w:pPr>
        <w:sectPr>
          <w:pgSz w:w="11900" w:h="16838" w:orient="portrait"/>
          <w:cols w:equalWidth="0" w:num="2">
            <w:col w:w="10220" w:space="720"/>
            <w:col w:w="300"/>
          </w:cols>
          <w:pgMar w:left="320" w:top="261" w:right="339" w:bottom="1440" w:gutter="0" w:footer="0" w:header="0"/>
          <w:type w:val="continuous"/>
        </w:sectPr>
      </w:pPr>
    </w:p>
    <w:p>
      <w:pPr>
        <w:ind w:left="240" w:right="20" w:hanging="237"/>
        <w:spacing w:after="0" w:line="259" w:lineRule="auto"/>
        <w:tabs>
          <w:tab w:leader="none" w:pos="216" w:val="left"/>
        </w:tabs>
        <w:numPr>
          <w:ilvl w:val="0"/>
          <w:numId w:val="64"/>
        </w:numPr>
        <w:rPr>
          <w:rFonts w:ascii="Arial" w:cs="Arial" w:eastAsia="Arial" w:hAnsi="Arial"/>
          <w:sz w:val="9"/>
          <w:szCs w:val="9"/>
          <w:color w:val="auto"/>
        </w:rPr>
      </w:pPr>
      <w:r>
        <w:rPr>
          <w:rFonts w:ascii="Arial" w:cs="Arial" w:eastAsia="Arial" w:hAnsi="Arial"/>
          <w:sz w:val="14"/>
          <w:szCs w:val="14"/>
          <w:color w:val="auto"/>
        </w:rPr>
        <w:t>Excludes $324 million and $1.3 billion for the three and nine months ended September 30, 2026, respectively, and $341 million and $1.2 billion for the three and nine months ended September 30, 2025, respectively, for loans that were the subject of loss mitigation activity during the period that paid off, were repurchased or were sold prior to period end. Also excludes loans that liquidated either through foreclosure, deed-in-lieu of foreclosure, or a short sale. Loans may move from one category to another, as a result of the restructuring(s) they received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349250</wp:posOffset>
            </wp:positionV>
            <wp:extent cx="68059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140"/>
        <w:spacing w:after="0" w:line="272" w:lineRule="auto"/>
        <w:rPr>
          <w:sz w:val="20"/>
          <w:szCs w:val="20"/>
          <w:color w:val="auto"/>
        </w:rPr>
      </w:pPr>
      <w:r>
        <w:rPr>
          <w:rFonts w:ascii="Arial" w:cs="Arial" w:eastAsia="Arial" w:hAnsi="Arial"/>
          <w:sz w:val="16"/>
          <w:szCs w:val="16"/>
          <w:color w:val="auto"/>
        </w:rPr>
        <w:t>The following tables summarize the financial impacts of loan modifications and payment deferrals made to single-family HFI loans presented by class of financing receivable. We discuss the qualitative impacts of forbearance plans, repayment plans, and trial modifications in our 2025 Form 10-K in “Note 4, Mortgage Loans.” As a result, those loss mitigation options are excluded from the table below.</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3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2880" w:type="dxa"/>
            <w:vAlign w:val="bottom"/>
            <w:tcBorders>
              <w:bottom w:val="single" w:sz="8" w:color="2C6937"/>
            </w:tcBorders>
            <w:gridSpan w:val="7"/>
          </w:tcPr>
          <w:p>
            <w:pPr>
              <w:jc w:val="center"/>
              <w:ind w:right="40"/>
              <w:spacing w:after="0"/>
              <w:rPr>
                <w:sz w:val="20"/>
                <w:szCs w:val="20"/>
                <w:color w:val="auto"/>
              </w:rPr>
            </w:pPr>
            <w:r>
              <w:rPr>
                <w:rFonts w:ascii="Arial" w:cs="Arial" w:eastAsia="Arial" w:hAnsi="Arial"/>
                <w:sz w:val="14"/>
                <w:szCs w:val="14"/>
                <w:b w:val="1"/>
                <w:bCs w:val="1"/>
                <w:color w:val="auto"/>
                <w:w w:val="98"/>
              </w:rPr>
              <w:t>For the Three Months Ended September 30,</w:t>
            </w:r>
          </w:p>
        </w:tc>
        <w:tc>
          <w:tcPr>
            <w:tcW w:w="12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32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ind w:right="347"/>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auto"/>
                <w:w w:val="97"/>
              </w:rPr>
              <w:t>Weighted-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Average Amount</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w:t>
            </w:r>
          </w:p>
        </w:tc>
        <w:tc>
          <w:tcPr>
            <w:tcW w:w="12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Weighted-</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7"/>
              </w:rPr>
              <w:t>Average</w:t>
            </w: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Capitalized as</w:t>
            </w:r>
          </w:p>
        </w:tc>
        <w:tc>
          <w:tcPr>
            <w:tcW w:w="14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7"/>
              </w:rPr>
              <w:t>Average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1100" w:type="dxa"/>
            <w:vAlign w:val="bottom"/>
          </w:tcPr>
          <w:p>
            <w:pPr>
              <w:jc w:val="center"/>
              <w:ind w:right="66"/>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12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7"/>
              </w:rPr>
              <w:t>Extension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14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Extension</w:t>
            </w:r>
          </w:p>
        </w:tc>
        <w:tc>
          <w:tcPr>
            <w:tcW w:w="120" w:type="dxa"/>
            <w:vAlign w:val="bottom"/>
          </w:tcPr>
          <w:p>
            <w:pPr>
              <w:spacing w:after="0"/>
              <w:rPr>
                <w:sz w:val="12"/>
                <w:szCs w:val="12"/>
                <w:color w:val="auto"/>
              </w:rPr>
            </w:pPr>
          </w:p>
        </w:tc>
        <w:tc>
          <w:tcPr>
            <w:tcW w:w="110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120" w:type="dxa"/>
            <w:vAlign w:val="bottom"/>
          </w:tcPr>
          <w:p>
            <w:pPr>
              <w:jc w:val="center"/>
              <w:ind w:left="7"/>
              <w:spacing w:after="0"/>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80"/>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Reduction</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 Months)</w:t>
            </w:r>
          </w:p>
        </w:tc>
        <w:tc>
          <w:tcPr>
            <w:tcW w:w="1220" w:type="dxa"/>
            <w:vAlign w:val="bottom"/>
            <w:gridSpan w:val="2"/>
          </w:tcPr>
          <w:p>
            <w:pPr>
              <w:jc w:val="center"/>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314"/>
        </w:trPr>
        <w:tc>
          <w:tcPr>
            <w:tcW w:w="3100" w:type="dxa"/>
            <w:vAlign w:val="bottom"/>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7"/>
                <w:szCs w:val="17"/>
                <w:color w:val="auto"/>
                <w:vertAlign w:val="superscript"/>
              </w:rPr>
              <w:t>(2)</w:t>
            </w:r>
          </w:p>
        </w:tc>
        <w:tc>
          <w:tcPr>
            <w:tcW w:w="132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2C6937"/>
            </w:tcBorders>
          </w:tcPr>
          <w:p>
            <w:pPr>
              <w:spacing w:after="0"/>
              <w:rPr>
                <w:sz w:val="24"/>
                <w:szCs w:val="24"/>
                <w:color w:val="auto"/>
              </w:rPr>
            </w:pPr>
          </w:p>
        </w:tc>
        <w:tc>
          <w:tcPr>
            <w:tcW w:w="8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108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10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Pr>
          <w:p>
            <w:pPr>
              <w:ind w:left="160"/>
              <w:spacing w:after="0"/>
              <w:rPr>
                <w:sz w:val="20"/>
                <w:szCs w:val="20"/>
                <w:color w:val="auto"/>
              </w:rPr>
            </w:pPr>
            <w:r>
              <w:rPr>
                <w:rFonts w:ascii="Arial" w:cs="Arial" w:eastAsia="Arial" w:hAnsi="Arial"/>
                <w:sz w:val="14"/>
                <w:szCs w:val="14"/>
                <w:color w:val="auto"/>
              </w:rPr>
              <w:t>20- and 30-year or more,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0.83 %</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144</w:t>
            </w:r>
          </w:p>
        </w:tc>
        <w:tc>
          <w:tcPr>
            <w:tcW w:w="30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14,493</w:t>
            </w:r>
          </w:p>
        </w:tc>
        <w:tc>
          <w:tcPr>
            <w:tcW w:w="8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0.54 %</w:t>
            </w:r>
          </w:p>
        </w:tc>
        <w:tc>
          <w:tcPr>
            <w:tcW w:w="10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142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13,469</w:t>
            </w: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4"/>
                <w:szCs w:val="14"/>
                <w:color w:val="auto"/>
              </w:rPr>
              <w:t>15-year or less,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0.69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52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11,300</w:t>
            </w:r>
          </w:p>
        </w:tc>
        <w:tc>
          <w:tcPr>
            <w:tcW w:w="80" w:type="dxa"/>
            <w:vAlign w:val="bottom"/>
          </w:tcPr>
          <w:p>
            <w:pPr>
              <w:spacing w:after="0"/>
              <w:rPr>
                <w:sz w:val="20"/>
                <w:szCs w:val="20"/>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0.87</w:t>
            </w:r>
          </w:p>
        </w:tc>
        <w:tc>
          <w:tcPr>
            <w:tcW w:w="100" w:type="dxa"/>
            <w:vAlign w:val="bottom"/>
          </w:tcPr>
          <w:p>
            <w:pPr>
              <w:spacing w:after="0"/>
              <w:rPr>
                <w:sz w:val="20"/>
                <w:szCs w:val="20"/>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10,061</w:t>
            </w:r>
          </w:p>
        </w:tc>
        <w:tc>
          <w:tcPr>
            <w:tcW w:w="0" w:type="dxa"/>
            <w:vAlign w:val="bottom"/>
          </w:tcPr>
          <w:p>
            <w:pPr>
              <w:spacing w:after="0"/>
              <w:rPr>
                <w:sz w:val="1"/>
                <w:szCs w:val="1"/>
                <w:color w:val="auto"/>
              </w:rPr>
            </w:pPr>
          </w:p>
        </w:tc>
      </w:tr>
      <w:tr>
        <w:trPr>
          <w:trHeight w:val="309"/>
        </w:trPr>
        <w:tc>
          <w:tcPr>
            <w:tcW w:w="3100" w:type="dxa"/>
            <w:vAlign w:val="bottom"/>
          </w:tcPr>
          <w:p>
            <w:pPr>
              <w:ind w:left="160"/>
              <w:spacing w:after="0"/>
              <w:rPr>
                <w:sz w:val="20"/>
                <w:szCs w:val="20"/>
                <w:color w:val="auto"/>
              </w:rPr>
            </w:pPr>
            <w:r>
              <w:rPr>
                <w:rFonts w:ascii="Arial" w:cs="Arial" w:eastAsia="Arial" w:hAnsi="Arial"/>
                <w:sz w:val="14"/>
                <w:szCs w:val="14"/>
                <w:color w:val="auto"/>
              </w:rPr>
              <w:t>Adjustable-rate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0.23</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8,630</w:t>
            </w:r>
          </w:p>
        </w:tc>
        <w:tc>
          <w:tcPr>
            <w:tcW w:w="80" w:type="dxa"/>
            <w:vAlign w:val="bottom"/>
          </w:tcPr>
          <w:p>
            <w:pPr>
              <w:spacing w:after="0"/>
              <w:rPr>
                <w:sz w:val="24"/>
                <w:szCs w:val="24"/>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9,970</w:t>
            </w:r>
          </w:p>
        </w:tc>
        <w:tc>
          <w:tcPr>
            <w:tcW w:w="0" w:type="dxa"/>
            <w:vAlign w:val="bottom"/>
          </w:tcPr>
          <w:p>
            <w:pPr>
              <w:spacing w:after="0"/>
              <w:rPr>
                <w:sz w:val="1"/>
                <w:szCs w:val="1"/>
                <w:color w:val="auto"/>
              </w:rPr>
            </w:pPr>
          </w:p>
        </w:tc>
      </w:tr>
      <w:tr>
        <w:trPr>
          <w:trHeight w:val="309"/>
        </w:trPr>
        <w:tc>
          <w:tcPr>
            <w:tcW w:w="3100" w:type="dxa"/>
            <w:vAlign w:val="bottom"/>
          </w:tcPr>
          <w:p>
            <w:pPr>
              <w:ind w:left="160"/>
              <w:spacing w:after="0"/>
              <w:rPr>
                <w:sz w:val="20"/>
                <w:szCs w:val="20"/>
                <w:color w:val="auto"/>
              </w:rPr>
            </w:pPr>
            <w:r>
              <w:rPr>
                <w:rFonts w:ascii="Arial" w:cs="Arial" w:eastAsia="Arial" w:hAnsi="Arial"/>
                <w:sz w:val="14"/>
                <w:szCs w:val="14"/>
                <w:color w:val="auto"/>
              </w:rPr>
              <w:t>Other</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0.53</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125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10,724</w:t>
            </w:r>
          </w:p>
        </w:tc>
        <w:tc>
          <w:tcPr>
            <w:tcW w:w="80" w:type="dxa"/>
            <w:vAlign w:val="bottom"/>
          </w:tcPr>
          <w:p>
            <w:pPr>
              <w:spacing w:after="0"/>
              <w:rPr>
                <w:sz w:val="24"/>
                <w:szCs w:val="24"/>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0.67</w:t>
            </w:r>
          </w:p>
        </w:tc>
        <w:tc>
          <w:tcPr>
            <w:tcW w:w="10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14,735</w:t>
            </w:r>
          </w:p>
        </w:tc>
        <w:tc>
          <w:tcPr>
            <w:tcW w:w="0" w:type="dxa"/>
            <w:vAlign w:val="bottom"/>
          </w:tcPr>
          <w:p>
            <w:pPr>
              <w:spacing w:after="0"/>
              <w:rPr>
                <w:sz w:val="1"/>
                <w:szCs w:val="1"/>
                <w:color w:val="auto"/>
              </w:rPr>
            </w:pPr>
          </w:p>
        </w:tc>
      </w:tr>
      <w:tr>
        <w:trPr>
          <w:trHeight w:val="425"/>
        </w:trPr>
        <w:tc>
          <w:tcPr>
            <w:tcW w:w="3100" w:type="dxa"/>
            <w:vAlign w:val="bottom"/>
          </w:tcPr>
          <w:p>
            <w:pPr>
              <w:spacing w:after="0"/>
              <w:rPr>
                <w:sz w:val="24"/>
                <w:szCs w:val="24"/>
                <w:color w:val="auto"/>
              </w:rPr>
            </w:pPr>
          </w:p>
        </w:tc>
        <w:tc>
          <w:tcPr>
            <w:tcW w:w="13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spacing w:after="0"/>
              <w:rPr>
                <w:sz w:val="24"/>
                <w:szCs w:val="24"/>
                <w:color w:val="auto"/>
              </w:rPr>
            </w:pPr>
          </w:p>
        </w:tc>
        <w:tc>
          <w:tcPr>
            <w:tcW w:w="2880" w:type="dxa"/>
            <w:vAlign w:val="bottom"/>
            <w:tcBorders>
              <w:bottom w:val="single" w:sz="8" w:color="2C6937"/>
            </w:tcBorders>
            <w:gridSpan w:val="7"/>
          </w:tcPr>
          <w:p>
            <w:pPr>
              <w:jc w:val="center"/>
              <w:ind w:right="40"/>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120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32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ind w:right="347"/>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auto"/>
                <w:w w:val="97"/>
              </w:rPr>
              <w:t>Weighted-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Average Amount</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w:t>
            </w:r>
          </w:p>
        </w:tc>
        <w:tc>
          <w:tcPr>
            <w:tcW w:w="12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Weighted-</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7"/>
              </w:rPr>
              <w:t>Average</w:t>
            </w: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Capitalized as</w:t>
            </w:r>
          </w:p>
        </w:tc>
        <w:tc>
          <w:tcPr>
            <w:tcW w:w="14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7"/>
              </w:rPr>
              <w:t>Average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1100" w:type="dxa"/>
            <w:vAlign w:val="bottom"/>
          </w:tcPr>
          <w:p>
            <w:pPr>
              <w:jc w:val="center"/>
              <w:ind w:right="66"/>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12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7"/>
              </w:rPr>
              <w:t>Extension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14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Extension</w:t>
            </w:r>
          </w:p>
        </w:tc>
        <w:tc>
          <w:tcPr>
            <w:tcW w:w="120" w:type="dxa"/>
            <w:vAlign w:val="bottom"/>
          </w:tcPr>
          <w:p>
            <w:pPr>
              <w:spacing w:after="0"/>
              <w:rPr>
                <w:sz w:val="12"/>
                <w:szCs w:val="12"/>
                <w:color w:val="auto"/>
              </w:rPr>
            </w:pPr>
          </w:p>
        </w:tc>
        <w:tc>
          <w:tcPr>
            <w:tcW w:w="110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120" w:type="dxa"/>
            <w:vAlign w:val="bottom"/>
          </w:tcPr>
          <w:p>
            <w:pPr>
              <w:jc w:val="center"/>
              <w:ind w:left="7"/>
              <w:spacing w:after="0"/>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80"/>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Reduction</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 Months)</w:t>
            </w:r>
          </w:p>
        </w:tc>
        <w:tc>
          <w:tcPr>
            <w:tcW w:w="1220" w:type="dxa"/>
            <w:vAlign w:val="bottom"/>
            <w:gridSpan w:val="2"/>
          </w:tcPr>
          <w:p>
            <w:pPr>
              <w:jc w:val="center"/>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314"/>
        </w:trPr>
        <w:tc>
          <w:tcPr>
            <w:tcW w:w="3100" w:type="dxa"/>
            <w:vAlign w:val="bottom"/>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7"/>
                <w:szCs w:val="17"/>
                <w:color w:val="auto"/>
                <w:vertAlign w:val="superscript"/>
              </w:rPr>
              <w:t>(2)</w:t>
            </w:r>
          </w:p>
        </w:tc>
        <w:tc>
          <w:tcPr>
            <w:tcW w:w="132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2C6937"/>
            </w:tcBorders>
          </w:tcPr>
          <w:p>
            <w:pPr>
              <w:spacing w:after="0"/>
              <w:rPr>
                <w:sz w:val="24"/>
                <w:szCs w:val="24"/>
                <w:color w:val="auto"/>
              </w:rPr>
            </w:pPr>
          </w:p>
        </w:tc>
        <w:tc>
          <w:tcPr>
            <w:tcW w:w="8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108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10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Pr>
          <w:p>
            <w:pPr>
              <w:ind w:left="160"/>
              <w:spacing w:after="0"/>
              <w:rPr>
                <w:sz w:val="20"/>
                <w:szCs w:val="20"/>
                <w:color w:val="auto"/>
              </w:rPr>
            </w:pPr>
            <w:r>
              <w:rPr>
                <w:rFonts w:ascii="Arial" w:cs="Arial" w:eastAsia="Arial" w:hAnsi="Arial"/>
                <w:sz w:val="14"/>
                <w:szCs w:val="14"/>
                <w:color w:val="auto"/>
              </w:rPr>
              <w:t>20- and 30-year or more,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0.77 %</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144</w:t>
            </w:r>
          </w:p>
        </w:tc>
        <w:tc>
          <w:tcPr>
            <w:tcW w:w="30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14,114</w:t>
            </w:r>
          </w:p>
        </w:tc>
        <w:tc>
          <w:tcPr>
            <w:tcW w:w="8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0.58 %</w:t>
            </w:r>
          </w:p>
        </w:tc>
        <w:tc>
          <w:tcPr>
            <w:tcW w:w="10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148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13,162</w:t>
            </w: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4"/>
                <w:szCs w:val="14"/>
                <w:color w:val="auto"/>
              </w:rPr>
              <w:t>15-year or less,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0.84</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53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11,062</w:t>
            </w:r>
          </w:p>
        </w:tc>
        <w:tc>
          <w:tcPr>
            <w:tcW w:w="80" w:type="dxa"/>
            <w:vAlign w:val="bottom"/>
          </w:tcPr>
          <w:p>
            <w:pPr>
              <w:spacing w:after="0"/>
              <w:rPr>
                <w:sz w:val="20"/>
                <w:szCs w:val="20"/>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0"/>
                <w:szCs w:val="20"/>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9,642</w:t>
            </w:r>
          </w:p>
        </w:tc>
        <w:tc>
          <w:tcPr>
            <w:tcW w:w="0" w:type="dxa"/>
            <w:vAlign w:val="bottom"/>
          </w:tcPr>
          <w:p>
            <w:pPr>
              <w:spacing w:after="0"/>
              <w:rPr>
                <w:sz w:val="1"/>
                <w:szCs w:val="1"/>
                <w:color w:val="auto"/>
              </w:rPr>
            </w:pPr>
          </w:p>
        </w:tc>
      </w:tr>
      <w:tr>
        <w:trPr>
          <w:trHeight w:val="309"/>
        </w:trPr>
        <w:tc>
          <w:tcPr>
            <w:tcW w:w="3100" w:type="dxa"/>
            <w:vAlign w:val="bottom"/>
          </w:tcPr>
          <w:p>
            <w:pPr>
              <w:ind w:left="160"/>
              <w:spacing w:after="0"/>
              <w:rPr>
                <w:sz w:val="20"/>
                <w:szCs w:val="20"/>
                <w:color w:val="auto"/>
              </w:rPr>
            </w:pPr>
            <w:r>
              <w:rPr>
                <w:rFonts w:ascii="Arial" w:cs="Arial" w:eastAsia="Arial" w:hAnsi="Arial"/>
                <w:sz w:val="14"/>
                <w:szCs w:val="14"/>
                <w:color w:val="auto"/>
              </w:rPr>
              <w:t>Adjustable-rate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0.54</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11,010</w:t>
            </w:r>
          </w:p>
        </w:tc>
        <w:tc>
          <w:tcPr>
            <w:tcW w:w="80" w:type="dxa"/>
            <w:vAlign w:val="bottom"/>
          </w:tcPr>
          <w:p>
            <w:pPr>
              <w:spacing w:after="0"/>
              <w:rPr>
                <w:sz w:val="24"/>
                <w:szCs w:val="24"/>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10,115</w:t>
            </w:r>
          </w:p>
        </w:tc>
        <w:tc>
          <w:tcPr>
            <w:tcW w:w="0" w:type="dxa"/>
            <w:vAlign w:val="bottom"/>
          </w:tcPr>
          <w:p>
            <w:pPr>
              <w:spacing w:after="0"/>
              <w:rPr>
                <w:sz w:val="1"/>
                <w:szCs w:val="1"/>
                <w:color w:val="auto"/>
              </w:rPr>
            </w:pPr>
          </w:p>
        </w:tc>
      </w:tr>
      <w:tr>
        <w:trPr>
          <w:trHeight w:val="309"/>
        </w:trPr>
        <w:tc>
          <w:tcPr>
            <w:tcW w:w="3100" w:type="dxa"/>
            <w:vAlign w:val="bottom"/>
          </w:tcPr>
          <w:p>
            <w:pPr>
              <w:ind w:left="160"/>
              <w:spacing w:after="0"/>
              <w:rPr>
                <w:sz w:val="20"/>
                <w:szCs w:val="20"/>
                <w:color w:val="auto"/>
              </w:rPr>
            </w:pPr>
            <w:r>
              <w:rPr>
                <w:rFonts w:ascii="Arial" w:cs="Arial" w:eastAsia="Arial" w:hAnsi="Arial"/>
                <w:sz w:val="14"/>
                <w:szCs w:val="14"/>
                <w:color w:val="auto"/>
              </w:rPr>
              <w:t>Other</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1.09</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138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13,855</w:t>
            </w:r>
          </w:p>
        </w:tc>
        <w:tc>
          <w:tcPr>
            <w:tcW w:w="80" w:type="dxa"/>
            <w:vAlign w:val="bottom"/>
          </w:tcPr>
          <w:p>
            <w:pPr>
              <w:spacing w:after="0"/>
              <w:rPr>
                <w:sz w:val="24"/>
                <w:szCs w:val="24"/>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13,571</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20" w:hanging="217"/>
        <w:spacing w:after="0"/>
        <w:tabs>
          <w:tab w:leader="none" w:pos="220" w:val="left"/>
        </w:tabs>
        <w:numPr>
          <w:ilvl w:val="0"/>
          <w:numId w:val="65"/>
        </w:numPr>
        <w:rPr>
          <w:rFonts w:ascii="Arial" w:cs="Arial" w:eastAsia="Arial" w:hAnsi="Arial"/>
          <w:sz w:val="9"/>
          <w:szCs w:val="9"/>
          <w:color w:val="auto"/>
        </w:rPr>
      </w:pPr>
      <w:r>
        <w:rPr>
          <w:rFonts w:ascii="Arial" w:cs="Arial" w:eastAsia="Arial" w:hAnsi="Arial"/>
          <w:sz w:val="14"/>
          <w:szCs w:val="14"/>
          <w:color w:val="auto"/>
        </w:rPr>
        <w:t>Represents the average amount of delinquency-related amounts that were capitalized as part of the loan balance. Amounts are in whole dollars.</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Excludes the financial effects of modifications for loans that were paid off or otherwise liquidated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356235</wp:posOffset>
            </wp:positionV>
            <wp:extent cx="680593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61" w:right="439" w:bottom="1440" w:gutter="0" w:footer="0" w:header="0"/>
        </w:sectPr>
      </w:pPr>
    </w:p>
    <w:bookmarkStart w:id="77" w:name="page78"/>
    <w:bookmarkEnd w:id="77"/>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following tables display the amortized cost of HFI loans that defaulted during the period and had received a completed modification or payment deferral in the twelve months prior to the payment default. For purposes of this disclosure, we define loans that had a payment default as single-family loans with completed modifications that are two or more months delinquent during the period; or multifamily loans with completed modifications that are one or more months delinquent during the period. For loans that receive a forbearance plan, repayment plan or trial modification, these loss mitigation options generally remain in default until the loan is no longer delinquent as a result of the payment of all past-due amounts or as a result of a loan modification or payment deferral. Therefore, forbearance plans, repayment plans and trial modifications are not included in default tables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3300" w:type="dxa"/>
            <w:vAlign w:val="bottom"/>
            <w:tcBorders>
              <w:bottom w:val="single" w:sz="8" w:color="2C6937"/>
            </w:tcBorders>
            <w:gridSpan w:val="6"/>
          </w:tcPr>
          <w:p>
            <w:pPr>
              <w:ind w:left="20"/>
              <w:spacing w:after="0"/>
              <w:rPr>
                <w:sz w:val="20"/>
                <w:szCs w:val="20"/>
                <w:color w:val="auto"/>
              </w:rPr>
            </w:pPr>
            <w:r>
              <w:rPr>
                <w:rFonts w:ascii="Arial" w:cs="Arial" w:eastAsia="Arial" w:hAnsi="Arial"/>
                <w:sz w:val="14"/>
                <w:szCs w:val="14"/>
                <w:b w:val="1"/>
                <w:bCs w:val="1"/>
                <w:color w:val="auto"/>
              </w:rPr>
              <w:t>For the Three Months Ended September 30, 2026</w:t>
            </w:r>
          </w:p>
        </w:tc>
        <w:tc>
          <w:tcPr>
            <w:tcW w:w="36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Extension, Interest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Rate Reduction and</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46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1,202</w:t>
            </w:r>
          </w:p>
        </w:tc>
        <w:tc>
          <w:tcPr>
            <w:tcW w:w="8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1,005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22"/>
                <w:szCs w:val="22"/>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2,357</w:t>
            </w:r>
          </w:p>
        </w:tc>
        <w:tc>
          <w:tcPr>
            <w:tcW w:w="0" w:type="dxa"/>
            <w:vAlign w:val="bottom"/>
          </w:tcPr>
          <w:p>
            <w:pPr>
              <w:spacing w:after="0"/>
              <w:rPr>
                <w:sz w:val="1"/>
                <w:szCs w:val="1"/>
                <w:color w:val="auto"/>
              </w:rPr>
            </w:pPr>
          </w:p>
        </w:tc>
      </w:tr>
      <w:tr>
        <w:trPr>
          <w:trHeight w:val="245"/>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1"/>
                <w:szCs w:val="21"/>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45"/>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1"/>
                <w:szCs w:val="21"/>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6"/>
        </w:trPr>
        <w:tc>
          <w:tcPr>
            <w:tcW w:w="46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1"/>
                <w:szCs w:val="21"/>
                <w:color w:val="auto"/>
              </w:rPr>
            </w:pPr>
          </w:p>
        </w:tc>
        <w:tc>
          <w:tcPr>
            <w:tcW w:w="36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37"/>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1,243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152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2,423</w:t>
            </w:r>
          </w:p>
        </w:tc>
        <w:tc>
          <w:tcPr>
            <w:tcW w:w="0" w:type="dxa"/>
            <w:vAlign w:val="bottom"/>
          </w:tcPr>
          <w:p>
            <w:pPr>
              <w:spacing w:after="0"/>
              <w:rPr>
                <w:sz w:val="1"/>
                <w:szCs w:val="1"/>
                <w:color w:val="auto"/>
              </w:rPr>
            </w:pPr>
          </w:p>
        </w:tc>
      </w:tr>
      <w:tr>
        <w:trPr>
          <w:trHeight w:val="246"/>
        </w:trPr>
        <w:tc>
          <w:tcPr>
            <w:tcW w:w="46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36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spacing w:after="0"/>
              <w:rPr>
                <w:sz w:val="20"/>
                <w:szCs w:val="20"/>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1,243</w:t>
            </w:r>
          </w:p>
        </w:tc>
        <w:tc>
          <w:tcPr>
            <w:tcW w:w="80" w:type="dxa"/>
            <w:vAlign w:val="bottom"/>
          </w:tcPr>
          <w:p>
            <w:pPr>
              <w:spacing w:after="0"/>
              <w:rPr>
                <w:sz w:val="20"/>
                <w:szCs w:val="20"/>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1,028</w:t>
            </w:r>
          </w:p>
        </w:tc>
        <w:tc>
          <w:tcPr>
            <w:tcW w:w="100" w:type="dxa"/>
            <w:vAlign w:val="bottom"/>
          </w:tcPr>
          <w:p>
            <w:pPr>
              <w:spacing w:after="0"/>
              <w:rPr>
                <w:sz w:val="20"/>
                <w:szCs w:val="20"/>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152</w:t>
            </w:r>
          </w:p>
        </w:tc>
        <w:tc>
          <w:tcPr>
            <w:tcW w:w="80" w:type="dxa"/>
            <w:vAlign w:val="bottom"/>
          </w:tcPr>
          <w:p>
            <w:pPr>
              <w:spacing w:after="0"/>
              <w:rPr>
                <w:sz w:val="20"/>
                <w:szCs w:val="20"/>
                <w:color w:val="auto"/>
              </w:rPr>
            </w:pPr>
          </w:p>
        </w:tc>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2,423</w:t>
            </w:r>
          </w:p>
        </w:tc>
        <w:tc>
          <w:tcPr>
            <w:tcW w:w="0" w:type="dxa"/>
            <w:vAlign w:val="bottom"/>
          </w:tcPr>
          <w:p>
            <w:pPr>
              <w:spacing w:after="0"/>
              <w:rPr>
                <w:sz w:val="1"/>
                <w:szCs w:val="1"/>
                <w:color w:val="auto"/>
              </w:rPr>
            </w:pPr>
          </w:p>
        </w:tc>
      </w:tr>
      <w:tr>
        <w:trPr>
          <w:trHeight w:val="20"/>
        </w:trPr>
        <w:tc>
          <w:tcPr>
            <w:tcW w:w="4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3300" w:type="dxa"/>
            <w:vAlign w:val="bottom"/>
            <w:tcBorders>
              <w:bottom w:val="single" w:sz="8" w:color="2C6937"/>
            </w:tcBorders>
            <w:gridSpan w:val="6"/>
          </w:tcPr>
          <w:p>
            <w:pPr>
              <w:ind w:left="60"/>
              <w:spacing w:after="0"/>
              <w:rPr>
                <w:sz w:val="20"/>
                <w:szCs w:val="20"/>
                <w:color w:val="auto"/>
              </w:rPr>
            </w:pPr>
            <w:r>
              <w:rPr>
                <w:rFonts w:ascii="Arial" w:cs="Arial" w:eastAsia="Arial" w:hAnsi="Arial"/>
                <w:sz w:val="14"/>
                <w:szCs w:val="14"/>
                <w:b w:val="1"/>
                <w:bCs w:val="1"/>
                <w:color w:val="auto"/>
              </w:rPr>
              <w:t>For the Nine Months Ended September 30, 2026</w:t>
            </w:r>
          </w:p>
        </w:tc>
        <w:tc>
          <w:tcPr>
            <w:tcW w:w="36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Extension, Interest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Rate Reduction and</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46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2,429</w:t>
            </w:r>
          </w:p>
        </w:tc>
        <w:tc>
          <w:tcPr>
            <w:tcW w:w="8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2,051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261</w:t>
            </w:r>
          </w:p>
        </w:tc>
        <w:tc>
          <w:tcPr>
            <w:tcW w:w="80" w:type="dxa"/>
            <w:vAlign w:val="bottom"/>
          </w:tcPr>
          <w:p>
            <w:pPr>
              <w:spacing w:after="0"/>
              <w:rPr>
                <w:sz w:val="22"/>
                <w:szCs w:val="22"/>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4,741</w:t>
            </w:r>
          </w:p>
        </w:tc>
        <w:tc>
          <w:tcPr>
            <w:tcW w:w="0" w:type="dxa"/>
            <w:vAlign w:val="bottom"/>
          </w:tcPr>
          <w:p>
            <w:pPr>
              <w:spacing w:after="0"/>
              <w:rPr>
                <w:sz w:val="1"/>
                <w:szCs w:val="1"/>
                <w:color w:val="auto"/>
              </w:rPr>
            </w:pPr>
          </w:p>
        </w:tc>
      </w:tr>
      <w:tr>
        <w:trPr>
          <w:trHeight w:val="245"/>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1"/>
                <w:szCs w:val="21"/>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45"/>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1"/>
                <w:szCs w:val="21"/>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46"/>
        </w:trPr>
        <w:tc>
          <w:tcPr>
            <w:tcW w:w="46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1"/>
                <w:szCs w:val="21"/>
                <w:color w:val="auto"/>
              </w:rPr>
            </w:pPr>
          </w:p>
        </w:tc>
        <w:tc>
          <w:tcPr>
            <w:tcW w:w="36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37"/>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2,514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4,875</w:t>
            </w:r>
          </w:p>
        </w:tc>
        <w:tc>
          <w:tcPr>
            <w:tcW w:w="0" w:type="dxa"/>
            <w:vAlign w:val="bottom"/>
          </w:tcPr>
          <w:p>
            <w:pPr>
              <w:spacing w:after="0"/>
              <w:rPr>
                <w:sz w:val="1"/>
                <w:szCs w:val="1"/>
                <w:color w:val="auto"/>
              </w:rPr>
            </w:pPr>
          </w:p>
        </w:tc>
      </w:tr>
      <w:tr>
        <w:trPr>
          <w:trHeight w:val="246"/>
        </w:trPr>
        <w:tc>
          <w:tcPr>
            <w:tcW w:w="46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36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9"/>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2,514</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2,093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268</w:t>
            </w:r>
          </w:p>
        </w:tc>
        <w:tc>
          <w:tcPr>
            <w:tcW w:w="8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4,875</w:t>
            </w:r>
          </w:p>
        </w:tc>
        <w:tc>
          <w:tcPr>
            <w:tcW w:w="0" w:type="dxa"/>
            <w:vAlign w:val="bottom"/>
          </w:tcPr>
          <w:p>
            <w:pPr>
              <w:spacing w:after="0"/>
              <w:rPr>
                <w:sz w:val="1"/>
                <w:szCs w:val="1"/>
                <w:color w:val="auto"/>
              </w:rPr>
            </w:pPr>
          </w:p>
        </w:tc>
      </w:tr>
      <w:tr>
        <w:trPr>
          <w:trHeight w:val="20"/>
        </w:trPr>
        <w:tc>
          <w:tcPr>
            <w:tcW w:w="4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417195</wp:posOffset>
            </wp:positionV>
            <wp:extent cx="680593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78" w:name="page79"/>
    <w:bookmarkEnd w:id="78"/>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For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26670</wp:posOffset>
            </wp:positionV>
            <wp:extent cx="40360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036060" cy="8255"/>
                    </a:xfrm>
                    <a:prstGeom prst="rect">
                      <a:avLst/>
                    </a:prstGeom>
                    <a:noFill/>
                  </pic:spPr>
                </pic:pic>
              </a:graphicData>
            </a:graphic>
          </wp:anchor>
        </w:drawing>
      </w:r>
    </w:p>
    <w:p>
      <w:pPr>
        <w:sectPr>
          <w:pgSz w:w="11900" w:h="16838" w:orient="portrait"/>
          <w:cols w:equalWidth="0" w:num="1">
            <w:col w:w="11140"/>
          </w:cols>
          <w:pgMar w:left="320" w:top="26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 fixed-rate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89814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single-family</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89814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289814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8981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289814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Payment Delay as a</w:t>
            </w:r>
          </w:p>
        </w:tc>
        <w:tc>
          <w:tcPr>
            <w:tcW w:w="12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Payment Delay and</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Payment Delay, Term</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150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Result of a Payment</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Extension and Interest</w:t>
            </w:r>
          </w:p>
        </w:tc>
        <w:tc>
          <w:tcPr>
            <w:tcW w:w="340" w:type="dxa"/>
            <w:vAlign w:val="bottom"/>
          </w:tcPr>
          <w:p>
            <w:pPr>
              <w:spacing w:after="0"/>
              <w:rPr>
                <w:sz w:val="12"/>
                <w:szCs w:val="12"/>
                <w:color w:val="auto"/>
              </w:rPr>
            </w:pPr>
          </w:p>
        </w:tc>
        <w:tc>
          <w:tcPr>
            <w:tcW w:w="118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0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Deferral (Only)</w:t>
            </w:r>
          </w:p>
        </w:tc>
        <w:tc>
          <w:tcPr>
            <w:tcW w:w="12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Term Extension</w:t>
            </w:r>
          </w:p>
        </w:tc>
        <w:tc>
          <w:tcPr>
            <w:tcW w:w="1280" w:type="dxa"/>
            <w:vAlign w:val="bottom"/>
            <w:tcBorders>
              <w:bottom w:val="single" w:sz="8" w:color="2C6937"/>
            </w:tcBorders>
          </w:tcPr>
          <w:p>
            <w:pPr>
              <w:jc w:val="center"/>
              <w:ind w:left="168"/>
              <w:spacing w:after="0"/>
              <w:rPr>
                <w:sz w:val="20"/>
                <w:szCs w:val="20"/>
                <w:color w:val="auto"/>
              </w:rPr>
            </w:pPr>
            <w:r>
              <w:rPr>
                <w:rFonts w:ascii="Arial" w:cs="Arial" w:eastAsia="Arial" w:hAnsi="Arial"/>
                <w:sz w:val="14"/>
                <w:szCs w:val="14"/>
                <w:b w:val="1"/>
                <w:bCs w:val="1"/>
                <w:color w:val="auto"/>
                <w:w w:val="97"/>
              </w:rPr>
              <w:t>Rate Reduction</w:t>
            </w:r>
          </w:p>
        </w:tc>
        <w:tc>
          <w:tcPr>
            <w:tcW w:w="2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40" w:type="dxa"/>
            <w:vAlign w:val="bottom"/>
            <w:tcBorders>
              <w:bottom w:val="single" w:sz="8" w:color="2C6937"/>
            </w:tcBorders>
          </w:tcPr>
          <w:p>
            <w:pPr>
              <w:spacing w:after="0"/>
              <w:rPr>
                <w:sz w:val="15"/>
                <w:szCs w:val="15"/>
                <w:color w:val="auto"/>
              </w:rPr>
            </w:pPr>
          </w:p>
        </w:tc>
        <w:tc>
          <w:tcPr>
            <w:tcW w:w="11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3"/>
          </w:tcPr>
          <w:p>
            <w:pPr>
              <w:ind w:left="8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0"/>
        </w:trPr>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1,280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1,021</w:t>
            </w: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95"/>
              </w:rPr>
              <w:t>57</w:t>
            </w:r>
          </w:p>
        </w:tc>
        <w:tc>
          <w:tcPr>
            <w:tcW w:w="100" w:type="dxa"/>
            <w:vAlign w:val="bottom"/>
          </w:tcPr>
          <w:p>
            <w:pPr>
              <w:spacing w:after="0"/>
              <w:rPr>
                <w:sz w:val="24"/>
                <w:szCs w:val="24"/>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2,358</w:t>
            </w: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1"/>
                <w:szCs w:val="21"/>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2"/>
        </w:trPr>
        <w:tc>
          <w:tcPr>
            <w:tcW w:w="100" w:type="dxa"/>
            <w:vAlign w:val="bottom"/>
            <w:tcBorders>
              <w:bottom w:val="single" w:sz="8" w:color="2C6937"/>
            </w:tcBorders>
          </w:tcPr>
          <w:p>
            <w:pPr>
              <w:spacing w:after="0"/>
              <w:rPr>
                <w:sz w:val="21"/>
                <w:szCs w:val="21"/>
                <w:color w:val="auto"/>
              </w:rPr>
            </w:pP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1"/>
                <w:szCs w:val="21"/>
                <w:color w:val="auto"/>
              </w:rPr>
            </w:pPr>
          </w:p>
        </w:tc>
        <w:tc>
          <w:tcPr>
            <w:tcW w:w="1280" w:type="dxa"/>
            <w:vAlign w:val="bottom"/>
            <w:tcBorders>
              <w:bottom w:val="single" w:sz="8" w:color="2C6937"/>
            </w:tcBorders>
          </w:tcPr>
          <w:p>
            <w:pPr>
              <w:spacing w:after="0"/>
              <w:rPr>
                <w:sz w:val="21"/>
                <w:szCs w:val="21"/>
                <w:color w:val="auto"/>
              </w:rPr>
            </w:pP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1"/>
                <w:szCs w:val="21"/>
                <w:color w:val="auto"/>
              </w:rPr>
            </w:pPr>
          </w:p>
        </w:tc>
        <w:tc>
          <w:tcPr>
            <w:tcW w:w="340" w:type="dxa"/>
            <w:vAlign w:val="bottom"/>
            <w:tcBorders>
              <w:bottom w:val="single" w:sz="8" w:color="2C6937"/>
            </w:tcBorders>
          </w:tcPr>
          <w:p>
            <w:pPr>
              <w:spacing w:after="0"/>
              <w:rPr>
                <w:sz w:val="21"/>
                <w:szCs w:val="21"/>
                <w:color w:val="auto"/>
              </w:rPr>
            </w:pP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1,328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1,030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w w:val="95"/>
              </w:rPr>
              <w:t>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2,421</w:t>
            </w: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w w:val="95"/>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38"/>
        </w:trPr>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1,328</w:t>
            </w:r>
          </w:p>
        </w:tc>
        <w:tc>
          <w:tcPr>
            <w:tcW w:w="80" w:type="dxa"/>
            <w:vAlign w:val="bottom"/>
          </w:tcPr>
          <w:p>
            <w:pPr>
              <w:spacing w:after="0"/>
              <w:rPr>
                <w:sz w:val="20"/>
                <w:szCs w:val="20"/>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1,030</w:t>
            </w:r>
          </w:p>
        </w:tc>
        <w:tc>
          <w:tcPr>
            <w:tcW w:w="100" w:type="dxa"/>
            <w:vAlign w:val="bottom"/>
          </w:tcPr>
          <w:p>
            <w:pPr>
              <w:spacing w:after="0"/>
              <w:rPr>
                <w:sz w:val="20"/>
                <w:szCs w:val="20"/>
                <w:color w:val="auto"/>
              </w:rPr>
            </w:pPr>
          </w:p>
        </w:tc>
        <w:tc>
          <w:tcPr>
            <w:tcW w:w="12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84</w:t>
            </w:r>
          </w:p>
        </w:tc>
        <w:tc>
          <w:tcPr>
            <w:tcW w:w="100" w:type="dxa"/>
            <w:vAlign w:val="bottom"/>
          </w:tcPr>
          <w:p>
            <w:pPr>
              <w:spacing w:after="0"/>
              <w:rPr>
                <w:sz w:val="20"/>
                <w:szCs w:val="20"/>
                <w:color w:val="auto"/>
              </w:rPr>
            </w:pPr>
          </w:p>
        </w:tc>
        <w:tc>
          <w:tcPr>
            <w:tcW w:w="340" w:type="dxa"/>
            <w:vAlign w:val="bottom"/>
            <w:tcBorders>
              <w:top w:val="single" w:sz="8" w:color="2C6937"/>
              <w:bottom w:val="single" w:sz="8" w:color="2C6937"/>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2C6937"/>
              <w:bottom w:val="single" w:sz="8" w:color="2C6937"/>
            </w:tcBorders>
          </w:tcPr>
          <w:p>
            <w:pPr>
              <w:jc w:val="right"/>
              <w:ind w:right="4"/>
              <w:spacing w:after="0"/>
              <w:rPr>
                <w:sz w:val="20"/>
                <w:szCs w:val="20"/>
                <w:color w:val="auto"/>
              </w:rPr>
            </w:pPr>
            <w:r>
              <w:rPr>
                <w:rFonts w:ascii="Arial" w:cs="Arial" w:eastAsia="Arial" w:hAnsi="Arial"/>
                <w:sz w:val="15"/>
                <w:szCs w:val="15"/>
                <w:color w:val="auto"/>
              </w:rPr>
              <w:t>2,442</w:t>
            </w:r>
          </w:p>
        </w:tc>
        <w:tc>
          <w:tcPr>
            <w:tcW w:w="0" w:type="dxa"/>
            <w:vAlign w:val="bottom"/>
          </w:tcPr>
          <w:p>
            <w:pPr>
              <w:spacing w:after="0"/>
              <w:rPr>
                <w:sz w:val="1"/>
                <w:szCs w:val="1"/>
                <w:color w:val="auto"/>
              </w:rPr>
            </w:pPr>
          </w:p>
        </w:tc>
      </w:tr>
      <w:tr>
        <w:trPr>
          <w:trHeight w:val="26"/>
        </w:trPr>
        <w:tc>
          <w:tcPr>
            <w:tcW w:w="100" w:type="dxa"/>
            <w:vAlign w:val="bottom"/>
            <w:tcBorders>
              <w:bottom w:val="single" w:sz="8" w:color="2C6937"/>
            </w:tcBorders>
          </w:tcPr>
          <w:p>
            <w:pPr>
              <w:spacing w:after="0"/>
              <w:rPr>
                <w:sz w:val="2"/>
                <w:szCs w:val="2"/>
                <w:color w:val="auto"/>
              </w:rPr>
            </w:pPr>
          </w:p>
        </w:tc>
        <w:tc>
          <w:tcPr>
            <w:tcW w:w="14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4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2C6937"/>
            </w:tcBorders>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2C6937"/>
            </w:tcBorders>
          </w:tcPr>
          <w:p>
            <w:pPr>
              <w:spacing w:after="0"/>
              <w:rPr>
                <w:sz w:val="2"/>
                <w:szCs w:val="2"/>
                <w:color w:val="auto"/>
              </w:rPr>
            </w:pPr>
          </w:p>
        </w:tc>
        <w:tc>
          <w:tcPr>
            <w:tcW w:w="118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wp:posOffset>
            </wp:positionV>
            <wp:extent cx="40360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036060"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3940" w:space="720"/>
            <w:col w:w="6480"/>
          </w:cols>
          <w:pgMar w:left="320" w:top="261" w:right="4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Payment Delay as a</w:t>
            </w:r>
          </w:p>
        </w:tc>
        <w:tc>
          <w:tcPr>
            <w:tcW w:w="12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Payment Delay and</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Payment Delay, Term</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Result of a Payment</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Extension and Interest</w:t>
            </w:r>
          </w:p>
        </w:tc>
        <w:tc>
          <w:tcPr>
            <w:tcW w:w="340" w:type="dxa"/>
            <w:vAlign w:val="bottom"/>
          </w:tcPr>
          <w:p>
            <w:pPr>
              <w:spacing w:after="0"/>
              <w:rPr>
                <w:sz w:val="12"/>
                <w:szCs w:val="12"/>
                <w:color w:val="auto"/>
              </w:rPr>
            </w:pPr>
          </w:p>
        </w:tc>
        <w:tc>
          <w:tcPr>
            <w:tcW w:w="118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Deferral (Only)</w:t>
            </w:r>
          </w:p>
        </w:tc>
        <w:tc>
          <w:tcPr>
            <w:tcW w:w="12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Term Extension</w:t>
            </w:r>
          </w:p>
        </w:tc>
        <w:tc>
          <w:tcPr>
            <w:tcW w:w="18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7"/>
              </w:rPr>
              <w:t>Rate Reduction</w:t>
            </w:r>
          </w:p>
        </w:tc>
        <w:tc>
          <w:tcPr>
            <w:tcW w:w="340" w:type="dxa"/>
            <w:vAlign w:val="bottom"/>
            <w:tcBorders>
              <w:bottom w:val="single" w:sz="8" w:color="2C6937"/>
            </w:tcBorders>
          </w:tcPr>
          <w:p>
            <w:pPr>
              <w:spacing w:after="0"/>
              <w:rPr>
                <w:sz w:val="15"/>
                <w:szCs w:val="15"/>
                <w:color w:val="auto"/>
              </w:rPr>
            </w:pPr>
          </w:p>
        </w:tc>
        <w:tc>
          <w:tcPr>
            <w:tcW w:w="11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5"/>
          </w:tcPr>
          <w:p>
            <w:pPr>
              <w:ind w:left="82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2,631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1,863</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21"/>
                <w:szCs w:val="21"/>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4,579</w:t>
            </w:r>
          </w:p>
        </w:tc>
        <w:tc>
          <w:tcPr>
            <w:tcW w:w="0" w:type="dxa"/>
            <w:vAlign w:val="bottom"/>
          </w:tcPr>
          <w:p>
            <w:pPr>
              <w:spacing w:after="0"/>
              <w:rPr>
                <w:sz w:val="1"/>
                <w:szCs w:val="1"/>
                <w:color w:val="auto"/>
              </w:rPr>
            </w:pPr>
          </w:p>
        </w:tc>
      </w:tr>
      <w:tr>
        <w:trPr>
          <w:trHeight w:val="245"/>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1"/>
                <w:szCs w:val="21"/>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1"/>
                <w:szCs w:val="21"/>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45"/>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1"/>
                <w:szCs w:val="21"/>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52"/>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1"/>
                <w:szCs w:val="21"/>
                <w:color w:val="auto"/>
              </w:rPr>
            </w:pPr>
          </w:p>
        </w:tc>
        <w:tc>
          <w:tcPr>
            <w:tcW w:w="340" w:type="dxa"/>
            <w:vAlign w:val="bottom"/>
            <w:tcBorders>
              <w:bottom w:val="single" w:sz="8" w:color="2C6937"/>
            </w:tcBorders>
          </w:tcPr>
          <w:p>
            <w:pPr>
              <w:spacing w:after="0"/>
              <w:rPr>
                <w:sz w:val="21"/>
                <w:szCs w:val="21"/>
                <w:color w:val="auto"/>
              </w:rPr>
            </w:pP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2,728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1,878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4,701</w:t>
            </w:r>
          </w:p>
        </w:tc>
        <w:tc>
          <w:tcPr>
            <w:tcW w:w="0" w:type="dxa"/>
            <w:vAlign w:val="bottom"/>
          </w:tcPr>
          <w:p>
            <w:pPr>
              <w:spacing w:after="0"/>
              <w:rPr>
                <w:sz w:val="1"/>
                <w:szCs w:val="1"/>
                <w:color w:val="auto"/>
              </w:rPr>
            </w:pPr>
          </w:p>
        </w:tc>
      </w:tr>
      <w:tr>
        <w:trPr>
          <w:trHeight w:val="252"/>
        </w:trPr>
        <w:tc>
          <w:tcPr>
            <w:tcW w:w="4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1"/>
                <w:szCs w:val="21"/>
                <w:color w:val="auto"/>
              </w:rPr>
            </w:pPr>
          </w:p>
        </w:tc>
        <w:tc>
          <w:tcPr>
            <w:tcW w:w="340" w:type="dxa"/>
            <w:vAlign w:val="bottom"/>
            <w:tcBorders>
              <w:bottom w:val="single" w:sz="8" w:color="2C6937"/>
            </w:tcBorders>
          </w:tcPr>
          <w:p>
            <w:pPr>
              <w:spacing w:after="0"/>
              <w:rPr>
                <w:sz w:val="21"/>
                <w:szCs w:val="21"/>
                <w:color w:val="auto"/>
              </w:rPr>
            </w:pP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45"/>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2,728</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1,878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21"/>
                <w:szCs w:val="21"/>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4,722</w:t>
            </w:r>
          </w:p>
        </w:tc>
        <w:tc>
          <w:tcPr>
            <w:tcW w:w="0" w:type="dxa"/>
            <w:vAlign w:val="bottom"/>
          </w:tcPr>
          <w:p>
            <w:pPr>
              <w:spacing w:after="0"/>
              <w:rPr>
                <w:sz w:val="1"/>
                <w:szCs w:val="1"/>
                <w:color w:val="auto"/>
              </w:rPr>
            </w:pPr>
          </w:p>
        </w:tc>
      </w:tr>
      <w:tr>
        <w:trPr>
          <w:trHeight w:val="20"/>
        </w:trPr>
        <w:tc>
          <w:tcPr>
            <w:tcW w:w="4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3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37" w:lineRule="exact"/>
        <w:rPr>
          <w:rFonts w:ascii="Arial" w:cs="Arial" w:eastAsia="Arial" w:hAnsi="Arial"/>
          <w:sz w:val="18"/>
          <w:szCs w:val="18"/>
          <w:color w:val="auto"/>
          <w:vertAlign w:val="superscript"/>
        </w:rPr>
      </w:pPr>
    </w:p>
    <w:p>
      <w:pPr>
        <w:ind w:left="240" w:right="100" w:hanging="237"/>
        <w:spacing w:after="0" w:line="222" w:lineRule="auto"/>
        <w:tabs>
          <w:tab w:leader="none" w:pos="216"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the three months ended September 30, 2026 did not default during the third quarter of 2026. The substantial majority of loans that received a completed modification or a payment deferral during the three months ended September 30, 2025 did not default during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357505</wp:posOffset>
            </wp:positionV>
            <wp:extent cx="680593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61" w:right="439" w:bottom="1440" w:gutter="0" w:footer="0" w:header="0"/>
          <w:type w:val="continuous"/>
        </w:sectPr>
      </w:pPr>
    </w:p>
    <w:bookmarkStart w:id="79" w:name="page80"/>
    <w:bookmarkEnd w:id="79"/>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The following tables display an aging analysis of HFI mortgage loans that were restructured during the twelve months prior to September 30, 2026 and September 30, 2025, respectively, presented by portfolio segment and class of financing receivable.</w:t>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fixed-rate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17272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65" w:lineRule="exact"/>
        <w:rPr>
          <w:sz w:val="20"/>
          <w:szCs w:val="20"/>
          <w:color w:val="auto"/>
        </w:rPr>
      </w:pPr>
    </w:p>
    <w:p>
      <w:pPr>
        <w:ind w:left="20" w:right="380"/>
        <w:spacing w:after="0" w:line="349" w:lineRule="auto"/>
        <w:rPr>
          <w:sz w:val="20"/>
          <w:szCs w:val="20"/>
          <w:color w:val="auto"/>
        </w:rPr>
      </w:pPr>
      <w:r>
        <w:rPr>
          <w:rFonts w:ascii="Arial" w:cs="Arial" w:eastAsia="Arial" w:hAnsi="Arial"/>
          <w:sz w:val="15"/>
          <w:szCs w:val="15"/>
          <w:color w:val="auto"/>
        </w:rPr>
        <w:t>Total single-family loans modified 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7272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7272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727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7272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fixed-rate</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17272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65" w:lineRule="exact"/>
        <w:rPr>
          <w:sz w:val="20"/>
          <w:szCs w:val="20"/>
          <w:color w:val="auto"/>
        </w:rPr>
      </w:pPr>
    </w:p>
    <w:p>
      <w:pPr>
        <w:ind w:left="60" w:right="380" w:hanging="42"/>
        <w:spacing w:after="0" w:line="349" w:lineRule="auto"/>
        <w:rPr>
          <w:sz w:val="20"/>
          <w:szCs w:val="20"/>
          <w:color w:val="auto"/>
        </w:rPr>
      </w:pPr>
      <w:r>
        <w:rPr>
          <w:rFonts w:ascii="Arial" w:cs="Arial" w:eastAsia="Arial" w:hAnsi="Arial"/>
          <w:sz w:val="15"/>
          <w:szCs w:val="15"/>
          <w:color w:val="auto"/>
        </w:rPr>
        <w:t>Total single-family loans modified 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7272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7272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27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7272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September 30, 2026</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535368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353685"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4"/>
                <w:szCs w:val="14"/>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4"/>
                <w:szCs w:val="14"/>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3"/>
        </w:trPr>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4,670</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3,026</w:t>
            </w:r>
          </w:p>
        </w:tc>
        <w:tc>
          <w:tcPr>
            <w:tcW w:w="8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13,677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21,373</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15,550</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36,923</w:t>
            </w:r>
          </w:p>
        </w:tc>
        <w:tc>
          <w:tcPr>
            <w:tcW w:w="0" w:type="dxa"/>
            <w:vAlign w:val="bottom"/>
          </w:tcPr>
          <w:p>
            <w:pPr>
              <w:spacing w:after="0"/>
              <w:rPr>
                <w:sz w:val="1"/>
                <w:szCs w:val="1"/>
                <w:color w:val="auto"/>
              </w:rPr>
            </w:pPr>
          </w:p>
        </w:tc>
      </w:tr>
      <w:tr>
        <w:trPr>
          <w:trHeight w:val="245"/>
        </w:trPr>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989</w:t>
            </w:r>
          </w:p>
        </w:tc>
        <w:tc>
          <w:tcPr>
            <w:tcW w:w="0" w:type="dxa"/>
            <w:vAlign w:val="bottom"/>
          </w:tcPr>
          <w:p>
            <w:pPr>
              <w:spacing w:after="0"/>
              <w:rPr>
                <w:sz w:val="1"/>
                <w:szCs w:val="1"/>
                <w:color w:val="auto"/>
              </w:rPr>
            </w:pPr>
          </w:p>
        </w:tc>
      </w:tr>
      <w:tr>
        <w:trPr>
          <w:trHeight w:val="245"/>
        </w:trPr>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52"/>
        </w:trPr>
        <w:tc>
          <w:tcPr>
            <w:tcW w:w="2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1"/>
                <w:szCs w:val="21"/>
                <w:color w:val="auto"/>
              </w:rPr>
            </w:pPr>
          </w:p>
        </w:tc>
        <w:tc>
          <w:tcPr>
            <w:tcW w:w="30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3,138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14,136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22,103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16,197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38,300</w:t>
            </w:r>
          </w:p>
        </w:tc>
        <w:tc>
          <w:tcPr>
            <w:tcW w:w="0" w:type="dxa"/>
            <w:vAlign w:val="bottom"/>
          </w:tcPr>
          <w:p>
            <w:pPr>
              <w:spacing w:after="0"/>
              <w:rPr>
                <w:sz w:val="1"/>
                <w:szCs w:val="1"/>
                <w:color w:val="auto"/>
              </w:rPr>
            </w:pPr>
          </w:p>
        </w:tc>
      </w:tr>
      <w:tr>
        <w:trPr>
          <w:trHeight w:val="252"/>
        </w:trPr>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21"/>
                <w:szCs w:val="21"/>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737</w:t>
            </w:r>
          </w:p>
        </w:tc>
        <w:tc>
          <w:tcPr>
            <w:tcW w:w="0" w:type="dxa"/>
            <w:vAlign w:val="bottom"/>
          </w:tcPr>
          <w:p>
            <w:pPr>
              <w:spacing w:after="0"/>
              <w:rPr>
                <w:sz w:val="1"/>
                <w:szCs w:val="1"/>
                <w:color w:val="auto"/>
              </w:rPr>
            </w:pPr>
          </w:p>
        </w:tc>
      </w:tr>
      <w:tr>
        <w:trPr>
          <w:trHeight w:val="238"/>
        </w:trPr>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4,829</w:t>
            </w:r>
          </w:p>
        </w:tc>
        <w:tc>
          <w:tcPr>
            <w:tcW w:w="100" w:type="dxa"/>
            <w:vAlign w:val="bottom"/>
          </w:tcPr>
          <w:p>
            <w:pPr>
              <w:spacing w:after="0"/>
              <w:rPr>
                <w:sz w:val="20"/>
                <w:szCs w:val="20"/>
                <w:color w:val="auto"/>
              </w:rPr>
            </w:pPr>
          </w:p>
        </w:tc>
        <w:tc>
          <w:tcPr>
            <w:tcW w:w="18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3,138</w:t>
            </w:r>
          </w:p>
        </w:tc>
        <w:tc>
          <w:tcPr>
            <w:tcW w:w="80" w:type="dxa"/>
            <w:vAlign w:val="bottom"/>
          </w:tcPr>
          <w:p>
            <w:pPr>
              <w:spacing w:after="0"/>
              <w:rPr>
                <w:sz w:val="20"/>
                <w:szCs w:val="20"/>
                <w:color w:val="auto"/>
              </w:rPr>
            </w:pPr>
          </w:p>
        </w:tc>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2C6937"/>
              <w:bottom w:val="single" w:sz="8" w:color="2C6937"/>
            </w:tcBorders>
          </w:tcPr>
          <w:p>
            <w:pPr>
              <w:jc w:val="right"/>
              <w:ind w:right="6"/>
              <w:spacing w:after="0"/>
              <w:rPr>
                <w:sz w:val="20"/>
                <w:szCs w:val="20"/>
                <w:color w:val="auto"/>
              </w:rPr>
            </w:pPr>
            <w:r>
              <w:rPr>
                <w:rFonts w:ascii="Arial" w:cs="Arial" w:eastAsia="Arial" w:hAnsi="Arial"/>
                <w:sz w:val="15"/>
                <w:szCs w:val="15"/>
                <w:color w:val="auto"/>
              </w:rPr>
              <w:t>14,145</w:t>
            </w:r>
          </w:p>
        </w:tc>
        <w:tc>
          <w:tcPr>
            <w:tcW w:w="80" w:type="dxa"/>
            <w:vAlign w:val="bottom"/>
          </w:tcPr>
          <w:p>
            <w:pPr>
              <w:spacing w:after="0"/>
              <w:rPr>
                <w:sz w:val="20"/>
                <w:szCs w:val="20"/>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22,112</w:t>
            </w:r>
          </w:p>
        </w:tc>
        <w:tc>
          <w:tcPr>
            <w:tcW w:w="100" w:type="dxa"/>
            <w:vAlign w:val="bottom"/>
          </w:tcPr>
          <w:p>
            <w:pPr>
              <w:spacing w:after="0"/>
              <w:rPr>
                <w:sz w:val="20"/>
                <w:szCs w:val="20"/>
                <w:color w:val="auto"/>
              </w:rPr>
            </w:pPr>
          </w:p>
        </w:tc>
        <w:tc>
          <w:tcPr>
            <w:tcW w:w="26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16,925</w:t>
            </w:r>
          </w:p>
        </w:tc>
        <w:tc>
          <w:tcPr>
            <w:tcW w:w="100" w:type="dxa"/>
            <w:vAlign w:val="bottom"/>
          </w:tcPr>
          <w:p>
            <w:pPr>
              <w:spacing w:after="0"/>
              <w:rPr>
                <w:sz w:val="20"/>
                <w:szCs w:val="20"/>
                <w:color w:val="auto"/>
              </w:rPr>
            </w:pPr>
          </w:p>
        </w:tc>
        <w:tc>
          <w:tcPr>
            <w:tcW w:w="30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39,037</w:t>
            </w:r>
          </w:p>
        </w:tc>
        <w:tc>
          <w:tcPr>
            <w:tcW w:w="0" w:type="dxa"/>
            <w:vAlign w:val="bottom"/>
          </w:tcPr>
          <w:p>
            <w:pPr>
              <w:spacing w:after="0"/>
              <w:rPr>
                <w:sz w:val="1"/>
                <w:szCs w:val="1"/>
                <w:color w:val="auto"/>
              </w:rPr>
            </w:pPr>
          </w:p>
        </w:tc>
      </w:tr>
      <w:tr>
        <w:trPr>
          <w:trHeight w:val="26"/>
        </w:trPr>
        <w:tc>
          <w:tcPr>
            <w:tcW w:w="20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1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11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2C6937"/>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6"/>
              </w:rPr>
              <w:t>As of September 30, 2025</w:t>
            </w:r>
            <w:r>
              <w:rPr>
                <w:rFonts w:ascii="Arial" w:cs="Arial" w:eastAsia="Arial" w:hAnsi="Arial"/>
                <w:sz w:val="17"/>
                <w:szCs w:val="17"/>
                <w:b w:val="1"/>
                <w:bCs w:val="1"/>
                <w:color w:val="auto"/>
                <w:w w:val="96"/>
                <w:vertAlign w:val="superscript"/>
              </w:rPr>
              <w:t>(1)</w:t>
            </w:r>
          </w:p>
        </w:tc>
        <w:tc>
          <w:tcPr>
            <w:tcW w:w="26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3"/>
                <w:szCs w:val="13"/>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3"/>
        </w:trPr>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4,456</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2,818</w:t>
            </w:r>
          </w:p>
        </w:tc>
        <w:tc>
          <w:tcPr>
            <w:tcW w:w="8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12,807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20,081</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15,529</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35,610</w:t>
            </w:r>
          </w:p>
        </w:tc>
        <w:tc>
          <w:tcPr>
            <w:tcW w:w="0" w:type="dxa"/>
            <w:vAlign w:val="bottom"/>
          </w:tcPr>
          <w:p>
            <w:pPr>
              <w:spacing w:after="0"/>
              <w:rPr>
                <w:sz w:val="1"/>
                <w:szCs w:val="1"/>
                <w:color w:val="auto"/>
              </w:rPr>
            </w:pPr>
          </w:p>
        </w:tc>
      </w:tr>
      <w:tr>
        <w:trPr>
          <w:trHeight w:val="245"/>
        </w:trPr>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935</w:t>
            </w:r>
          </w:p>
        </w:tc>
        <w:tc>
          <w:tcPr>
            <w:tcW w:w="0" w:type="dxa"/>
            <w:vAlign w:val="bottom"/>
          </w:tcPr>
          <w:p>
            <w:pPr>
              <w:spacing w:after="0"/>
              <w:rPr>
                <w:sz w:val="1"/>
                <w:szCs w:val="1"/>
                <w:color w:val="auto"/>
              </w:rPr>
            </w:pPr>
          </w:p>
        </w:tc>
      </w:tr>
      <w:tr>
        <w:trPr>
          <w:trHeight w:val="245"/>
        </w:trPr>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52"/>
        </w:trPr>
        <w:tc>
          <w:tcPr>
            <w:tcW w:w="2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181</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21"/>
                <w:szCs w:val="21"/>
                <w:color w:val="auto"/>
              </w:rPr>
            </w:pPr>
          </w:p>
        </w:tc>
        <w:tc>
          <w:tcPr>
            <w:tcW w:w="30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2,932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13,300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20,842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16,140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36,982</w:t>
            </w:r>
          </w:p>
        </w:tc>
        <w:tc>
          <w:tcPr>
            <w:tcW w:w="0" w:type="dxa"/>
            <w:vAlign w:val="bottom"/>
          </w:tcPr>
          <w:p>
            <w:pPr>
              <w:spacing w:after="0"/>
              <w:rPr>
                <w:sz w:val="1"/>
                <w:szCs w:val="1"/>
                <w:color w:val="auto"/>
              </w:rPr>
            </w:pPr>
          </w:p>
        </w:tc>
      </w:tr>
      <w:tr>
        <w:trPr>
          <w:trHeight w:val="252"/>
        </w:trPr>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21"/>
                <w:szCs w:val="21"/>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1,089</w:t>
            </w:r>
          </w:p>
        </w:tc>
        <w:tc>
          <w:tcPr>
            <w:tcW w:w="0" w:type="dxa"/>
            <w:vAlign w:val="bottom"/>
          </w:tcPr>
          <w:p>
            <w:pPr>
              <w:spacing w:after="0"/>
              <w:rPr>
                <w:sz w:val="1"/>
                <w:szCs w:val="1"/>
                <w:color w:val="auto"/>
              </w:rPr>
            </w:pPr>
          </w:p>
        </w:tc>
      </w:tr>
      <w:tr>
        <w:trPr>
          <w:trHeight w:val="238"/>
        </w:trPr>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4,621</w:t>
            </w:r>
          </w:p>
        </w:tc>
        <w:tc>
          <w:tcPr>
            <w:tcW w:w="100" w:type="dxa"/>
            <w:vAlign w:val="bottom"/>
          </w:tcPr>
          <w:p>
            <w:pPr>
              <w:spacing w:after="0"/>
              <w:rPr>
                <w:sz w:val="20"/>
                <w:szCs w:val="20"/>
                <w:color w:val="auto"/>
              </w:rPr>
            </w:pPr>
          </w:p>
        </w:tc>
        <w:tc>
          <w:tcPr>
            <w:tcW w:w="18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2,932</w:t>
            </w:r>
          </w:p>
        </w:tc>
        <w:tc>
          <w:tcPr>
            <w:tcW w:w="80" w:type="dxa"/>
            <w:vAlign w:val="bottom"/>
          </w:tcPr>
          <w:p>
            <w:pPr>
              <w:spacing w:after="0"/>
              <w:rPr>
                <w:sz w:val="20"/>
                <w:szCs w:val="20"/>
                <w:color w:val="auto"/>
              </w:rPr>
            </w:pPr>
          </w:p>
        </w:tc>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2C6937"/>
              <w:bottom w:val="single" w:sz="8" w:color="2C6937"/>
            </w:tcBorders>
          </w:tcPr>
          <w:p>
            <w:pPr>
              <w:jc w:val="right"/>
              <w:ind w:right="6"/>
              <w:spacing w:after="0"/>
              <w:rPr>
                <w:sz w:val="20"/>
                <w:szCs w:val="20"/>
                <w:color w:val="auto"/>
              </w:rPr>
            </w:pPr>
            <w:r>
              <w:rPr>
                <w:rFonts w:ascii="Arial" w:cs="Arial" w:eastAsia="Arial" w:hAnsi="Arial"/>
                <w:sz w:val="15"/>
                <w:szCs w:val="15"/>
                <w:color w:val="auto"/>
              </w:rPr>
              <w:t>13,838</w:t>
            </w:r>
          </w:p>
        </w:tc>
        <w:tc>
          <w:tcPr>
            <w:tcW w:w="80" w:type="dxa"/>
            <w:vAlign w:val="bottom"/>
          </w:tcPr>
          <w:p>
            <w:pPr>
              <w:spacing w:after="0"/>
              <w:rPr>
                <w:sz w:val="20"/>
                <w:szCs w:val="20"/>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21,391</w:t>
            </w:r>
          </w:p>
        </w:tc>
        <w:tc>
          <w:tcPr>
            <w:tcW w:w="100" w:type="dxa"/>
            <w:vAlign w:val="bottom"/>
          </w:tcPr>
          <w:p>
            <w:pPr>
              <w:spacing w:after="0"/>
              <w:rPr>
                <w:sz w:val="20"/>
                <w:szCs w:val="20"/>
                <w:color w:val="auto"/>
              </w:rPr>
            </w:pPr>
          </w:p>
        </w:tc>
        <w:tc>
          <w:tcPr>
            <w:tcW w:w="26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16,680</w:t>
            </w:r>
          </w:p>
        </w:tc>
        <w:tc>
          <w:tcPr>
            <w:tcW w:w="100" w:type="dxa"/>
            <w:vAlign w:val="bottom"/>
          </w:tcPr>
          <w:p>
            <w:pPr>
              <w:spacing w:after="0"/>
              <w:rPr>
                <w:sz w:val="20"/>
                <w:szCs w:val="20"/>
                <w:color w:val="auto"/>
              </w:rPr>
            </w:pPr>
          </w:p>
        </w:tc>
        <w:tc>
          <w:tcPr>
            <w:tcW w:w="30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38,071</w:t>
            </w:r>
          </w:p>
        </w:tc>
        <w:tc>
          <w:tcPr>
            <w:tcW w:w="0" w:type="dxa"/>
            <w:vAlign w:val="bottom"/>
          </w:tcPr>
          <w:p>
            <w:pPr>
              <w:spacing w:after="0"/>
              <w:rPr>
                <w:sz w:val="1"/>
                <w:szCs w:val="1"/>
                <w:color w:val="auto"/>
              </w:rPr>
            </w:pPr>
          </w:p>
        </w:tc>
      </w:tr>
      <w:tr>
        <w:trPr>
          <w:trHeight w:val="26"/>
        </w:trPr>
        <w:tc>
          <w:tcPr>
            <w:tcW w:w="20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1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11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2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2">
            <w:col w:w="2680" w:space="140"/>
            <w:col w:w="8420"/>
          </w:cols>
          <w:pgMar w:left="320" w:top="261" w:right="339" w:bottom="1440" w:gutter="0" w:footer="0" w:header="0"/>
          <w:type w:val="continuous"/>
        </w:sectPr>
      </w:pPr>
    </w:p>
    <w:p>
      <w:pPr>
        <w:ind w:left="240" w:right="100" w:hanging="237"/>
        <w:spacing w:after="0" w:line="228" w:lineRule="auto"/>
        <w:tabs>
          <w:tab w:leader="none" w:pos="216"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As of September 30, 2026, the substantial majority of loans that received a completed modification or a payment deferral during the third quarter of 2026 were not delinquent as of September 30, 2026. As of September 30, 2025, the substantial majority of loans that received a completed modification or a payment deferral during the third quarter of 2025 were not delinquent as of September 30, 2025.</w:t>
      </w:r>
    </w:p>
    <w:p>
      <w:pPr>
        <w:ind w:left="240" w:hanging="237"/>
        <w:spacing w:after="0"/>
        <w:tabs>
          <w:tab w:leader="none" w:pos="24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Represents the amortized cost basis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356870</wp:posOffset>
            </wp:positionV>
            <wp:extent cx="68059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80" w:name="page81"/>
    <w:bookmarkEnd w:id="80"/>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Nonaccrual Loans</w:t>
      </w:r>
    </w:p>
    <w:p>
      <w:pPr>
        <w:spacing w:after="0" w:line="6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recognize interest income on an accrual basis except when we believe the collection of principal and interest is not reasonably assured, at which time a loan is placed on nonaccrual status. See “Note 1, Summary of Significant Accounting Policies” in our 2025 Form 10-K for additional information on our accounting policies for single-family and multifamily nonaccrual loans.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accrued interest receivable written off through the reversal of interest income from nonaccrual loans.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800" w:type="dxa"/>
            <w:vAlign w:val="bottom"/>
          </w:tcPr>
          <w:p>
            <w:pPr>
              <w:spacing w:after="0"/>
              <w:rPr>
                <w:sz w:val="18"/>
                <w:szCs w:val="18"/>
                <w:color w:val="auto"/>
              </w:rPr>
            </w:pPr>
          </w:p>
        </w:tc>
        <w:tc>
          <w:tcPr>
            <w:tcW w:w="3760" w:type="dxa"/>
            <w:vAlign w:val="bottom"/>
            <w:gridSpan w:val="6"/>
          </w:tcPr>
          <w:p>
            <w:pPr>
              <w:ind w:left="240"/>
              <w:spacing w:after="0"/>
              <w:rPr>
                <w:sz w:val="20"/>
                <w:szCs w:val="20"/>
                <w:color w:val="auto"/>
              </w:rPr>
            </w:pPr>
            <w:r>
              <w:rPr>
                <w:rFonts w:ascii="Arial" w:cs="Arial" w:eastAsia="Arial" w:hAnsi="Arial"/>
                <w:sz w:val="15"/>
                <w:szCs w:val="15"/>
                <w:b w:val="1"/>
                <w:bCs w:val="1"/>
                <w:color w:val="auto"/>
              </w:rPr>
              <w:t>For the Three Months Ended September 30,</w:t>
            </w:r>
          </w:p>
        </w:tc>
        <w:tc>
          <w:tcPr>
            <w:tcW w:w="180" w:type="dxa"/>
            <w:vAlign w:val="bottom"/>
          </w:tcPr>
          <w:p>
            <w:pPr>
              <w:spacing w:after="0"/>
              <w:rPr>
                <w:sz w:val="18"/>
                <w:szCs w:val="18"/>
                <w:color w:val="auto"/>
              </w:rPr>
            </w:pPr>
          </w:p>
        </w:tc>
        <w:tc>
          <w:tcPr>
            <w:tcW w:w="3480" w:type="dxa"/>
            <w:vAlign w:val="bottom"/>
            <w:gridSpan w:val="4"/>
          </w:tcPr>
          <w:p>
            <w:pPr>
              <w:jc w:val="right"/>
              <w:ind w:right="203"/>
              <w:spacing w:after="0"/>
              <w:rPr>
                <w:sz w:val="20"/>
                <w:szCs w:val="20"/>
                <w:color w:val="auto"/>
              </w:rPr>
            </w:pPr>
            <w:r>
              <w:rPr>
                <w:rFonts w:ascii="Arial" w:cs="Arial" w:eastAsia="Arial" w:hAnsi="Arial"/>
                <w:sz w:val="15"/>
                <w:szCs w:val="15"/>
                <w:b w:val="1"/>
                <w:bCs w:val="1"/>
                <w:color w:val="auto"/>
              </w:rPr>
              <w:t>For the Nine Months Ended September 30,</w:t>
            </w:r>
          </w:p>
        </w:tc>
      </w:tr>
      <w:tr>
        <w:trPr>
          <w:trHeight w:val="212"/>
        </w:trPr>
        <w:tc>
          <w:tcPr>
            <w:tcW w:w="3800" w:type="dxa"/>
            <w:vAlign w:val="bottom"/>
          </w:tcPr>
          <w:p>
            <w:pPr>
              <w:spacing w:after="0"/>
              <w:rPr>
                <w:sz w:val="18"/>
                <w:szCs w:val="18"/>
                <w:color w:val="auto"/>
              </w:rPr>
            </w:pPr>
          </w:p>
        </w:tc>
        <w:tc>
          <w:tcPr>
            <w:tcW w:w="126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b w:val="1"/>
                <w:bCs w:val="1"/>
                <w:color w:val="auto"/>
              </w:rPr>
              <w:t>2026</w:t>
            </w:r>
          </w:p>
        </w:tc>
        <w:tc>
          <w:tcPr>
            <w:tcW w:w="540" w:type="dxa"/>
            <w:vAlign w:val="bottom"/>
            <w:tcBorders>
              <w:top w:val="single" w:sz="8" w:color="2C6937"/>
              <w:bottom w:val="single" w:sz="8" w:color="2C6937"/>
            </w:tcBorders>
          </w:tcPr>
          <w:p>
            <w:pPr>
              <w:spacing w:after="0"/>
              <w:rPr>
                <w:sz w:val="18"/>
                <w:szCs w:val="18"/>
                <w:color w:val="auto"/>
              </w:rPr>
            </w:pPr>
          </w:p>
        </w:tc>
        <w:tc>
          <w:tcPr>
            <w:tcW w:w="80" w:type="dxa"/>
            <w:vAlign w:val="bottom"/>
            <w:tcBorders>
              <w:top w:val="single" w:sz="8" w:color="2C6937"/>
            </w:tcBorders>
          </w:tcPr>
          <w:p>
            <w:pPr>
              <w:spacing w:after="0"/>
              <w:rPr>
                <w:sz w:val="18"/>
                <w:szCs w:val="18"/>
                <w:color w:val="auto"/>
              </w:rPr>
            </w:pPr>
          </w:p>
        </w:tc>
        <w:tc>
          <w:tcPr>
            <w:tcW w:w="420" w:type="dxa"/>
            <w:vAlign w:val="bottom"/>
            <w:tcBorders>
              <w:top w:val="single" w:sz="8" w:color="2C6937"/>
              <w:bottom w:val="single" w:sz="8" w:color="2C6937"/>
            </w:tcBorders>
          </w:tcPr>
          <w:p>
            <w:pPr>
              <w:spacing w:after="0"/>
              <w:rPr>
                <w:sz w:val="18"/>
                <w:szCs w:val="18"/>
                <w:color w:val="auto"/>
              </w:rPr>
            </w:pPr>
          </w:p>
        </w:tc>
        <w:tc>
          <w:tcPr>
            <w:tcW w:w="1360" w:type="dxa"/>
            <w:vAlign w:val="bottom"/>
            <w:tcBorders>
              <w:top w:val="single" w:sz="8" w:color="2C6937"/>
              <w:bottom w:val="single" w:sz="8" w:color="2C6937"/>
            </w:tcBorders>
          </w:tcPr>
          <w:p>
            <w:pPr>
              <w:jc w:val="right"/>
              <w:ind w:right="64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160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2C6937"/>
            </w:tcBorders>
          </w:tcPr>
          <w:p>
            <w:pPr>
              <w:spacing w:after="0"/>
              <w:rPr>
                <w:sz w:val="18"/>
                <w:szCs w:val="18"/>
                <w:color w:val="auto"/>
              </w:rPr>
            </w:pPr>
          </w:p>
        </w:tc>
        <w:tc>
          <w:tcPr>
            <w:tcW w:w="400" w:type="dxa"/>
            <w:vAlign w:val="bottom"/>
            <w:tcBorders>
              <w:top w:val="single" w:sz="8" w:color="2C6937"/>
              <w:bottom w:val="single" w:sz="8" w:color="2C6937"/>
            </w:tcBorders>
          </w:tcPr>
          <w:p>
            <w:pPr>
              <w:spacing w:after="0"/>
              <w:rPr>
                <w:sz w:val="18"/>
                <w:szCs w:val="18"/>
                <w:color w:val="auto"/>
              </w:rPr>
            </w:pPr>
          </w:p>
        </w:tc>
        <w:tc>
          <w:tcPr>
            <w:tcW w:w="138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2025</w:t>
            </w:r>
          </w:p>
        </w:tc>
      </w:tr>
      <w:tr>
        <w:trPr>
          <w:trHeight w:val="198"/>
        </w:trPr>
        <w:tc>
          <w:tcPr>
            <w:tcW w:w="3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gridSpan w:val="5"/>
          </w:tcPr>
          <w:p>
            <w:pPr>
              <w:ind w:left="72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1"/>
        </w:trPr>
        <w:tc>
          <w:tcPr>
            <w:tcW w:w="3800" w:type="dxa"/>
            <w:vAlign w:val="bottom"/>
          </w:tcPr>
          <w:p>
            <w:pPr>
              <w:spacing w:after="0"/>
              <w:rPr>
                <w:sz w:val="20"/>
                <w:szCs w:val="20"/>
                <w:color w:val="auto"/>
              </w:rPr>
            </w:pPr>
            <w:r>
              <w:rPr>
                <w:rFonts w:ascii="Arial" w:cs="Arial" w:eastAsia="Arial" w:hAnsi="Arial"/>
                <w:sz w:val="15"/>
                <w:szCs w:val="15"/>
                <w:color w:val="auto"/>
              </w:rPr>
              <w:t>Accrued interest receivable written off through the</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4"/>
        </w:trPr>
        <w:tc>
          <w:tcPr>
            <w:tcW w:w="3800" w:type="dxa"/>
            <w:vAlign w:val="bottom"/>
          </w:tcPr>
          <w:p>
            <w:pPr>
              <w:ind w:left="160"/>
              <w:spacing w:after="0"/>
              <w:rPr>
                <w:sz w:val="20"/>
                <w:szCs w:val="20"/>
                <w:color w:val="auto"/>
              </w:rPr>
            </w:pPr>
            <w:r>
              <w:rPr>
                <w:rFonts w:ascii="Arial" w:cs="Arial" w:eastAsia="Arial" w:hAnsi="Arial"/>
                <w:sz w:val="15"/>
                <w:szCs w:val="15"/>
                <w:color w:val="auto"/>
              </w:rPr>
              <w:t>reversal of interest income:</w:t>
            </w: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79"/>
        </w:trPr>
        <w:tc>
          <w:tcPr>
            <w:tcW w:w="3800" w:type="dxa"/>
            <w:vAlign w:val="bottom"/>
          </w:tcPr>
          <w:p>
            <w:pPr>
              <w:ind w:left="160"/>
              <w:spacing w:after="0"/>
              <w:rPr>
                <w:sz w:val="20"/>
                <w:szCs w:val="20"/>
                <w:color w:val="auto"/>
              </w:rPr>
            </w:pPr>
            <w:r>
              <w:rPr>
                <w:rFonts w:ascii="Arial" w:cs="Arial" w:eastAsia="Arial" w:hAnsi="Arial"/>
                <w:sz w:val="15"/>
                <w:szCs w:val="15"/>
                <w:color w:val="auto"/>
              </w:rPr>
              <w:t>Single-family</w:t>
            </w:r>
          </w:p>
        </w:tc>
        <w:tc>
          <w:tcPr>
            <w:tcW w:w="1260" w:type="dxa"/>
            <w:vAlign w:val="bottom"/>
          </w:tcPr>
          <w:p>
            <w:pPr>
              <w:jc w:val="right"/>
              <w:ind w:right="1083"/>
              <w:spacing w:after="0"/>
              <w:rPr>
                <w:sz w:val="20"/>
                <w:szCs w:val="20"/>
                <w:color w:val="auto"/>
              </w:rPr>
            </w:pPr>
            <w:r>
              <w:rPr>
                <w:rFonts w:ascii="Arial" w:cs="Arial" w:eastAsia="Arial" w:hAnsi="Arial"/>
                <w:sz w:val="15"/>
                <w:szCs w:val="15"/>
                <w:b w:val="1"/>
                <w:bCs w:val="1"/>
                <w:color w:val="auto"/>
                <w:w w:val="95"/>
              </w:rPr>
              <w:t>$</w:t>
            </w:r>
          </w:p>
        </w:tc>
        <w:tc>
          <w:tcPr>
            <w:tcW w:w="540" w:type="dxa"/>
            <w:vAlign w:val="bottom"/>
          </w:tcPr>
          <w:p>
            <w:pPr>
              <w:jc w:val="right"/>
              <w:ind w:right="3"/>
              <w:spacing w:after="0"/>
              <w:rPr>
                <w:sz w:val="20"/>
                <w:szCs w:val="20"/>
                <w:color w:val="auto"/>
              </w:rPr>
            </w:pPr>
            <w:r>
              <w:rPr>
                <w:rFonts w:ascii="Arial" w:cs="Arial" w:eastAsia="Arial" w:hAnsi="Arial"/>
                <w:sz w:val="15"/>
                <w:szCs w:val="15"/>
                <w:b w:val="1"/>
                <w:bCs w:val="1"/>
                <w:color w:val="auto"/>
              </w:rPr>
              <w:t>125</w:t>
            </w:r>
          </w:p>
        </w:tc>
        <w:tc>
          <w:tcPr>
            <w:tcW w:w="8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348</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295</w:t>
            </w:r>
          </w:p>
        </w:tc>
      </w:tr>
      <w:tr>
        <w:trPr>
          <w:trHeight w:val="245"/>
        </w:trPr>
        <w:tc>
          <w:tcPr>
            <w:tcW w:w="3800" w:type="dxa"/>
            <w:vAlign w:val="bottom"/>
          </w:tcPr>
          <w:p>
            <w:pPr>
              <w:ind w:left="160"/>
              <w:spacing w:after="0"/>
              <w:rPr>
                <w:sz w:val="20"/>
                <w:szCs w:val="20"/>
                <w:color w:val="auto"/>
              </w:rPr>
            </w:pPr>
            <w:r>
              <w:rPr>
                <w:rFonts w:ascii="Arial" w:cs="Arial" w:eastAsia="Arial" w:hAnsi="Arial"/>
                <w:sz w:val="15"/>
                <w:szCs w:val="15"/>
                <w:color w:val="auto"/>
              </w:rPr>
              <w:t>Multifamily</w:t>
            </w:r>
          </w:p>
        </w:tc>
        <w:tc>
          <w:tcPr>
            <w:tcW w:w="1260" w:type="dxa"/>
            <w:vAlign w:val="bottom"/>
          </w:tcPr>
          <w:p>
            <w:pPr>
              <w:spacing w:after="0"/>
              <w:rPr>
                <w:sz w:val="21"/>
                <w:szCs w:val="21"/>
                <w:color w:val="auto"/>
              </w:rPr>
            </w:pPr>
          </w:p>
        </w:tc>
        <w:tc>
          <w:tcPr>
            <w:tcW w:w="540" w:type="dxa"/>
            <w:vAlign w:val="bottom"/>
          </w:tcPr>
          <w:p>
            <w:pPr>
              <w:jc w:val="right"/>
              <w:ind w:right="3"/>
              <w:spacing w:after="0"/>
              <w:rPr>
                <w:sz w:val="20"/>
                <w:szCs w:val="20"/>
                <w:color w:val="auto"/>
              </w:rPr>
            </w:pPr>
            <w:r>
              <w:rPr>
                <w:rFonts w:ascii="Arial" w:cs="Arial" w:eastAsia="Arial" w:hAnsi="Arial"/>
                <w:sz w:val="15"/>
                <w:szCs w:val="15"/>
                <w:b w:val="1"/>
                <w:bCs w:val="1"/>
                <w:color w:val="auto"/>
              </w:rPr>
              <w:t>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25</w:t>
            </w:r>
          </w:p>
        </w:tc>
      </w:tr>
    </w:tbl>
    <w:p>
      <w:pPr>
        <w:spacing w:after="0" w:line="16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The tables below include the amortized cost of and interest income recognized on mortgage loans on nonaccrual status, presented by portfolio segment and class of financing receivable.</w:t>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 fixed-rate</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34124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single-family</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34124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Total nonaccrual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34124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3412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234124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7"/>
              </w:rPr>
              <w:t>As of</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 the Three Months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 the Nine Months</w:t>
            </w:r>
          </w:p>
        </w:tc>
        <w:tc>
          <w:tcPr>
            <w:tcW w:w="0" w:type="dxa"/>
            <w:vAlign w:val="bottom"/>
          </w:tcPr>
          <w:p>
            <w:pPr>
              <w:spacing w:after="0"/>
              <w:rPr>
                <w:sz w:val="1"/>
                <w:szCs w:val="1"/>
                <w:color w:val="auto"/>
              </w:rPr>
            </w:pPr>
          </w:p>
        </w:tc>
      </w:tr>
      <w:tr>
        <w:trPr>
          <w:trHeight w:val="29"/>
        </w:trPr>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1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2026</w:t>
            </w:r>
          </w:p>
        </w:tc>
        <w:tc>
          <w:tcPr>
            <w:tcW w:w="13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June 30, 2026</w:t>
            </w:r>
          </w:p>
        </w:tc>
        <w:tc>
          <w:tcPr>
            <w:tcW w:w="138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December 31, 2025</w:t>
            </w:r>
          </w:p>
        </w:tc>
        <w:tc>
          <w:tcPr>
            <w:tcW w:w="100" w:type="dxa"/>
            <w:vAlign w:val="bottom"/>
          </w:tcPr>
          <w:p>
            <w:pPr>
              <w:spacing w:after="0"/>
              <w:rPr>
                <w:sz w:val="12"/>
                <w:szCs w:val="12"/>
                <w:color w:val="auto"/>
              </w:rPr>
            </w:pPr>
          </w:p>
        </w:tc>
        <w:tc>
          <w:tcPr>
            <w:tcW w:w="16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Ended September 30,</w:t>
            </w:r>
          </w:p>
        </w:tc>
        <w:tc>
          <w:tcPr>
            <w:tcW w:w="16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Ended September 30,</w:t>
            </w:r>
          </w:p>
        </w:tc>
        <w:tc>
          <w:tcPr>
            <w:tcW w:w="0" w:type="dxa"/>
            <w:vAlign w:val="bottom"/>
          </w:tcPr>
          <w:p>
            <w:pPr>
              <w:spacing w:after="0"/>
              <w:rPr>
                <w:sz w:val="1"/>
                <w:szCs w:val="1"/>
                <w:color w:val="auto"/>
              </w:rPr>
            </w:pPr>
          </w:p>
        </w:tc>
      </w:tr>
      <w:tr>
        <w:trPr>
          <w:trHeight w:val="180"/>
        </w:trPr>
        <w:tc>
          <w:tcPr>
            <w:tcW w:w="14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2026</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2026</w:t>
            </w:r>
          </w:p>
        </w:tc>
        <w:tc>
          <w:tcPr>
            <w:tcW w:w="0" w:type="dxa"/>
            <w:vAlign w:val="bottom"/>
          </w:tcPr>
          <w:p>
            <w:pPr>
              <w:spacing w:after="0"/>
              <w:rPr>
                <w:sz w:val="1"/>
                <w:szCs w:val="1"/>
                <w:color w:val="auto"/>
              </w:rPr>
            </w:pPr>
          </w:p>
        </w:tc>
      </w:tr>
      <w:tr>
        <w:trPr>
          <w:trHeight w:val="302"/>
        </w:trPr>
        <w:tc>
          <w:tcPr>
            <w:tcW w:w="1400" w:type="dxa"/>
            <w:vAlign w:val="bottom"/>
            <w:tcBorders>
              <w:top w:val="single" w:sz="8" w:color="2C6937"/>
              <w:bottom w:val="single" w:sz="8" w:color="2C6937"/>
            </w:tcBorders>
          </w:tcPr>
          <w:p>
            <w:pPr>
              <w:spacing w:after="0"/>
              <w:rPr>
                <w:sz w:val="24"/>
                <w:szCs w:val="24"/>
                <w:color w:val="auto"/>
              </w:rPr>
            </w:pPr>
          </w:p>
        </w:tc>
        <w:tc>
          <w:tcPr>
            <w:tcW w:w="134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5"/>
              </w:rPr>
              <w:t>Amortized Cost</w:t>
            </w:r>
            <w:r>
              <w:rPr>
                <w:rFonts w:ascii="Arial" w:cs="Arial" w:eastAsia="Arial" w:hAnsi="Arial"/>
                <w:sz w:val="17"/>
                <w:szCs w:val="17"/>
                <w:b w:val="1"/>
                <w:bCs w:val="1"/>
                <w:color w:val="auto"/>
                <w:w w:val="95"/>
                <w:vertAlign w:val="superscript"/>
              </w:rPr>
              <w:t>(1)</w:t>
            </w:r>
          </w:p>
        </w:tc>
        <w:tc>
          <w:tcPr>
            <w:tcW w:w="1380" w:type="dxa"/>
            <w:vAlign w:val="bottom"/>
            <w:tcBorders>
              <w:top w:val="single" w:sz="8" w:color="2C6937"/>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220" w:type="dxa"/>
            <w:vAlign w:val="bottom"/>
            <w:tcBorders>
              <w:top w:val="single" w:sz="8" w:color="2C6937"/>
              <w:bottom w:val="single" w:sz="8" w:color="2C6937"/>
            </w:tcBorders>
            <w:gridSpan w:val="2"/>
          </w:tcPr>
          <w:p>
            <w:pPr>
              <w:ind w:left="460"/>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75"/>
        </w:trPr>
        <w:tc>
          <w:tcPr>
            <w:tcW w:w="1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100" w:type="dxa"/>
            <w:vAlign w:val="bottom"/>
            <w:gridSpan w:val="3"/>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27,753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27,139</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26,221</w:t>
            </w:r>
          </w:p>
        </w:tc>
        <w:tc>
          <w:tcPr>
            <w:tcW w:w="100" w:type="dxa"/>
            <w:vAlign w:val="bottom"/>
          </w:tcPr>
          <w:p>
            <w:pPr>
              <w:spacing w:after="0"/>
              <w:rPr>
                <w:sz w:val="18"/>
                <w:szCs w:val="18"/>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40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337</w:t>
            </w:r>
          </w:p>
        </w:tc>
        <w:tc>
          <w:tcPr>
            <w:tcW w:w="0" w:type="dxa"/>
            <w:vAlign w:val="bottom"/>
          </w:tcPr>
          <w:p>
            <w:pPr>
              <w:spacing w:after="0"/>
              <w:rPr>
                <w:sz w:val="1"/>
                <w:szCs w:val="1"/>
                <w:color w:val="auto"/>
              </w:rPr>
            </w:pPr>
          </w:p>
        </w:tc>
      </w:tr>
      <w:tr>
        <w:trPr>
          <w:trHeight w:val="322"/>
        </w:trPr>
        <w:tc>
          <w:tcPr>
            <w:tcW w:w="4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672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680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692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0" w:type="dxa"/>
            <w:vAlign w:val="bottom"/>
          </w:tcPr>
          <w:p>
            <w:pPr>
              <w:spacing w:after="0"/>
              <w:rPr>
                <w:sz w:val="1"/>
                <w:szCs w:val="1"/>
                <w:color w:val="auto"/>
              </w:rPr>
            </w:pPr>
          </w:p>
        </w:tc>
      </w:tr>
      <w:tr>
        <w:trPr>
          <w:trHeight w:val="322"/>
        </w:trPr>
        <w:tc>
          <w:tcPr>
            <w:tcW w:w="4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114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316"/>
        </w:trPr>
        <w:tc>
          <w:tcPr>
            <w:tcW w:w="44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373</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398</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421</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2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322"/>
        </w:trPr>
        <w:tc>
          <w:tcPr>
            <w:tcW w:w="4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28,912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28,328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27,448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350</w:t>
            </w:r>
          </w:p>
        </w:tc>
        <w:tc>
          <w:tcPr>
            <w:tcW w:w="0" w:type="dxa"/>
            <w:vAlign w:val="bottom"/>
          </w:tcPr>
          <w:p>
            <w:pPr>
              <w:spacing w:after="0"/>
              <w:rPr>
                <w:sz w:val="1"/>
                <w:szCs w:val="1"/>
                <w:color w:val="auto"/>
              </w:rPr>
            </w:pPr>
          </w:p>
        </w:tc>
      </w:tr>
      <w:tr>
        <w:trPr>
          <w:trHeight w:val="316"/>
        </w:trPr>
        <w:tc>
          <w:tcPr>
            <w:tcW w:w="44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3,057</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3,091</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3,312</w:t>
            </w:r>
          </w:p>
        </w:tc>
        <w:tc>
          <w:tcPr>
            <w:tcW w:w="10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2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w:t>
            </w:r>
          </w:p>
        </w:tc>
        <w:tc>
          <w:tcPr>
            <w:tcW w:w="0" w:type="dxa"/>
            <w:vAlign w:val="bottom"/>
          </w:tcPr>
          <w:p>
            <w:pPr>
              <w:spacing w:after="0"/>
              <w:rPr>
                <w:sz w:val="1"/>
                <w:szCs w:val="1"/>
                <w:color w:val="auto"/>
              </w:rPr>
            </w:pPr>
          </w:p>
        </w:tc>
      </w:tr>
      <w:tr>
        <w:trPr>
          <w:trHeight w:val="315"/>
        </w:trPr>
        <w:tc>
          <w:tcPr>
            <w:tcW w:w="44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31,969</w:t>
            </w:r>
          </w:p>
        </w:tc>
        <w:tc>
          <w:tcPr>
            <w:tcW w:w="100" w:type="dxa"/>
            <w:vAlign w:val="bottom"/>
          </w:tcPr>
          <w:p>
            <w:pPr>
              <w:spacing w:after="0"/>
              <w:rPr>
                <w:sz w:val="24"/>
                <w:szCs w:val="24"/>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31,419</w:t>
            </w:r>
          </w:p>
        </w:tc>
        <w:tc>
          <w:tcPr>
            <w:tcW w:w="100" w:type="dxa"/>
            <w:vAlign w:val="bottom"/>
          </w:tcPr>
          <w:p>
            <w:pPr>
              <w:spacing w:after="0"/>
              <w:rPr>
                <w:sz w:val="24"/>
                <w:szCs w:val="24"/>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30,760</w:t>
            </w:r>
          </w:p>
        </w:tc>
        <w:tc>
          <w:tcPr>
            <w:tcW w:w="100" w:type="dxa"/>
            <w:vAlign w:val="bottom"/>
          </w:tcPr>
          <w:p>
            <w:pPr>
              <w:spacing w:after="0"/>
              <w:rPr>
                <w:sz w:val="24"/>
                <w:szCs w:val="24"/>
                <w:color w:val="auto"/>
              </w:rPr>
            </w:pPr>
          </w:p>
        </w:tc>
        <w:tc>
          <w:tcPr>
            <w:tcW w:w="300" w:type="dxa"/>
            <w:vAlign w:val="bottom"/>
            <w:tcBorders>
              <w:bottom w:val="single" w:sz="8" w:color="2C6937"/>
            </w:tcBorders>
          </w:tcPr>
          <w:p>
            <w:pPr>
              <w:jc w:val="right"/>
              <w:ind w:right="127"/>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48</w:t>
            </w:r>
          </w:p>
        </w:tc>
        <w:tc>
          <w:tcPr>
            <w:tcW w:w="10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373</w:t>
            </w:r>
          </w:p>
        </w:tc>
        <w:tc>
          <w:tcPr>
            <w:tcW w:w="0" w:type="dxa"/>
            <w:vAlign w:val="bottom"/>
          </w:tcPr>
          <w:p>
            <w:pPr>
              <w:spacing w:after="0"/>
              <w:rPr>
                <w:sz w:val="1"/>
                <w:szCs w:val="1"/>
                <w:color w:val="auto"/>
              </w:rPr>
            </w:pPr>
          </w:p>
        </w:tc>
      </w:tr>
      <w:tr>
        <w:trPr>
          <w:trHeight w:val="20"/>
        </w:trPr>
        <w:tc>
          <w:tcPr>
            <w:tcW w:w="440" w:type="dxa"/>
            <w:vAlign w:val="bottom"/>
            <w:tcBorders>
              <w:bottom w:val="single" w:sz="8" w:color="2C6937"/>
            </w:tcBorders>
          </w:tcPr>
          <w:p>
            <w:pPr>
              <w:spacing w:after="0" w:line="20" w:lineRule="exact"/>
              <w:rPr>
                <w:sz w:val="1"/>
                <w:szCs w:val="1"/>
                <w:color w:val="auto"/>
              </w:rPr>
            </w:pPr>
          </w:p>
        </w:tc>
        <w:tc>
          <w:tcPr>
            <w:tcW w:w="9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1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44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4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As of</w:t>
            </w:r>
          </w:p>
        </w:tc>
        <w:tc>
          <w:tcPr>
            <w:tcW w:w="18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For the Three Months</w:t>
            </w:r>
          </w:p>
        </w:tc>
        <w:tc>
          <w:tcPr>
            <w:tcW w:w="120" w:type="dxa"/>
            <w:vAlign w:val="bottom"/>
          </w:tcPr>
          <w:p>
            <w:pPr>
              <w:spacing w:after="0"/>
              <w:rPr>
                <w:sz w:val="24"/>
                <w:szCs w:val="24"/>
                <w:color w:val="auto"/>
              </w:rPr>
            </w:pPr>
          </w:p>
        </w:tc>
        <w:tc>
          <w:tcPr>
            <w:tcW w:w="144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7"/>
              </w:rPr>
              <w:t>For the Nine Months</w:t>
            </w:r>
          </w:p>
        </w:tc>
        <w:tc>
          <w:tcPr>
            <w:tcW w:w="0" w:type="dxa"/>
            <w:vAlign w:val="bottom"/>
          </w:tcPr>
          <w:p>
            <w:pPr>
              <w:spacing w:after="0"/>
              <w:rPr>
                <w:sz w:val="1"/>
                <w:szCs w:val="1"/>
                <w:color w:val="auto"/>
              </w:rPr>
            </w:pPr>
          </w:p>
        </w:tc>
      </w:tr>
      <w:tr>
        <w:trPr>
          <w:trHeight w:val="26"/>
        </w:trPr>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30, 2025</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2024</w:t>
            </w:r>
          </w:p>
        </w:tc>
        <w:tc>
          <w:tcPr>
            <w:tcW w:w="166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Ended September 30,</w:t>
            </w:r>
          </w:p>
        </w:tc>
        <w:tc>
          <w:tcPr>
            <w:tcW w:w="15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8"/>
              </w:rPr>
              <w:t>Ended September 30,</w:t>
            </w:r>
          </w:p>
        </w:tc>
        <w:tc>
          <w:tcPr>
            <w:tcW w:w="0" w:type="dxa"/>
            <w:vAlign w:val="bottom"/>
          </w:tcPr>
          <w:p>
            <w:pPr>
              <w:spacing w:after="0"/>
              <w:rPr>
                <w:sz w:val="1"/>
                <w:szCs w:val="1"/>
                <w:color w:val="auto"/>
              </w:rPr>
            </w:pPr>
          </w:p>
        </w:tc>
      </w:tr>
      <w:tr>
        <w:trPr>
          <w:trHeight w:val="189"/>
        </w:trPr>
        <w:tc>
          <w:tcPr>
            <w:tcW w:w="14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22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25"/>
              <w:spacing w:after="0"/>
              <w:rPr>
                <w:sz w:val="20"/>
                <w:szCs w:val="20"/>
                <w:color w:val="auto"/>
              </w:rPr>
            </w:pPr>
            <w:r>
              <w:rPr>
                <w:rFonts w:ascii="Arial" w:cs="Arial" w:eastAsia="Arial" w:hAnsi="Arial"/>
                <w:sz w:val="14"/>
                <w:szCs w:val="14"/>
                <w:b w:val="1"/>
                <w:bCs w:val="1"/>
                <w:color w:val="auto"/>
                <w:w w:val="96"/>
              </w:rPr>
              <w:t>2025</w:t>
            </w:r>
          </w:p>
        </w:tc>
        <w:tc>
          <w:tcPr>
            <w:tcW w:w="0" w:type="dxa"/>
            <w:vAlign w:val="bottom"/>
          </w:tcPr>
          <w:p>
            <w:pPr>
              <w:spacing w:after="0"/>
              <w:rPr>
                <w:sz w:val="1"/>
                <w:szCs w:val="1"/>
                <w:color w:val="auto"/>
              </w:rPr>
            </w:pPr>
          </w:p>
        </w:tc>
      </w:tr>
      <w:tr>
        <w:trPr>
          <w:trHeight w:val="303"/>
        </w:trPr>
        <w:tc>
          <w:tcPr>
            <w:tcW w:w="440" w:type="dxa"/>
            <w:vAlign w:val="bottom"/>
            <w:tcBorders>
              <w:top w:val="single" w:sz="8" w:color="2C6937"/>
              <w:bottom w:val="single" w:sz="8" w:color="2C6937"/>
            </w:tcBorders>
          </w:tcPr>
          <w:p>
            <w:pPr>
              <w:spacing w:after="0"/>
              <w:rPr>
                <w:sz w:val="24"/>
                <w:szCs w:val="24"/>
                <w:color w:val="auto"/>
              </w:rPr>
            </w:pPr>
          </w:p>
        </w:tc>
        <w:tc>
          <w:tcPr>
            <w:tcW w:w="900" w:type="dxa"/>
            <w:vAlign w:val="bottom"/>
            <w:tcBorders>
              <w:top w:val="single" w:sz="8" w:color="2C6937"/>
              <w:bottom w:val="single" w:sz="8" w:color="2C6937"/>
            </w:tcBorders>
          </w:tcPr>
          <w:p>
            <w:pPr>
              <w:spacing w:after="0"/>
              <w:rPr>
                <w:sz w:val="24"/>
                <w:szCs w:val="24"/>
                <w:color w:val="auto"/>
              </w:rPr>
            </w:pPr>
          </w:p>
        </w:tc>
        <w:tc>
          <w:tcPr>
            <w:tcW w:w="100" w:type="dxa"/>
            <w:vAlign w:val="bottom"/>
            <w:tcBorders>
              <w:top w:val="single" w:sz="8" w:color="2C6937"/>
              <w:bottom w:val="single" w:sz="8" w:color="2C6937"/>
            </w:tcBorders>
          </w:tcPr>
          <w:p>
            <w:pPr>
              <w:spacing w:after="0"/>
              <w:rPr>
                <w:sz w:val="24"/>
                <w:szCs w:val="24"/>
                <w:color w:val="auto"/>
              </w:rPr>
            </w:pPr>
          </w:p>
        </w:tc>
        <w:tc>
          <w:tcPr>
            <w:tcW w:w="1380" w:type="dxa"/>
            <w:vAlign w:val="bottom"/>
            <w:tcBorders>
              <w:top w:val="single" w:sz="8" w:color="2C6937"/>
              <w:bottom w:val="single" w:sz="8" w:color="2C6937"/>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Amortized Cost</w:t>
            </w:r>
            <w:r>
              <w:rPr>
                <w:rFonts w:ascii="Arial" w:cs="Arial" w:eastAsia="Arial" w:hAnsi="Arial"/>
                <w:sz w:val="17"/>
                <w:szCs w:val="17"/>
                <w:b w:val="1"/>
                <w:bCs w:val="1"/>
                <w:color w:val="auto"/>
                <w:w w:val="95"/>
                <w:vertAlign w:val="superscript"/>
              </w:rPr>
              <w:t>(1)</w:t>
            </w:r>
          </w:p>
        </w:tc>
        <w:tc>
          <w:tcPr>
            <w:tcW w:w="180" w:type="dxa"/>
            <w:vAlign w:val="bottom"/>
            <w:tcBorders>
              <w:top w:val="single" w:sz="8" w:color="2C6937"/>
              <w:bottom w:val="single" w:sz="8" w:color="2C6937"/>
            </w:tcBorders>
          </w:tcPr>
          <w:p>
            <w:pPr>
              <w:spacing w:after="0"/>
              <w:rPr>
                <w:sz w:val="24"/>
                <w:szCs w:val="24"/>
                <w:color w:val="auto"/>
              </w:rPr>
            </w:pPr>
          </w:p>
        </w:tc>
        <w:tc>
          <w:tcPr>
            <w:tcW w:w="1120" w:type="dxa"/>
            <w:vAlign w:val="bottom"/>
            <w:tcBorders>
              <w:top w:val="single" w:sz="8" w:color="2C6937"/>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00" w:type="dxa"/>
            <w:vAlign w:val="bottom"/>
            <w:tcBorders>
              <w:top w:val="single" w:sz="8" w:color="2C6937"/>
              <w:bottom w:val="single" w:sz="8" w:color="2C6937"/>
            </w:tcBorders>
          </w:tcPr>
          <w:p>
            <w:pPr>
              <w:spacing w:after="0"/>
              <w:rPr>
                <w:sz w:val="24"/>
                <w:szCs w:val="24"/>
                <w:color w:val="auto"/>
              </w:rPr>
            </w:pPr>
          </w:p>
        </w:tc>
        <w:tc>
          <w:tcPr>
            <w:tcW w:w="2920" w:type="dxa"/>
            <w:vAlign w:val="bottom"/>
            <w:tcBorders>
              <w:top w:val="single" w:sz="8" w:color="2C6937"/>
              <w:bottom w:val="single" w:sz="8" w:color="2C6937"/>
            </w:tcBorders>
            <w:gridSpan w:val="4"/>
          </w:tcPr>
          <w:p>
            <w:pPr>
              <w:jc w:val="right"/>
              <w:ind w:right="385"/>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75"/>
        </w:trPr>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sectPr>
          <w:pgSz w:w="11900" w:h="16838" w:orient="portrait"/>
          <w:cols w:equalWidth="0" w:num="2">
            <w:col w:w="3340" w:space="460"/>
            <w:col w:w="7440"/>
          </w:cols>
          <w:pgMar w:left="320" w:top="261"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38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35"/>
        </w:trPr>
        <w:tc>
          <w:tcPr>
            <w:tcW w:w="380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24,936</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25,423</w:t>
            </w:r>
          </w:p>
        </w:tc>
        <w:tc>
          <w:tcPr>
            <w:tcW w:w="100" w:type="dxa"/>
            <w:vAlign w:val="bottom"/>
          </w:tcPr>
          <w:p>
            <w:pPr>
              <w:spacing w:after="0"/>
              <w:rPr>
                <w:sz w:val="24"/>
                <w:szCs w:val="24"/>
                <w:color w:val="auto"/>
              </w:rPr>
            </w:pP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25,218</w:t>
            </w:r>
          </w:p>
        </w:tc>
        <w:tc>
          <w:tcPr>
            <w:tcW w:w="100" w:type="dxa"/>
            <w:vAlign w:val="bottom"/>
          </w:tcPr>
          <w:p>
            <w:pPr>
              <w:spacing w:after="0"/>
              <w:rPr>
                <w:sz w:val="24"/>
                <w:szCs w:val="24"/>
                <w:color w:val="auto"/>
              </w:rPr>
            </w:pPr>
          </w:p>
        </w:tc>
        <w:tc>
          <w:tcPr>
            <w:tcW w:w="720" w:type="dxa"/>
            <w:vAlign w:val="bottom"/>
          </w:tcPr>
          <w:p>
            <w:pPr>
              <w:jc w:val="right"/>
              <w:ind w:right="5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24"/>
                <w:szCs w:val="24"/>
                <w:color w:val="auto"/>
              </w:rPr>
            </w:pPr>
          </w:p>
        </w:tc>
        <w:tc>
          <w:tcPr>
            <w:tcW w:w="680" w:type="dxa"/>
            <w:vAlign w:val="bottom"/>
          </w:tcPr>
          <w:p>
            <w:pPr>
              <w:jc w:val="right"/>
              <w:ind w:right="50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295</w:t>
            </w:r>
          </w:p>
        </w:tc>
      </w:tr>
      <w:tr>
        <w:trPr>
          <w:trHeight w:val="322"/>
        </w:trPr>
        <w:tc>
          <w:tcPr>
            <w:tcW w:w="380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4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689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736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770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322"/>
        </w:trPr>
        <w:tc>
          <w:tcPr>
            <w:tcW w:w="380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23"/>
        </w:trPr>
        <w:tc>
          <w:tcPr>
            <w:tcW w:w="37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428</w:t>
            </w: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482</w:t>
            </w:r>
          </w:p>
        </w:tc>
        <w:tc>
          <w:tcPr>
            <w:tcW w:w="100" w:type="dxa"/>
            <w:vAlign w:val="bottom"/>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68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r>
      <w:tr>
        <w:trPr>
          <w:trHeight w:val="314"/>
        </w:trPr>
        <w:tc>
          <w:tcPr>
            <w:tcW w:w="380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26,141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26,701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26,584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308</w:t>
            </w:r>
          </w:p>
        </w:tc>
      </w:tr>
      <w:tr>
        <w:trPr>
          <w:trHeight w:val="323"/>
        </w:trPr>
        <w:tc>
          <w:tcPr>
            <w:tcW w:w="37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2,894</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2,862</w:t>
            </w: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2,517</w:t>
            </w:r>
          </w:p>
        </w:tc>
        <w:tc>
          <w:tcPr>
            <w:tcW w:w="100" w:type="dxa"/>
            <w:vAlign w:val="bottom"/>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4"/>
                <w:szCs w:val="24"/>
                <w:color w:val="auto"/>
              </w:rPr>
            </w:pPr>
          </w:p>
        </w:tc>
        <w:tc>
          <w:tcPr>
            <w:tcW w:w="68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w:t>
            </w:r>
          </w:p>
        </w:tc>
      </w:tr>
      <w:tr>
        <w:trPr>
          <w:trHeight w:val="315"/>
        </w:trPr>
        <w:tc>
          <w:tcPr>
            <w:tcW w:w="380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29,035</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29,563</w:t>
            </w:r>
          </w:p>
        </w:tc>
        <w:tc>
          <w:tcPr>
            <w:tcW w:w="100" w:type="dxa"/>
            <w:vAlign w:val="bottom"/>
          </w:tcPr>
          <w:p>
            <w:pPr>
              <w:spacing w:after="0"/>
              <w:rPr>
                <w:sz w:val="24"/>
                <w:szCs w:val="24"/>
                <w:color w:val="auto"/>
              </w:rPr>
            </w:pP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29,101</w:t>
            </w:r>
          </w:p>
        </w:tc>
        <w:tc>
          <w:tcPr>
            <w:tcW w:w="100" w:type="dxa"/>
            <w:vAlign w:val="bottom"/>
          </w:tcPr>
          <w:p>
            <w:pPr>
              <w:spacing w:after="0"/>
              <w:rPr>
                <w:sz w:val="24"/>
                <w:szCs w:val="24"/>
                <w:color w:val="auto"/>
              </w:rPr>
            </w:pPr>
          </w:p>
        </w:tc>
        <w:tc>
          <w:tcPr>
            <w:tcW w:w="720" w:type="dxa"/>
            <w:vAlign w:val="bottom"/>
          </w:tcPr>
          <w:p>
            <w:pPr>
              <w:jc w:val="right"/>
              <w:ind w:right="5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4"/>
                <w:szCs w:val="24"/>
                <w:color w:val="auto"/>
              </w:rPr>
            </w:pPr>
          </w:p>
        </w:tc>
        <w:tc>
          <w:tcPr>
            <w:tcW w:w="680" w:type="dxa"/>
            <w:vAlign w:val="bottom"/>
          </w:tcPr>
          <w:p>
            <w:pPr>
              <w:jc w:val="right"/>
              <w:ind w:right="50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331</w:t>
            </w:r>
          </w:p>
        </w:tc>
      </w:tr>
      <w:tr>
        <w:trPr>
          <w:trHeight w:val="20"/>
        </w:trPr>
        <w:tc>
          <w:tcPr>
            <w:tcW w:w="3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68"/>
        </w:numPr>
        <w:rPr>
          <w:rFonts w:ascii="Arial" w:cs="Arial" w:eastAsia="Arial" w:hAnsi="Arial"/>
          <w:sz w:val="9"/>
          <w:szCs w:val="9"/>
          <w:color w:val="auto"/>
        </w:rPr>
      </w:pPr>
      <w:r>
        <w:rPr>
          <w:rFonts w:ascii="Arial" w:cs="Arial" w:eastAsia="Arial" w:hAnsi="Arial"/>
          <w:sz w:val="14"/>
          <w:szCs w:val="14"/>
          <w:color w:val="auto"/>
        </w:rPr>
        <w:t>Amortized cost is presented net of any write-offs, which are recognized when a loan balance is deemed uncollectible.</w:t>
      </w:r>
    </w:p>
    <w:p>
      <w:pPr>
        <w:spacing w:after="0" w:line="45" w:lineRule="exact"/>
        <w:rPr>
          <w:rFonts w:ascii="Arial" w:cs="Arial" w:eastAsia="Arial" w:hAnsi="Arial"/>
          <w:sz w:val="9"/>
          <w:szCs w:val="9"/>
          <w:color w:val="auto"/>
        </w:rPr>
      </w:pPr>
    </w:p>
    <w:p>
      <w:pPr>
        <w:ind w:left="240" w:right="80" w:hanging="237"/>
        <w:spacing w:after="0" w:line="278" w:lineRule="auto"/>
        <w:tabs>
          <w:tab w:leader="none" w:pos="233" w:val="left"/>
        </w:tabs>
        <w:numPr>
          <w:ilvl w:val="0"/>
          <w:numId w:val="68"/>
        </w:numPr>
        <w:rPr>
          <w:rFonts w:ascii="Arial" w:cs="Arial" w:eastAsia="Arial" w:hAnsi="Arial"/>
          <w:sz w:val="9"/>
          <w:szCs w:val="9"/>
          <w:color w:val="auto"/>
        </w:rPr>
      </w:pPr>
      <w:r>
        <w:rPr>
          <w:rFonts w:ascii="Arial" w:cs="Arial" w:eastAsia="Arial" w:hAnsi="Arial"/>
          <w:sz w:val="14"/>
          <w:szCs w:val="14"/>
          <w:color w:val="auto"/>
        </w:rPr>
        <w:t>Interest income recognized includes amortization of any deferred cost basis adjustments while the loan is performing and that is not reversed when the loan is placed on nonaccrual status. For single-family, interest income recognized includes payments received on nonaccrual loans held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340995</wp:posOffset>
            </wp:positionV>
            <wp:extent cx="680593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81" w:name="page82"/>
    <w:bookmarkEnd w:id="81"/>
    <w:p>
      <w:pPr>
        <w:ind w:left="5800"/>
        <w:spacing w:after="0"/>
        <w:rPr>
          <w:sz w:val="20"/>
          <w:szCs w:val="20"/>
          <w:color w:val="auto"/>
        </w:rPr>
      </w:pPr>
      <w:r>
        <w:rPr>
          <w:rFonts w:ascii="Arial" w:cs="Arial" w:eastAsia="Arial" w:hAnsi="Arial"/>
          <w:sz w:val="14"/>
          <w:szCs w:val="14"/>
          <w:color w:val="05314D"/>
        </w:rPr>
        <w:t>Notes to Condensed Consolidated Financial Statements |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5. Allowance for Credit Losses</w:t>
      </w:r>
    </w:p>
    <w:p>
      <w:pPr>
        <w:spacing w:after="0" w:line="80" w:lineRule="exact"/>
        <w:rPr>
          <w:sz w:val="20"/>
          <w:szCs w:val="20"/>
          <w:color w:val="auto"/>
        </w:rPr>
      </w:pPr>
    </w:p>
    <w:p>
      <w:pPr>
        <w:jc w:val="both"/>
        <w:ind w:right="180"/>
        <w:spacing w:after="0" w:line="272" w:lineRule="auto"/>
        <w:rPr>
          <w:sz w:val="20"/>
          <w:szCs w:val="20"/>
          <w:color w:val="auto"/>
        </w:rPr>
      </w:pPr>
      <w:r>
        <w:rPr>
          <w:rFonts w:ascii="Arial" w:cs="Arial" w:eastAsia="Arial" w:hAnsi="Arial"/>
          <w:sz w:val="16"/>
          <w:szCs w:val="16"/>
          <w:color w:val="auto"/>
        </w:rPr>
        <w:t>We maintain an allowance for credit losses for HFI loans held by Fannie Mae and by consolidated Fannie Mae MBS trusts, excluding loans for which we have elected the fair value option. In addition, we maintain allowances for credit losses on advances of pre-foreclosure costs, accrued interest receivable, guaranty loss reserves, and credit reserves on AFS debt securities. We collectively refer to these allowances as our “allowance for credit losses.”</w:t>
      </w:r>
    </w:p>
    <w:p>
      <w:pPr>
        <w:spacing w:after="0" w:line="32" w:lineRule="exact"/>
        <w:rPr>
          <w:sz w:val="20"/>
          <w:szCs w:val="20"/>
          <w:color w:val="auto"/>
        </w:rPr>
      </w:pPr>
    </w:p>
    <w:p>
      <w:pPr>
        <w:ind w:right="420"/>
        <w:spacing w:after="0" w:line="310" w:lineRule="auto"/>
        <w:rPr>
          <w:sz w:val="20"/>
          <w:szCs w:val="20"/>
          <w:color w:val="auto"/>
        </w:rPr>
      </w:pPr>
      <w:r>
        <w:rPr>
          <w:rFonts w:ascii="Arial" w:cs="Arial" w:eastAsia="Arial" w:hAnsi="Arial"/>
          <w:sz w:val="16"/>
          <w:szCs w:val="16"/>
          <w:color w:val="auto"/>
        </w:rPr>
        <w:t>The following table displays changes in single-family and multifamily allowance for credit losses and the total allowance for credit losses as well as the components of the single-family and multifamily allowance for credit losses.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7"/>
          </w:tcPr>
          <w:p>
            <w:pPr>
              <w:ind w:left="260"/>
              <w:spacing w:after="0"/>
              <w:rPr>
                <w:sz w:val="20"/>
                <w:szCs w:val="20"/>
                <w:color w:val="auto"/>
              </w:rPr>
            </w:pPr>
            <w:r>
              <w:rPr>
                <w:rFonts w:ascii="Arial" w:cs="Arial" w:eastAsia="Arial" w:hAnsi="Arial"/>
                <w:sz w:val="15"/>
                <w:szCs w:val="15"/>
                <w:b w:val="1"/>
                <w:bCs w:val="1"/>
                <w:color w:val="auto"/>
              </w:rPr>
              <w:t>For the Three Months Ended September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6"/>
          </w:tcPr>
          <w:p>
            <w:pPr>
              <w:jc w:val="center"/>
              <w:ind w:right="220"/>
              <w:spacing w:after="0"/>
              <w:rPr>
                <w:sz w:val="20"/>
                <w:szCs w:val="20"/>
                <w:color w:val="auto"/>
              </w:rPr>
            </w:pPr>
            <w:r>
              <w:rPr>
                <w:rFonts w:ascii="Arial" w:cs="Arial" w:eastAsia="Arial" w:hAnsi="Arial"/>
                <w:sz w:val="15"/>
                <w:szCs w:val="15"/>
                <w:b w:val="1"/>
                <w:bCs w:val="1"/>
                <w:color w:val="auto"/>
              </w:rPr>
              <w:t>For the Nine Months Ended September 30,</w:t>
            </w:r>
          </w:p>
        </w:tc>
      </w:tr>
      <w:tr>
        <w:trPr>
          <w:trHeight w:val="235"/>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b w:val="1"/>
                <w:bCs w:val="1"/>
                <w:color w:val="auto"/>
              </w:rPr>
              <w:t>2026</w:t>
            </w:r>
          </w:p>
        </w:tc>
        <w:tc>
          <w:tcPr>
            <w:tcW w:w="620" w:type="dxa"/>
            <w:vAlign w:val="bottom"/>
            <w:tcBorders>
              <w:top w:val="single" w:sz="8" w:color="2C6937"/>
              <w:bottom w:val="single" w:sz="8" w:color="2C6937"/>
            </w:tcBorders>
          </w:tcPr>
          <w:p>
            <w:pPr>
              <w:spacing w:after="0"/>
              <w:rPr>
                <w:sz w:val="20"/>
                <w:szCs w:val="20"/>
                <w:color w:val="auto"/>
              </w:rPr>
            </w:pPr>
          </w:p>
        </w:tc>
        <w:tc>
          <w:tcPr>
            <w:tcW w:w="100" w:type="dxa"/>
            <w:vAlign w:val="bottom"/>
            <w:tcBorders>
              <w:top w:val="single" w:sz="8" w:color="2C6937"/>
              <w:bottom w:val="single" w:sz="8" w:color="2C6937"/>
            </w:tcBorders>
          </w:tcPr>
          <w:p>
            <w:pPr>
              <w:spacing w:after="0"/>
              <w:rPr>
                <w:sz w:val="20"/>
                <w:szCs w:val="20"/>
                <w:color w:val="auto"/>
              </w:rPr>
            </w:pPr>
          </w:p>
        </w:tc>
        <w:tc>
          <w:tcPr>
            <w:tcW w:w="420" w:type="dxa"/>
            <w:vAlign w:val="bottom"/>
            <w:tcBorders>
              <w:top w:val="single" w:sz="8" w:color="2C6937"/>
              <w:bottom w:val="single" w:sz="8" w:color="2C6937"/>
            </w:tcBorders>
          </w:tcPr>
          <w:p>
            <w:pPr>
              <w:spacing w:after="0"/>
              <w:rPr>
                <w:sz w:val="20"/>
                <w:szCs w:val="20"/>
                <w:color w:val="auto"/>
              </w:rPr>
            </w:pPr>
          </w:p>
        </w:tc>
        <w:tc>
          <w:tcPr>
            <w:tcW w:w="138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2C6937"/>
            </w:tcBorders>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60" w:type="dxa"/>
            <w:vAlign w:val="bottom"/>
            <w:tcBorders>
              <w:top w:val="single" w:sz="8" w:color="2C6937"/>
              <w:bottom w:val="single" w:sz="8" w:color="2C6937"/>
            </w:tcBorders>
          </w:tcPr>
          <w:p>
            <w:pPr>
              <w:spacing w:after="0"/>
              <w:rPr>
                <w:sz w:val="20"/>
                <w:szCs w:val="20"/>
                <w:color w:val="auto"/>
              </w:rPr>
            </w:pPr>
          </w:p>
        </w:tc>
        <w:tc>
          <w:tcPr>
            <w:tcW w:w="160" w:type="dxa"/>
            <w:vAlign w:val="bottom"/>
            <w:tcBorders>
              <w:top w:val="single" w:sz="8" w:color="2C6937"/>
              <w:bottom w:val="single" w:sz="8" w:color="2C6937"/>
            </w:tcBorders>
          </w:tcPr>
          <w:p>
            <w:pPr>
              <w:spacing w:after="0"/>
              <w:rPr>
                <w:sz w:val="20"/>
                <w:szCs w:val="20"/>
                <w:color w:val="auto"/>
              </w:rPr>
            </w:pPr>
          </w:p>
        </w:tc>
        <w:tc>
          <w:tcPr>
            <w:tcW w:w="1600" w:type="dxa"/>
            <w:vAlign w:val="bottom"/>
            <w:tcBorders>
              <w:top w:val="single" w:sz="8" w:color="2C6937"/>
              <w:bottom w:val="single" w:sz="8" w:color="2C6937"/>
            </w:tcBorders>
          </w:tcPr>
          <w:p>
            <w:pPr>
              <w:jc w:val="right"/>
              <w:ind w:right="664"/>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top w:val="single" w:sz="8" w:color="2C6937"/>
              <w:bottom w:val="single" w:sz="8" w:color="2C6937"/>
            </w:tcBorders>
          </w:tcPr>
          <w:p>
            <w:pPr>
              <w:spacing w:after="0"/>
              <w:rPr>
                <w:sz w:val="20"/>
                <w:szCs w:val="20"/>
                <w:color w:val="auto"/>
              </w:rPr>
            </w:pPr>
          </w:p>
        </w:tc>
        <w:tc>
          <w:tcPr>
            <w:tcW w:w="20" w:type="dxa"/>
            <w:vAlign w:val="bottom"/>
            <w:tcBorders>
              <w:top w:val="single" w:sz="8" w:color="2C6937"/>
              <w:bottom w:val="single" w:sz="8" w:color="2C6937"/>
            </w:tcBorders>
          </w:tcPr>
          <w:p>
            <w:pPr>
              <w:spacing w:after="0"/>
              <w:rPr>
                <w:sz w:val="20"/>
                <w:szCs w:val="20"/>
                <w:color w:val="auto"/>
              </w:rPr>
            </w:pPr>
          </w:p>
        </w:tc>
        <w:tc>
          <w:tcPr>
            <w:tcW w:w="200" w:type="dxa"/>
            <w:vAlign w:val="bottom"/>
            <w:tcBorders>
              <w:top w:val="single" w:sz="8" w:color="2C6937"/>
              <w:bottom w:val="single" w:sz="8" w:color="2C6937"/>
            </w:tcBorders>
          </w:tcPr>
          <w:p>
            <w:pPr>
              <w:spacing w:after="0"/>
              <w:rPr>
                <w:sz w:val="20"/>
                <w:szCs w:val="20"/>
                <w:color w:val="auto"/>
              </w:rPr>
            </w:pPr>
          </w:p>
        </w:tc>
        <w:tc>
          <w:tcPr>
            <w:tcW w:w="158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2025</w:t>
            </w:r>
          </w:p>
        </w:tc>
        <w:tc>
          <w:tcPr>
            <w:tcW w:w="20" w:type="dxa"/>
            <w:vAlign w:val="bottom"/>
            <w:tcBorders>
              <w:top w:val="single" w:sz="8" w:color="2C6937"/>
              <w:bottom w:val="single" w:sz="8" w:color="2C6937"/>
            </w:tcBorders>
          </w:tcPr>
          <w:p>
            <w:pPr>
              <w:spacing w:after="0"/>
              <w:rPr>
                <w:sz w:val="20"/>
                <w:szCs w:val="20"/>
                <w:color w:val="auto"/>
              </w:rPr>
            </w:pPr>
          </w:p>
        </w:tc>
      </w:tr>
      <w:tr>
        <w:trPr>
          <w:trHeight w:val="312"/>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gridSpan w:val="7"/>
          </w:tcPr>
          <w:p>
            <w:pPr>
              <w:ind w:left="720"/>
              <w:spacing w:after="0"/>
              <w:rPr>
                <w:sz w:val="20"/>
                <w:szCs w:val="20"/>
                <w:color w:val="auto"/>
              </w:rPr>
            </w:pPr>
            <w:r>
              <w:rPr>
                <w:rFonts w:ascii="Arial" w:cs="Arial" w:eastAsia="Arial" w:hAnsi="Arial"/>
                <w:sz w:val="15"/>
                <w:szCs w:val="15"/>
                <w:b w:val="1"/>
                <w:bCs w:val="1"/>
                <w:color w:val="auto"/>
              </w:rPr>
              <w:t>(Dollars in millions)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4"/>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Single-family allowance for credit losses: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3"/>
        </w:trPr>
        <w:tc>
          <w:tcPr>
            <w:tcW w:w="37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00" w:type="dxa"/>
            <w:vAlign w:val="bottom"/>
          </w:tcPr>
          <w:p>
            <w:pPr>
              <w:jc w:val="right"/>
              <w:ind w:right="102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(6,345)</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(5,985)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(6,272)</w:t>
            </w:r>
          </w:p>
        </w:tc>
        <w:tc>
          <w:tcPr>
            <w:tcW w:w="80" w:type="dxa"/>
            <w:vAlign w:val="bottom"/>
          </w:tcPr>
          <w:p>
            <w:pPr>
              <w:spacing w:after="0"/>
              <w:rPr>
                <w:sz w:val="24"/>
                <w:szCs w:val="2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(5,487)</w:t>
            </w:r>
          </w:p>
        </w:tc>
        <w:tc>
          <w:tcPr>
            <w:tcW w:w="20" w:type="dxa"/>
            <w:vAlign w:val="bottom"/>
          </w:tcPr>
          <w:p>
            <w:pPr>
              <w:spacing w:after="0"/>
              <w:rPr>
                <w:sz w:val="24"/>
                <w:szCs w:val="24"/>
                <w:color w:val="auto"/>
              </w:rPr>
            </w:pPr>
          </w:p>
        </w:tc>
      </w:tr>
      <w:tr>
        <w:trPr>
          <w:trHeight w:val="322"/>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(Provision) benefit for credit losses</w:t>
            </w:r>
          </w:p>
        </w:tc>
        <w:tc>
          <w:tcPr>
            <w:tcW w:w="1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(694)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(269)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(1,023)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(1,030)</w:t>
            </w:r>
          </w:p>
        </w:tc>
        <w:tc>
          <w:tcPr>
            <w:tcW w:w="20" w:type="dxa"/>
            <w:vAlign w:val="bottom"/>
          </w:tcPr>
          <w:p>
            <w:pPr>
              <w:spacing w:after="0"/>
              <w:rPr>
                <w:sz w:val="24"/>
                <w:szCs w:val="24"/>
                <w:color w:val="auto"/>
              </w:rPr>
            </w:pPr>
          </w:p>
        </w:tc>
      </w:tr>
      <w:tr>
        <w:trPr>
          <w:trHeight w:val="322"/>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181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241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b w:val="1"/>
                <w:bCs w:val="1"/>
                <w:color w:val="auto"/>
              </w:rPr>
              <w:t>546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598</w:t>
            </w:r>
          </w:p>
        </w:tc>
        <w:tc>
          <w:tcPr>
            <w:tcW w:w="20" w:type="dxa"/>
            <w:vAlign w:val="bottom"/>
          </w:tcPr>
          <w:p>
            <w:pPr>
              <w:spacing w:after="0"/>
              <w:rPr>
                <w:sz w:val="24"/>
                <w:szCs w:val="24"/>
                <w:color w:val="auto"/>
              </w:rPr>
            </w:pPr>
          </w:p>
        </w:tc>
      </w:tr>
      <w:tr>
        <w:trPr>
          <w:trHeight w:val="316"/>
        </w:trPr>
        <w:tc>
          <w:tcPr>
            <w:tcW w:w="36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80" w:type="dxa"/>
            <w:vAlign w:val="bottom"/>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(67)</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(176)</w:t>
            </w: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(145)</w:t>
            </w:r>
          </w:p>
        </w:tc>
      </w:tr>
      <w:tr>
        <w:trPr>
          <w:trHeight w:val="315"/>
        </w:trPr>
        <w:tc>
          <w:tcPr>
            <w:tcW w:w="36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80" w:type="dxa"/>
            <w:vAlign w:val="bottom"/>
          </w:tcPr>
          <w:p>
            <w:pPr>
              <w:spacing w:after="0"/>
              <w:rPr>
                <w:sz w:val="24"/>
                <w:szCs w:val="24"/>
                <w:color w:val="auto"/>
              </w:rPr>
            </w:pPr>
          </w:p>
        </w:tc>
        <w:tc>
          <w:tcPr>
            <w:tcW w:w="1200" w:type="dxa"/>
            <w:vAlign w:val="bottom"/>
            <w:tcBorders>
              <w:bottom w:val="single" w:sz="8" w:color="2C6937"/>
            </w:tcBorders>
          </w:tcPr>
          <w:p>
            <w:pPr>
              <w:jc w:val="right"/>
              <w:ind w:right="102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(6,925)</w:t>
            </w:r>
          </w:p>
        </w:tc>
        <w:tc>
          <w:tcPr>
            <w:tcW w:w="100" w:type="dxa"/>
            <w:vAlign w:val="bottom"/>
          </w:tcPr>
          <w:p>
            <w:pPr>
              <w:spacing w:after="0"/>
              <w:rPr>
                <w:sz w:val="24"/>
                <w:szCs w:val="24"/>
                <w:color w:val="auto"/>
              </w:rPr>
            </w:pPr>
          </w:p>
        </w:tc>
        <w:tc>
          <w:tcPr>
            <w:tcW w:w="42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(6,064)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2C6937"/>
            </w:tcBorders>
            <w:gridSpan w:val="2"/>
          </w:tcPr>
          <w:p>
            <w:pPr>
              <w:jc w:val="right"/>
              <w:ind w:right="120"/>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(6,925)</w:t>
            </w:r>
          </w:p>
        </w:tc>
        <w:tc>
          <w:tcPr>
            <w:tcW w:w="80" w:type="dxa"/>
            <w:vAlign w:val="bottom"/>
          </w:tcPr>
          <w:p>
            <w:pPr>
              <w:spacing w:after="0"/>
              <w:rPr>
                <w:sz w:val="24"/>
                <w:szCs w:val="24"/>
                <w:color w:val="auto"/>
              </w:rPr>
            </w:pPr>
          </w:p>
        </w:tc>
        <w:tc>
          <w:tcPr>
            <w:tcW w:w="220" w:type="dxa"/>
            <w:vAlign w:val="bottom"/>
            <w:tcBorders>
              <w:bottom w:val="single" w:sz="8" w:color="2C6937"/>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(6,064)</w:t>
            </w:r>
          </w:p>
        </w:tc>
        <w:tc>
          <w:tcPr>
            <w:tcW w:w="20" w:type="dxa"/>
            <w:vAlign w:val="bottom"/>
            <w:tcBorders>
              <w:bottom w:val="single" w:sz="8" w:color="2C6937"/>
            </w:tcBorders>
          </w:tcPr>
          <w:p>
            <w:pPr>
              <w:spacing w:after="0"/>
              <w:rPr>
                <w:sz w:val="24"/>
                <w:szCs w:val="24"/>
                <w:color w:val="auto"/>
              </w:rPr>
            </w:pPr>
          </w:p>
        </w:tc>
      </w:tr>
      <w:tr>
        <w:trPr>
          <w:trHeight w:val="20"/>
        </w:trPr>
        <w:tc>
          <w:tcPr>
            <w:tcW w:w="36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13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6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58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r>
      <w:tr>
        <w:trPr>
          <w:trHeight w:val="299"/>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Multifamily allowance for credit losses: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3"/>
        </w:trPr>
        <w:tc>
          <w:tcPr>
            <w:tcW w:w="37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00" w:type="dxa"/>
            <w:vAlign w:val="bottom"/>
          </w:tcPr>
          <w:p>
            <w:pPr>
              <w:jc w:val="right"/>
              <w:ind w:right="102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(2,408)</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(2,486)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(2,320)</w:t>
            </w:r>
          </w:p>
        </w:tc>
        <w:tc>
          <w:tcPr>
            <w:tcW w:w="80" w:type="dxa"/>
            <w:vAlign w:val="bottom"/>
          </w:tcPr>
          <w:p>
            <w:pPr>
              <w:spacing w:after="0"/>
              <w:rPr>
                <w:sz w:val="24"/>
                <w:szCs w:val="2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(2,399)</w:t>
            </w:r>
          </w:p>
        </w:tc>
        <w:tc>
          <w:tcPr>
            <w:tcW w:w="20" w:type="dxa"/>
            <w:vAlign w:val="bottom"/>
          </w:tcPr>
          <w:p>
            <w:pPr>
              <w:spacing w:after="0"/>
              <w:rPr>
                <w:sz w:val="24"/>
                <w:szCs w:val="24"/>
                <w:color w:val="auto"/>
              </w:rPr>
            </w:pPr>
          </w:p>
        </w:tc>
      </w:tr>
      <w:tr>
        <w:trPr>
          <w:trHeight w:val="322"/>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(Provision) benefit for credit losses</w:t>
            </w:r>
          </w:p>
        </w:tc>
        <w:tc>
          <w:tcPr>
            <w:tcW w:w="1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(446)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(879)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5"/>
                <w:szCs w:val="15"/>
                <w:color w:val="auto"/>
              </w:rPr>
              <w:t>(278)</w:t>
            </w:r>
          </w:p>
        </w:tc>
      </w:tr>
      <w:tr>
        <w:trPr>
          <w:trHeight w:val="322"/>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160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b w:val="1"/>
                <w:bCs w:val="1"/>
                <w:color w:val="auto"/>
              </w:rPr>
              <w:t>604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350</w:t>
            </w:r>
          </w:p>
        </w:tc>
        <w:tc>
          <w:tcPr>
            <w:tcW w:w="20" w:type="dxa"/>
            <w:vAlign w:val="bottom"/>
          </w:tcPr>
          <w:p>
            <w:pPr>
              <w:spacing w:after="0"/>
              <w:rPr>
                <w:sz w:val="24"/>
                <w:szCs w:val="24"/>
                <w:color w:val="auto"/>
              </w:rPr>
            </w:pPr>
          </w:p>
        </w:tc>
      </w:tr>
      <w:tr>
        <w:trPr>
          <w:trHeight w:val="316"/>
        </w:trPr>
        <w:tc>
          <w:tcPr>
            <w:tcW w:w="36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80" w:type="dxa"/>
            <w:vAlign w:val="bottom"/>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(139)</w:t>
            </w: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(86)</w:t>
            </w:r>
          </w:p>
        </w:tc>
      </w:tr>
      <w:tr>
        <w:trPr>
          <w:trHeight w:val="315"/>
        </w:trPr>
        <w:tc>
          <w:tcPr>
            <w:tcW w:w="36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80" w:type="dxa"/>
            <w:vAlign w:val="bottom"/>
          </w:tcPr>
          <w:p>
            <w:pPr>
              <w:spacing w:after="0"/>
              <w:rPr>
                <w:sz w:val="24"/>
                <w:szCs w:val="24"/>
                <w:color w:val="auto"/>
              </w:rPr>
            </w:pPr>
          </w:p>
        </w:tc>
        <w:tc>
          <w:tcPr>
            <w:tcW w:w="1200" w:type="dxa"/>
            <w:vAlign w:val="bottom"/>
            <w:tcBorders>
              <w:bottom w:val="single" w:sz="8" w:color="2C6937"/>
            </w:tcBorders>
          </w:tcPr>
          <w:p>
            <w:pPr>
              <w:jc w:val="right"/>
              <w:ind w:right="102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(2,734)</w:t>
            </w:r>
          </w:p>
        </w:tc>
        <w:tc>
          <w:tcPr>
            <w:tcW w:w="100" w:type="dxa"/>
            <w:vAlign w:val="bottom"/>
          </w:tcPr>
          <w:p>
            <w:pPr>
              <w:spacing w:after="0"/>
              <w:rPr>
                <w:sz w:val="24"/>
                <w:szCs w:val="24"/>
                <w:color w:val="auto"/>
              </w:rPr>
            </w:pPr>
          </w:p>
        </w:tc>
        <w:tc>
          <w:tcPr>
            <w:tcW w:w="42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(2,413)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2C6937"/>
            </w:tcBorders>
            <w:gridSpan w:val="2"/>
          </w:tcPr>
          <w:p>
            <w:pPr>
              <w:jc w:val="right"/>
              <w:ind w:right="120"/>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(2,734)</w:t>
            </w:r>
          </w:p>
        </w:tc>
        <w:tc>
          <w:tcPr>
            <w:tcW w:w="80" w:type="dxa"/>
            <w:vAlign w:val="bottom"/>
          </w:tcPr>
          <w:p>
            <w:pPr>
              <w:spacing w:after="0"/>
              <w:rPr>
                <w:sz w:val="24"/>
                <w:szCs w:val="24"/>
                <w:color w:val="auto"/>
              </w:rPr>
            </w:pPr>
          </w:p>
        </w:tc>
        <w:tc>
          <w:tcPr>
            <w:tcW w:w="220" w:type="dxa"/>
            <w:vAlign w:val="bottom"/>
            <w:tcBorders>
              <w:bottom w:val="single" w:sz="8" w:color="2C6937"/>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(2,413)</w:t>
            </w:r>
          </w:p>
        </w:tc>
        <w:tc>
          <w:tcPr>
            <w:tcW w:w="20" w:type="dxa"/>
            <w:vAlign w:val="bottom"/>
            <w:tcBorders>
              <w:bottom w:val="single" w:sz="8" w:color="2C6937"/>
            </w:tcBorders>
          </w:tcPr>
          <w:p>
            <w:pPr>
              <w:spacing w:after="0"/>
              <w:rPr>
                <w:sz w:val="24"/>
                <w:szCs w:val="24"/>
                <w:color w:val="auto"/>
              </w:rPr>
            </w:pPr>
          </w:p>
        </w:tc>
      </w:tr>
      <w:tr>
        <w:trPr>
          <w:trHeight w:val="20"/>
        </w:trPr>
        <w:tc>
          <w:tcPr>
            <w:tcW w:w="36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13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6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58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r>
      <w:tr>
        <w:trPr>
          <w:trHeight w:val="299"/>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Total allowance for credit losses: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3"/>
        </w:trPr>
        <w:tc>
          <w:tcPr>
            <w:tcW w:w="37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00" w:type="dxa"/>
            <w:vAlign w:val="bottom"/>
          </w:tcPr>
          <w:p>
            <w:pPr>
              <w:jc w:val="right"/>
              <w:ind w:right="102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(8,753)</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(8,471)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(8,592)</w:t>
            </w:r>
          </w:p>
        </w:tc>
        <w:tc>
          <w:tcPr>
            <w:tcW w:w="80" w:type="dxa"/>
            <w:vAlign w:val="bottom"/>
          </w:tcPr>
          <w:p>
            <w:pPr>
              <w:spacing w:after="0"/>
              <w:rPr>
                <w:sz w:val="24"/>
                <w:szCs w:val="2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(7,886)</w:t>
            </w:r>
          </w:p>
        </w:tc>
        <w:tc>
          <w:tcPr>
            <w:tcW w:w="20" w:type="dxa"/>
            <w:vAlign w:val="bottom"/>
          </w:tcPr>
          <w:p>
            <w:pPr>
              <w:spacing w:after="0"/>
              <w:rPr>
                <w:sz w:val="24"/>
                <w:szCs w:val="24"/>
                <w:color w:val="auto"/>
              </w:rPr>
            </w:pPr>
          </w:p>
        </w:tc>
      </w:tr>
      <w:tr>
        <w:trPr>
          <w:trHeight w:val="322"/>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(Provision) benefit for credit losses</w:t>
            </w:r>
          </w:p>
        </w:tc>
        <w:tc>
          <w:tcPr>
            <w:tcW w:w="1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(1,140)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(1,902)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(1,308)</w:t>
            </w:r>
          </w:p>
        </w:tc>
        <w:tc>
          <w:tcPr>
            <w:tcW w:w="20" w:type="dxa"/>
            <w:vAlign w:val="bottom"/>
          </w:tcPr>
          <w:p>
            <w:pPr>
              <w:spacing w:after="0"/>
              <w:rPr>
                <w:sz w:val="24"/>
                <w:szCs w:val="24"/>
                <w:color w:val="auto"/>
              </w:rPr>
            </w:pPr>
          </w:p>
        </w:tc>
      </w:tr>
      <w:tr>
        <w:trPr>
          <w:trHeight w:val="322"/>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341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408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b w:val="1"/>
                <w:bCs w:val="1"/>
                <w:color w:val="auto"/>
              </w:rPr>
              <w:t>1,150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948</w:t>
            </w:r>
          </w:p>
        </w:tc>
        <w:tc>
          <w:tcPr>
            <w:tcW w:w="20" w:type="dxa"/>
            <w:vAlign w:val="bottom"/>
          </w:tcPr>
          <w:p>
            <w:pPr>
              <w:spacing w:after="0"/>
              <w:rPr>
                <w:sz w:val="24"/>
                <w:szCs w:val="24"/>
                <w:color w:val="auto"/>
              </w:rPr>
            </w:pPr>
          </w:p>
        </w:tc>
      </w:tr>
      <w:tr>
        <w:trPr>
          <w:trHeight w:val="316"/>
        </w:trPr>
        <w:tc>
          <w:tcPr>
            <w:tcW w:w="36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80" w:type="dxa"/>
            <w:vAlign w:val="bottom"/>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(107)</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(315)</w:t>
            </w: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(231)</w:t>
            </w:r>
          </w:p>
        </w:tc>
      </w:tr>
      <w:tr>
        <w:trPr>
          <w:trHeight w:val="315"/>
        </w:trPr>
        <w:tc>
          <w:tcPr>
            <w:tcW w:w="3700" w:type="dxa"/>
            <w:vAlign w:val="bottom"/>
            <w:gridSpan w:val="2"/>
          </w:tcPr>
          <w:p>
            <w:pPr>
              <w:ind w:left="180"/>
              <w:spacing w:after="0"/>
              <w:rPr>
                <w:sz w:val="20"/>
                <w:szCs w:val="20"/>
                <w:color w:val="auto"/>
              </w:rPr>
            </w:pPr>
            <w:r>
              <w:rPr>
                <w:rFonts w:ascii="Arial" w:cs="Arial" w:eastAsia="Arial" w:hAnsi="Arial"/>
                <w:sz w:val="15"/>
                <w:szCs w:val="15"/>
                <w:color w:val="auto"/>
              </w:rPr>
              <w:t>Ending balance</w:t>
            </w:r>
          </w:p>
        </w:tc>
        <w:tc>
          <w:tcPr>
            <w:tcW w:w="1200" w:type="dxa"/>
            <w:vAlign w:val="bottom"/>
          </w:tcPr>
          <w:p>
            <w:pPr>
              <w:jc w:val="right"/>
              <w:ind w:right="102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(9,659)</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(8,477)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(9,659)</w:t>
            </w:r>
          </w:p>
        </w:tc>
        <w:tc>
          <w:tcPr>
            <w:tcW w:w="80" w:type="dxa"/>
            <w:vAlign w:val="bottom"/>
          </w:tcPr>
          <w:p>
            <w:pPr>
              <w:spacing w:after="0"/>
              <w:rPr>
                <w:sz w:val="24"/>
                <w:szCs w:val="2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(8,477)</w:t>
            </w:r>
          </w:p>
        </w:tc>
        <w:tc>
          <w:tcPr>
            <w:tcW w:w="20" w:type="dxa"/>
            <w:vAlign w:val="bottom"/>
          </w:tcPr>
          <w:p>
            <w:pPr>
              <w:spacing w:after="0"/>
              <w:rPr>
                <w:sz w:val="24"/>
                <w:szCs w:val="24"/>
                <w:color w:val="auto"/>
              </w:rPr>
            </w:pPr>
          </w:p>
        </w:tc>
      </w:tr>
      <w:tr>
        <w:trPr>
          <w:trHeight w:val="20"/>
        </w:trPr>
        <w:tc>
          <w:tcPr>
            <w:tcW w:w="3620" w:type="dxa"/>
            <w:vAlign w:val="bottom"/>
            <w:tcBorders>
              <w:top w:val="single" w:sz="8" w:color="418152"/>
              <w:bottom w:val="single" w:sz="8" w:color="41815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r>
      <w:tr>
        <w:trPr>
          <w:trHeight w:val="398"/>
        </w:trPr>
        <w:tc>
          <w:tcPr>
            <w:tcW w:w="3700" w:type="dxa"/>
            <w:vAlign w:val="bottom"/>
            <w:gridSpan w:val="2"/>
          </w:tcPr>
          <w:p>
            <w:pPr>
              <w:ind w:left="20"/>
              <w:spacing w:after="0"/>
              <w:rPr>
                <w:sz w:val="20"/>
                <w:szCs w:val="20"/>
                <w:color w:val="auto"/>
              </w:rPr>
            </w:pPr>
            <w:r>
              <w:rPr>
                <w:rFonts w:ascii="Arial" w:cs="Arial" w:eastAsia="Arial" w:hAnsi="Arial"/>
                <w:sz w:val="15"/>
                <w:szCs w:val="15"/>
                <w:b w:val="1"/>
                <w:bCs w:val="1"/>
                <w:color w:val="auto"/>
              </w:rPr>
              <w:t>Components of allowance for credit losses: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900" w:type="dxa"/>
            <w:vAlign w:val="bottom"/>
            <w:tcBorders>
              <w:bottom w:val="single" w:sz="8" w:color="2C6937"/>
            </w:tcBorders>
            <w:gridSpan w:val="4"/>
          </w:tcPr>
          <w:p>
            <w:pPr>
              <w:jc w:val="center"/>
              <w:ind w:left="1324"/>
              <w:spacing w:after="0"/>
              <w:rPr>
                <w:sz w:val="20"/>
                <w:szCs w:val="20"/>
                <w:color w:val="auto"/>
              </w:rPr>
            </w:pPr>
            <w:r>
              <w:rPr>
                <w:rFonts w:ascii="Arial" w:cs="Arial" w:eastAsia="Arial" w:hAnsi="Arial"/>
                <w:sz w:val="14"/>
                <w:szCs w:val="14"/>
                <w:b w:val="1"/>
                <w:bCs w:val="1"/>
                <w:color w:val="auto"/>
                <w:w w:val="97"/>
              </w:rPr>
              <w:t>As of</w:t>
            </w:r>
          </w:p>
        </w:tc>
        <w:tc>
          <w:tcPr>
            <w:tcW w:w="1580" w:type="dxa"/>
            <w:vAlign w:val="bottom"/>
            <w:tcBorders>
              <w:bottom w:val="single" w:sz="8" w:color="2C6937"/>
            </w:tcBorders>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680" w:type="dxa"/>
            <w:vAlign w:val="bottom"/>
            <w:tcBorders>
              <w:bottom w:val="single" w:sz="8" w:color="2C6937"/>
            </w:tcBorders>
            <w:gridSpan w:val="2"/>
          </w:tcPr>
          <w:p>
            <w:pPr>
              <w:ind w:left="80"/>
              <w:spacing w:after="0"/>
              <w:rPr>
                <w:sz w:val="20"/>
                <w:szCs w:val="20"/>
                <w:color w:val="auto"/>
              </w:rPr>
            </w:pPr>
            <w:r>
              <w:rPr>
                <w:rFonts w:ascii="Arial" w:cs="Arial" w:eastAsia="Arial" w:hAnsi="Arial"/>
                <w:sz w:val="14"/>
                <w:szCs w:val="14"/>
                <w:b w:val="1"/>
                <w:bCs w:val="1"/>
                <w:color w:val="auto"/>
              </w:rPr>
              <w:t>September 30, 2026</w:t>
            </w:r>
          </w:p>
        </w:tc>
        <w:tc>
          <w:tcPr>
            <w:tcW w:w="2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ind w:right="203"/>
              <w:spacing w:after="0"/>
              <w:rPr>
                <w:sz w:val="20"/>
                <w:szCs w:val="20"/>
                <w:color w:val="auto"/>
              </w:rPr>
            </w:pPr>
            <w:r>
              <w:rPr>
                <w:rFonts w:ascii="Arial" w:cs="Arial" w:eastAsia="Arial" w:hAnsi="Arial"/>
                <w:sz w:val="14"/>
                <w:szCs w:val="14"/>
                <w:b w:val="1"/>
                <w:bCs w:val="1"/>
                <w:color w:val="auto"/>
              </w:rPr>
              <w:t>December 31, 2025</w:t>
            </w:r>
          </w:p>
        </w:tc>
        <w:tc>
          <w:tcPr>
            <w:tcW w:w="20" w:type="dxa"/>
            <w:vAlign w:val="bottom"/>
          </w:tcPr>
          <w:p>
            <w:pPr>
              <w:spacing w:after="0"/>
              <w:rPr>
                <w:sz w:val="17"/>
                <w:szCs w:val="17"/>
                <w:color w:val="auto"/>
              </w:rPr>
            </w:pPr>
          </w:p>
        </w:tc>
      </w:tr>
      <w:tr>
        <w:trPr>
          <w:trHeight w:val="211"/>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8"/>
              </w:rPr>
              <w:t>(Dollars in millions)</w:t>
            </w:r>
          </w:p>
        </w:tc>
      </w:tr>
      <w:tr>
        <w:trPr>
          <w:trHeight w:val="245"/>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Single-family allowance for credit losses:</w:t>
            </w:r>
          </w:p>
        </w:tc>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6"/>
        </w:trPr>
        <w:tc>
          <w:tcPr>
            <w:tcW w:w="3700" w:type="dxa"/>
            <w:vAlign w:val="bottom"/>
            <w:gridSpan w:val="2"/>
          </w:tcPr>
          <w:p>
            <w:pPr>
              <w:ind w:left="120"/>
              <w:spacing w:after="0"/>
              <w:rPr>
                <w:sz w:val="20"/>
                <w:szCs w:val="20"/>
                <w:color w:val="auto"/>
              </w:rPr>
            </w:pPr>
            <w:r>
              <w:rPr>
                <w:rFonts w:ascii="Arial" w:cs="Arial" w:eastAsia="Arial" w:hAnsi="Arial"/>
                <w:sz w:val="15"/>
                <w:szCs w:val="15"/>
                <w:color w:val="auto"/>
              </w:rPr>
              <w:t>Allowance for loan losses</w:t>
            </w: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(6,694)</w:t>
            </w:r>
          </w:p>
        </w:tc>
        <w:tc>
          <w:tcPr>
            <w:tcW w:w="80" w:type="dxa"/>
            <w:vAlign w:val="bottom"/>
          </w:tcPr>
          <w:p>
            <w:pPr>
              <w:spacing w:after="0"/>
              <w:rPr>
                <w:sz w:val="23"/>
                <w:szCs w:val="2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(6,056)</w:t>
            </w:r>
          </w:p>
        </w:tc>
        <w:tc>
          <w:tcPr>
            <w:tcW w:w="20" w:type="dxa"/>
            <w:vAlign w:val="bottom"/>
          </w:tcPr>
          <w:p>
            <w:pPr>
              <w:spacing w:after="0"/>
              <w:rPr>
                <w:sz w:val="23"/>
                <w:szCs w:val="23"/>
                <w:color w:val="auto"/>
              </w:rPr>
            </w:pPr>
          </w:p>
        </w:tc>
      </w:tr>
      <w:tr>
        <w:trPr>
          <w:trHeight w:val="239"/>
        </w:trPr>
        <w:tc>
          <w:tcPr>
            <w:tcW w:w="3700" w:type="dxa"/>
            <w:vAlign w:val="bottom"/>
            <w:tcBorders>
              <w:bottom w:val="single" w:sz="8" w:color="2C6937"/>
            </w:tcBorders>
            <w:gridSpan w:val="2"/>
          </w:tcPr>
          <w:p>
            <w:pPr>
              <w:ind w:left="12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(1)</w:t>
            </w:r>
          </w:p>
        </w:tc>
        <w:tc>
          <w:tcPr>
            <w:tcW w:w="120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138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226600"/>
            </w:tcBorders>
          </w:tcPr>
          <w:p>
            <w:pPr>
              <w:spacing w:after="0"/>
              <w:rPr>
                <w:sz w:val="20"/>
                <w:szCs w:val="20"/>
                <w:color w:val="auto"/>
              </w:rPr>
            </w:pPr>
          </w:p>
        </w:tc>
        <w:tc>
          <w:tcPr>
            <w:tcW w:w="1600" w:type="dxa"/>
            <w:vAlign w:val="bottom"/>
            <w:tcBorders>
              <w:bottom w:val="single" w:sz="8" w:color="226600"/>
            </w:tcBorders>
          </w:tcPr>
          <w:p>
            <w:pPr>
              <w:jc w:val="right"/>
              <w:spacing w:after="0"/>
              <w:rPr>
                <w:sz w:val="20"/>
                <w:szCs w:val="20"/>
                <w:color w:val="auto"/>
              </w:rPr>
            </w:pPr>
            <w:r>
              <w:rPr>
                <w:rFonts w:ascii="Arial" w:cs="Arial" w:eastAsia="Arial" w:hAnsi="Arial"/>
                <w:sz w:val="15"/>
                <w:szCs w:val="15"/>
                <w:b w:val="1"/>
                <w:bCs w:val="1"/>
                <w:color w:val="auto"/>
              </w:rPr>
              <w:t>(231)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(216)</w:t>
            </w:r>
          </w:p>
        </w:tc>
        <w:tc>
          <w:tcPr>
            <w:tcW w:w="20" w:type="dxa"/>
            <w:vAlign w:val="bottom"/>
          </w:tcPr>
          <w:p>
            <w:pPr>
              <w:spacing w:after="0"/>
              <w:rPr>
                <w:sz w:val="20"/>
                <w:szCs w:val="20"/>
                <w:color w:val="auto"/>
              </w:rPr>
            </w:pPr>
          </w:p>
        </w:tc>
      </w:tr>
      <w:tr>
        <w:trPr>
          <w:trHeight w:val="238"/>
        </w:trPr>
        <w:tc>
          <w:tcPr>
            <w:tcW w:w="370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(6,925)</w:t>
            </w:r>
          </w:p>
        </w:tc>
        <w:tc>
          <w:tcPr>
            <w:tcW w:w="8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(6,272)</w:t>
            </w:r>
          </w:p>
        </w:tc>
        <w:tc>
          <w:tcPr>
            <w:tcW w:w="20" w:type="dxa"/>
            <w:vAlign w:val="bottom"/>
          </w:tcPr>
          <w:p>
            <w:pPr>
              <w:spacing w:after="0"/>
              <w:rPr>
                <w:sz w:val="20"/>
                <w:szCs w:val="20"/>
                <w:color w:val="auto"/>
              </w:rPr>
            </w:pPr>
          </w:p>
        </w:tc>
      </w:tr>
      <w:tr>
        <w:trPr>
          <w:trHeight w:val="20"/>
        </w:trPr>
        <w:tc>
          <w:tcPr>
            <w:tcW w:w="3700" w:type="dxa"/>
            <w:vAlign w:val="bottom"/>
            <w:tcBorders>
              <w:top w:val="single" w:sz="8" w:color="418152"/>
              <w:bottom w:val="single" w:sz="8" w:color="418152"/>
            </w:tcBorders>
            <w:gridSpan w:val="2"/>
          </w:tcPr>
          <w:p>
            <w:pPr>
              <w:spacing w:after="0" w:line="20" w:lineRule="exact"/>
              <w:rPr>
                <w:sz w:val="1"/>
                <w:szCs w:val="1"/>
                <w:color w:val="auto"/>
              </w:rPr>
            </w:pPr>
          </w:p>
        </w:tc>
        <w:tc>
          <w:tcPr>
            <w:tcW w:w="1200" w:type="dxa"/>
            <w:vAlign w:val="bottom"/>
            <w:tcBorders>
              <w:top w:val="single" w:sz="8" w:color="418152"/>
              <w:bottom w:val="single" w:sz="8" w:color="418152"/>
            </w:tcBorders>
          </w:tcPr>
          <w:p>
            <w:pPr>
              <w:spacing w:after="0" w:line="20" w:lineRule="exact"/>
              <w:rPr>
                <w:sz w:val="1"/>
                <w:szCs w:val="1"/>
                <w:color w:val="auto"/>
              </w:rPr>
            </w:pPr>
          </w:p>
        </w:tc>
        <w:tc>
          <w:tcPr>
            <w:tcW w:w="620" w:type="dxa"/>
            <w:vAlign w:val="bottom"/>
            <w:tcBorders>
              <w:top w:val="single" w:sz="8" w:color="418152"/>
              <w:bottom w:val="single" w:sz="8" w:color="418152"/>
            </w:tcBorders>
          </w:tcPr>
          <w:p>
            <w:pPr>
              <w:spacing w:after="0" w:line="20" w:lineRule="exact"/>
              <w:rPr>
                <w:sz w:val="1"/>
                <w:szCs w:val="1"/>
                <w:color w:val="auto"/>
              </w:rPr>
            </w:pPr>
          </w:p>
        </w:tc>
        <w:tc>
          <w:tcPr>
            <w:tcW w:w="100" w:type="dxa"/>
            <w:vAlign w:val="bottom"/>
            <w:tcBorders>
              <w:top w:val="single" w:sz="8" w:color="418152"/>
              <w:bottom w:val="single" w:sz="8" w:color="418152"/>
            </w:tcBorders>
          </w:tcPr>
          <w:p>
            <w:pPr>
              <w:spacing w:after="0" w:line="20" w:lineRule="exact"/>
              <w:rPr>
                <w:sz w:val="1"/>
                <w:szCs w:val="1"/>
                <w:color w:val="auto"/>
              </w:rPr>
            </w:pPr>
          </w:p>
        </w:tc>
        <w:tc>
          <w:tcPr>
            <w:tcW w:w="420" w:type="dxa"/>
            <w:vAlign w:val="bottom"/>
            <w:tcBorders>
              <w:top w:val="single" w:sz="8" w:color="418152"/>
              <w:bottom w:val="single" w:sz="8" w:color="418152"/>
            </w:tcBorders>
          </w:tcPr>
          <w:p>
            <w:pPr>
              <w:spacing w:after="0" w:line="20" w:lineRule="exact"/>
              <w:rPr>
                <w:sz w:val="1"/>
                <w:szCs w:val="1"/>
                <w:color w:val="auto"/>
              </w:rPr>
            </w:pPr>
          </w:p>
        </w:tc>
        <w:tc>
          <w:tcPr>
            <w:tcW w:w="1380" w:type="dxa"/>
            <w:vAlign w:val="bottom"/>
            <w:tcBorders>
              <w:top w:val="single" w:sz="8" w:color="418152"/>
              <w:bottom w:val="single" w:sz="8" w:color="418152"/>
            </w:tcBorders>
          </w:tcPr>
          <w:p>
            <w:pPr>
              <w:spacing w:after="0" w:line="20" w:lineRule="exact"/>
              <w:rPr>
                <w:sz w:val="1"/>
                <w:szCs w:val="1"/>
                <w:color w:val="auto"/>
              </w:rPr>
            </w:pPr>
          </w:p>
        </w:tc>
        <w:tc>
          <w:tcPr>
            <w:tcW w:w="60" w:type="dxa"/>
            <w:vAlign w:val="bottom"/>
            <w:tcBorders>
              <w:top w:val="single" w:sz="8" w:color="418152"/>
              <w:bottom w:val="single" w:sz="8" w:color="41815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26600"/>
              <w:bottom w:val="single" w:sz="8" w:color="226600"/>
            </w:tcBorders>
          </w:tcPr>
          <w:p>
            <w:pPr>
              <w:spacing w:after="0" w:line="20" w:lineRule="exact"/>
              <w:rPr>
                <w:sz w:val="1"/>
                <w:szCs w:val="1"/>
                <w:color w:val="auto"/>
              </w:rPr>
            </w:pPr>
          </w:p>
        </w:tc>
        <w:tc>
          <w:tcPr>
            <w:tcW w:w="1600" w:type="dxa"/>
            <w:vAlign w:val="bottom"/>
            <w:tcBorders>
              <w:top w:val="single" w:sz="8" w:color="226600"/>
              <w:bottom w:val="single" w:sz="8" w:color="2266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Multifamily allowance for credit losses:</w:t>
            </w: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6"/>
        </w:trPr>
        <w:tc>
          <w:tcPr>
            <w:tcW w:w="3700" w:type="dxa"/>
            <w:vAlign w:val="bottom"/>
            <w:gridSpan w:val="2"/>
          </w:tcPr>
          <w:p>
            <w:pPr>
              <w:ind w:left="120"/>
              <w:spacing w:after="0"/>
              <w:rPr>
                <w:sz w:val="20"/>
                <w:szCs w:val="20"/>
                <w:color w:val="auto"/>
              </w:rPr>
            </w:pPr>
            <w:r>
              <w:rPr>
                <w:rFonts w:ascii="Arial" w:cs="Arial" w:eastAsia="Arial" w:hAnsi="Arial"/>
                <w:sz w:val="15"/>
                <w:szCs w:val="15"/>
                <w:color w:val="auto"/>
              </w:rPr>
              <w:t>Allowance for loan losses</w:t>
            </w: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(2,721)</w:t>
            </w:r>
          </w:p>
        </w:tc>
        <w:tc>
          <w:tcPr>
            <w:tcW w:w="80" w:type="dxa"/>
            <w:vAlign w:val="bottom"/>
          </w:tcPr>
          <w:p>
            <w:pPr>
              <w:spacing w:after="0"/>
              <w:rPr>
                <w:sz w:val="23"/>
                <w:szCs w:val="2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(2,308)</w:t>
            </w:r>
          </w:p>
        </w:tc>
        <w:tc>
          <w:tcPr>
            <w:tcW w:w="20" w:type="dxa"/>
            <w:vAlign w:val="bottom"/>
          </w:tcPr>
          <w:p>
            <w:pPr>
              <w:spacing w:after="0"/>
              <w:rPr>
                <w:sz w:val="23"/>
                <w:szCs w:val="23"/>
                <w:color w:val="auto"/>
              </w:rPr>
            </w:pPr>
          </w:p>
        </w:tc>
      </w:tr>
      <w:tr>
        <w:trPr>
          <w:trHeight w:val="239"/>
        </w:trPr>
        <w:tc>
          <w:tcPr>
            <w:tcW w:w="3700" w:type="dxa"/>
            <w:vAlign w:val="bottom"/>
            <w:tcBorders>
              <w:bottom w:val="single" w:sz="8" w:color="2C6937"/>
            </w:tcBorders>
            <w:gridSpan w:val="2"/>
          </w:tcPr>
          <w:p>
            <w:pPr>
              <w:ind w:left="12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(1)</w:t>
            </w:r>
          </w:p>
        </w:tc>
        <w:tc>
          <w:tcPr>
            <w:tcW w:w="120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138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226600"/>
            </w:tcBorders>
          </w:tcPr>
          <w:p>
            <w:pPr>
              <w:spacing w:after="0"/>
              <w:rPr>
                <w:sz w:val="20"/>
                <w:szCs w:val="20"/>
                <w:color w:val="auto"/>
              </w:rPr>
            </w:pPr>
          </w:p>
        </w:tc>
        <w:tc>
          <w:tcPr>
            <w:tcW w:w="1600" w:type="dxa"/>
            <w:vAlign w:val="bottom"/>
            <w:tcBorders>
              <w:bottom w:val="single" w:sz="8" w:color="226600"/>
            </w:tcBorders>
          </w:tcPr>
          <w:p>
            <w:pPr>
              <w:jc w:val="right"/>
              <w:spacing w:after="0"/>
              <w:rPr>
                <w:sz w:val="20"/>
                <w:szCs w:val="20"/>
                <w:color w:val="auto"/>
              </w:rPr>
            </w:pPr>
            <w:r>
              <w:rPr>
                <w:rFonts w:ascii="Arial" w:cs="Arial" w:eastAsia="Arial" w:hAnsi="Arial"/>
                <w:sz w:val="15"/>
                <w:szCs w:val="15"/>
                <w:b w:val="1"/>
                <w:bCs w:val="1"/>
                <w:color w:val="auto"/>
              </w:rPr>
              <w:t>(13)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20"/>
                <w:szCs w:val="20"/>
                <w:color w:val="auto"/>
              </w:rPr>
            </w:pPr>
          </w:p>
        </w:tc>
      </w:tr>
      <w:tr>
        <w:trPr>
          <w:trHeight w:val="238"/>
        </w:trPr>
        <w:tc>
          <w:tcPr>
            <w:tcW w:w="370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(2,734)</w:t>
            </w:r>
          </w:p>
        </w:tc>
        <w:tc>
          <w:tcPr>
            <w:tcW w:w="8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(2,320)</w:t>
            </w:r>
          </w:p>
        </w:tc>
        <w:tc>
          <w:tcPr>
            <w:tcW w:w="20" w:type="dxa"/>
            <w:vAlign w:val="bottom"/>
          </w:tcPr>
          <w:p>
            <w:pPr>
              <w:spacing w:after="0"/>
              <w:rPr>
                <w:sz w:val="20"/>
                <w:szCs w:val="20"/>
                <w:color w:val="auto"/>
              </w:rPr>
            </w:pPr>
          </w:p>
        </w:tc>
      </w:tr>
      <w:tr>
        <w:trPr>
          <w:trHeight w:val="20"/>
        </w:trPr>
        <w:tc>
          <w:tcPr>
            <w:tcW w:w="3700" w:type="dxa"/>
            <w:vAlign w:val="bottom"/>
            <w:tcBorders>
              <w:top w:val="single" w:sz="8" w:color="418152"/>
              <w:bottom w:val="single" w:sz="8" w:color="418152"/>
            </w:tcBorders>
            <w:gridSpan w:val="2"/>
          </w:tcPr>
          <w:p>
            <w:pPr>
              <w:spacing w:after="0" w:line="20" w:lineRule="exact"/>
              <w:rPr>
                <w:sz w:val="1"/>
                <w:szCs w:val="1"/>
                <w:color w:val="auto"/>
              </w:rPr>
            </w:pPr>
          </w:p>
        </w:tc>
        <w:tc>
          <w:tcPr>
            <w:tcW w:w="1200" w:type="dxa"/>
            <w:vAlign w:val="bottom"/>
            <w:tcBorders>
              <w:top w:val="single" w:sz="8" w:color="418152"/>
              <w:bottom w:val="single" w:sz="8" w:color="418152"/>
            </w:tcBorders>
          </w:tcPr>
          <w:p>
            <w:pPr>
              <w:spacing w:after="0" w:line="20" w:lineRule="exact"/>
              <w:rPr>
                <w:sz w:val="1"/>
                <w:szCs w:val="1"/>
                <w:color w:val="auto"/>
              </w:rPr>
            </w:pPr>
          </w:p>
        </w:tc>
        <w:tc>
          <w:tcPr>
            <w:tcW w:w="620" w:type="dxa"/>
            <w:vAlign w:val="bottom"/>
            <w:tcBorders>
              <w:top w:val="single" w:sz="8" w:color="418152"/>
              <w:bottom w:val="single" w:sz="8" w:color="418152"/>
            </w:tcBorders>
          </w:tcPr>
          <w:p>
            <w:pPr>
              <w:spacing w:after="0" w:line="20" w:lineRule="exact"/>
              <w:rPr>
                <w:sz w:val="1"/>
                <w:szCs w:val="1"/>
                <w:color w:val="auto"/>
              </w:rPr>
            </w:pPr>
          </w:p>
        </w:tc>
        <w:tc>
          <w:tcPr>
            <w:tcW w:w="100" w:type="dxa"/>
            <w:vAlign w:val="bottom"/>
            <w:tcBorders>
              <w:top w:val="single" w:sz="8" w:color="418152"/>
              <w:bottom w:val="single" w:sz="8" w:color="418152"/>
            </w:tcBorders>
          </w:tcPr>
          <w:p>
            <w:pPr>
              <w:spacing w:after="0" w:line="20" w:lineRule="exact"/>
              <w:rPr>
                <w:sz w:val="1"/>
                <w:szCs w:val="1"/>
                <w:color w:val="auto"/>
              </w:rPr>
            </w:pPr>
          </w:p>
        </w:tc>
        <w:tc>
          <w:tcPr>
            <w:tcW w:w="420" w:type="dxa"/>
            <w:vAlign w:val="bottom"/>
            <w:tcBorders>
              <w:top w:val="single" w:sz="8" w:color="418152"/>
              <w:bottom w:val="single" w:sz="8" w:color="418152"/>
            </w:tcBorders>
          </w:tcPr>
          <w:p>
            <w:pPr>
              <w:spacing w:after="0" w:line="20" w:lineRule="exact"/>
              <w:rPr>
                <w:sz w:val="1"/>
                <w:szCs w:val="1"/>
                <w:color w:val="auto"/>
              </w:rPr>
            </w:pPr>
          </w:p>
        </w:tc>
        <w:tc>
          <w:tcPr>
            <w:tcW w:w="1380" w:type="dxa"/>
            <w:vAlign w:val="bottom"/>
            <w:tcBorders>
              <w:top w:val="single" w:sz="8" w:color="418152"/>
              <w:bottom w:val="single" w:sz="8" w:color="418152"/>
            </w:tcBorders>
          </w:tcPr>
          <w:p>
            <w:pPr>
              <w:spacing w:after="0" w:line="20" w:lineRule="exact"/>
              <w:rPr>
                <w:sz w:val="1"/>
                <w:szCs w:val="1"/>
                <w:color w:val="auto"/>
              </w:rPr>
            </w:pPr>
          </w:p>
        </w:tc>
        <w:tc>
          <w:tcPr>
            <w:tcW w:w="60" w:type="dxa"/>
            <w:vAlign w:val="bottom"/>
            <w:tcBorders>
              <w:top w:val="single" w:sz="8" w:color="418152"/>
              <w:bottom w:val="single" w:sz="8" w:color="41815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26600"/>
              <w:bottom w:val="single" w:sz="8" w:color="226600"/>
            </w:tcBorders>
          </w:tcPr>
          <w:p>
            <w:pPr>
              <w:spacing w:after="0" w:line="20" w:lineRule="exact"/>
              <w:rPr>
                <w:sz w:val="1"/>
                <w:szCs w:val="1"/>
                <w:color w:val="auto"/>
              </w:rPr>
            </w:pPr>
          </w:p>
        </w:tc>
        <w:tc>
          <w:tcPr>
            <w:tcW w:w="1600" w:type="dxa"/>
            <w:vAlign w:val="bottom"/>
            <w:tcBorders>
              <w:top w:val="single" w:sz="8" w:color="226600"/>
              <w:bottom w:val="single" w:sz="8" w:color="2266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Total allowance for credit losses:</w:t>
            </w: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6"/>
        </w:trPr>
        <w:tc>
          <w:tcPr>
            <w:tcW w:w="3700" w:type="dxa"/>
            <w:vAlign w:val="bottom"/>
            <w:gridSpan w:val="2"/>
          </w:tcPr>
          <w:p>
            <w:pPr>
              <w:ind w:left="120"/>
              <w:spacing w:after="0"/>
              <w:rPr>
                <w:sz w:val="20"/>
                <w:szCs w:val="20"/>
                <w:color w:val="auto"/>
              </w:rPr>
            </w:pPr>
            <w:r>
              <w:rPr>
                <w:rFonts w:ascii="Arial" w:cs="Arial" w:eastAsia="Arial" w:hAnsi="Arial"/>
                <w:sz w:val="15"/>
                <w:szCs w:val="15"/>
                <w:color w:val="auto"/>
              </w:rPr>
              <w:t>Allowance for loan losses</w:t>
            </w: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(9,415)</w:t>
            </w:r>
          </w:p>
        </w:tc>
        <w:tc>
          <w:tcPr>
            <w:tcW w:w="80" w:type="dxa"/>
            <w:vAlign w:val="bottom"/>
          </w:tcPr>
          <w:p>
            <w:pPr>
              <w:spacing w:after="0"/>
              <w:rPr>
                <w:sz w:val="23"/>
                <w:szCs w:val="2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(8,364)</w:t>
            </w:r>
          </w:p>
        </w:tc>
        <w:tc>
          <w:tcPr>
            <w:tcW w:w="20" w:type="dxa"/>
            <w:vAlign w:val="bottom"/>
          </w:tcPr>
          <w:p>
            <w:pPr>
              <w:spacing w:after="0"/>
              <w:rPr>
                <w:sz w:val="23"/>
                <w:szCs w:val="23"/>
                <w:color w:val="auto"/>
              </w:rPr>
            </w:pPr>
          </w:p>
        </w:tc>
      </w:tr>
      <w:tr>
        <w:trPr>
          <w:trHeight w:val="239"/>
        </w:trPr>
        <w:tc>
          <w:tcPr>
            <w:tcW w:w="3700" w:type="dxa"/>
            <w:vAlign w:val="bottom"/>
            <w:tcBorders>
              <w:bottom w:val="single" w:sz="8" w:color="2C6937"/>
            </w:tcBorders>
            <w:gridSpan w:val="2"/>
          </w:tcPr>
          <w:p>
            <w:pPr>
              <w:ind w:left="12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(1)</w:t>
            </w:r>
          </w:p>
        </w:tc>
        <w:tc>
          <w:tcPr>
            <w:tcW w:w="120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138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226600"/>
            </w:tcBorders>
          </w:tcPr>
          <w:p>
            <w:pPr>
              <w:spacing w:after="0"/>
              <w:rPr>
                <w:sz w:val="20"/>
                <w:szCs w:val="20"/>
                <w:color w:val="auto"/>
              </w:rPr>
            </w:pPr>
          </w:p>
        </w:tc>
        <w:tc>
          <w:tcPr>
            <w:tcW w:w="1600" w:type="dxa"/>
            <w:vAlign w:val="bottom"/>
            <w:tcBorders>
              <w:bottom w:val="single" w:sz="8" w:color="226600"/>
            </w:tcBorders>
          </w:tcPr>
          <w:p>
            <w:pPr>
              <w:jc w:val="right"/>
              <w:spacing w:after="0"/>
              <w:rPr>
                <w:sz w:val="20"/>
                <w:szCs w:val="20"/>
                <w:color w:val="auto"/>
              </w:rPr>
            </w:pPr>
            <w:r>
              <w:rPr>
                <w:rFonts w:ascii="Arial" w:cs="Arial" w:eastAsia="Arial" w:hAnsi="Arial"/>
                <w:sz w:val="15"/>
                <w:szCs w:val="15"/>
                <w:b w:val="1"/>
                <w:bCs w:val="1"/>
                <w:color w:val="auto"/>
              </w:rPr>
              <w:t>(244)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(228)</w:t>
            </w:r>
          </w:p>
        </w:tc>
        <w:tc>
          <w:tcPr>
            <w:tcW w:w="20" w:type="dxa"/>
            <w:vAlign w:val="bottom"/>
          </w:tcPr>
          <w:p>
            <w:pPr>
              <w:spacing w:after="0"/>
              <w:rPr>
                <w:sz w:val="20"/>
                <w:szCs w:val="20"/>
                <w:color w:val="auto"/>
              </w:rPr>
            </w:pPr>
          </w:p>
        </w:tc>
      </w:tr>
      <w:tr>
        <w:trPr>
          <w:trHeight w:val="238"/>
        </w:trPr>
        <w:tc>
          <w:tcPr>
            <w:tcW w:w="3700" w:type="dxa"/>
            <w:vAlign w:val="bottom"/>
            <w:gridSpan w:val="2"/>
          </w:tcPr>
          <w:p>
            <w:pPr>
              <w:ind w:left="220"/>
              <w:spacing w:after="0"/>
              <w:rPr>
                <w:sz w:val="20"/>
                <w:szCs w:val="20"/>
                <w:color w:val="auto"/>
              </w:rPr>
            </w:pPr>
            <w:r>
              <w:rPr>
                <w:rFonts w:ascii="Arial" w:cs="Arial" w:eastAsia="Arial" w:hAnsi="Arial"/>
                <w:sz w:val="15"/>
                <w:szCs w:val="15"/>
                <w:color w:val="auto"/>
              </w:rPr>
              <w:t>Total</w:t>
            </w: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(9,659)</w:t>
            </w:r>
          </w:p>
        </w:tc>
        <w:tc>
          <w:tcPr>
            <w:tcW w:w="8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(8,592)</w:t>
            </w:r>
          </w:p>
        </w:tc>
        <w:tc>
          <w:tcPr>
            <w:tcW w:w="20" w:type="dxa"/>
            <w:vAlign w:val="bottom"/>
          </w:tcPr>
          <w:p>
            <w:pPr>
              <w:spacing w:after="0"/>
              <w:rPr>
                <w:sz w:val="20"/>
                <w:szCs w:val="20"/>
                <w:color w:val="auto"/>
              </w:rPr>
            </w:pPr>
          </w:p>
        </w:tc>
      </w:tr>
      <w:tr>
        <w:trPr>
          <w:trHeight w:val="20"/>
        </w:trPr>
        <w:tc>
          <w:tcPr>
            <w:tcW w:w="3620" w:type="dxa"/>
            <w:vAlign w:val="bottom"/>
            <w:tcBorders>
              <w:top w:val="single" w:sz="8" w:color="418152"/>
              <w:bottom w:val="single" w:sz="8" w:color="418152"/>
            </w:tcBorders>
          </w:tcPr>
          <w:p>
            <w:pPr>
              <w:spacing w:after="0" w:line="20" w:lineRule="exact"/>
              <w:rPr>
                <w:sz w:val="1"/>
                <w:szCs w:val="1"/>
                <w:color w:val="auto"/>
              </w:rPr>
            </w:pPr>
          </w:p>
        </w:tc>
        <w:tc>
          <w:tcPr>
            <w:tcW w:w="80" w:type="dxa"/>
            <w:vAlign w:val="bottom"/>
            <w:tcBorders>
              <w:top w:val="single" w:sz="8" w:color="418152"/>
              <w:bottom w:val="single" w:sz="8" w:color="418152"/>
            </w:tcBorders>
          </w:tcPr>
          <w:p>
            <w:pPr>
              <w:spacing w:after="0" w:line="20" w:lineRule="exact"/>
              <w:rPr>
                <w:sz w:val="1"/>
                <w:szCs w:val="1"/>
                <w:color w:val="auto"/>
              </w:rPr>
            </w:pPr>
          </w:p>
        </w:tc>
        <w:tc>
          <w:tcPr>
            <w:tcW w:w="1200" w:type="dxa"/>
            <w:vAlign w:val="bottom"/>
            <w:tcBorders>
              <w:top w:val="single" w:sz="8" w:color="418152"/>
              <w:bottom w:val="single" w:sz="8" w:color="418152"/>
            </w:tcBorders>
          </w:tcPr>
          <w:p>
            <w:pPr>
              <w:spacing w:after="0" w:line="20" w:lineRule="exact"/>
              <w:rPr>
                <w:sz w:val="1"/>
                <w:szCs w:val="1"/>
                <w:color w:val="auto"/>
              </w:rPr>
            </w:pPr>
          </w:p>
        </w:tc>
        <w:tc>
          <w:tcPr>
            <w:tcW w:w="620" w:type="dxa"/>
            <w:vAlign w:val="bottom"/>
            <w:tcBorders>
              <w:top w:val="single" w:sz="8" w:color="418152"/>
              <w:bottom w:val="single" w:sz="8" w:color="418152"/>
            </w:tcBorders>
          </w:tcPr>
          <w:p>
            <w:pPr>
              <w:spacing w:after="0" w:line="20" w:lineRule="exact"/>
              <w:rPr>
                <w:sz w:val="1"/>
                <w:szCs w:val="1"/>
                <w:color w:val="auto"/>
              </w:rPr>
            </w:pPr>
          </w:p>
        </w:tc>
        <w:tc>
          <w:tcPr>
            <w:tcW w:w="100" w:type="dxa"/>
            <w:vAlign w:val="bottom"/>
            <w:tcBorders>
              <w:top w:val="single" w:sz="8" w:color="418152"/>
              <w:bottom w:val="single" w:sz="8" w:color="418152"/>
            </w:tcBorders>
          </w:tcPr>
          <w:p>
            <w:pPr>
              <w:spacing w:after="0" w:line="20" w:lineRule="exact"/>
              <w:rPr>
                <w:sz w:val="1"/>
                <w:szCs w:val="1"/>
                <w:color w:val="auto"/>
              </w:rPr>
            </w:pPr>
          </w:p>
        </w:tc>
        <w:tc>
          <w:tcPr>
            <w:tcW w:w="420" w:type="dxa"/>
            <w:vAlign w:val="bottom"/>
            <w:tcBorders>
              <w:top w:val="single" w:sz="8" w:color="418152"/>
              <w:bottom w:val="single" w:sz="8" w:color="418152"/>
            </w:tcBorders>
          </w:tcPr>
          <w:p>
            <w:pPr>
              <w:spacing w:after="0" w:line="20" w:lineRule="exact"/>
              <w:rPr>
                <w:sz w:val="1"/>
                <w:szCs w:val="1"/>
                <w:color w:val="auto"/>
              </w:rPr>
            </w:pPr>
          </w:p>
        </w:tc>
        <w:tc>
          <w:tcPr>
            <w:tcW w:w="1380" w:type="dxa"/>
            <w:vAlign w:val="bottom"/>
            <w:tcBorders>
              <w:top w:val="single" w:sz="8" w:color="418152"/>
              <w:bottom w:val="single" w:sz="8" w:color="418152"/>
            </w:tcBorders>
          </w:tcPr>
          <w:p>
            <w:pPr>
              <w:spacing w:after="0" w:line="20" w:lineRule="exact"/>
              <w:rPr>
                <w:sz w:val="1"/>
                <w:szCs w:val="1"/>
                <w:color w:val="auto"/>
              </w:rPr>
            </w:pPr>
          </w:p>
        </w:tc>
        <w:tc>
          <w:tcPr>
            <w:tcW w:w="60" w:type="dxa"/>
            <w:vAlign w:val="bottom"/>
            <w:tcBorders>
              <w:top w:val="single" w:sz="8" w:color="418152"/>
              <w:bottom w:val="single" w:sz="8" w:color="41815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26600"/>
              <w:bottom w:val="single" w:sz="8" w:color="226600"/>
            </w:tcBorders>
          </w:tcPr>
          <w:p>
            <w:pPr>
              <w:spacing w:after="0" w:line="20" w:lineRule="exact"/>
              <w:rPr>
                <w:sz w:val="1"/>
                <w:szCs w:val="1"/>
                <w:color w:val="auto"/>
              </w:rPr>
            </w:pPr>
          </w:p>
        </w:tc>
        <w:tc>
          <w:tcPr>
            <w:tcW w:w="1600" w:type="dxa"/>
            <w:vAlign w:val="bottom"/>
            <w:tcBorders>
              <w:top w:val="single" w:sz="8" w:color="226600"/>
              <w:bottom w:val="single" w:sz="8" w:color="2266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right="40" w:hanging="237"/>
        <w:spacing w:after="0" w:line="226" w:lineRule="auto"/>
        <w:tabs>
          <w:tab w:leader="none" w:pos="233"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Consists of allowance for credit losses on advances of pre-foreclosure costs, accrued interest receivable, our guaranty loss reserves, and credit reserves on our AFS debt securities. Pre-foreclosure costs represent advances for property taxes and insurance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357505</wp:posOffset>
            </wp:positionV>
            <wp:extent cx="680593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61" w:right="339" w:bottom="986" w:gutter="0" w:footer="0" w:header="0"/>
        </w:sect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986" w:gutter="0" w:footer="0" w:header="0"/>
          <w:type w:val="continuous"/>
        </w:sectPr>
      </w:pPr>
    </w:p>
    <w:bookmarkStart w:id="82" w:name="page83"/>
    <w:bookmarkEnd w:id="82"/>
    <w:p>
      <w:pPr>
        <w:ind w:left="5800"/>
        <w:spacing w:after="0"/>
        <w:rPr>
          <w:sz w:val="20"/>
          <w:szCs w:val="20"/>
          <w:color w:val="auto"/>
        </w:rPr>
      </w:pPr>
      <w:r>
        <w:rPr>
          <w:rFonts w:ascii="Arial" w:cs="Arial" w:eastAsia="Arial" w:hAnsi="Arial"/>
          <w:sz w:val="14"/>
          <w:szCs w:val="14"/>
          <w:color w:val="05314D"/>
        </w:rPr>
        <w:t>Notes to Condensed Consolidated Financial Statements |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Our estimate of credit losses can vary substantially from period to period due to factors such as changes in actual and forecasted home prices, property valuations, and fluctuations in actual and forecasted interest rates. Other drivers include: the volume and credit risk profile of our new acquisitions; borrower payment behavior; events such as natural disasters or pandemics; the type, volume and effectiveness of our loss mitigation activities, including forbearances and loan modifications; the volume of completed foreclosures; and the volume and pricing of loans redesignated from HFI to HFS. In addition, updates to the models, assumptions, and data used in determining our estimate for credit losses can impact our allowance. Changes in our estimate of credit losses are recognized as “(Provision) benefit for credit losses” in our consolidated statements of operations and comprehensive income.</w:t>
      </w:r>
    </w:p>
    <w:p>
      <w:pPr>
        <w:spacing w:after="0" w:line="4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Our single-family provision for credit losses for the three months ended September 30, 2026 was primarily driven by higher actual and projected interest rates, which extend the expected life of the loans, provision related to loans acquired during the period for our single-family guaranty book of business, and loans that became newly delinquent.</w:t>
      </w:r>
    </w:p>
    <w:p>
      <w:pPr>
        <w:spacing w:after="0" w:line="24"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Our single-family provision for credit losses for the nine months ended September 30, 2026 was primarily driven by provision related to loans acquired during the period for our single-family guaranty book of business, loans that became newly delinquent, and higher actual and projected interest rates.</w:t>
      </w:r>
    </w:p>
    <w:p>
      <w:pPr>
        <w:spacing w:after="0" w:line="15"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For both the three and nine months ended September 30, 2026, these factors were partially offset by benefits from actual home price growth and loans liquidating from our single-family guaranty book of business.</w:t>
      </w:r>
    </w:p>
    <w:p>
      <w:pPr>
        <w:spacing w:after="0" w:line="15"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Our single-family provision for credit losses for the three months ended September 30, 2025 was primarily driven by provision associated with loans that we acquired during the period, which primarily consisted of purchase loans.</w:t>
      </w:r>
    </w:p>
    <w:p>
      <w:pPr>
        <w:spacing w:after="0" w:line="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single-family provision for credit losses for the nine months ended September 30, 2025 was primarily driven by provision associated with loans that we acquired during the period, which primarily consisted of purchase loans, and by weaker-than-expected home price growth.</w:t>
      </w:r>
    </w:p>
    <w:p>
      <w:pPr>
        <w:spacing w:after="0" w:line="1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multifamily provision for credit losses for the three and nine months ended September 30, 2026 was primarily driven by weakening credit metrics on loans in our multifamily guaranty book of business and a decline in our near-term forecast for multifamily property values. The deterioration in credit metrics primarily reflected higher mark-to-market LTV ratios on multifamily properties, loans with lower debt service coverage ratios driven by lower net operating income reported for the underlying properties, and new loan delinquencies. Higher actual and projected interest rates were also a primary driver of provision for each period.</w:t>
      </w:r>
    </w:p>
    <w:p>
      <w:pPr>
        <w:spacing w:after="0" w:line="38"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Our multifamily provision for loan losses for the three and nine months ended September 30, 2025 was primarily driven by an increase in delinquencies including provision from seriously delinquent loans that were written down to the net recoverable amount of the loans’ collateral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539115</wp:posOffset>
            </wp:positionV>
            <wp:extent cx="68059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83" w:name="page84"/>
    <w:bookmarkEnd w:id="83"/>
    <w:p>
      <w:pPr>
        <w:ind w:left="6240"/>
        <w:spacing w:after="0"/>
        <w:rPr>
          <w:sz w:val="20"/>
          <w:szCs w:val="20"/>
          <w:color w:val="auto"/>
        </w:rPr>
      </w:pPr>
      <w:r>
        <w:rPr>
          <w:rFonts w:ascii="Arial" w:cs="Arial" w:eastAsia="Arial" w:hAnsi="Arial"/>
          <w:sz w:val="13"/>
          <w:szCs w:val="13"/>
          <w:color w:val="05314D"/>
        </w:rPr>
        <w:t>Notes to Condensed Consolidated Financial Statements | Investment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6. Investments in Securities</w:t>
      </w:r>
    </w:p>
    <w:p>
      <w:pPr>
        <w:spacing w:after="0" w:line="80" w:lineRule="exact"/>
        <w:rPr>
          <w:sz w:val="20"/>
          <w:szCs w:val="20"/>
          <w:color w:val="auto"/>
        </w:rPr>
      </w:pPr>
    </w:p>
    <w:p>
      <w:pPr>
        <w:jc w:val="both"/>
        <w:ind w:right="260"/>
        <w:spacing w:after="0" w:line="272" w:lineRule="auto"/>
        <w:rPr>
          <w:sz w:val="20"/>
          <w:szCs w:val="20"/>
          <w:color w:val="auto"/>
        </w:rPr>
      </w:pPr>
      <w:r>
        <w:rPr>
          <w:rFonts w:ascii="Arial" w:cs="Arial" w:eastAsia="Arial" w:hAnsi="Arial"/>
          <w:sz w:val="16"/>
          <w:szCs w:val="16"/>
          <w:color w:val="auto"/>
        </w:rPr>
        <w:t>We classify and account for our investments in securities as either trading or available-for-sale (“AFS”). See “Note 1, Summary of Significant Accounting Policies” in our 2025 Form 10-K for additional information on our accounting policies regarding our investments in securities. The following table displays our investments in securities.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960" w:type="dxa"/>
            <w:vAlign w:val="bottom"/>
            <w:tcBorders>
              <w:bottom w:val="single" w:sz="8" w:color="2C6937"/>
            </w:tcBorders>
            <w:gridSpan w:val="3"/>
          </w:tcPr>
          <w:p>
            <w:pPr>
              <w:jc w:val="right"/>
              <w:ind w:right="63"/>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16"/>
                <w:szCs w:val="16"/>
                <w:color w:val="auto"/>
              </w:rPr>
            </w:pPr>
          </w:p>
        </w:tc>
      </w:tr>
      <w:tr>
        <w:trPr>
          <w:trHeight w:val="198"/>
        </w:trPr>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78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September 30, 2026</w:t>
            </w:r>
          </w:p>
        </w:tc>
        <w:tc>
          <w:tcPr>
            <w:tcW w:w="18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right"/>
              <w:ind w:right="164"/>
              <w:spacing w:after="0"/>
              <w:rPr>
                <w:sz w:val="20"/>
                <w:szCs w:val="20"/>
                <w:color w:val="auto"/>
              </w:rPr>
            </w:pPr>
            <w:r>
              <w:rPr>
                <w:rFonts w:ascii="Arial" w:cs="Arial" w:eastAsia="Arial" w:hAnsi="Arial"/>
                <w:sz w:val="14"/>
                <w:szCs w:val="14"/>
                <w:b w:val="1"/>
                <w:bCs w:val="1"/>
                <w:color w:val="auto"/>
              </w:rPr>
              <w:t>December 31, 2025</w:t>
            </w:r>
          </w:p>
        </w:tc>
      </w:tr>
      <w:tr>
        <w:trPr>
          <w:trHeight w:val="212"/>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Trading securities:</w:t>
            </w:r>
          </w:p>
        </w:tc>
        <w:tc>
          <w:tcPr>
            <w:tcW w:w="220" w:type="dxa"/>
            <w:vAlign w:val="bottom"/>
          </w:tcPr>
          <w:p>
            <w:pPr>
              <w:spacing w:after="0"/>
              <w:rPr>
                <w:sz w:val="18"/>
                <w:szCs w:val="18"/>
                <w:color w:val="auto"/>
              </w:rPr>
            </w:pPr>
          </w:p>
        </w:tc>
        <w:tc>
          <w:tcPr>
            <w:tcW w:w="3520" w:type="dxa"/>
            <w:vAlign w:val="bottom"/>
            <w:gridSpan w:val="4"/>
          </w:tcPr>
          <w:p>
            <w:pPr>
              <w:jc w:val="right"/>
              <w:ind w:right="1144"/>
              <w:spacing w:after="0"/>
              <w:rPr>
                <w:sz w:val="20"/>
                <w:szCs w:val="20"/>
                <w:color w:val="auto"/>
              </w:rPr>
            </w:pPr>
            <w:r>
              <w:rPr>
                <w:rFonts w:ascii="Arial" w:cs="Arial" w:eastAsia="Arial" w:hAnsi="Arial"/>
                <w:sz w:val="14"/>
                <w:szCs w:val="14"/>
                <w:b w:val="1"/>
                <w:bCs w:val="1"/>
                <w:color w:val="auto"/>
              </w:rPr>
              <w:t>(Dollars in millions)</w:t>
            </w:r>
          </w:p>
        </w:tc>
      </w:tr>
      <w:tr>
        <w:trPr>
          <w:trHeight w:val="234"/>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Mortgage-related securities (includes $1.3 billion and $522 million, respectively, related to consolidated</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500" w:type="dxa"/>
            <w:vAlign w:val="bottom"/>
            <w:gridSpan w:val="2"/>
          </w:tcPr>
          <w:p>
            <w:pPr>
              <w:ind w:left="180"/>
              <w:spacing w:after="0"/>
              <w:rPr>
                <w:sz w:val="20"/>
                <w:szCs w:val="20"/>
                <w:color w:val="auto"/>
              </w:rPr>
            </w:pPr>
            <w:r>
              <w:rPr>
                <w:rFonts w:ascii="Arial" w:cs="Arial" w:eastAsia="Arial" w:hAnsi="Arial"/>
                <w:sz w:val="15"/>
                <w:szCs w:val="15"/>
                <w:color w:val="auto"/>
              </w:rPr>
              <w:t>trusts)</w:t>
            </w:r>
            <w:r>
              <w:rPr>
                <w:rFonts w:ascii="Arial" w:cs="Arial" w:eastAsia="Arial" w:hAnsi="Arial"/>
                <w:sz w:val="20"/>
                <w:szCs w:val="20"/>
                <w:color w:val="auto"/>
                <w:vertAlign w:val="superscript"/>
              </w:rPr>
              <w:t>(1)</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700" w:type="dxa"/>
            <w:vAlign w:val="bottom"/>
          </w:tcPr>
          <w:p>
            <w:pPr>
              <w:jc w:val="right"/>
              <w:ind w:right="5"/>
              <w:spacing w:after="0"/>
              <w:rPr>
                <w:sz w:val="20"/>
                <w:szCs w:val="20"/>
                <w:color w:val="auto"/>
              </w:rPr>
            </w:pPr>
            <w:r>
              <w:rPr>
                <w:rFonts w:ascii="Arial" w:cs="Arial" w:eastAsia="Arial" w:hAnsi="Arial"/>
                <w:sz w:val="15"/>
                <w:szCs w:val="15"/>
                <w:b w:val="1"/>
                <w:bCs w:val="1"/>
                <w:color w:val="auto"/>
              </w:rPr>
              <w:t>23,069</w:t>
            </w:r>
          </w:p>
        </w:tc>
        <w:tc>
          <w:tcPr>
            <w:tcW w:w="8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14,291</w:t>
            </w:r>
          </w:p>
        </w:tc>
      </w:tr>
      <w:tr>
        <w:trPr>
          <w:trHeight w:val="208"/>
        </w:trPr>
        <w:tc>
          <w:tcPr>
            <w:tcW w:w="740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Non-mortgage-related securities</w:t>
            </w:r>
            <w:r>
              <w:rPr>
                <w:rFonts w:ascii="Arial" w:cs="Arial" w:eastAsia="Arial" w:hAnsi="Arial"/>
                <w:sz w:val="20"/>
                <w:szCs w:val="20"/>
                <w:color w:val="auto"/>
                <w:vertAlign w:val="superscript"/>
              </w:rPr>
              <w:t>(2)</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7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40,087</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55,223</w:t>
            </w:r>
          </w:p>
        </w:tc>
      </w:tr>
      <w:tr>
        <w:trPr>
          <w:trHeight w:val="244"/>
        </w:trPr>
        <w:tc>
          <w:tcPr>
            <w:tcW w:w="7500" w:type="dxa"/>
            <w:vAlign w:val="bottom"/>
            <w:gridSpan w:val="2"/>
          </w:tcPr>
          <w:p>
            <w:pPr>
              <w:ind w:left="220"/>
              <w:spacing w:after="0"/>
              <w:rPr>
                <w:sz w:val="20"/>
                <w:szCs w:val="20"/>
                <w:color w:val="auto"/>
              </w:rPr>
            </w:pPr>
            <w:r>
              <w:rPr>
                <w:rFonts w:ascii="Arial" w:cs="Arial" w:eastAsia="Arial" w:hAnsi="Arial"/>
                <w:sz w:val="15"/>
                <w:szCs w:val="15"/>
                <w:color w:val="auto"/>
              </w:rPr>
              <w:t>Total trading securities</w:t>
            </w:r>
          </w:p>
        </w:tc>
        <w:tc>
          <w:tcPr>
            <w:tcW w:w="220" w:type="dxa"/>
            <w:vAlign w:val="bottom"/>
          </w:tcPr>
          <w:p>
            <w:pPr>
              <w:spacing w:after="0"/>
              <w:rPr>
                <w:sz w:val="21"/>
                <w:szCs w:val="21"/>
                <w:color w:val="auto"/>
              </w:rPr>
            </w:pPr>
          </w:p>
        </w:tc>
        <w:tc>
          <w:tcPr>
            <w:tcW w:w="1700" w:type="dxa"/>
            <w:vAlign w:val="bottom"/>
          </w:tcPr>
          <w:p>
            <w:pPr>
              <w:jc w:val="right"/>
              <w:ind w:right="5"/>
              <w:spacing w:after="0"/>
              <w:rPr>
                <w:sz w:val="20"/>
                <w:szCs w:val="20"/>
                <w:color w:val="auto"/>
              </w:rPr>
            </w:pPr>
            <w:r>
              <w:rPr>
                <w:rFonts w:ascii="Arial" w:cs="Arial" w:eastAsia="Arial" w:hAnsi="Arial"/>
                <w:sz w:val="15"/>
                <w:szCs w:val="15"/>
                <w:b w:val="1"/>
                <w:bCs w:val="1"/>
                <w:color w:val="auto"/>
              </w:rPr>
              <w:t>63,156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69,514</w:t>
            </w:r>
          </w:p>
        </w:tc>
      </w:tr>
      <w:tr>
        <w:trPr>
          <w:trHeight w:val="211"/>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Available-for-sale securities:</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2"/>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Mortgage-related securities (amortized cost of $627 million and $400 million, respectively)</w:t>
            </w:r>
            <w:r>
              <w:rPr>
                <w:rFonts w:ascii="Arial" w:cs="Arial" w:eastAsia="Arial" w:hAnsi="Arial"/>
                <w:sz w:val="20"/>
                <w:szCs w:val="20"/>
                <w:color w:val="auto"/>
                <w:vertAlign w:val="superscript"/>
              </w:rPr>
              <w:t>(1)</w:t>
            </w:r>
          </w:p>
        </w:tc>
        <w:tc>
          <w:tcPr>
            <w:tcW w:w="220" w:type="dxa"/>
            <w:vAlign w:val="bottom"/>
          </w:tcPr>
          <w:p>
            <w:pPr>
              <w:spacing w:after="0"/>
              <w:rPr>
                <w:sz w:val="20"/>
                <w:szCs w:val="20"/>
                <w:color w:val="auto"/>
              </w:rPr>
            </w:pPr>
          </w:p>
        </w:tc>
        <w:tc>
          <w:tcPr>
            <w:tcW w:w="1700" w:type="dxa"/>
            <w:vAlign w:val="bottom"/>
          </w:tcPr>
          <w:p>
            <w:pPr>
              <w:jc w:val="right"/>
              <w:ind w:right="5"/>
              <w:spacing w:after="0"/>
              <w:rPr>
                <w:sz w:val="20"/>
                <w:szCs w:val="20"/>
                <w:color w:val="auto"/>
              </w:rPr>
            </w:pPr>
            <w:r>
              <w:rPr>
                <w:rFonts w:ascii="Arial" w:cs="Arial" w:eastAsia="Arial" w:hAnsi="Arial"/>
                <w:sz w:val="15"/>
                <w:szCs w:val="15"/>
                <w:b w:val="1"/>
                <w:bCs w:val="1"/>
                <w:color w:val="auto"/>
              </w:rPr>
              <w:t>570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375</w:t>
            </w:r>
          </w:p>
        </w:tc>
      </w:tr>
      <w:tr>
        <w:trPr>
          <w:trHeight w:val="208"/>
        </w:trPr>
        <w:tc>
          <w:tcPr>
            <w:tcW w:w="740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Non-mortgage-related securities (amortized cost of $38.5 billion and $0, respectively)</w:t>
            </w:r>
            <w:r>
              <w:rPr>
                <w:rFonts w:ascii="Arial" w:cs="Arial" w:eastAsia="Arial" w:hAnsi="Arial"/>
                <w:sz w:val="20"/>
                <w:szCs w:val="20"/>
                <w:color w:val="auto"/>
                <w:vertAlign w:val="superscript"/>
              </w:rPr>
              <w:t>(2)</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7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36,997</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740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available-for-sale securities</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7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37,567</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375</w:t>
            </w:r>
          </w:p>
        </w:tc>
      </w:tr>
      <w:tr>
        <w:trPr>
          <w:trHeight w:val="212"/>
        </w:trPr>
        <w:tc>
          <w:tcPr>
            <w:tcW w:w="7500" w:type="dxa"/>
            <w:vAlign w:val="bottom"/>
            <w:gridSpan w:val="2"/>
          </w:tcPr>
          <w:p>
            <w:pPr>
              <w:ind w:left="120"/>
              <w:spacing w:after="0"/>
              <w:rPr>
                <w:sz w:val="20"/>
                <w:szCs w:val="20"/>
                <w:color w:val="auto"/>
              </w:rPr>
            </w:pPr>
            <w:r>
              <w:rPr>
                <w:rFonts w:ascii="Arial" w:cs="Arial" w:eastAsia="Arial" w:hAnsi="Arial"/>
                <w:sz w:val="15"/>
                <w:szCs w:val="15"/>
                <w:color w:val="auto"/>
              </w:rPr>
              <w:t>Total investments in securities</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700" w:type="dxa"/>
            <w:vAlign w:val="bottom"/>
          </w:tcPr>
          <w:p>
            <w:pPr>
              <w:jc w:val="right"/>
              <w:ind w:right="5"/>
              <w:spacing w:after="0"/>
              <w:rPr>
                <w:sz w:val="20"/>
                <w:szCs w:val="20"/>
                <w:color w:val="auto"/>
              </w:rPr>
            </w:pPr>
            <w:r>
              <w:rPr>
                <w:rFonts w:ascii="Arial" w:cs="Arial" w:eastAsia="Arial" w:hAnsi="Arial"/>
                <w:sz w:val="15"/>
                <w:szCs w:val="15"/>
                <w:b w:val="1"/>
                <w:bCs w:val="1"/>
                <w:color w:val="auto"/>
              </w:rPr>
              <w:t>100,723</w:t>
            </w:r>
          </w:p>
        </w:tc>
        <w:tc>
          <w:tcPr>
            <w:tcW w:w="8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69,889</w:t>
            </w:r>
          </w:p>
        </w:tc>
      </w:tr>
      <w:tr>
        <w:trPr>
          <w:trHeight w:val="20"/>
        </w:trPr>
        <w:tc>
          <w:tcPr>
            <w:tcW w:w="7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7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Primarily consists of Fannie Mae, Freddie Mac, and Ginnie Mae mortgage-related securities.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Consists of U.S. Treasury securities.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net trading gains (losses).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8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8"/>
              </w:rPr>
              <w:t>For the Three Months Ended September</w:t>
            </w:r>
          </w:p>
        </w:tc>
        <w:tc>
          <w:tcPr>
            <w:tcW w:w="100" w:type="dxa"/>
            <w:vAlign w:val="bottom"/>
          </w:tcPr>
          <w:p>
            <w:pPr>
              <w:spacing w:after="0"/>
              <w:rPr>
                <w:sz w:val="14"/>
                <w:szCs w:val="14"/>
                <w:color w:val="auto"/>
              </w:rPr>
            </w:pPr>
          </w:p>
        </w:tc>
        <w:tc>
          <w:tcPr>
            <w:tcW w:w="266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w w:val="97"/>
              </w:rPr>
              <w:t>For the Nine Months Ended September</w:t>
            </w:r>
          </w:p>
        </w:tc>
      </w:tr>
      <w:tr>
        <w:trPr>
          <w:trHeight w:val="177"/>
        </w:trPr>
        <w:tc>
          <w:tcPr>
            <w:tcW w:w="5600" w:type="dxa"/>
            <w:vAlign w:val="bottom"/>
          </w:tcPr>
          <w:p>
            <w:pPr>
              <w:spacing w:after="0"/>
              <w:rPr>
                <w:sz w:val="15"/>
                <w:szCs w:val="15"/>
                <w:color w:val="auto"/>
              </w:rPr>
            </w:pPr>
          </w:p>
        </w:tc>
        <w:tc>
          <w:tcPr>
            <w:tcW w:w="28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tcPr>
          <w:p>
            <w:pPr>
              <w:spacing w:after="0"/>
              <w:rPr>
                <w:sz w:val="15"/>
                <w:szCs w:val="15"/>
                <w:color w:val="auto"/>
              </w:rPr>
            </w:pPr>
          </w:p>
        </w:tc>
        <w:tc>
          <w:tcPr>
            <w:tcW w:w="460" w:type="dxa"/>
            <w:vAlign w:val="bottom"/>
            <w:tcBorders>
              <w:bottom w:val="single" w:sz="8" w:color="2C6937"/>
            </w:tcBorders>
          </w:tcPr>
          <w:p>
            <w:pPr>
              <w:jc w:val="right"/>
              <w:ind w:right="207"/>
              <w:spacing w:after="0"/>
              <w:rPr>
                <w:sz w:val="20"/>
                <w:szCs w:val="20"/>
                <w:color w:val="auto"/>
              </w:rPr>
            </w:pPr>
            <w:r>
              <w:rPr>
                <w:rFonts w:ascii="Arial" w:cs="Arial" w:eastAsia="Arial" w:hAnsi="Arial"/>
                <w:sz w:val="14"/>
                <w:szCs w:val="14"/>
                <w:b w:val="1"/>
                <w:bCs w:val="1"/>
                <w:color w:val="auto"/>
                <w:w w:val="81"/>
              </w:rPr>
              <w:t>30,</w:t>
            </w:r>
          </w:p>
        </w:tc>
        <w:tc>
          <w:tcPr>
            <w:tcW w:w="100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30,</w:t>
            </w: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tcPr>
          <w:p>
            <w:pPr>
              <w:spacing w:after="0"/>
              <w:rPr>
                <w:sz w:val="15"/>
                <w:szCs w:val="15"/>
                <w:color w:val="auto"/>
              </w:rPr>
            </w:pPr>
          </w:p>
        </w:tc>
      </w:tr>
      <w:tr>
        <w:trPr>
          <w:trHeight w:val="198"/>
        </w:trPr>
        <w:tc>
          <w:tcPr>
            <w:tcW w:w="56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ind w:right="406"/>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427"/>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380" w:type="dxa"/>
            <w:vAlign w:val="bottom"/>
            <w:tcBorders>
              <w:bottom w:val="single" w:sz="8" w:color="2C6937"/>
            </w:tcBorders>
          </w:tcPr>
          <w:p>
            <w:pPr>
              <w:jc w:val="right"/>
              <w:ind w:right="588"/>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ind w:right="406"/>
              <w:spacing w:after="0"/>
              <w:rPr>
                <w:sz w:val="20"/>
                <w:szCs w:val="20"/>
                <w:color w:val="auto"/>
              </w:rPr>
            </w:pPr>
            <w:r>
              <w:rPr>
                <w:rFonts w:ascii="Arial" w:cs="Arial" w:eastAsia="Arial" w:hAnsi="Arial"/>
                <w:sz w:val="14"/>
                <w:szCs w:val="14"/>
                <w:b w:val="1"/>
                <w:bCs w:val="1"/>
                <w:color w:val="auto"/>
              </w:rPr>
              <w:t>2025</w:t>
            </w:r>
          </w:p>
        </w:tc>
      </w:tr>
      <w:tr>
        <w:trPr>
          <w:trHeight w:val="198"/>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20" w:type="dxa"/>
            <w:vAlign w:val="bottom"/>
            <w:gridSpan w:val="4"/>
          </w:tcPr>
          <w:p>
            <w:pPr>
              <w:jc w:val="right"/>
              <w:ind w:right="828"/>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7"/>
        </w:trPr>
        <w:tc>
          <w:tcPr>
            <w:tcW w:w="5600" w:type="dxa"/>
            <w:vAlign w:val="bottom"/>
          </w:tcPr>
          <w:p>
            <w:pPr>
              <w:spacing w:after="0"/>
              <w:rPr>
                <w:sz w:val="20"/>
                <w:szCs w:val="20"/>
                <w:color w:val="auto"/>
              </w:rPr>
            </w:pPr>
            <w:r>
              <w:rPr>
                <w:rFonts w:ascii="Arial" w:cs="Arial" w:eastAsia="Arial" w:hAnsi="Arial"/>
                <w:sz w:val="15"/>
                <w:szCs w:val="15"/>
                <w:color w:val="auto"/>
              </w:rPr>
              <w:t>Net trading gains (losses)</w:t>
            </w:r>
          </w:p>
        </w:tc>
        <w:tc>
          <w:tcPr>
            <w:tcW w:w="280" w:type="dxa"/>
            <w:vAlign w:val="bottom"/>
          </w:tcPr>
          <w:p>
            <w:pPr>
              <w:jc w:val="right"/>
              <w:ind w:right="107"/>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(1,545)</w:t>
            </w:r>
          </w:p>
        </w:tc>
        <w:tc>
          <w:tcPr>
            <w:tcW w:w="46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296</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Pr>
          <w:p>
            <w:pPr>
              <w:jc w:val="right"/>
              <w:ind w:right="108"/>
              <w:spacing w:after="0"/>
              <w:rPr>
                <w:sz w:val="20"/>
                <w:szCs w:val="20"/>
                <w:color w:val="auto"/>
              </w:rPr>
            </w:pPr>
            <w:r>
              <w:rPr>
                <w:rFonts w:ascii="Arial" w:cs="Arial" w:eastAsia="Arial" w:hAnsi="Arial"/>
                <w:sz w:val="15"/>
                <w:szCs w:val="15"/>
                <w:b w:val="1"/>
                <w:bCs w:val="1"/>
                <w:color w:val="auto"/>
              </w:rPr>
              <w:t>(2,043)</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1,279</w:t>
            </w:r>
          </w:p>
        </w:tc>
      </w:tr>
      <w:tr>
        <w:trPr>
          <w:trHeight w:val="201"/>
        </w:trPr>
        <w:tc>
          <w:tcPr>
            <w:tcW w:w="5600" w:type="dxa"/>
            <w:vAlign w:val="bottom"/>
          </w:tcPr>
          <w:p>
            <w:pPr>
              <w:spacing w:after="0"/>
              <w:rPr>
                <w:sz w:val="20"/>
                <w:szCs w:val="20"/>
                <w:color w:val="auto"/>
              </w:rPr>
            </w:pPr>
            <w:r>
              <w:rPr>
                <w:rFonts w:ascii="Arial" w:cs="Arial" w:eastAsia="Arial" w:hAnsi="Arial"/>
                <w:sz w:val="15"/>
                <w:szCs w:val="15"/>
                <w:color w:val="auto"/>
              </w:rPr>
              <w:t>Net trading gains (losses) recognized in the period related to securities still</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8"/>
        </w:trPr>
        <w:tc>
          <w:tcPr>
            <w:tcW w:w="5600" w:type="dxa"/>
            <w:vAlign w:val="bottom"/>
          </w:tcPr>
          <w:p>
            <w:pPr>
              <w:ind w:left="160"/>
              <w:spacing w:after="0"/>
              <w:rPr>
                <w:sz w:val="20"/>
                <w:szCs w:val="20"/>
                <w:color w:val="auto"/>
              </w:rPr>
            </w:pPr>
            <w:r>
              <w:rPr>
                <w:rFonts w:ascii="Arial" w:cs="Arial" w:eastAsia="Arial" w:hAnsi="Arial"/>
                <w:sz w:val="15"/>
                <w:szCs w:val="15"/>
                <w:color w:val="auto"/>
              </w:rPr>
              <w:t>held at period end</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(1,539)</w:t>
            </w:r>
          </w:p>
        </w:tc>
        <w:tc>
          <w:tcPr>
            <w:tcW w:w="460" w:type="dxa"/>
            <w:vAlign w:val="bottom"/>
          </w:tcPr>
          <w:p>
            <w:pPr>
              <w:spacing w:after="0"/>
              <w:rPr>
                <w:sz w:val="20"/>
                <w:szCs w:val="20"/>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257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108"/>
              <w:spacing w:after="0"/>
              <w:rPr>
                <w:sz w:val="20"/>
                <w:szCs w:val="20"/>
                <w:color w:val="auto"/>
              </w:rPr>
            </w:pPr>
            <w:r>
              <w:rPr>
                <w:rFonts w:ascii="Arial" w:cs="Arial" w:eastAsia="Arial" w:hAnsi="Arial"/>
                <w:sz w:val="15"/>
                <w:szCs w:val="15"/>
                <w:b w:val="1"/>
                <w:bCs w:val="1"/>
                <w:color w:val="auto"/>
              </w:rPr>
              <w:t>(2,041)</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1,044</w:t>
            </w:r>
          </w:p>
        </w:tc>
      </w:tr>
    </w:tbl>
    <w:p>
      <w:pPr>
        <w:spacing w:after="0" w:line="165"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Net unrealized losses on our AFS investment portfolio recorded in accumulated other comprehensive income (loss) were $1.6 billion and $23 million as of September 30, 2026 and December 31, 2025, respectively. The unrealized losses on our AFS investment portfolio were primarily attributable to non-mortgage-related securities, consisting of fixed-rate U.S. Treasury security investments. These unrealized losses resulted from increases in interest rates, rather than credit deterioration. We neither have an intention to sell nor do we expect to be required to sell these U.S. Treasury security investments. The allowance for credit losses on our AFS investment portfolio was not significant as of September 30, 2026 or December 31, 2025.</w:t>
      </w:r>
    </w:p>
    <w:p>
      <w:pPr>
        <w:spacing w:after="0" w:line="40" w:lineRule="exact"/>
        <w:rPr>
          <w:sz w:val="20"/>
          <w:szCs w:val="20"/>
          <w:color w:val="auto"/>
        </w:rPr>
      </w:pPr>
    </w:p>
    <w:p>
      <w:pPr>
        <w:jc w:val="both"/>
        <w:ind w:right="480"/>
        <w:spacing w:after="0" w:line="281" w:lineRule="auto"/>
        <w:rPr>
          <w:sz w:val="20"/>
          <w:szCs w:val="20"/>
          <w:color w:val="auto"/>
        </w:rPr>
      </w:pPr>
      <w:r>
        <w:rPr>
          <w:rFonts w:ascii="Arial" w:cs="Arial" w:eastAsia="Arial" w:hAnsi="Arial"/>
          <w:sz w:val="16"/>
          <w:szCs w:val="16"/>
          <w:color w:val="auto"/>
        </w:rPr>
        <w:t>For the three and nine months ended September 30, 2026, we had $99 million and $4.2 billion in proceeds from sales of AFS securities, respectively, resulting in gross realized losses of less than $1 million and $26 million, respectively. There were no sales of AFS securities during the three and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340360</wp:posOffset>
            </wp:positionV>
            <wp:extent cx="680593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84" w:name="page85"/>
    <w:bookmarkEnd w:id="84"/>
    <w:p>
      <w:pPr>
        <w:ind w:left="6240"/>
        <w:spacing w:after="0"/>
        <w:rPr>
          <w:sz w:val="20"/>
          <w:szCs w:val="20"/>
          <w:color w:val="auto"/>
        </w:rPr>
      </w:pPr>
      <w:r>
        <w:rPr>
          <w:rFonts w:ascii="Arial" w:cs="Arial" w:eastAsia="Arial" w:hAnsi="Arial"/>
          <w:sz w:val="13"/>
          <w:szCs w:val="13"/>
          <w:color w:val="05314D"/>
        </w:rPr>
        <w:t>Notes to Condensed Consolidated Financial Statements | Investment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The following table displays the amortized cost and fair value of our AFS securities by major security type and remaining contractual maturity, assuming no principal prepayments. The contractual maturity of mortgage-backed securities is not a reliable indicator of their expected life because borrowers generally have the right to prepay their obligations at any time. U.S. Treasury securities do not have prepayment risk, and their contractual maturities are indicative of their expected life.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620" w:type="dxa"/>
            <w:vAlign w:val="bottom"/>
            <w:tcBorders>
              <w:bottom w:val="single" w:sz="8" w:color="2C6937"/>
            </w:tcBorders>
          </w:tcPr>
          <w:p>
            <w:pPr>
              <w:spacing w:after="0"/>
              <w:rPr>
                <w:sz w:val="14"/>
                <w:szCs w:val="14"/>
                <w:color w:val="auto"/>
              </w:rPr>
            </w:pPr>
          </w:p>
        </w:tc>
        <w:tc>
          <w:tcPr>
            <w:tcW w:w="28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62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580" w:type="dxa"/>
            <w:vAlign w:val="bottom"/>
            <w:tcBorders>
              <w:bottom w:val="single" w:sz="8" w:color="2C6937"/>
            </w:tcBorders>
          </w:tcPr>
          <w:p>
            <w:pPr>
              <w:spacing w:after="0"/>
              <w:rPr>
                <w:sz w:val="14"/>
                <w:szCs w:val="14"/>
                <w:color w:val="auto"/>
              </w:rPr>
            </w:pPr>
          </w:p>
        </w:tc>
        <w:tc>
          <w:tcPr>
            <w:tcW w:w="40" w:type="dxa"/>
            <w:vAlign w:val="bottom"/>
            <w:tcBorders>
              <w:bottom w:val="single" w:sz="8" w:color="2C6937"/>
            </w:tcBorders>
          </w:tcPr>
          <w:p>
            <w:pPr>
              <w:spacing w:after="0"/>
              <w:rPr>
                <w:sz w:val="14"/>
                <w:szCs w:val="14"/>
                <w:color w:val="auto"/>
              </w:rPr>
            </w:pPr>
          </w:p>
        </w:tc>
        <w:tc>
          <w:tcPr>
            <w:tcW w:w="260" w:type="dxa"/>
            <w:vAlign w:val="bottom"/>
            <w:tcBorders>
              <w:bottom w:val="single" w:sz="8" w:color="2C6937"/>
            </w:tcBorders>
          </w:tcPr>
          <w:p>
            <w:pPr>
              <w:spacing w:after="0"/>
              <w:rPr>
                <w:sz w:val="14"/>
                <w:szCs w:val="14"/>
                <w:color w:val="auto"/>
              </w:rPr>
            </w:pPr>
          </w:p>
        </w:tc>
        <w:tc>
          <w:tcPr>
            <w:tcW w:w="440" w:type="dxa"/>
            <w:vAlign w:val="bottom"/>
            <w:tcBorders>
              <w:bottom w:val="single" w:sz="8" w:color="2C6937"/>
            </w:tcBorders>
          </w:tcPr>
          <w:p>
            <w:pPr>
              <w:spacing w:after="0"/>
              <w:rPr>
                <w:sz w:val="14"/>
                <w:szCs w:val="14"/>
                <w:color w:val="auto"/>
              </w:rPr>
            </w:pPr>
          </w:p>
        </w:tc>
        <w:tc>
          <w:tcPr>
            <w:tcW w:w="30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840" w:type="dxa"/>
            <w:vAlign w:val="bottom"/>
            <w:tcBorders>
              <w:bottom w:val="single" w:sz="8" w:color="2C6937"/>
            </w:tcBorders>
            <w:gridSpan w:val="5"/>
          </w:tcPr>
          <w:p>
            <w:pPr>
              <w:jc w:val="center"/>
              <w:ind w:right="340"/>
              <w:spacing w:after="0"/>
              <w:rPr>
                <w:sz w:val="20"/>
                <w:szCs w:val="20"/>
                <w:color w:val="auto"/>
              </w:rPr>
            </w:pPr>
            <w:r>
              <w:rPr>
                <w:rFonts w:ascii="Arial" w:cs="Arial" w:eastAsia="Arial" w:hAnsi="Arial"/>
                <w:sz w:val="12"/>
                <w:szCs w:val="12"/>
                <w:b w:val="1"/>
                <w:bCs w:val="1"/>
                <w:color w:val="auto"/>
              </w:rPr>
              <w:t>As of September 30, 2026</w:t>
            </w:r>
          </w:p>
        </w:tc>
        <w:tc>
          <w:tcPr>
            <w:tcW w:w="200" w:type="dxa"/>
            <w:vAlign w:val="bottom"/>
            <w:tcBorders>
              <w:bottom w:val="single" w:sz="8" w:color="2C6937"/>
            </w:tcBorders>
          </w:tcPr>
          <w:p>
            <w:pPr>
              <w:spacing w:after="0"/>
              <w:rPr>
                <w:sz w:val="14"/>
                <w:szCs w:val="14"/>
                <w:color w:val="auto"/>
              </w:rPr>
            </w:pPr>
          </w:p>
        </w:tc>
        <w:tc>
          <w:tcPr>
            <w:tcW w:w="520" w:type="dxa"/>
            <w:vAlign w:val="bottom"/>
            <w:tcBorders>
              <w:bottom w:val="single" w:sz="8" w:color="2C6937"/>
            </w:tcBorders>
          </w:tcPr>
          <w:p>
            <w:pPr>
              <w:spacing w:after="0"/>
              <w:rPr>
                <w:sz w:val="14"/>
                <w:szCs w:val="14"/>
                <w:color w:val="auto"/>
              </w:rPr>
            </w:pPr>
          </w:p>
        </w:tc>
        <w:tc>
          <w:tcPr>
            <w:tcW w:w="3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58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24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4"/>
            <w:vMerge w:val="restart"/>
          </w:tcPr>
          <w:p>
            <w:pPr>
              <w:ind w:left="260"/>
              <w:spacing w:after="0"/>
              <w:rPr>
                <w:sz w:val="20"/>
                <w:szCs w:val="20"/>
                <w:color w:val="auto"/>
              </w:rPr>
            </w:pPr>
            <w:r>
              <w:rPr>
                <w:rFonts w:ascii="Arial" w:cs="Arial" w:eastAsia="Arial" w:hAnsi="Arial"/>
                <w:sz w:val="12"/>
                <w:szCs w:val="12"/>
                <w:b w:val="1"/>
                <w:bCs w:val="1"/>
                <w:color w:val="auto"/>
              </w:rPr>
              <w:t>One Year or Less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6"/>
          </w:tcPr>
          <w:p>
            <w:pPr>
              <w:ind w:left="80"/>
              <w:spacing w:after="0" w:line="126" w:lineRule="exact"/>
              <w:rPr>
                <w:sz w:val="20"/>
                <w:szCs w:val="20"/>
                <w:color w:val="auto"/>
              </w:rPr>
            </w:pPr>
            <w:r>
              <w:rPr>
                <w:rFonts w:ascii="Arial" w:cs="Arial" w:eastAsia="Arial" w:hAnsi="Arial"/>
                <w:sz w:val="12"/>
                <w:szCs w:val="12"/>
                <w:b w:val="1"/>
                <w:bCs w:val="1"/>
                <w:color w:val="auto"/>
              </w:rPr>
              <w:t>After One Year Through Five</w:t>
            </w:r>
          </w:p>
        </w:tc>
        <w:tc>
          <w:tcPr>
            <w:tcW w:w="1920" w:type="dxa"/>
            <w:vAlign w:val="bottom"/>
            <w:gridSpan w:val="6"/>
          </w:tcPr>
          <w:p>
            <w:pPr>
              <w:ind w:left="60"/>
              <w:spacing w:after="0" w:line="126" w:lineRule="exact"/>
              <w:rPr>
                <w:sz w:val="20"/>
                <w:szCs w:val="20"/>
                <w:color w:val="auto"/>
              </w:rPr>
            </w:pPr>
            <w:r>
              <w:rPr>
                <w:rFonts w:ascii="Arial" w:cs="Arial" w:eastAsia="Arial" w:hAnsi="Arial"/>
                <w:sz w:val="12"/>
                <w:szCs w:val="12"/>
                <w:b w:val="1"/>
                <w:bCs w:val="1"/>
                <w:color w:val="auto"/>
              </w:rPr>
              <w:t>After Five Years Through Ten</w:t>
            </w:r>
          </w:p>
        </w:tc>
        <w:tc>
          <w:tcPr>
            <w:tcW w:w="120" w:type="dxa"/>
            <w:vAlign w:val="bottom"/>
          </w:tcPr>
          <w:p>
            <w:pPr>
              <w:spacing w:after="0"/>
              <w:rPr>
                <w:sz w:val="10"/>
                <w:szCs w:val="10"/>
                <w:color w:val="auto"/>
              </w:rPr>
            </w:pPr>
          </w:p>
        </w:tc>
        <w:tc>
          <w:tcPr>
            <w:tcW w:w="1640" w:type="dxa"/>
            <w:vAlign w:val="bottom"/>
            <w:gridSpan w:val="5"/>
            <w:vMerge w:val="restart"/>
          </w:tcPr>
          <w:p>
            <w:pPr>
              <w:jc w:val="right"/>
              <w:ind w:right="373"/>
              <w:spacing w:after="0"/>
              <w:rPr>
                <w:sz w:val="20"/>
                <w:szCs w:val="20"/>
                <w:color w:val="auto"/>
              </w:rPr>
            </w:pPr>
            <w:r>
              <w:rPr>
                <w:rFonts w:ascii="Arial" w:cs="Arial" w:eastAsia="Arial" w:hAnsi="Arial"/>
                <w:sz w:val="12"/>
                <w:szCs w:val="12"/>
                <w:b w:val="1"/>
                <w:bCs w:val="1"/>
                <w:color w:val="auto"/>
              </w:rPr>
              <w:t>After Ten Years</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2"/>
                <w:szCs w:val="12"/>
                <w:b w:val="1"/>
                <w:bCs w:val="1"/>
                <w:color w:val="auto"/>
                <w:w w:val="97"/>
              </w:rPr>
              <w:t>Years</w:t>
            </w:r>
          </w:p>
        </w:tc>
        <w:tc>
          <w:tcPr>
            <w:tcW w:w="68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2"/>
                <w:szCs w:val="12"/>
                <w:b w:val="1"/>
                <w:bCs w:val="1"/>
                <w:color w:val="auto"/>
                <w:w w:val="91"/>
              </w:rPr>
              <w:t>Years</w:t>
            </w:r>
          </w:p>
        </w:tc>
        <w:tc>
          <w:tcPr>
            <w:tcW w:w="66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640" w:type="dxa"/>
            <w:vAlign w:val="bottom"/>
            <w:tcBorders>
              <w:bottom w:val="single" w:sz="8" w:color="2C6937"/>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Total Amortized</w:t>
            </w:r>
          </w:p>
        </w:tc>
        <w:tc>
          <w:tcPr>
            <w:tcW w:w="16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5"/>
              </w:rPr>
              <w:t>Amortized</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Amortized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ind w:left="100"/>
              <w:spacing w:after="0" w:line="116" w:lineRule="exact"/>
              <w:rPr>
                <w:sz w:val="20"/>
                <w:szCs w:val="20"/>
                <w:color w:val="auto"/>
              </w:rPr>
            </w:pPr>
            <w:r>
              <w:rPr>
                <w:rFonts w:ascii="Arial" w:cs="Arial" w:eastAsia="Arial" w:hAnsi="Arial"/>
                <w:sz w:val="12"/>
                <w:szCs w:val="12"/>
                <w:b w:val="1"/>
                <w:bCs w:val="1"/>
                <w:color w:val="auto"/>
              </w:rPr>
              <w:t>Fair</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Fair Value</w:t>
            </w:r>
          </w:p>
        </w:tc>
        <w:tc>
          <w:tcPr>
            <w:tcW w:w="11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Amortized Cost</w:t>
            </w: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Fair Value</w:t>
            </w:r>
          </w:p>
        </w:tc>
        <w:tc>
          <w:tcPr>
            <w:tcW w:w="11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Amortized Cost</w:t>
            </w: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Fair Value</w:t>
            </w: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77"/>
        </w:trPr>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900" w:type="dxa"/>
            <w:vAlign w:val="bottom"/>
            <w:tcBorders>
              <w:bottom w:val="single" w:sz="8" w:color="2C6937"/>
            </w:tcBorders>
            <w:gridSpan w:val="2"/>
          </w:tcPr>
          <w:p>
            <w:pPr>
              <w:jc w:val="right"/>
              <w:ind w:right="460"/>
              <w:spacing w:after="0"/>
              <w:rPr>
                <w:sz w:val="20"/>
                <w:szCs w:val="20"/>
                <w:color w:val="auto"/>
              </w:rPr>
            </w:pPr>
            <w:r>
              <w:rPr>
                <w:rFonts w:ascii="Arial" w:cs="Arial" w:eastAsia="Arial" w:hAnsi="Arial"/>
                <w:sz w:val="12"/>
                <w:szCs w:val="12"/>
                <w:b w:val="1"/>
                <w:bCs w:val="1"/>
                <w:color w:val="auto"/>
              </w:rPr>
              <w:t>Cost</w:t>
            </w:r>
          </w:p>
        </w:tc>
        <w:tc>
          <w:tcPr>
            <w:tcW w:w="16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gridSpan w:val="2"/>
          </w:tcPr>
          <w:p>
            <w:pPr>
              <w:ind w:left="80"/>
              <w:spacing w:after="0"/>
              <w:rPr>
                <w:sz w:val="20"/>
                <w:szCs w:val="20"/>
                <w:color w:val="auto"/>
              </w:rPr>
            </w:pPr>
            <w:r>
              <w:rPr>
                <w:rFonts w:ascii="Arial" w:cs="Arial" w:eastAsia="Arial" w:hAnsi="Arial"/>
                <w:sz w:val="12"/>
                <w:szCs w:val="12"/>
                <w:b w:val="1"/>
                <w:bCs w:val="1"/>
                <w:color w:val="auto"/>
              </w:rPr>
              <w:t>Value</w:t>
            </w:r>
          </w:p>
        </w:tc>
        <w:tc>
          <w:tcPr>
            <w:tcW w:w="14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260" w:type="dxa"/>
            <w:vAlign w:val="bottom"/>
            <w:tcBorders>
              <w:bottom w:val="single" w:sz="8" w:color="2C6937"/>
            </w:tcBorders>
          </w:tcPr>
          <w:p>
            <w:pPr>
              <w:spacing w:after="0"/>
              <w:rPr>
                <w:sz w:val="15"/>
                <w:szCs w:val="15"/>
                <w:color w:val="auto"/>
              </w:rPr>
            </w:pPr>
          </w:p>
        </w:tc>
        <w:tc>
          <w:tcPr>
            <w:tcW w:w="880" w:type="dxa"/>
            <w:vAlign w:val="bottom"/>
            <w:tcBorders>
              <w:bottom w:val="single" w:sz="8" w:color="2C6937"/>
            </w:tcBorders>
            <w:gridSpan w:val="3"/>
            <w:vMerge w:val="continue"/>
          </w:tcPr>
          <w:p>
            <w:pPr>
              <w:spacing w:after="0"/>
              <w:rPr>
                <w:sz w:val="15"/>
                <w:szCs w:val="15"/>
                <w:color w:val="auto"/>
              </w:rPr>
            </w:pPr>
          </w:p>
        </w:tc>
        <w:tc>
          <w:tcPr>
            <w:tcW w:w="1120" w:type="dxa"/>
            <w:vAlign w:val="bottom"/>
            <w:tcBorders>
              <w:bottom w:val="single" w:sz="8" w:color="2C6937"/>
            </w:tcBorders>
            <w:gridSpan w:val="4"/>
            <w:vMerge w:val="continue"/>
          </w:tcPr>
          <w:p>
            <w:pPr>
              <w:spacing w:after="0"/>
              <w:rPr>
                <w:sz w:val="15"/>
                <w:szCs w:val="15"/>
                <w:color w:val="auto"/>
              </w:rPr>
            </w:pPr>
          </w:p>
        </w:tc>
        <w:tc>
          <w:tcPr>
            <w:tcW w:w="820" w:type="dxa"/>
            <w:vAlign w:val="bottom"/>
            <w:tcBorders>
              <w:bottom w:val="single" w:sz="8" w:color="2C6937"/>
            </w:tcBorders>
            <w:gridSpan w:val="2"/>
            <w:vMerge w:val="continue"/>
          </w:tcPr>
          <w:p>
            <w:pPr>
              <w:spacing w:after="0"/>
              <w:rPr>
                <w:sz w:val="15"/>
                <w:szCs w:val="15"/>
                <w:color w:val="auto"/>
              </w:rPr>
            </w:pPr>
          </w:p>
        </w:tc>
        <w:tc>
          <w:tcPr>
            <w:tcW w:w="1120" w:type="dxa"/>
            <w:vAlign w:val="bottom"/>
            <w:tcBorders>
              <w:bottom w:val="single" w:sz="8" w:color="2C6937"/>
            </w:tcBorders>
            <w:gridSpan w:val="4"/>
            <w:vMerge w:val="continue"/>
          </w:tcPr>
          <w:p>
            <w:pPr>
              <w:spacing w:after="0"/>
              <w:rPr>
                <w:sz w:val="15"/>
                <w:szCs w:val="15"/>
                <w:color w:val="auto"/>
              </w:rPr>
            </w:pPr>
          </w:p>
        </w:tc>
        <w:tc>
          <w:tcPr>
            <w:tcW w:w="8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gridSpan w:val="2"/>
          </w:tcPr>
          <w:p>
            <w:pPr>
              <w:jc w:val="center"/>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98"/>
              </w:rPr>
              <w:t>(Dollars in millions)</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gridSpan w:val="2"/>
          </w:tcPr>
          <w:p>
            <w:pPr>
              <w:ind w:left="20"/>
              <w:spacing w:after="0"/>
              <w:rPr>
                <w:sz w:val="20"/>
                <w:szCs w:val="20"/>
                <w:color w:val="auto"/>
              </w:rPr>
            </w:pPr>
            <w:r>
              <w:rPr>
                <w:rFonts w:ascii="Arial" w:cs="Arial" w:eastAsia="Arial" w:hAnsi="Arial"/>
                <w:sz w:val="14"/>
                <w:szCs w:val="14"/>
                <w:color w:val="auto"/>
              </w:rPr>
              <w:t>Mortgage-related</w:t>
            </w:r>
          </w:p>
        </w:tc>
        <w:tc>
          <w:tcPr>
            <w:tcW w:w="200" w:type="dxa"/>
            <w:vAlign w:val="bottom"/>
            <w:vMerge w:val="restart"/>
          </w:tcPr>
          <w:p>
            <w:pPr>
              <w:jc w:val="right"/>
              <w:ind w:right="54"/>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625</w:t>
            </w:r>
          </w:p>
        </w:tc>
        <w:tc>
          <w:tcPr>
            <w:tcW w:w="2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570</w:t>
            </w: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14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503</w:t>
            </w:r>
          </w:p>
        </w:tc>
        <w:tc>
          <w:tcPr>
            <w:tcW w:w="60" w:type="dxa"/>
            <w:vAlign w:val="bottom"/>
          </w:tcPr>
          <w:p>
            <w:pPr>
              <w:spacing w:after="0"/>
              <w:rPr>
                <w:sz w:val="14"/>
                <w:szCs w:val="14"/>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86"/>
        </w:trPr>
        <w:tc>
          <w:tcPr>
            <w:tcW w:w="1700" w:type="dxa"/>
            <w:vAlign w:val="bottom"/>
            <w:gridSpan w:val="2"/>
          </w:tcPr>
          <w:p>
            <w:pPr>
              <w:ind w:left="180"/>
              <w:spacing w:after="0"/>
              <w:rPr>
                <w:sz w:val="20"/>
                <w:szCs w:val="20"/>
                <w:color w:val="auto"/>
              </w:rPr>
            </w:pPr>
            <w:r>
              <w:rPr>
                <w:rFonts w:ascii="Arial" w:cs="Arial" w:eastAsia="Arial" w:hAnsi="Arial"/>
                <w:sz w:val="14"/>
                <w:szCs w:val="14"/>
                <w:color w:val="auto"/>
              </w:rPr>
              <w:t>securities</w:t>
            </w:r>
            <w:r>
              <w:rPr>
                <w:rFonts w:ascii="Arial" w:cs="Arial" w:eastAsia="Arial" w:hAnsi="Arial"/>
                <w:sz w:val="8"/>
                <w:szCs w:val="8"/>
                <w:color w:val="auto"/>
              </w:rPr>
              <w:t>(1)</w:t>
            </w:r>
          </w:p>
        </w:tc>
        <w:tc>
          <w:tcPr>
            <w:tcW w:w="2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00" w:type="dxa"/>
            <w:vAlign w:val="bottom"/>
            <w:gridSpan w:val="2"/>
          </w:tcPr>
          <w:p>
            <w:pPr>
              <w:ind w:left="20"/>
              <w:spacing w:after="0"/>
              <w:rPr>
                <w:sz w:val="20"/>
                <w:szCs w:val="20"/>
                <w:color w:val="auto"/>
              </w:rPr>
            </w:pPr>
            <w:r>
              <w:rPr>
                <w:rFonts w:ascii="Arial" w:cs="Arial" w:eastAsia="Arial" w:hAnsi="Arial"/>
                <w:sz w:val="14"/>
                <w:szCs w:val="14"/>
                <w:color w:val="auto"/>
              </w:rPr>
              <w:t>Non-mortgage-related</w:t>
            </w: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38,546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36,997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33,982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32,660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4,564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4,337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securities</w:t>
            </w:r>
          </w:p>
        </w:tc>
        <w:tc>
          <w:tcPr>
            <w:tcW w:w="14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580" w:type="dxa"/>
            <w:vAlign w:val="bottom"/>
            <w:tcBorders>
              <w:bottom w:val="single" w:sz="8" w:color="2C6937"/>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80" w:type="dxa"/>
            <w:vAlign w:val="bottom"/>
            <w:tcBorders>
              <w:bottom w:val="single" w:sz="8" w:color="2C6937"/>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70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54"/>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39,171</w:t>
            </w:r>
          </w:p>
        </w:tc>
        <w:tc>
          <w:tcPr>
            <w:tcW w:w="2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37,567</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33,989</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32,667</w:t>
            </w:r>
          </w:p>
        </w:tc>
        <w:tc>
          <w:tcPr>
            <w:tcW w:w="14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4,679</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4,451</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503</w:t>
            </w:r>
          </w:p>
        </w:tc>
        <w:tc>
          <w:tcPr>
            <w:tcW w:w="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2"/>
        </w:trPr>
        <w:tc>
          <w:tcPr>
            <w:tcW w:w="15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700" w:type="dxa"/>
            <w:vAlign w:val="bottom"/>
            <w:gridSpan w:val="2"/>
          </w:tcPr>
          <w:p>
            <w:pPr>
              <w:ind w:left="20"/>
              <w:spacing w:after="0"/>
              <w:rPr>
                <w:sz w:val="20"/>
                <w:szCs w:val="20"/>
                <w:color w:val="auto"/>
              </w:rPr>
            </w:pPr>
            <w:r>
              <w:rPr>
                <w:rFonts w:ascii="Arial" w:cs="Arial" w:eastAsia="Arial" w:hAnsi="Arial"/>
                <w:sz w:val="14"/>
                <w:szCs w:val="14"/>
                <w:color w:val="auto"/>
              </w:rPr>
              <w:t>Weighted-average</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w:t>
            </w:r>
            <w:r>
              <w:rPr>
                <w:rFonts w:ascii="Arial" w:cs="Arial" w:eastAsia="Arial" w:hAnsi="Arial"/>
                <w:sz w:val="17"/>
                <w:szCs w:val="17"/>
                <w:color w:val="auto"/>
                <w:vertAlign w:val="superscript"/>
              </w:rPr>
              <w:t>(2)</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4.00  %</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71"/>
              <w:spacing w:after="0"/>
              <w:rPr>
                <w:sz w:val="20"/>
                <w:szCs w:val="20"/>
                <w:color w:val="auto"/>
              </w:rPr>
            </w:pPr>
            <w:r>
              <w:rPr>
                <w:rFonts w:ascii="Arial" w:cs="Arial" w:eastAsia="Arial" w:hAnsi="Arial"/>
                <w:sz w:val="14"/>
                <w:szCs w:val="14"/>
                <w:color w:val="auto"/>
                <w:w w:val="79"/>
              </w:rPr>
              <w:t>%</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3.97</w:t>
            </w:r>
          </w:p>
        </w:tc>
        <w:tc>
          <w:tcPr>
            <w:tcW w:w="3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4.11</w:t>
            </w:r>
          </w:p>
        </w:tc>
        <w:tc>
          <w:tcPr>
            <w:tcW w:w="3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5.18</w:t>
            </w:r>
          </w:p>
        </w:tc>
        <w:tc>
          <w:tcPr>
            <w:tcW w:w="6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20" w:hanging="217"/>
        <w:spacing w:after="0"/>
        <w:tabs>
          <w:tab w:leader="none" w:pos="220" w:val="left"/>
        </w:tabs>
        <w:numPr>
          <w:ilvl w:val="0"/>
          <w:numId w:val="71"/>
        </w:numPr>
        <w:rPr>
          <w:rFonts w:ascii="Arial" w:cs="Arial" w:eastAsia="Arial" w:hAnsi="Arial"/>
          <w:sz w:val="9"/>
          <w:szCs w:val="9"/>
          <w:color w:val="auto"/>
        </w:rPr>
      </w:pPr>
      <w:r>
        <w:rPr>
          <w:rFonts w:ascii="Arial" w:cs="Arial" w:eastAsia="Arial" w:hAnsi="Arial"/>
          <w:sz w:val="14"/>
          <w:szCs w:val="14"/>
          <w:color w:val="auto"/>
        </w:rPr>
        <w:t>Amortized cost of mortgage-related securities is presented net of the allowance for credit losses on AFS debt securities.</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71"/>
        </w:numPr>
        <w:rPr>
          <w:rFonts w:ascii="Arial" w:cs="Arial" w:eastAsia="Arial" w:hAnsi="Arial"/>
          <w:sz w:val="9"/>
          <w:szCs w:val="9"/>
          <w:color w:val="auto"/>
        </w:rPr>
      </w:pPr>
      <w:r>
        <w:rPr>
          <w:rFonts w:ascii="Arial" w:cs="Arial" w:eastAsia="Arial" w:hAnsi="Arial"/>
          <w:sz w:val="14"/>
          <w:szCs w:val="14"/>
          <w:color w:val="auto"/>
        </w:rPr>
        <w:t>Weighted-average interest rate includes the effects of discounts, premiums and other cost basis adjustments.</w:t>
      </w:r>
    </w:p>
    <w:p>
      <w:pPr>
        <w:spacing w:after="0" w:line="166"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7. Financial Guarantees</w:t>
      </w:r>
    </w:p>
    <w:p>
      <w:pPr>
        <w:spacing w:after="0" w:line="80"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We recognize a guaranty obligation for our obligation to stand ready to perform on our guarantees to unconsolidated trusts and other guaranty arrangements. These off-balance sheet guarantees expose us to credit losses primarily relating to the UPB of our unconsolidated Fannie Mae MBS and other financial guarantees. As of September 30, 2026, the maximum remaining contractual term of our guarantees was 29 years; however, the actual term of each guaranty may be significantly less than the contractual term based on the prepayment characteristics of the related mortgage loans. We measure our guaranty reserve for estimated credit losses for off-balance sheet exposures over the contractual period for which they are exposed to the credit risk, unless that obligation is unconditionally cancellable by the issuer.</w:t>
      </w:r>
    </w:p>
    <w:p>
      <w:pPr>
        <w:spacing w:after="0" w:line="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the guarantor of structured securities backed in whole or in part by Freddie Mac-issued securities, we extend our guaranty to the underlying Freddie Mac securities in our resecuritization trusts. However, Freddie Mac continues to guarantee the payment of principal and interest on the underlying Freddie Mac securities that we have resecuritized. When we began issuing UMBS, we entered into an indemnification agreement under which Freddie Mac agreed to indemnify us for losses caused by its failure to meet its payment or other specified obligations under the trust agreements pursuant to which the underlying resecuritized securities were issued. As a result, and due to the funding commitment available to Freddie Mac through its senior preferred stock purchase agreement with Treasury, we have concluded that the associated credit risk is negligible. Accordingly, we exclude from the following table Freddie Mac securities backing unconsolidated Fannie Mae-issued structured securities of $173.6 billion and $184.3 billion as of September 30, 2026 and December 31, 2025, respectively.</w:t>
      </w:r>
    </w:p>
    <w:p>
      <w:pPr>
        <w:spacing w:after="0" w:line="5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following table displays our off-balance sheet maximum exposure, guaranty obligation recognized in our condensed consolidated balance sheets and the potential maximum recovery from third parties through available credit enhancements and recourse related to our financial guarantees.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99"/>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gridSpan w:val="5"/>
          </w:tcPr>
          <w:p>
            <w:pPr>
              <w:jc w:val="right"/>
              <w:ind w:right="3"/>
              <w:spacing w:after="0"/>
              <w:rPr>
                <w:sz w:val="20"/>
                <w:szCs w:val="20"/>
                <w:color w:val="auto"/>
              </w:rPr>
            </w:pPr>
            <w:r>
              <w:rPr>
                <w:rFonts w:ascii="Arial" w:cs="Arial" w:eastAsia="Arial" w:hAnsi="Arial"/>
                <w:sz w:val="14"/>
                <w:szCs w:val="14"/>
                <w:b w:val="1"/>
                <w:bCs w:val="1"/>
                <w:color w:val="auto"/>
                <w:w w:val="99"/>
              </w:rPr>
              <w:t>September 30, 2026</w:t>
            </w:r>
          </w:p>
        </w:tc>
        <w:tc>
          <w:tcPr>
            <w:tcW w:w="9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2025</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r>
      <w:tr>
        <w:trPr>
          <w:trHeight w:val="188"/>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26"/>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6"/>
                <w:szCs w:val="16"/>
                <w:color w:val="auto"/>
              </w:rPr>
            </w:pPr>
          </w:p>
        </w:tc>
        <w:tc>
          <w:tcPr>
            <w:tcW w:w="880" w:type="dxa"/>
            <w:vAlign w:val="bottom"/>
          </w:tcPr>
          <w:p>
            <w:pPr>
              <w:jc w:val="right"/>
              <w:ind w:right="146"/>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6"/>
                <w:szCs w:val="16"/>
                <w:color w:val="auto"/>
              </w:rPr>
            </w:pPr>
          </w:p>
        </w:tc>
        <w:tc>
          <w:tcPr>
            <w:tcW w:w="960" w:type="dxa"/>
            <w:vAlign w:val="bottom"/>
          </w:tcPr>
          <w:p>
            <w:pPr>
              <w:jc w:val="right"/>
              <w:ind w:right="166"/>
              <w:spacing w:after="0"/>
              <w:rPr>
                <w:sz w:val="20"/>
                <w:szCs w:val="20"/>
                <w:color w:val="auto"/>
              </w:rPr>
            </w:pPr>
            <w:r>
              <w:rPr>
                <w:rFonts w:ascii="Arial" w:cs="Arial" w:eastAsia="Arial" w:hAnsi="Arial"/>
                <w:sz w:val="14"/>
                <w:szCs w:val="14"/>
                <w:b w:val="1"/>
                <w:bCs w:val="1"/>
                <w:color w:val="auto"/>
              </w:rPr>
              <w:t>Maximum</w:t>
            </w:r>
          </w:p>
        </w:tc>
      </w:tr>
      <w:tr>
        <w:trPr>
          <w:trHeight w:val="205"/>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Recovery</w:t>
            </w:r>
            <w:r>
              <w:rPr>
                <w:rFonts w:ascii="Arial" w:cs="Arial" w:eastAsia="Arial" w:hAnsi="Arial"/>
                <w:sz w:val="17"/>
                <w:szCs w:val="17"/>
                <w:b w:val="1"/>
                <w:bCs w:val="1"/>
                <w:color w:val="auto"/>
                <w:w w:val="93"/>
                <w:vertAlign w:val="superscript"/>
              </w:rPr>
              <w:t>(1)</w:t>
            </w: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w w:val="96"/>
              </w:rPr>
              <w:t>Recovery</w:t>
            </w:r>
            <w:r>
              <w:rPr>
                <w:rFonts w:ascii="Arial" w:cs="Arial" w:eastAsia="Arial" w:hAnsi="Arial"/>
                <w:sz w:val="17"/>
                <w:szCs w:val="17"/>
                <w:b w:val="1"/>
                <w:bCs w:val="1"/>
                <w:color w:val="auto"/>
                <w:w w:val="96"/>
                <w:vertAlign w:val="superscript"/>
              </w:rPr>
              <w:t>(1)</w:t>
            </w:r>
          </w:p>
        </w:tc>
      </w:tr>
      <w:tr>
        <w:trPr>
          <w:trHeight w:val="198"/>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4"/>
          </w:tcPr>
          <w:p>
            <w:pPr>
              <w:jc w:val="right"/>
              <w:ind w:right="386"/>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7"/>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Unconsolidated Fannie Mae MBS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2,028</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1,994</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2,229</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2,187</w:t>
            </w:r>
          </w:p>
        </w:tc>
      </w:tr>
      <w:tr>
        <w:trPr>
          <w:trHeight w:val="239"/>
        </w:trPr>
        <w:tc>
          <w:tcPr>
            <w:tcW w:w="4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guaranty arrangements</w:t>
            </w:r>
            <w:r>
              <w:rPr>
                <w:rFonts w:ascii="Arial" w:cs="Arial" w:eastAsia="Arial" w:hAnsi="Arial"/>
                <w:sz w:val="20"/>
                <w:szCs w:val="20"/>
                <w:color w:val="auto"/>
                <w:vertAlign w:val="superscript"/>
              </w:rPr>
              <w:t>(2)</w:t>
            </w: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9,058</w:t>
            </w: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88</w:t>
            </w: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2,177</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9,151</w:t>
            </w:r>
          </w:p>
        </w:tc>
        <w:tc>
          <w:tcPr>
            <w:tcW w:w="10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2,132</w:t>
            </w:r>
          </w:p>
        </w:tc>
      </w:tr>
      <w:tr>
        <w:trPr>
          <w:trHeight w:val="212"/>
        </w:trPr>
        <w:tc>
          <w:tcPr>
            <w:tcW w:w="4280" w:type="dxa"/>
            <w:vAlign w:val="bottom"/>
            <w:gridSpan w:val="2"/>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11,086</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100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4,171</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11,380</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4,319</w:t>
            </w:r>
          </w:p>
        </w:tc>
      </w:tr>
      <w:tr>
        <w:trPr>
          <w:trHeight w:val="20"/>
        </w:trPr>
        <w:tc>
          <w:tcPr>
            <w:tcW w:w="4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r>
    </w:tbl>
    <w:p>
      <w:pPr>
        <w:spacing w:after="0" w:line="96" w:lineRule="exact"/>
        <w:rPr>
          <w:sz w:val="20"/>
          <w:szCs w:val="20"/>
          <w:color w:val="auto"/>
        </w:rPr>
      </w:pPr>
    </w:p>
    <w:p>
      <w:pPr>
        <w:ind w:left="240" w:hanging="237"/>
        <w:spacing w:after="0" w:line="218" w:lineRule="auto"/>
        <w:tabs>
          <w:tab w:leader="none" w:pos="233"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Recoverability of such credit enhancements and recourse is subject to, among other factors, the ability of our mortgage insurers and the U.S. government, as a financial guarantor, to meet their obligations to us. For information on our mortgage insurers, see “Note 14, Concentrations of Credit Risk” in our 2025 Form 10-K.</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2"/>
        </w:numPr>
        <w:rPr>
          <w:rFonts w:ascii="Arial" w:cs="Arial" w:eastAsia="Arial" w:hAnsi="Arial"/>
          <w:sz w:val="9"/>
          <w:szCs w:val="9"/>
          <w:color w:val="auto"/>
        </w:rPr>
      </w:pPr>
      <w:r>
        <w:rPr>
          <w:rFonts w:ascii="Arial" w:cs="Arial" w:eastAsia="Arial" w:hAnsi="Arial"/>
          <w:sz w:val="14"/>
          <w:szCs w:val="14"/>
          <w:color w:val="auto"/>
        </w:rPr>
        <w:t>Primarily consists of credit enhancements and long-term standby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0593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85" w:name="page86"/>
    <w:bookmarkEnd w:id="85"/>
    <w:p>
      <w:pPr>
        <w:ind w:left="5640"/>
        <w:spacing w:after="0"/>
        <w:rPr>
          <w:sz w:val="20"/>
          <w:szCs w:val="20"/>
          <w:color w:val="auto"/>
        </w:rPr>
      </w:pPr>
      <w:r>
        <w:rPr>
          <w:rFonts w:ascii="Arial" w:cs="Arial" w:eastAsia="Arial" w:hAnsi="Arial"/>
          <w:sz w:val="13"/>
          <w:szCs w:val="13"/>
          <w:color w:val="05314D"/>
        </w:rPr>
        <w:t>Notes to Condensed Consolidated Financial Statements | Short-Term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8. Short-Term and Long-Term Debt</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Short-Term Debt</w:t>
      </w:r>
    </w:p>
    <w:p>
      <w:pPr>
        <w:spacing w:after="0" w:line="6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following table displays our outstanding short-term debt (debt with an original contractual maturity of one year or less) and weighted-average interest rates of this debt.</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spacing w:after="0"/>
              <w:rPr>
                <w:sz w:val="16"/>
                <w:szCs w:val="16"/>
                <w:color w:val="auto"/>
              </w:rPr>
            </w:pPr>
          </w:p>
        </w:tc>
        <w:tc>
          <w:tcPr>
            <w:tcW w:w="1880" w:type="dxa"/>
            <w:vAlign w:val="bottom"/>
            <w:tcBorders>
              <w:bottom w:val="single" w:sz="8" w:color="2C6937"/>
            </w:tcBorders>
            <w:gridSpan w:val="3"/>
          </w:tcPr>
          <w:p>
            <w:pPr>
              <w:jc w:val="center"/>
              <w:ind w:left="1270"/>
              <w:spacing w:after="0"/>
              <w:rPr>
                <w:sz w:val="20"/>
                <w:szCs w:val="20"/>
                <w:color w:val="auto"/>
              </w:rPr>
            </w:pPr>
            <w:r>
              <w:rPr>
                <w:rFonts w:ascii="Arial" w:cs="Arial" w:eastAsia="Arial" w:hAnsi="Arial"/>
                <w:sz w:val="14"/>
                <w:szCs w:val="14"/>
                <w:b w:val="1"/>
                <w:bCs w:val="1"/>
                <w:color w:val="auto"/>
                <w:w w:val="97"/>
              </w:rPr>
              <w:t>As of</w:t>
            </w:r>
          </w:p>
        </w:tc>
        <w:tc>
          <w:tcPr>
            <w:tcW w:w="132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spacing w:after="0"/>
              <w:rPr>
                <w:sz w:val="16"/>
                <w:szCs w:val="16"/>
                <w:color w:val="auto"/>
              </w:rPr>
            </w:pPr>
          </w:p>
        </w:tc>
      </w:tr>
      <w:tr>
        <w:trPr>
          <w:trHeight w:val="199"/>
        </w:trPr>
        <w:tc>
          <w:tcPr>
            <w:tcW w:w="49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2880" w:type="dxa"/>
            <w:vAlign w:val="bottom"/>
            <w:tcBorders>
              <w:bottom w:val="single" w:sz="8" w:color="2C6937"/>
            </w:tcBorders>
            <w:gridSpan w:val="2"/>
          </w:tcPr>
          <w:p>
            <w:pPr>
              <w:ind w:left="700"/>
              <w:spacing w:after="0"/>
              <w:rPr>
                <w:sz w:val="20"/>
                <w:szCs w:val="20"/>
                <w:color w:val="auto"/>
              </w:rPr>
            </w:pPr>
            <w:r>
              <w:rPr>
                <w:rFonts w:ascii="Arial" w:cs="Arial" w:eastAsia="Arial" w:hAnsi="Arial"/>
                <w:sz w:val="14"/>
                <w:szCs w:val="14"/>
                <w:b w:val="1"/>
                <w:bCs w:val="1"/>
                <w:color w:val="auto"/>
              </w:rPr>
              <w:t>September 30, 2026</w:t>
            </w: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2880" w:type="dxa"/>
            <w:vAlign w:val="bottom"/>
            <w:tcBorders>
              <w:bottom w:val="single" w:sz="8" w:color="2C6937"/>
            </w:tcBorders>
            <w:gridSpan w:val="2"/>
          </w:tcPr>
          <w:p>
            <w:pPr>
              <w:ind w:left="720"/>
              <w:spacing w:after="0"/>
              <w:rPr>
                <w:sz w:val="20"/>
                <w:szCs w:val="20"/>
                <w:color w:val="auto"/>
              </w:rPr>
            </w:pPr>
            <w:r>
              <w:rPr>
                <w:rFonts w:ascii="Arial" w:cs="Arial" w:eastAsia="Arial" w:hAnsi="Arial"/>
                <w:sz w:val="14"/>
                <w:szCs w:val="14"/>
                <w:b w:val="1"/>
                <w:bCs w:val="1"/>
                <w:color w:val="auto"/>
              </w:rPr>
              <w:t>December 31, 2025</w:t>
            </w:r>
          </w:p>
        </w:tc>
      </w:tr>
      <w:tr>
        <w:trPr>
          <w:trHeight w:val="178"/>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7"/>
              </w:rPr>
              <w:t>Weighted- Average</w:t>
            </w:r>
          </w:p>
        </w:tc>
        <w:tc>
          <w:tcPr>
            <w:tcW w:w="13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Weighted- Average</w:t>
            </w:r>
          </w:p>
        </w:tc>
      </w:tr>
      <w:tr>
        <w:trPr>
          <w:trHeight w:val="215"/>
        </w:trPr>
        <w:tc>
          <w:tcPr>
            <w:tcW w:w="49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320" w:type="dxa"/>
            <w:vAlign w:val="bottom"/>
            <w:tcBorders>
              <w:bottom w:val="single" w:sz="8" w:color="2C6937"/>
            </w:tcBorders>
          </w:tcPr>
          <w:p>
            <w:pPr>
              <w:ind w:left="100"/>
              <w:spacing w:after="0"/>
              <w:rPr>
                <w:sz w:val="20"/>
                <w:szCs w:val="20"/>
                <w:color w:val="auto"/>
              </w:rPr>
            </w:pPr>
            <w:r>
              <w:rPr>
                <w:rFonts w:ascii="Arial" w:cs="Arial" w:eastAsia="Arial" w:hAnsi="Arial"/>
                <w:sz w:val="14"/>
                <w:szCs w:val="14"/>
                <w:b w:val="1"/>
                <w:bCs w:val="1"/>
                <w:color w:val="auto"/>
              </w:rPr>
              <w:t>Outstanding</w:t>
            </w:r>
          </w:p>
        </w:tc>
        <w:tc>
          <w:tcPr>
            <w:tcW w:w="1880" w:type="dxa"/>
            <w:vAlign w:val="bottom"/>
            <w:tcBorders>
              <w:bottom w:val="single" w:sz="8" w:color="2C6937"/>
            </w:tcBorders>
            <w:gridSpan w:val="3"/>
          </w:tcPr>
          <w:p>
            <w:pPr>
              <w:jc w:val="center"/>
              <w:ind w:right="300"/>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c>
          <w:tcPr>
            <w:tcW w:w="1320" w:type="dxa"/>
            <w:vAlign w:val="bottom"/>
            <w:tcBorders>
              <w:bottom w:val="single" w:sz="8" w:color="2C6937"/>
            </w:tcBorders>
          </w:tcPr>
          <w:p>
            <w:pPr>
              <w:ind w:left="100"/>
              <w:spacing w:after="0"/>
              <w:rPr>
                <w:sz w:val="20"/>
                <w:szCs w:val="20"/>
                <w:color w:val="auto"/>
              </w:rPr>
            </w:pPr>
            <w:r>
              <w:rPr>
                <w:rFonts w:ascii="Arial" w:cs="Arial" w:eastAsia="Arial" w:hAnsi="Arial"/>
                <w:sz w:val="14"/>
                <w:szCs w:val="14"/>
                <w:b w:val="1"/>
                <w:bCs w:val="1"/>
                <w:color w:val="auto"/>
              </w:rPr>
              <w:t>Outstanding</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r>
      <w:tr>
        <w:trPr>
          <w:trHeight w:val="198"/>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0" w:type="dxa"/>
            <w:vAlign w:val="bottom"/>
            <w:gridSpan w:val="4"/>
          </w:tcPr>
          <w:p>
            <w:pPr>
              <w:jc w:val="center"/>
              <w:ind w:left="10"/>
              <w:spacing w:after="0"/>
              <w:rPr>
                <w:sz w:val="20"/>
                <w:szCs w:val="20"/>
                <w:color w:val="auto"/>
              </w:rPr>
            </w:pPr>
            <w:r>
              <w:rPr>
                <w:rFonts w:ascii="Arial" w:cs="Arial" w:eastAsia="Arial" w:hAnsi="Arial"/>
                <w:sz w:val="14"/>
                <w:szCs w:val="14"/>
                <w:b w:val="1"/>
                <w:bCs w:val="1"/>
                <w:color w:val="auto"/>
                <w:w w:val="98"/>
              </w:rPr>
              <w:t>(Dollars in millions)</w:t>
            </w:r>
          </w:p>
        </w:tc>
        <w:tc>
          <w:tcPr>
            <w:tcW w:w="1560" w:type="dxa"/>
            <w:vAlign w:val="bottom"/>
          </w:tcPr>
          <w:p>
            <w:pPr>
              <w:spacing w:after="0"/>
              <w:rPr>
                <w:sz w:val="17"/>
                <w:szCs w:val="17"/>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5"/>
                <w:szCs w:val="15"/>
                <w:color w:val="auto"/>
              </w:rPr>
              <w:t>Short-term debt of Fannie Mae</w:t>
            </w:r>
          </w:p>
        </w:tc>
        <w:tc>
          <w:tcPr>
            <w:tcW w:w="220" w:type="dxa"/>
            <w:vAlign w:val="bottom"/>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ind w:left="700"/>
              <w:spacing w:after="0"/>
              <w:rPr>
                <w:sz w:val="20"/>
                <w:szCs w:val="20"/>
                <w:color w:val="auto"/>
              </w:rPr>
            </w:pPr>
            <w:r>
              <w:rPr>
                <w:rFonts w:ascii="Arial" w:cs="Arial" w:eastAsia="Arial" w:hAnsi="Arial"/>
                <w:sz w:val="15"/>
                <w:szCs w:val="15"/>
                <w:b w:val="1"/>
                <w:bCs w:val="1"/>
                <w:color w:val="auto"/>
              </w:rPr>
              <w:t>31,120</w:t>
            </w:r>
          </w:p>
        </w:tc>
        <w:tc>
          <w:tcPr>
            <w:tcW w:w="188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 xml:space="preserve">3.88 %  </w:t>
            </w:r>
            <w:r>
              <w:rPr>
                <w:rFonts w:ascii="Arial" w:cs="Arial" w:eastAsia="Arial" w:hAnsi="Arial"/>
                <w:sz w:val="15"/>
                <w:szCs w:val="15"/>
                <w:color w:val="auto"/>
              </w:rPr>
              <w:t>$</w:t>
            </w:r>
          </w:p>
        </w:tc>
        <w:tc>
          <w:tcPr>
            <w:tcW w:w="1320" w:type="dxa"/>
            <w:vAlign w:val="bottom"/>
          </w:tcPr>
          <w:p>
            <w:pPr>
              <w:ind w:left="700"/>
              <w:spacing w:after="0"/>
              <w:rPr>
                <w:sz w:val="20"/>
                <w:szCs w:val="20"/>
                <w:color w:val="auto"/>
              </w:rPr>
            </w:pPr>
            <w:r>
              <w:rPr>
                <w:rFonts w:ascii="Arial" w:cs="Arial" w:eastAsia="Arial" w:hAnsi="Arial"/>
                <w:sz w:val="15"/>
                <w:szCs w:val="15"/>
                <w:color w:val="auto"/>
              </w:rPr>
              <w:t>24,538</w:t>
            </w:r>
          </w:p>
        </w:tc>
        <w:tc>
          <w:tcPr>
            <w:tcW w:w="1560" w:type="dxa"/>
            <w:vAlign w:val="bottom"/>
          </w:tcPr>
          <w:p>
            <w:pPr>
              <w:jc w:val="right"/>
              <w:spacing w:after="0"/>
              <w:rPr>
                <w:sz w:val="20"/>
                <w:szCs w:val="20"/>
                <w:color w:val="auto"/>
              </w:rPr>
            </w:pPr>
            <w:r>
              <w:rPr>
                <w:rFonts w:ascii="Arial" w:cs="Arial" w:eastAsia="Arial" w:hAnsi="Arial"/>
                <w:sz w:val="15"/>
                <w:szCs w:val="15"/>
                <w:color w:val="auto"/>
              </w:rPr>
              <w:t>3.66 %</w:t>
            </w:r>
          </w:p>
        </w:tc>
      </w:tr>
    </w:tbl>
    <w:p>
      <w:pPr>
        <w:spacing w:after="0" w:line="106" w:lineRule="exact"/>
        <w:rPr>
          <w:sz w:val="20"/>
          <w:szCs w:val="20"/>
          <w:color w:val="auto"/>
        </w:rPr>
      </w:pPr>
    </w:p>
    <w:p>
      <w:pPr>
        <w:ind w:left="220" w:hanging="217"/>
        <w:spacing w:after="0"/>
        <w:tabs>
          <w:tab w:leader="none" w:pos="220" w:val="left"/>
        </w:tabs>
        <w:numPr>
          <w:ilvl w:val="0"/>
          <w:numId w:val="73"/>
        </w:numPr>
        <w:rPr>
          <w:rFonts w:ascii="Arial" w:cs="Arial" w:eastAsia="Arial" w:hAnsi="Arial"/>
          <w:sz w:val="9"/>
          <w:szCs w:val="9"/>
          <w:color w:val="auto"/>
        </w:rPr>
      </w:pPr>
      <w:r>
        <w:rPr>
          <w:rFonts w:ascii="Arial" w:cs="Arial" w:eastAsia="Arial" w:hAnsi="Arial"/>
          <w:sz w:val="14"/>
          <w:szCs w:val="14"/>
          <w:color w:val="auto"/>
        </w:rPr>
        <w:t>Includes the effects of discounts, premiums and other cost basis adjustments.</w:t>
      </w:r>
    </w:p>
    <w:p>
      <w:pPr>
        <w:spacing w:after="0" w:line="11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Long-Term Debt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represents debt with an original contractual maturity of greater than one year. The following table displays our outstanding long-term debt.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gridSpan w:val="3"/>
          </w:tcPr>
          <w:p>
            <w:pPr>
              <w:ind w:left="1080"/>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r>
      <w:tr>
        <w:trPr>
          <w:trHeight w:val="199"/>
        </w:trPr>
        <w:tc>
          <w:tcPr>
            <w:tcW w:w="3500" w:type="dxa"/>
            <w:vAlign w:val="bottom"/>
          </w:tcPr>
          <w:p>
            <w:pPr>
              <w:spacing w:after="0"/>
              <w:rPr>
                <w:sz w:val="17"/>
                <w:szCs w:val="17"/>
                <w:color w:val="auto"/>
              </w:rPr>
            </w:pPr>
          </w:p>
        </w:tc>
        <w:tc>
          <w:tcPr>
            <w:tcW w:w="11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September 30, 2026</w:t>
            </w:r>
          </w:p>
        </w:tc>
        <w:tc>
          <w:tcPr>
            <w:tcW w:w="122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30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December 31, 2025</w:t>
            </w:r>
          </w:p>
        </w:tc>
        <w:tc>
          <w:tcPr>
            <w:tcW w:w="1220" w:type="dxa"/>
            <w:vAlign w:val="bottom"/>
            <w:tcBorders>
              <w:bottom w:val="single" w:sz="8" w:color="2C6937"/>
            </w:tcBorders>
          </w:tcPr>
          <w:p>
            <w:pPr>
              <w:spacing w:after="0"/>
              <w:rPr>
                <w:sz w:val="17"/>
                <w:szCs w:val="17"/>
                <w:color w:val="auto"/>
              </w:rPr>
            </w:pPr>
          </w:p>
        </w:tc>
      </w:tr>
      <w:tr>
        <w:trPr>
          <w:trHeight w:val="178"/>
        </w:trPr>
        <w:tc>
          <w:tcPr>
            <w:tcW w:w="3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Weighted-</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Weighted-</w:t>
            </w:r>
          </w:p>
        </w:tc>
      </w:tr>
      <w:tr>
        <w:trPr>
          <w:trHeight w:val="168"/>
        </w:trPr>
        <w:tc>
          <w:tcPr>
            <w:tcW w:w="3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Average Interest</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Average Interest</w:t>
            </w:r>
          </w:p>
        </w:tc>
      </w:tr>
      <w:tr>
        <w:trPr>
          <w:trHeight w:val="203"/>
        </w:trPr>
        <w:tc>
          <w:tcPr>
            <w:tcW w:w="3500" w:type="dxa"/>
            <w:vAlign w:val="bottom"/>
          </w:tcPr>
          <w:p>
            <w:pPr>
              <w:spacing w:after="0"/>
              <w:rPr>
                <w:sz w:val="17"/>
                <w:szCs w:val="17"/>
                <w:color w:val="auto"/>
              </w:rPr>
            </w:pPr>
          </w:p>
        </w:tc>
        <w:tc>
          <w:tcPr>
            <w:tcW w:w="11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Maturities</w:t>
            </w:r>
          </w:p>
        </w:tc>
        <w:tc>
          <w:tcPr>
            <w:tcW w:w="14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ind w:right="147"/>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48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c>
          <w:tcPr>
            <w:tcW w:w="1120" w:type="dxa"/>
            <w:vAlign w:val="bottom"/>
            <w:tcBorders>
              <w:bottom w:val="single" w:sz="8" w:color="2C6937"/>
            </w:tcBorders>
          </w:tcPr>
          <w:p>
            <w:pPr>
              <w:jc w:val="center"/>
              <w:ind w:right="188"/>
              <w:spacing w:after="0"/>
              <w:rPr>
                <w:sz w:val="20"/>
                <w:szCs w:val="20"/>
                <w:color w:val="auto"/>
              </w:rPr>
            </w:pPr>
            <w:r>
              <w:rPr>
                <w:rFonts w:ascii="Arial" w:cs="Arial" w:eastAsia="Arial" w:hAnsi="Arial"/>
                <w:sz w:val="14"/>
                <w:szCs w:val="14"/>
                <w:b w:val="1"/>
                <w:bCs w:val="1"/>
                <w:color w:val="auto"/>
                <w:w w:val="99"/>
              </w:rPr>
              <w:t>Maturities</w:t>
            </w: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ind w:right="127"/>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220" w:type="dxa"/>
            <w:vAlign w:val="bottom"/>
            <w:tcBorders>
              <w:bottom w:val="single" w:sz="8" w:color="2C6937"/>
            </w:tcBorders>
          </w:tcPr>
          <w:p>
            <w:pPr>
              <w:jc w:val="center"/>
              <w:ind w:left="28"/>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r>
      <w:tr>
        <w:trPr>
          <w:trHeight w:val="198"/>
        </w:trPr>
        <w:tc>
          <w:tcPr>
            <w:tcW w:w="3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0" w:type="dxa"/>
            <w:vAlign w:val="bottom"/>
            <w:gridSpan w:val="4"/>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3500" w:type="dxa"/>
            <w:vAlign w:val="bottom"/>
          </w:tcPr>
          <w:p>
            <w:pPr>
              <w:ind w:left="20"/>
              <w:spacing w:after="0"/>
              <w:rPr>
                <w:sz w:val="20"/>
                <w:szCs w:val="20"/>
                <w:color w:val="auto"/>
              </w:rPr>
            </w:pPr>
            <w:r>
              <w:rPr>
                <w:rFonts w:ascii="Arial" w:cs="Arial" w:eastAsia="Arial" w:hAnsi="Arial"/>
                <w:sz w:val="15"/>
                <w:szCs w:val="15"/>
                <w:color w:val="auto"/>
              </w:rPr>
              <w:t>Senior fixed:</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4"/>
        </w:trPr>
        <w:tc>
          <w:tcPr>
            <w:tcW w:w="3500" w:type="dxa"/>
            <w:vAlign w:val="bottom"/>
          </w:tcPr>
          <w:p>
            <w:pPr>
              <w:ind w:left="220"/>
              <w:spacing w:after="0"/>
              <w:rPr>
                <w:sz w:val="20"/>
                <w:szCs w:val="20"/>
                <w:color w:val="auto"/>
              </w:rPr>
            </w:pPr>
            <w:r>
              <w:rPr>
                <w:rFonts w:ascii="Arial" w:cs="Arial" w:eastAsia="Arial" w:hAnsi="Arial"/>
                <w:sz w:val="15"/>
                <w:szCs w:val="15"/>
                <w:color w:val="auto"/>
              </w:rPr>
              <w:t>Benchmark notes and bonds</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7"/>
              </w:rPr>
              <w:t>2027 - 2030</w:t>
            </w:r>
          </w:p>
        </w:tc>
        <w:tc>
          <w:tcPr>
            <w:tcW w:w="3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ind w:right="7"/>
              <w:spacing w:after="0"/>
              <w:rPr>
                <w:sz w:val="20"/>
                <w:szCs w:val="20"/>
                <w:color w:val="auto"/>
              </w:rPr>
            </w:pPr>
            <w:r>
              <w:rPr>
                <w:rFonts w:ascii="Arial" w:cs="Arial" w:eastAsia="Arial" w:hAnsi="Arial"/>
                <w:sz w:val="15"/>
                <w:szCs w:val="15"/>
                <w:b w:val="1"/>
                <w:bCs w:val="1"/>
                <w:color w:val="auto"/>
              </w:rPr>
              <w:t>19,470</w:t>
            </w:r>
          </w:p>
        </w:tc>
        <w:tc>
          <w:tcPr>
            <w:tcW w:w="1220" w:type="dxa"/>
            <w:vAlign w:val="bottom"/>
          </w:tcPr>
          <w:p>
            <w:pPr>
              <w:ind w:left="740"/>
              <w:spacing w:after="0"/>
              <w:rPr>
                <w:sz w:val="20"/>
                <w:szCs w:val="20"/>
                <w:color w:val="auto"/>
              </w:rPr>
            </w:pPr>
            <w:r>
              <w:rPr>
                <w:rFonts w:ascii="Arial" w:cs="Arial" w:eastAsia="Arial" w:hAnsi="Arial"/>
                <w:sz w:val="15"/>
                <w:szCs w:val="15"/>
                <w:b w:val="1"/>
                <w:bCs w:val="1"/>
                <w:color w:val="auto"/>
                <w:w w:val="98"/>
              </w:rPr>
              <w:t>5.06 %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8"/>
              <w:spacing w:after="0"/>
              <w:rPr>
                <w:sz w:val="20"/>
                <w:szCs w:val="20"/>
                <w:color w:val="auto"/>
              </w:rPr>
            </w:pPr>
            <w:r>
              <w:rPr>
                <w:rFonts w:ascii="Arial" w:cs="Arial" w:eastAsia="Arial" w:hAnsi="Arial"/>
                <w:sz w:val="15"/>
                <w:szCs w:val="15"/>
                <w:color w:val="auto"/>
                <w:w w:val="97"/>
              </w:rPr>
              <w:t>2026 - 2030</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26,649</w:t>
            </w:r>
          </w:p>
        </w:tc>
        <w:tc>
          <w:tcPr>
            <w:tcW w:w="1220" w:type="dxa"/>
            <w:vAlign w:val="bottom"/>
          </w:tcPr>
          <w:p>
            <w:pPr>
              <w:jc w:val="right"/>
              <w:spacing w:after="0"/>
              <w:rPr>
                <w:sz w:val="20"/>
                <w:szCs w:val="20"/>
                <w:color w:val="auto"/>
              </w:rPr>
            </w:pPr>
            <w:r>
              <w:rPr>
                <w:rFonts w:ascii="Arial" w:cs="Arial" w:eastAsia="Arial" w:hAnsi="Arial"/>
                <w:sz w:val="15"/>
                <w:szCs w:val="15"/>
                <w:color w:val="auto"/>
              </w:rPr>
              <w:t>4.16 %</w:t>
            </w:r>
          </w:p>
        </w:tc>
      </w:tr>
      <w:tr>
        <w:trPr>
          <w:trHeight w:val="212"/>
        </w:trPr>
        <w:tc>
          <w:tcPr>
            <w:tcW w:w="3500" w:type="dxa"/>
            <w:vAlign w:val="bottom"/>
          </w:tcPr>
          <w:p>
            <w:pPr>
              <w:ind w:left="220"/>
              <w:spacing w:after="0"/>
              <w:rPr>
                <w:sz w:val="20"/>
                <w:szCs w:val="20"/>
                <w:color w:val="auto"/>
              </w:rPr>
            </w:pPr>
            <w:r>
              <w:rPr>
                <w:rFonts w:ascii="Arial" w:cs="Arial" w:eastAsia="Arial" w:hAnsi="Arial"/>
                <w:sz w:val="15"/>
                <w:szCs w:val="15"/>
                <w:color w:val="auto"/>
              </w:rPr>
              <w:t>Medium-term notes</w:t>
            </w:r>
            <w:r>
              <w:rPr>
                <w:rFonts w:ascii="Arial" w:cs="Arial" w:eastAsia="Arial" w:hAnsi="Arial"/>
                <w:sz w:val="18"/>
                <w:szCs w:val="18"/>
                <w:color w:val="auto"/>
                <w:vertAlign w:val="superscript"/>
              </w:rPr>
              <w:t>(3)</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7"/>
              </w:rPr>
              <w:t>2026 - 2036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b w:val="1"/>
                <w:bCs w:val="1"/>
                <w:color w:val="auto"/>
              </w:rPr>
              <w:t>59,506</w:t>
            </w:r>
          </w:p>
        </w:tc>
        <w:tc>
          <w:tcPr>
            <w:tcW w:w="1220" w:type="dxa"/>
            <w:vAlign w:val="bottom"/>
          </w:tcPr>
          <w:p>
            <w:pPr>
              <w:ind w:left="740"/>
              <w:spacing w:after="0"/>
              <w:rPr>
                <w:sz w:val="20"/>
                <w:szCs w:val="20"/>
                <w:color w:val="auto"/>
              </w:rPr>
            </w:pPr>
            <w:r>
              <w:rPr>
                <w:rFonts w:ascii="Arial" w:cs="Arial" w:eastAsia="Arial" w:hAnsi="Arial"/>
                <w:sz w:val="15"/>
                <w:szCs w:val="15"/>
                <w:b w:val="1"/>
                <w:bCs w:val="1"/>
                <w:color w:val="auto"/>
              </w:rPr>
              <w:t>3.80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8"/>
              <w:spacing w:after="0"/>
              <w:rPr>
                <w:sz w:val="20"/>
                <w:szCs w:val="20"/>
                <w:color w:val="auto"/>
              </w:rPr>
            </w:pPr>
            <w:r>
              <w:rPr>
                <w:rFonts w:ascii="Arial" w:cs="Arial" w:eastAsia="Arial" w:hAnsi="Arial"/>
                <w:sz w:val="15"/>
                <w:szCs w:val="15"/>
                <w:color w:val="auto"/>
                <w:w w:val="97"/>
              </w:rPr>
              <w:t>2026 - 2035</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31,430</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3.25</w:t>
            </w:r>
          </w:p>
        </w:tc>
      </w:tr>
      <w:tr>
        <w:trPr>
          <w:trHeight w:val="198"/>
        </w:trPr>
        <w:tc>
          <w:tcPr>
            <w:tcW w:w="3500" w:type="dxa"/>
            <w:vAlign w:val="bottom"/>
            <w:tcBorders>
              <w:bottom w:val="single" w:sz="8" w:color="2C6937"/>
            </w:tcBorders>
          </w:tcPr>
          <w:p>
            <w:pPr>
              <w:ind w:left="220"/>
              <w:spacing w:after="0" w:line="198" w:lineRule="exact"/>
              <w:rPr>
                <w:sz w:val="20"/>
                <w:szCs w:val="20"/>
                <w:color w:val="auto"/>
              </w:rPr>
            </w:pPr>
            <w:r>
              <w:rPr>
                <w:rFonts w:ascii="Arial" w:cs="Arial" w:eastAsia="Arial" w:hAnsi="Arial"/>
                <w:sz w:val="15"/>
                <w:szCs w:val="15"/>
                <w:color w:val="auto"/>
              </w:rPr>
              <w:t>Other</w:t>
            </w:r>
            <w:r>
              <w:rPr>
                <w:rFonts w:ascii="Arial" w:cs="Arial" w:eastAsia="Arial" w:hAnsi="Arial"/>
                <w:sz w:val="18"/>
                <w:szCs w:val="18"/>
                <w:color w:val="auto"/>
                <w:vertAlign w:val="superscript"/>
              </w:rPr>
              <w:t>(4)</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7"/>
              </w:rPr>
              <w:t>2027 - 2038</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6,381</w:t>
            </w:r>
          </w:p>
        </w:tc>
        <w:tc>
          <w:tcPr>
            <w:tcW w:w="1220" w:type="dxa"/>
            <w:vAlign w:val="bottom"/>
          </w:tcPr>
          <w:p>
            <w:pPr>
              <w:ind w:left="740"/>
              <w:spacing w:after="0"/>
              <w:rPr>
                <w:sz w:val="20"/>
                <w:szCs w:val="20"/>
                <w:color w:val="auto"/>
              </w:rPr>
            </w:pPr>
            <w:r>
              <w:rPr>
                <w:rFonts w:ascii="Arial" w:cs="Arial" w:eastAsia="Arial" w:hAnsi="Arial"/>
                <w:sz w:val="15"/>
                <w:szCs w:val="15"/>
                <w:b w:val="1"/>
                <w:bCs w:val="1"/>
                <w:color w:val="auto"/>
              </w:rPr>
              <w:t>3.95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8"/>
              <w:spacing w:after="0"/>
              <w:rPr>
                <w:sz w:val="20"/>
                <w:szCs w:val="20"/>
                <w:color w:val="auto"/>
              </w:rPr>
            </w:pPr>
            <w:r>
              <w:rPr>
                <w:rFonts w:ascii="Arial" w:cs="Arial" w:eastAsia="Arial" w:hAnsi="Arial"/>
                <w:sz w:val="15"/>
                <w:szCs w:val="15"/>
                <w:color w:val="auto"/>
                <w:w w:val="97"/>
              </w:rPr>
              <w:t>2026 - 2038</w:t>
            </w: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6,609</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3.87</w:t>
            </w:r>
          </w:p>
        </w:tc>
      </w:tr>
      <w:tr>
        <w:trPr>
          <w:trHeight w:val="202"/>
        </w:trPr>
        <w:tc>
          <w:tcPr>
            <w:tcW w:w="3500" w:type="dxa"/>
            <w:vAlign w:val="bottom"/>
          </w:tcPr>
          <w:p>
            <w:pPr>
              <w:ind w:left="400"/>
              <w:spacing w:after="0"/>
              <w:rPr>
                <w:sz w:val="20"/>
                <w:szCs w:val="20"/>
                <w:color w:val="auto"/>
              </w:rPr>
            </w:pPr>
            <w:r>
              <w:rPr>
                <w:rFonts w:ascii="Arial" w:cs="Arial" w:eastAsia="Arial" w:hAnsi="Arial"/>
                <w:sz w:val="15"/>
                <w:szCs w:val="15"/>
                <w:color w:val="auto"/>
              </w:rPr>
              <w:t>Total senior fixed</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b w:val="1"/>
                <w:bCs w:val="1"/>
                <w:color w:val="auto"/>
              </w:rPr>
              <w:t>85,357</w:t>
            </w:r>
          </w:p>
        </w:tc>
        <w:tc>
          <w:tcPr>
            <w:tcW w:w="1220" w:type="dxa"/>
            <w:vAlign w:val="bottom"/>
          </w:tcPr>
          <w:p>
            <w:pPr>
              <w:ind w:left="740"/>
              <w:spacing w:after="0"/>
              <w:rPr>
                <w:sz w:val="20"/>
                <w:szCs w:val="20"/>
                <w:color w:val="auto"/>
              </w:rPr>
            </w:pPr>
            <w:r>
              <w:rPr>
                <w:rFonts w:ascii="Arial" w:cs="Arial" w:eastAsia="Arial" w:hAnsi="Arial"/>
                <w:sz w:val="15"/>
                <w:szCs w:val="15"/>
                <w:b w:val="1"/>
                <w:bCs w:val="1"/>
                <w:color w:val="auto"/>
              </w:rPr>
              <w:t>4.12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64,688</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3.70</w:t>
            </w:r>
          </w:p>
        </w:tc>
      </w:tr>
      <w:tr>
        <w:trPr>
          <w:trHeight w:val="198"/>
        </w:trPr>
        <w:tc>
          <w:tcPr>
            <w:tcW w:w="3500" w:type="dxa"/>
            <w:vAlign w:val="bottom"/>
          </w:tcPr>
          <w:p>
            <w:pPr>
              <w:ind w:left="20"/>
              <w:spacing w:after="0"/>
              <w:rPr>
                <w:sz w:val="20"/>
                <w:szCs w:val="20"/>
                <w:color w:val="auto"/>
              </w:rPr>
            </w:pPr>
            <w:r>
              <w:rPr>
                <w:rFonts w:ascii="Arial" w:cs="Arial" w:eastAsia="Arial" w:hAnsi="Arial"/>
                <w:sz w:val="15"/>
                <w:szCs w:val="15"/>
                <w:color w:val="auto"/>
              </w:rPr>
              <w:t>Senior floating:</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3500" w:type="dxa"/>
            <w:vAlign w:val="bottom"/>
          </w:tcPr>
          <w:p>
            <w:pPr>
              <w:ind w:left="220"/>
              <w:spacing w:after="0"/>
              <w:rPr>
                <w:sz w:val="20"/>
                <w:szCs w:val="20"/>
                <w:color w:val="auto"/>
              </w:rPr>
            </w:pPr>
            <w:r>
              <w:rPr>
                <w:rFonts w:ascii="Arial" w:cs="Arial" w:eastAsia="Arial" w:hAnsi="Arial"/>
                <w:sz w:val="15"/>
                <w:szCs w:val="15"/>
                <w:color w:val="auto"/>
              </w:rPr>
              <w:t>Medium-term notes</w:t>
            </w:r>
            <w:r>
              <w:rPr>
                <w:rFonts w:ascii="Arial" w:cs="Arial" w:eastAsia="Arial" w:hAnsi="Arial"/>
                <w:sz w:val="18"/>
                <w:szCs w:val="18"/>
                <w:color w:val="auto"/>
                <w:vertAlign w:val="superscript"/>
              </w:rPr>
              <w:t>(3)</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7"/>
              </w:rPr>
              <w:t>2026 - 2028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b w:val="1"/>
                <w:bCs w:val="1"/>
                <w:color w:val="auto"/>
              </w:rPr>
              <w:t>51,435</w:t>
            </w:r>
          </w:p>
        </w:tc>
        <w:tc>
          <w:tcPr>
            <w:tcW w:w="1220" w:type="dxa"/>
            <w:vAlign w:val="bottom"/>
          </w:tcPr>
          <w:p>
            <w:pPr>
              <w:ind w:left="740"/>
              <w:spacing w:after="0"/>
              <w:rPr>
                <w:sz w:val="20"/>
                <w:szCs w:val="20"/>
                <w:color w:val="auto"/>
              </w:rPr>
            </w:pPr>
            <w:r>
              <w:rPr>
                <w:rFonts w:ascii="Arial" w:cs="Arial" w:eastAsia="Arial" w:hAnsi="Arial"/>
                <w:sz w:val="15"/>
                <w:szCs w:val="15"/>
                <w:b w:val="1"/>
                <w:bCs w:val="1"/>
                <w:color w:val="auto"/>
              </w:rPr>
              <w:t>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188"/>
              <w:spacing w:after="0"/>
              <w:rPr>
                <w:sz w:val="20"/>
                <w:szCs w:val="20"/>
                <w:color w:val="auto"/>
              </w:rPr>
            </w:pPr>
            <w:r>
              <w:rPr>
                <w:rFonts w:ascii="Arial" w:cs="Arial" w:eastAsia="Arial" w:hAnsi="Arial"/>
                <w:sz w:val="15"/>
                <w:szCs w:val="15"/>
                <w:color w:val="auto"/>
                <w:w w:val="97"/>
              </w:rPr>
              <w:t>2026 - 2027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36,437</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3.93</w:t>
            </w:r>
          </w:p>
        </w:tc>
      </w:tr>
      <w:tr>
        <w:trPr>
          <w:trHeight w:val="198"/>
        </w:trPr>
        <w:tc>
          <w:tcPr>
            <w:tcW w:w="3500" w:type="dxa"/>
            <w:vAlign w:val="bottom"/>
            <w:tcBorders>
              <w:bottom w:val="single" w:sz="8" w:color="2C6937"/>
            </w:tcBorders>
          </w:tcPr>
          <w:p>
            <w:pPr>
              <w:ind w:left="220"/>
              <w:spacing w:after="0" w:line="198" w:lineRule="exact"/>
              <w:rPr>
                <w:sz w:val="20"/>
                <w:szCs w:val="20"/>
                <w:color w:val="auto"/>
              </w:rPr>
            </w:pPr>
            <w:r>
              <w:rPr>
                <w:rFonts w:ascii="Arial" w:cs="Arial" w:eastAsia="Arial" w:hAnsi="Arial"/>
                <w:sz w:val="15"/>
                <w:szCs w:val="15"/>
                <w:color w:val="auto"/>
              </w:rPr>
              <w:t>Other</w:t>
            </w:r>
            <w:r>
              <w:rPr>
                <w:rFonts w:ascii="Arial" w:cs="Arial" w:eastAsia="Arial" w:hAnsi="Arial"/>
                <w:sz w:val="18"/>
                <w:szCs w:val="18"/>
                <w:color w:val="auto"/>
                <w:vertAlign w:val="superscript"/>
              </w:rPr>
              <w:t>(5)</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7"/>
              </w:rPr>
              <w:t>2029 - 2037</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819</w:t>
            </w:r>
          </w:p>
        </w:tc>
        <w:tc>
          <w:tcPr>
            <w:tcW w:w="1220" w:type="dxa"/>
            <w:vAlign w:val="bottom"/>
          </w:tcPr>
          <w:p>
            <w:pPr>
              <w:ind w:left="740"/>
              <w:spacing w:after="0"/>
              <w:rPr>
                <w:sz w:val="20"/>
                <w:szCs w:val="20"/>
                <w:color w:val="auto"/>
              </w:rPr>
            </w:pPr>
            <w:r>
              <w:rPr>
                <w:rFonts w:ascii="Arial" w:cs="Arial" w:eastAsia="Arial" w:hAnsi="Arial"/>
                <w:sz w:val="15"/>
                <w:szCs w:val="15"/>
                <w:b w:val="1"/>
                <w:bCs w:val="1"/>
                <w:color w:val="auto"/>
              </w:rPr>
              <w:t>9.23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8"/>
              <w:spacing w:after="0"/>
              <w:rPr>
                <w:sz w:val="20"/>
                <w:szCs w:val="20"/>
                <w:color w:val="auto"/>
              </w:rPr>
            </w:pPr>
            <w:r>
              <w:rPr>
                <w:rFonts w:ascii="Arial" w:cs="Arial" w:eastAsia="Arial" w:hAnsi="Arial"/>
                <w:sz w:val="15"/>
                <w:szCs w:val="15"/>
                <w:color w:val="auto"/>
                <w:w w:val="97"/>
              </w:rPr>
              <w:t>2028 - 2037</w:t>
            </w: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1,626</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10.99</w:t>
            </w:r>
          </w:p>
        </w:tc>
      </w:tr>
      <w:tr>
        <w:trPr>
          <w:trHeight w:val="199"/>
        </w:trPr>
        <w:tc>
          <w:tcPr>
            <w:tcW w:w="3500" w:type="dxa"/>
            <w:vAlign w:val="bottom"/>
            <w:tcBorders>
              <w:bottom w:val="single" w:sz="8" w:color="2C6937"/>
            </w:tcBorders>
          </w:tcPr>
          <w:p>
            <w:pPr>
              <w:ind w:left="400"/>
              <w:spacing w:after="0"/>
              <w:rPr>
                <w:sz w:val="20"/>
                <w:szCs w:val="20"/>
                <w:color w:val="auto"/>
              </w:rPr>
            </w:pPr>
            <w:r>
              <w:rPr>
                <w:rFonts w:ascii="Arial" w:cs="Arial" w:eastAsia="Arial" w:hAnsi="Arial"/>
                <w:sz w:val="15"/>
                <w:szCs w:val="15"/>
                <w:color w:val="auto"/>
              </w:rPr>
              <w:t>Total senior floating</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52,254</w:t>
            </w:r>
          </w:p>
        </w:tc>
        <w:tc>
          <w:tcPr>
            <w:tcW w:w="1220" w:type="dxa"/>
            <w:vAlign w:val="bottom"/>
          </w:tcPr>
          <w:p>
            <w:pPr>
              <w:ind w:left="740"/>
              <w:spacing w:after="0"/>
              <w:rPr>
                <w:sz w:val="20"/>
                <w:szCs w:val="20"/>
                <w:color w:val="auto"/>
              </w:rPr>
            </w:pPr>
            <w:r>
              <w:rPr>
                <w:rFonts w:ascii="Arial" w:cs="Arial" w:eastAsia="Arial" w:hAnsi="Arial"/>
                <w:sz w:val="15"/>
                <w:szCs w:val="15"/>
                <w:b w:val="1"/>
                <w:bCs w:val="1"/>
                <w:color w:val="auto"/>
              </w:rPr>
              <w:t>3.95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38,063</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4.23</w:t>
            </w:r>
          </w:p>
        </w:tc>
      </w:tr>
      <w:tr>
        <w:trPr>
          <w:trHeight w:val="208"/>
        </w:trPr>
        <w:tc>
          <w:tcPr>
            <w:tcW w:w="3500" w:type="dxa"/>
            <w:vAlign w:val="bottom"/>
          </w:tcPr>
          <w:p>
            <w:pPr>
              <w:ind w:left="20"/>
              <w:spacing w:after="0"/>
              <w:rPr>
                <w:sz w:val="20"/>
                <w:szCs w:val="20"/>
                <w:color w:val="auto"/>
              </w:rPr>
            </w:pPr>
            <w:r>
              <w:rPr>
                <w:rFonts w:ascii="Arial" w:cs="Arial" w:eastAsia="Arial" w:hAnsi="Arial"/>
                <w:sz w:val="15"/>
                <w:szCs w:val="15"/>
                <w:color w:val="auto"/>
              </w:rPr>
              <w:t>Total long-term debt of Fannie Mae</w:t>
            </w:r>
            <w:r>
              <w:rPr>
                <w:rFonts w:ascii="Arial" w:cs="Arial" w:eastAsia="Arial" w:hAnsi="Arial"/>
                <w:sz w:val="18"/>
                <w:szCs w:val="18"/>
                <w:color w:val="auto"/>
                <w:vertAlign w:val="superscript"/>
              </w:rPr>
              <w:t>(6)</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b w:val="1"/>
                <w:bCs w:val="1"/>
                <w:color w:val="auto"/>
              </w:rPr>
              <w:t>137,611</w:t>
            </w:r>
          </w:p>
        </w:tc>
        <w:tc>
          <w:tcPr>
            <w:tcW w:w="1220" w:type="dxa"/>
            <w:vAlign w:val="bottom"/>
          </w:tcPr>
          <w:p>
            <w:pPr>
              <w:ind w:left="740"/>
              <w:spacing w:after="0"/>
              <w:rPr>
                <w:sz w:val="20"/>
                <w:szCs w:val="20"/>
                <w:color w:val="auto"/>
              </w:rPr>
            </w:pPr>
            <w:r>
              <w:rPr>
                <w:rFonts w:ascii="Arial" w:cs="Arial" w:eastAsia="Arial" w:hAnsi="Arial"/>
                <w:sz w:val="15"/>
                <w:szCs w:val="15"/>
                <w:b w:val="1"/>
                <w:bCs w:val="1"/>
                <w:color w:val="auto"/>
              </w:rPr>
              <w:t>4.06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102,751</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3.89</w:t>
            </w:r>
          </w:p>
        </w:tc>
      </w:tr>
      <w:tr>
        <w:trPr>
          <w:trHeight w:val="198"/>
        </w:trPr>
        <w:tc>
          <w:tcPr>
            <w:tcW w:w="3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Debt of consolidated trusts</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7"/>
              </w:rPr>
              <w:t>2026 - 2064</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4,000,518</w:t>
            </w:r>
          </w:p>
        </w:tc>
        <w:tc>
          <w:tcPr>
            <w:tcW w:w="1220" w:type="dxa"/>
            <w:vAlign w:val="bottom"/>
          </w:tcPr>
          <w:p>
            <w:pPr>
              <w:ind w:left="740"/>
              <w:spacing w:after="0"/>
              <w:rPr>
                <w:sz w:val="20"/>
                <w:szCs w:val="20"/>
                <w:color w:val="auto"/>
              </w:rPr>
            </w:pPr>
            <w:r>
              <w:rPr>
                <w:rFonts w:ascii="Arial" w:cs="Arial" w:eastAsia="Arial" w:hAnsi="Arial"/>
                <w:sz w:val="15"/>
                <w:szCs w:val="15"/>
                <w:b w:val="1"/>
                <w:bCs w:val="1"/>
                <w:color w:val="auto"/>
              </w:rPr>
              <w:t>3.24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8"/>
              <w:spacing w:after="0"/>
              <w:rPr>
                <w:sz w:val="20"/>
                <w:szCs w:val="20"/>
                <w:color w:val="auto"/>
              </w:rPr>
            </w:pPr>
            <w:r>
              <w:rPr>
                <w:rFonts w:ascii="Arial" w:cs="Arial" w:eastAsia="Arial" w:hAnsi="Arial"/>
                <w:sz w:val="15"/>
                <w:szCs w:val="15"/>
                <w:color w:val="auto"/>
                <w:w w:val="97"/>
              </w:rPr>
              <w:t>2026 - 2064</w:t>
            </w: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4,053,140</w:t>
            </w:r>
          </w:p>
        </w:tc>
        <w:tc>
          <w:tcPr>
            <w:tcW w:w="1220" w:type="dxa"/>
            <w:vAlign w:val="bottom"/>
          </w:tcPr>
          <w:p>
            <w:pPr>
              <w:jc w:val="right"/>
              <w:ind w:right="128"/>
              <w:spacing w:after="0"/>
              <w:rPr>
                <w:sz w:val="20"/>
                <w:szCs w:val="20"/>
                <w:color w:val="auto"/>
              </w:rPr>
            </w:pPr>
            <w:r>
              <w:rPr>
                <w:rFonts w:ascii="Arial" w:cs="Arial" w:eastAsia="Arial" w:hAnsi="Arial"/>
                <w:sz w:val="15"/>
                <w:szCs w:val="15"/>
                <w:color w:val="auto"/>
              </w:rPr>
              <w:t>3.14</w:t>
            </w:r>
          </w:p>
        </w:tc>
      </w:tr>
      <w:tr>
        <w:trPr>
          <w:trHeight w:val="199"/>
        </w:trPr>
        <w:tc>
          <w:tcPr>
            <w:tcW w:w="3500" w:type="dxa"/>
            <w:vAlign w:val="bottom"/>
          </w:tcPr>
          <w:p>
            <w:pPr>
              <w:ind w:left="220"/>
              <w:spacing w:after="0"/>
              <w:rPr>
                <w:sz w:val="20"/>
                <w:szCs w:val="20"/>
                <w:color w:val="auto"/>
              </w:rPr>
            </w:pPr>
            <w:r>
              <w:rPr>
                <w:rFonts w:ascii="Arial" w:cs="Arial" w:eastAsia="Arial" w:hAnsi="Arial"/>
                <w:sz w:val="15"/>
                <w:szCs w:val="15"/>
                <w:color w:val="auto"/>
              </w:rPr>
              <w:t>Total long-term debt</w:t>
            </w:r>
          </w:p>
        </w:tc>
        <w:tc>
          <w:tcPr>
            <w:tcW w:w="114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ind w:right="7"/>
              <w:spacing w:after="0"/>
              <w:rPr>
                <w:sz w:val="20"/>
                <w:szCs w:val="20"/>
                <w:color w:val="auto"/>
              </w:rPr>
            </w:pPr>
            <w:r>
              <w:rPr>
                <w:rFonts w:ascii="Arial" w:cs="Arial" w:eastAsia="Arial" w:hAnsi="Arial"/>
                <w:sz w:val="15"/>
                <w:szCs w:val="15"/>
                <w:b w:val="1"/>
                <w:bCs w:val="1"/>
                <w:color w:val="auto"/>
              </w:rPr>
              <w:t>4,138,129</w:t>
            </w:r>
          </w:p>
        </w:tc>
        <w:tc>
          <w:tcPr>
            <w:tcW w:w="1220" w:type="dxa"/>
            <w:vAlign w:val="bottom"/>
          </w:tcPr>
          <w:p>
            <w:pPr>
              <w:ind w:left="740"/>
              <w:spacing w:after="0"/>
              <w:rPr>
                <w:sz w:val="20"/>
                <w:szCs w:val="20"/>
                <w:color w:val="auto"/>
              </w:rPr>
            </w:pPr>
            <w:r>
              <w:rPr>
                <w:rFonts w:ascii="Arial" w:cs="Arial" w:eastAsia="Arial" w:hAnsi="Arial"/>
                <w:sz w:val="15"/>
                <w:szCs w:val="15"/>
                <w:b w:val="1"/>
                <w:bCs w:val="1"/>
                <w:color w:val="auto"/>
                <w:w w:val="98"/>
              </w:rPr>
              <w:t>3.27 %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4,155,891</w:t>
            </w:r>
          </w:p>
        </w:tc>
        <w:tc>
          <w:tcPr>
            <w:tcW w:w="1220" w:type="dxa"/>
            <w:vAlign w:val="bottom"/>
          </w:tcPr>
          <w:p>
            <w:pPr>
              <w:jc w:val="right"/>
              <w:spacing w:after="0"/>
              <w:rPr>
                <w:sz w:val="20"/>
                <w:szCs w:val="20"/>
                <w:color w:val="auto"/>
              </w:rPr>
            </w:pPr>
            <w:r>
              <w:rPr>
                <w:rFonts w:ascii="Arial" w:cs="Arial" w:eastAsia="Arial" w:hAnsi="Arial"/>
                <w:sz w:val="15"/>
                <w:szCs w:val="15"/>
                <w:color w:val="auto"/>
              </w:rPr>
              <w:t>3.16 %</w:t>
            </w:r>
          </w:p>
        </w:tc>
      </w:tr>
      <w:tr>
        <w:trPr>
          <w:trHeight w:val="20"/>
        </w:trPr>
        <w:tc>
          <w:tcPr>
            <w:tcW w:w="35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74"/>
        </w:numPr>
        <w:rPr>
          <w:rFonts w:ascii="Arial" w:cs="Arial" w:eastAsia="Arial" w:hAnsi="Arial"/>
          <w:sz w:val="9"/>
          <w:szCs w:val="9"/>
          <w:color w:val="auto"/>
        </w:rPr>
      </w:pPr>
      <w:r>
        <w:rPr>
          <w:rFonts w:ascii="Arial" w:cs="Arial" w:eastAsia="Arial" w:hAnsi="Arial"/>
          <w:sz w:val="14"/>
          <w:szCs w:val="14"/>
          <w:color w:val="auto"/>
        </w:rPr>
        <w:t>Outstanding debt balance consists of the UPB, premiums and discounts, fair value adjustments, hedge-related basis adjustments, and other cost basis adjustments.</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Includes long-term debt with an original contractual maturity of greater than 1 year and up to 10 years, excluding zero-coupon debt.</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Includes other long-term debt with an original contractual maturity of greater than 10 years and foreign exchange bonds.</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Consists of structured debt instruments that are reported at fair value and CAS securities issued prior to November 2018.</w:t>
      </w:r>
    </w:p>
    <w:p>
      <w:pPr>
        <w:spacing w:after="0" w:line="38" w:lineRule="exact"/>
        <w:rPr>
          <w:rFonts w:ascii="Arial" w:cs="Arial" w:eastAsia="Arial" w:hAnsi="Arial"/>
          <w:sz w:val="18"/>
          <w:szCs w:val="18"/>
          <w:color w:val="auto"/>
          <w:vertAlign w:val="superscript"/>
        </w:rPr>
      </w:pPr>
    </w:p>
    <w:p>
      <w:pPr>
        <w:ind w:left="240" w:right="320" w:hanging="237"/>
        <w:spacing w:after="0" w:line="210" w:lineRule="auto"/>
        <w:tabs>
          <w:tab w:leader="none" w:pos="233"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discounts and premiums, fair value adjustments, hedge-related cost basis adjustments, and other cost basis adjustments in a net discount position of $2.8 billion and $2.6 billion as of September 30, 2026 and December 31, 2025, respectively.</w:t>
      </w:r>
    </w:p>
    <w:p>
      <w:pPr>
        <w:spacing w:after="0" w:line="148"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9. Derivative Instruments</w:t>
      </w:r>
    </w:p>
    <w:p>
      <w:pPr>
        <w:spacing w:after="0" w:line="80"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We use derivatives as part of our interest-rate risk management strategy. Our derivatives consist primarily of interest-rate swaps, interest-rate options, and forward commitments. We enter into forward purchase and sale commitments that lock in the future delivery of mortgage loans and mortgage-related securities, certain of which are accounted for as derivatives. We also account for certain credit risk transfer transactions as derivatives. See “Note 9, Derivative Instruments” in our 2025 Form 10-K for additional information on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346075</wp:posOffset>
            </wp:positionV>
            <wp:extent cx="680593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86" w:name="page87"/>
    <w:bookmarkEnd w:id="86"/>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Pursuant to our fair value hedge accounting program, we may designate certain interest-rate swaps as fair value hedges of mortgage loans and funding debt. See “Note 1, Summary of Significant Accounting Policies–Fair Value Hedge Accounting” in our 2025 Form 10-K for additional information on our use of hedge accounting.</w:t>
      </w:r>
    </w:p>
    <w:p>
      <w:pPr>
        <w:spacing w:after="0" w:line="9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Notional and Fair Value Position of our Derivatives</w:t>
      </w:r>
    </w:p>
    <w:p>
      <w:pPr>
        <w:spacing w:after="0" w:line="94"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following table displays the notional amount and estimated fair value of our asset and liability derivative instruments, including derivative instruments designated as hedges.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460" w:type="dxa"/>
            <w:vAlign w:val="bottom"/>
            <w:tcBorders>
              <w:bottom w:val="single" w:sz="8" w:color="2C6937"/>
            </w:tcBorders>
            <w:gridSpan w:val="6"/>
          </w:tcPr>
          <w:p>
            <w:pPr>
              <w:jc w:val="center"/>
              <w:ind w:left="691"/>
              <w:spacing w:after="0"/>
              <w:rPr>
                <w:sz w:val="20"/>
                <w:szCs w:val="20"/>
                <w:color w:val="auto"/>
              </w:rPr>
            </w:pPr>
            <w:r>
              <w:rPr>
                <w:rFonts w:ascii="Arial" w:cs="Arial" w:eastAsia="Arial" w:hAnsi="Arial"/>
                <w:sz w:val="14"/>
                <w:szCs w:val="14"/>
                <w:b w:val="1"/>
                <w:bCs w:val="1"/>
                <w:color w:val="auto"/>
                <w:w w:val="97"/>
              </w:rPr>
              <w:t>As of September 30, 2026</w:t>
            </w:r>
          </w:p>
        </w:tc>
        <w:tc>
          <w:tcPr>
            <w:tcW w:w="9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460" w:type="dxa"/>
            <w:vAlign w:val="bottom"/>
            <w:tcBorders>
              <w:bottom w:val="single" w:sz="8" w:color="2C6937"/>
            </w:tcBorders>
            <w:gridSpan w:val="6"/>
          </w:tcPr>
          <w:p>
            <w:pPr>
              <w:jc w:val="center"/>
              <w:ind w:left="711"/>
              <w:spacing w:after="0"/>
              <w:rPr>
                <w:sz w:val="20"/>
                <w:szCs w:val="20"/>
                <w:color w:val="auto"/>
              </w:rPr>
            </w:pPr>
            <w:r>
              <w:rPr>
                <w:rFonts w:ascii="Arial" w:cs="Arial" w:eastAsia="Arial" w:hAnsi="Arial"/>
                <w:sz w:val="14"/>
                <w:szCs w:val="14"/>
                <w:b w:val="1"/>
                <w:bCs w:val="1"/>
                <w:color w:val="auto"/>
                <w:w w:val="96"/>
              </w:rPr>
              <w:t>As of December 31, 2025</w:t>
            </w: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40" w:type="dxa"/>
            <w:vAlign w:val="bottom"/>
            <w:tcBorders>
              <w:bottom w:val="single" w:sz="8" w:color="2C6937"/>
            </w:tcBorders>
            <w:gridSpan w:val="4"/>
          </w:tcPr>
          <w:p>
            <w:pPr>
              <w:jc w:val="right"/>
              <w:ind w:right="45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20" w:type="dxa"/>
            <w:vAlign w:val="bottom"/>
            <w:tcBorders>
              <w:bottom w:val="single" w:sz="8" w:color="2C6937"/>
            </w:tcBorders>
            <w:gridSpan w:val="4"/>
          </w:tcPr>
          <w:p>
            <w:pPr>
              <w:jc w:val="right"/>
              <w:ind w:right="43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Asset</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6"/>
                <w:szCs w:val="16"/>
                <w:color w:val="auto"/>
              </w:rPr>
            </w:pPr>
          </w:p>
        </w:tc>
        <w:tc>
          <w:tcPr>
            <w:tcW w:w="960" w:type="dxa"/>
            <w:vAlign w:val="bottom"/>
          </w:tcPr>
          <w:p>
            <w:pPr>
              <w:jc w:val="right"/>
              <w:ind w:right="231"/>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Derivatives</w:t>
            </w: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Derivatives</w:t>
            </w: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Derivatives</w:t>
            </w: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205"/>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designated as hedging</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8"/>
                <w:szCs w:val="8"/>
                <w:color w:val="auto"/>
              </w:rPr>
              <w:t>(1)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50,365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38,759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Receive-fixed</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7,186</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8,439</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394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Total risk management derivatives designated as hedging</w:t>
            </w: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57,551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47,198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not designated as hedging</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8"/>
                <w:szCs w:val="8"/>
                <w:color w:val="auto"/>
              </w:rPr>
              <w:t>(1)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167,634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199,744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220,497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194,394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206"/>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Basis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Foreign currency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Swaptions:</w:t>
            </w:r>
            <w:r>
              <w:rPr>
                <w:rFonts w:ascii="Arial" w:cs="Arial" w:eastAsia="Arial" w:hAnsi="Arial"/>
                <w:sz w:val="8"/>
                <w:szCs w:val="8"/>
                <w:color w:val="auto"/>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33,209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6"/>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17,821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6"/>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Futures</w:t>
            </w:r>
            <w:r>
              <w:rPr>
                <w:rFonts w:ascii="Arial" w:cs="Arial" w:eastAsia="Arial" w:hAnsi="Arial"/>
                <w:sz w:val="8"/>
                <w:szCs w:val="8"/>
                <w:color w:val="auto"/>
              </w:rPr>
              <w:t>(1)</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18,984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Interest rate caps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Total risk management derivatives not designated as hedging</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462,724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429,885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175"/>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Netting adjustment</w:t>
            </w:r>
            <w:r>
              <w:rPr>
                <w:rFonts w:ascii="Arial" w:cs="Arial" w:eastAsia="Arial" w:hAnsi="Arial"/>
                <w:sz w:val="8"/>
                <w:szCs w:val="8"/>
                <w:color w:val="auto"/>
              </w:rPr>
              <w:t>(2)</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2,641</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199"/>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risk management derivatives portfolio</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520,275</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477,083</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2"/>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Mortgage commitment derivatives: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Mortgage commitments to purchase whole loans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4,260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2"/>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Forward contracts to purchase mortgage-related securities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92,692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33"/>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Forward contracts to sell mortgage-related securities</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142,808</w:t>
            </w: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239</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111,868</w:t>
            </w:r>
          </w:p>
        </w:tc>
        <w:tc>
          <w:tcPr>
            <w:tcW w:w="12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mortgage commitment derivatives</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239,760</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241</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(529)</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162,995</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8"/>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Credit enhancement derivatives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25,572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27,269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7"/>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derivatives</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3,891</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Derivatives at fair value</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789,498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499</w:t>
            </w:r>
          </w:p>
        </w:tc>
        <w:tc>
          <w:tcPr>
            <w:tcW w:w="100" w:type="dxa"/>
            <w:vAlign w:val="bottom"/>
          </w:tcPr>
          <w:p>
            <w:pPr>
              <w:spacing w:after="0"/>
              <w:rPr>
                <w:sz w:val="17"/>
                <w:szCs w:val="17"/>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(640)</w:t>
            </w:r>
          </w:p>
        </w:tc>
        <w:tc>
          <w:tcPr>
            <w:tcW w:w="100" w:type="dxa"/>
            <w:vAlign w:val="bottom"/>
          </w:tcPr>
          <w:p>
            <w:pPr>
              <w:spacing w:after="0"/>
              <w:rPr>
                <w:sz w:val="17"/>
                <w:szCs w:val="17"/>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668,079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3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Centrally cleared derivatives have no ascribable fair value because the positions are settled daily.</w:t>
      </w:r>
    </w:p>
    <w:p>
      <w:pPr>
        <w:spacing w:after="0" w:line="37" w:lineRule="exact"/>
        <w:rPr>
          <w:rFonts w:ascii="Arial" w:cs="Arial" w:eastAsia="Arial" w:hAnsi="Arial"/>
          <w:sz w:val="18"/>
          <w:szCs w:val="18"/>
          <w:color w:val="auto"/>
          <w:vertAlign w:val="superscript"/>
        </w:rPr>
      </w:pPr>
    </w:p>
    <w:p>
      <w:pPr>
        <w:ind w:left="240" w:right="280" w:hanging="237"/>
        <w:spacing w:after="0" w:line="222" w:lineRule="auto"/>
        <w:tabs>
          <w:tab w:leader="none" w:pos="233"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The netting adjustment represents the effect of the legal right to offset under legally enforceable master netting arrangements to settle with the same counterparty on a net basis, including cash collateral posted and received. Cash collateral posted was $2.4 billion and $1.1 billion as of September 30, 2026 and December 31, 2025, respectively. Cash collateral received was $2 million and $27 million as of September 30,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87" w:name="page88"/>
    <w:bookmarkEnd w:id="87"/>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by type of derivative instrument, the fair value gains and losses, net on our derivatives.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7"/>
              </w:rPr>
              <w:t>For the Three Months Ended</w:t>
            </w:r>
          </w:p>
        </w:tc>
        <w:tc>
          <w:tcPr>
            <w:tcW w:w="180" w:type="dxa"/>
            <w:vAlign w:val="bottom"/>
          </w:tcPr>
          <w:p>
            <w:pPr>
              <w:spacing w:after="0"/>
              <w:rPr>
                <w:sz w:val="14"/>
                <w:szCs w:val="14"/>
                <w:color w:val="auto"/>
              </w:rPr>
            </w:pPr>
          </w:p>
        </w:tc>
        <w:tc>
          <w:tcPr>
            <w:tcW w:w="2120" w:type="dxa"/>
            <w:vAlign w:val="bottom"/>
            <w:gridSpan w:val="4"/>
          </w:tcPr>
          <w:p>
            <w:pPr>
              <w:jc w:val="right"/>
              <w:ind w:right="183"/>
              <w:spacing w:after="0"/>
              <w:rPr>
                <w:sz w:val="20"/>
                <w:szCs w:val="20"/>
                <w:color w:val="auto"/>
              </w:rPr>
            </w:pPr>
            <w:r>
              <w:rPr>
                <w:rFonts w:ascii="Arial" w:cs="Arial" w:eastAsia="Arial" w:hAnsi="Arial"/>
                <w:sz w:val="14"/>
                <w:szCs w:val="14"/>
                <w:b w:val="1"/>
                <w:bCs w:val="1"/>
                <w:color w:val="auto"/>
              </w:rPr>
              <w:t>For the Nine Months Ended</w:t>
            </w:r>
          </w:p>
        </w:tc>
      </w:tr>
      <w:tr>
        <w:trPr>
          <w:trHeight w:val="177"/>
        </w:trPr>
        <w:tc>
          <w:tcPr>
            <w:tcW w:w="6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5"/>
                <w:szCs w:val="15"/>
                <w:color w:val="auto"/>
              </w:rPr>
            </w:pPr>
          </w:p>
        </w:tc>
        <w:tc>
          <w:tcPr>
            <w:tcW w:w="2120" w:type="dxa"/>
            <w:vAlign w:val="bottom"/>
            <w:gridSpan w:val="4"/>
          </w:tcPr>
          <w:p>
            <w:pPr>
              <w:jc w:val="right"/>
              <w:ind w:right="603"/>
              <w:spacing w:after="0"/>
              <w:rPr>
                <w:sz w:val="20"/>
                <w:szCs w:val="20"/>
                <w:color w:val="auto"/>
              </w:rPr>
            </w:pPr>
            <w:r>
              <w:rPr>
                <w:rFonts w:ascii="Arial" w:cs="Arial" w:eastAsia="Arial" w:hAnsi="Arial"/>
                <w:sz w:val="14"/>
                <w:szCs w:val="14"/>
                <w:b w:val="1"/>
                <w:bCs w:val="1"/>
                <w:color w:val="auto"/>
              </w:rPr>
              <w:t>September 30,</w:t>
            </w:r>
          </w:p>
        </w:tc>
      </w:tr>
      <w:tr>
        <w:trPr>
          <w:trHeight w:val="198"/>
        </w:trPr>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920" w:type="dxa"/>
            <w:vAlign w:val="bottom"/>
            <w:tcBorders>
              <w:top w:val="single" w:sz="8" w:color="2C6937"/>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2C6937"/>
              <w:bottom w:val="single" w:sz="8" w:color="2C6937"/>
            </w:tcBorders>
          </w:tcPr>
          <w:p>
            <w:pPr>
              <w:spacing w:after="0"/>
              <w:rPr>
                <w:sz w:val="17"/>
                <w:szCs w:val="17"/>
                <w:color w:val="auto"/>
              </w:rPr>
            </w:pPr>
          </w:p>
        </w:tc>
        <w:tc>
          <w:tcPr>
            <w:tcW w:w="240" w:type="dxa"/>
            <w:vAlign w:val="bottom"/>
            <w:tcBorders>
              <w:top w:val="single" w:sz="8" w:color="2C6937"/>
              <w:bottom w:val="single" w:sz="8" w:color="2C6937"/>
            </w:tcBorders>
          </w:tcPr>
          <w:p>
            <w:pPr>
              <w:spacing w:after="0"/>
              <w:rPr>
                <w:sz w:val="17"/>
                <w:szCs w:val="17"/>
                <w:color w:val="auto"/>
              </w:rPr>
            </w:pPr>
          </w:p>
        </w:tc>
        <w:tc>
          <w:tcPr>
            <w:tcW w:w="840" w:type="dxa"/>
            <w:vAlign w:val="bottom"/>
            <w:tcBorders>
              <w:top w:val="single" w:sz="8" w:color="2C6937"/>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2C6937"/>
            </w:tcBorders>
          </w:tcPr>
          <w:p>
            <w:pPr>
              <w:spacing w:after="0"/>
              <w:rPr>
                <w:sz w:val="17"/>
                <w:szCs w:val="17"/>
                <w:color w:val="auto"/>
              </w:rPr>
            </w:pPr>
          </w:p>
        </w:tc>
        <w:tc>
          <w:tcPr>
            <w:tcW w:w="180" w:type="dxa"/>
            <w:vAlign w:val="bottom"/>
            <w:tcBorders>
              <w:top w:val="single" w:sz="8" w:color="2C6937"/>
              <w:bottom w:val="single" w:sz="8" w:color="2C6937"/>
            </w:tcBorders>
          </w:tcPr>
          <w:p>
            <w:pPr>
              <w:spacing w:after="0"/>
              <w:rPr>
                <w:sz w:val="17"/>
                <w:szCs w:val="17"/>
                <w:color w:val="auto"/>
              </w:rPr>
            </w:pPr>
          </w:p>
        </w:tc>
        <w:tc>
          <w:tcPr>
            <w:tcW w:w="900" w:type="dxa"/>
            <w:vAlign w:val="bottom"/>
            <w:tcBorders>
              <w:top w:val="single" w:sz="8" w:color="2C6937"/>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2C6937"/>
              <w:bottom w:val="single" w:sz="8" w:color="2C6937"/>
            </w:tcBorders>
          </w:tcPr>
          <w:p>
            <w:pPr>
              <w:spacing w:after="0"/>
              <w:rPr>
                <w:sz w:val="17"/>
                <w:szCs w:val="17"/>
                <w:color w:val="auto"/>
              </w:rPr>
            </w:pPr>
          </w:p>
        </w:tc>
        <w:tc>
          <w:tcPr>
            <w:tcW w:w="240" w:type="dxa"/>
            <w:vAlign w:val="bottom"/>
            <w:tcBorders>
              <w:top w:val="single" w:sz="8" w:color="2C6937"/>
              <w:bottom w:val="single" w:sz="8" w:color="2C6937"/>
            </w:tcBorders>
          </w:tcPr>
          <w:p>
            <w:pPr>
              <w:spacing w:after="0"/>
              <w:rPr>
                <w:sz w:val="17"/>
                <w:szCs w:val="17"/>
                <w:color w:val="auto"/>
              </w:rPr>
            </w:pPr>
          </w:p>
        </w:tc>
        <w:tc>
          <w:tcPr>
            <w:tcW w:w="840" w:type="dxa"/>
            <w:vAlign w:val="bottom"/>
            <w:tcBorders>
              <w:top w:val="single" w:sz="8" w:color="2C6937"/>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2025</w:t>
            </w:r>
          </w:p>
        </w:tc>
      </w:tr>
      <w:tr>
        <w:trPr>
          <w:trHeight w:val="198"/>
        </w:trPr>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9"/>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9"/>
        </w:trPr>
        <w:tc>
          <w:tcPr>
            <w:tcW w:w="6400" w:type="dxa"/>
            <w:vAlign w:val="bottom"/>
            <w:gridSpan w:val="2"/>
          </w:tcPr>
          <w:p>
            <w:pPr>
              <w:ind w:left="180"/>
              <w:spacing w:after="0"/>
              <w:rPr>
                <w:sz w:val="20"/>
                <w:szCs w:val="20"/>
                <w:color w:val="auto"/>
              </w:rPr>
            </w:pPr>
            <w:r>
              <w:rPr>
                <w:rFonts w:ascii="Arial" w:cs="Arial" w:eastAsia="Arial" w:hAnsi="Arial"/>
                <w:sz w:val="15"/>
                <w:szCs w:val="15"/>
                <w:color w:val="auto"/>
              </w:rPr>
              <w:t>Swaps: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640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4,859</w:t>
            </w:r>
          </w:p>
        </w:tc>
        <w:tc>
          <w:tcPr>
            <w:tcW w:w="14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(43)</w:t>
            </w:r>
          </w:p>
        </w:tc>
        <w:tc>
          <w:tcPr>
            <w:tcW w:w="24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6,583</w:t>
            </w:r>
          </w:p>
        </w:tc>
        <w:tc>
          <w:tcPr>
            <w:tcW w:w="14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(1,253)</w:t>
            </w:r>
          </w:p>
        </w:tc>
      </w:tr>
      <w:tr>
        <w:trPr>
          <w:trHeight w:val="219"/>
        </w:trPr>
        <w:tc>
          <w:tcPr>
            <w:tcW w:w="640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(5,793)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(7,567)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1,979</w:t>
            </w:r>
          </w:p>
        </w:tc>
      </w:tr>
      <w:tr>
        <w:trPr>
          <w:trHeight w:val="219"/>
        </w:trPr>
        <w:tc>
          <w:tcPr>
            <w:tcW w:w="6400" w:type="dxa"/>
            <w:vAlign w:val="bottom"/>
            <w:gridSpan w:val="2"/>
          </w:tcPr>
          <w:p>
            <w:pPr>
              <w:ind w:left="320"/>
              <w:spacing w:after="0"/>
              <w:rPr>
                <w:sz w:val="20"/>
                <w:szCs w:val="20"/>
                <w:color w:val="auto"/>
              </w:rPr>
            </w:pPr>
            <w:r>
              <w:rPr>
                <w:rFonts w:ascii="Arial" w:cs="Arial" w:eastAsia="Arial" w:hAnsi="Arial"/>
                <w:sz w:val="15"/>
                <w:szCs w:val="15"/>
                <w:color w:val="auto"/>
              </w:rPr>
              <w:t>Basis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19"/>
        </w:trPr>
        <w:tc>
          <w:tcPr>
            <w:tcW w:w="6400" w:type="dxa"/>
            <w:vAlign w:val="bottom"/>
            <w:gridSpan w:val="2"/>
          </w:tcPr>
          <w:p>
            <w:pPr>
              <w:ind w:left="320"/>
              <w:spacing w:after="0"/>
              <w:rPr>
                <w:sz w:val="20"/>
                <w:szCs w:val="20"/>
                <w:color w:val="auto"/>
              </w:rPr>
            </w:pPr>
            <w:r>
              <w:rPr>
                <w:rFonts w:ascii="Arial" w:cs="Arial" w:eastAsia="Arial" w:hAnsi="Arial"/>
                <w:sz w:val="15"/>
                <w:szCs w:val="15"/>
                <w:color w:val="auto"/>
              </w:rPr>
              <w:t>Foreign currency</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11"/>
        </w:trPr>
        <w:tc>
          <w:tcPr>
            <w:tcW w:w="6400" w:type="dxa"/>
            <w:vAlign w:val="bottom"/>
            <w:gridSpan w:val="2"/>
          </w:tcPr>
          <w:p>
            <w:pPr>
              <w:ind w:left="180"/>
              <w:spacing w:after="0"/>
              <w:rPr>
                <w:sz w:val="20"/>
                <w:szCs w:val="20"/>
                <w:color w:val="auto"/>
              </w:rPr>
            </w:pPr>
            <w:r>
              <w:rPr>
                <w:rFonts w:ascii="Arial" w:cs="Arial" w:eastAsia="Arial" w:hAnsi="Arial"/>
                <w:sz w:val="15"/>
                <w:szCs w:val="15"/>
                <w:color w:val="auto"/>
              </w:rPr>
              <w:t>Swaptions: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7"/>
        </w:trPr>
        <w:tc>
          <w:tcPr>
            <w:tcW w:w="640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65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49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219"/>
        </w:trPr>
        <w:tc>
          <w:tcPr>
            <w:tcW w:w="640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(43)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(48)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19"/>
        </w:trPr>
        <w:tc>
          <w:tcPr>
            <w:tcW w:w="6400" w:type="dxa"/>
            <w:vAlign w:val="bottom"/>
            <w:gridSpan w:val="2"/>
          </w:tcPr>
          <w:p>
            <w:pPr>
              <w:ind w:left="180"/>
              <w:spacing w:after="0"/>
              <w:rPr>
                <w:sz w:val="20"/>
                <w:szCs w:val="20"/>
                <w:color w:val="auto"/>
              </w:rPr>
            </w:pPr>
            <w:r>
              <w:rPr>
                <w:rFonts w:ascii="Arial" w:cs="Arial" w:eastAsia="Arial" w:hAnsi="Arial"/>
                <w:sz w:val="15"/>
                <w:szCs w:val="15"/>
                <w:color w:val="auto"/>
              </w:rPr>
              <w:t>Futures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553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784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6400" w:type="dxa"/>
            <w:vAlign w:val="bottom"/>
            <w:gridSpan w:val="2"/>
          </w:tcPr>
          <w:p>
            <w:pPr>
              <w:ind w:left="180"/>
              <w:spacing w:after="0"/>
              <w:rPr>
                <w:sz w:val="20"/>
                <w:szCs w:val="20"/>
                <w:color w:val="auto"/>
              </w:rPr>
            </w:pPr>
            <w:r>
              <w:rPr>
                <w:rFonts w:ascii="Arial" w:cs="Arial" w:eastAsia="Arial" w:hAnsi="Arial"/>
                <w:sz w:val="15"/>
                <w:szCs w:val="15"/>
                <w:color w:val="auto"/>
              </w:rPr>
              <w:t>Interest rate caps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62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contractual interest income (expense) on interest-rate swaps</w:t>
            </w:r>
          </w:p>
        </w:tc>
        <w:tc>
          <w:tcPr>
            <w:tcW w:w="1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(94)</w:t>
            </w:r>
          </w:p>
        </w:tc>
        <w:tc>
          <w:tcPr>
            <w:tcW w:w="2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(56)</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(495)</w:t>
            </w:r>
          </w:p>
        </w:tc>
      </w:tr>
      <w:tr>
        <w:trPr>
          <w:trHeight w:val="218"/>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Total risk management derivatives fair value gains (losses), net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(419)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(273)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133</w:t>
            </w:r>
          </w:p>
        </w:tc>
      </w:tr>
      <w:tr>
        <w:trPr>
          <w:trHeight w:val="219"/>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2,283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2,600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(684)</w:t>
            </w:r>
          </w:p>
        </w:tc>
      </w:tr>
      <w:tr>
        <w:trPr>
          <w:trHeight w:val="219"/>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13"/>
        </w:trPr>
        <w:tc>
          <w:tcPr>
            <w:tcW w:w="62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derivatives</w:t>
            </w:r>
          </w:p>
        </w:tc>
        <w:tc>
          <w:tcPr>
            <w:tcW w:w="1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(47)</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(54)</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640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1,816</w:t>
            </w:r>
          </w:p>
        </w:tc>
        <w:tc>
          <w:tcPr>
            <w:tcW w:w="14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(175)</w:t>
            </w:r>
          </w:p>
        </w:tc>
        <w:tc>
          <w:tcPr>
            <w:tcW w:w="24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2,256</w:t>
            </w:r>
          </w:p>
        </w:tc>
        <w:tc>
          <w:tcPr>
            <w:tcW w:w="14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(576)</w:t>
            </w:r>
          </w:p>
        </w:tc>
      </w:tr>
      <w:tr>
        <w:trPr>
          <w:trHeight w:val="20"/>
        </w:trPr>
        <w:tc>
          <w:tcPr>
            <w:tcW w:w="622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433705</wp:posOffset>
            </wp:positionV>
            <wp:extent cx="680593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88" w:name="page89"/>
    <w:bookmarkEnd w:id="88"/>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Effect of Fair Value Hedge Accounting</w:t>
      </w:r>
    </w:p>
    <w:p>
      <w:pPr>
        <w:spacing w:after="0" w:line="6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following table displays the effect of fair value hedge accounting on our condensed consolidated statements of operations and comprehensive income, including gains and losses recognized on fair value hedging relationships.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11"/>
          </w:tcPr>
          <w:p>
            <w:pPr>
              <w:ind w:left="480"/>
              <w:spacing w:after="0"/>
              <w:rPr>
                <w:sz w:val="20"/>
                <w:szCs w:val="20"/>
                <w:color w:val="auto"/>
              </w:rPr>
            </w:pPr>
            <w:r>
              <w:rPr>
                <w:rFonts w:ascii="Arial" w:cs="Arial" w:eastAsia="Arial" w:hAnsi="Arial"/>
                <w:sz w:val="14"/>
                <w:szCs w:val="14"/>
                <w:b w:val="1"/>
                <w:bCs w:val="1"/>
                <w:color w:val="auto"/>
              </w:rPr>
              <w:t>For the Three Months Ended September 30,</w:t>
            </w:r>
          </w:p>
        </w:tc>
        <w:tc>
          <w:tcPr>
            <w:tcW w:w="140" w:type="dxa"/>
            <w:vAlign w:val="bottom"/>
          </w:tcPr>
          <w:p>
            <w:pPr>
              <w:spacing w:after="0"/>
              <w:rPr>
                <w:sz w:val="16"/>
                <w:szCs w:val="16"/>
                <w:color w:val="auto"/>
              </w:rPr>
            </w:pPr>
          </w:p>
        </w:tc>
        <w:tc>
          <w:tcPr>
            <w:tcW w:w="3920" w:type="dxa"/>
            <w:vAlign w:val="bottom"/>
            <w:gridSpan w:val="10"/>
          </w:tcPr>
          <w:p>
            <w:pPr>
              <w:jc w:val="right"/>
              <w:ind w:right="571"/>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99"/>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2C6937"/>
              <w:bottom w:val="single" w:sz="8" w:color="2C6937"/>
            </w:tcBorders>
          </w:tcPr>
          <w:p>
            <w:pPr>
              <w:spacing w:after="0"/>
              <w:rPr>
                <w:sz w:val="17"/>
                <w:szCs w:val="17"/>
                <w:color w:val="auto"/>
              </w:rPr>
            </w:pPr>
          </w:p>
        </w:tc>
        <w:tc>
          <w:tcPr>
            <w:tcW w:w="102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2026</w:t>
            </w:r>
          </w:p>
        </w:tc>
        <w:tc>
          <w:tcPr>
            <w:tcW w:w="84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20" w:type="dxa"/>
            <w:vAlign w:val="bottom"/>
            <w:tcBorders>
              <w:top w:val="single" w:sz="8" w:color="2C6937"/>
              <w:bottom w:val="single" w:sz="8" w:color="2C6937"/>
            </w:tcBorders>
          </w:tcPr>
          <w:p>
            <w:pPr>
              <w:spacing w:after="0"/>
              <w:rPr>
                <w:sz w:val="17"/>
                <w:szCs w:val="17"/>
                <w:color w:val="auto"/>
              </w:rPr>
            </w:pPr>
          </w:p>
        </w:tc>
        <w:tc>
          <w:tcPr>
            <w:tcW w:w="102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top w:val="single" w:sz="8" w:color="2C6937"/>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2C6937"/>
              <w:bottom w:val="single" w:sz="8" w:color="2C6937"/>
            </w:tcBorders>
          </w:tcPr>
          <w:p>
            <w:pPr>
              <w:spacing w:after="0"/>
              <w:rPr>
                <w:sz w:val="17"/>
                <w:szCs w:val="17"/>
                <w:color w:val="auto"/>
              </w:rPr>
            </w:pPr>
          </w:p>
        </w:tc>
        <w:tc>
          <w:tcPr>
            <w:tcW w:w="102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2026</w:t>
            </w:r>
          </w:p>
        </w:tc>
        <w:tc>
          <w:tcPr>
            <w:tcW w:w="82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20" w:type="dxa"/>
            <w:vAlign w:val="bottom"/>
            <w:tcBorders>
              <w:top w:val="single" w:sz="8" w:color="2C6937"/>
              <w:bottom w:val="single" w:sz="8" w:color="2C6937"/>
            </w:tcBorders>
          </w:tcPr>
          <w:p>
            <w:pPr>
              <w:spacing w:after="0"/>
              <w:rPr>
                <w:sz w:val="17"/>
                <w:szCs w:val="17"/>
                <w:color w:val="auto"/>
              </w:rPr>
            </w:pPr>
          </w:p>
        </w:tc>
        <w:tc>
          <w:tcPr>
            <w:tcW w:w="102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top w:val="single" w:sz="8" w:color="2C6937"/>
              <w:bottom w:val="single" w:sz="8" w:color="2C6937"/>
            </w:tcBorders>
          </w:tcPr>
          <w:p>
            <w:pPr>
              <w:spacing w:after="0"/>
              <w:rPr>
                <w:sz w:val="17"/>
                <w:szCs w:val="17"/>
                <w:color w:val="auto"/>
              </w:rPr>
            </w:pPr>
          </w:p>
        </w:tc>
      </w:tr>
      <w:tr>
        <w:trPr>
          <w:trHeight w:val="190"/>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Interest</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6"/>
                <w:szCs w:val="16"/>
                <w:color w:val="auto"/>
              </w:rPr>
            </w:pPr>
          </w:p>
        </w:tc>
        <w:tc>
          <w:tcPr>
            <w:tcW w:w="840" w:type="dxa"/>
            <w:vAlign w:val="bottom"/>
          </w:tcPr>
          <w:p>
            <w:pPr>
              <w:jc w:val="center"/>
              <w:ind w:right="31"/>
              <w:spacing w:after="0"/>
              <w:rPr>
                <w:sz w:val="20"/>
                <w:szCs w:val="20"/>
                <w:color w:val="auto"/>
              </w:rPr>
            </w:pPr>
            <w:r>
              <w:rPr>
                <w:rFonts w:ascii="Arial" w:cs="Arial" w:eastAsia="Arial" w:hAnsi="Arial"/>
                <w:sz w:val="14"/>
                <w:szCs w:val="14"/>
                <w:b w:val="1"/>
                <w:bCs w:val="1"/>
                <w:color w:val="auto"/>
                <w:w w:val="98"/>
              </w:rPr>
              <w:t>Interest</w:t>
            </w:r>
          </w:p>
        </w:tc>
      </w:tr>
      <w:tr>
        <w:trPr>
          <w:trHeight w:val="155"/>
        </w:trPr>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Expense:</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Expense:</w:t>
            </w:r>
          </w:p>
        </w:tc>
        <w:tc>
          <w:tcPr>
            <w:tcW w:w="140" w:type="dxa"/>
            <w:vAlign w:val="bottom"/>
          </w:tcPr>
          <w:p>
            <w:pPr>
              <w:spacing w:after="0"/>
              <w:rPr>
                <w:sz w:val="13"/>
                <w:szCs w:val="13"/>
                <w:color w:val="auto"/>
              </w:rPr>
            </w:pPr>
          </w:p>
        </w:tc>
        <w:tc>
          <w:tcPr>
            <w:tcW w:w="9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6"/>
              </w:rPr>
              <w:t>Income:</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9"/>
              </w:rPr>
              <w:t>Expense:</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3"/>
                <w:szCs w:val="13"/>
                <w:color w:val="auto"/>
              </w:rPr>
            </w:pPr>
          </w:p>
        </w:tc>
        <w:tc>
          <w:tcPr>
            <w:tcW w:w="840" w:type="dxa"/>
            <w:vAlign w:val="bottom"/>
          </w:tcPr>
          <w:p>
            <w:pPr>
              <w:jc w:val="center"/>
              <w:ind w:right="31"/>
              <w:spacing w:after="0" w:line="155" w:lineRule="exact"/>
              <w:rPr>
                <w:sz w:val="20"/>
                <w:szCs w:val="20"/>
                <w:color w:val="auto"/>
              </w:rPr>
            </w:pPr>
            <w:r>
              <w:rPr>
                <w:rFonts w:ascii="Arial" w:cs="Arial" w:eastAsia="Arial" w:hAnsi="Arial"/>
                <w:sz w:val="14"/>
                <w:szCs w:val="14"/>
                <w:b w:val="1"/>
                <w:bCs w:val="1"/>
                <w:color w:val="auto"/>
                <w:w w:val="99"/>
              </w:rPr>
              <w:t>Expense:</w:t>
            </w:r>
          </w:p>
        </w:tc>
      </w:tr>
      <w:tr>
        <w:trPr>
          <w:trHeight w:val="168"/>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Mortgage</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Long-Term</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Long-Term</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Mortgage</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Arial" w:cs="Arial" w:eastAsia="Arial" w:hAnsi="Arial"/>
                <w:sz w:val="14"/>
                <w:szCs w:val="14"/>
                <w:b w:val="1"/>
                <w:bCs w:val="1"/>
                <w:color w:val="auto"/>
                <w:w w:val="95"/>
              </w:rPr>
              <w:t>Long-Term</w:t>
            </w:r>
          </w:p>
        </w:tc>
      </w:tr>
      <w:tr>
        <w:trPr>
          <w:trHeight w:val="196"/>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Debt</w:t>
            </w:r>
          </w:p>
        </w:tc>
        <w:tc>
          <w:tcPr>
            <w:tcW w:w="12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Debt</w:t>
            </w:r>
          </w:p>
        </w:tc>
        <w:tc>
          <w:tcPr>
            <w:tcW w:w="14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Loans</w:t>
            </w:r>
          </w:p>
        </w:tc>
        <w:tc>
          <w:tcPr>
            <w:tcW w:w="12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center"/>
              <w:ind w:right="31"/>
              <w:spacing w:after="0"/>
              <w:rPr>
                <w:sz w:val="20"/>
                <w:szCs w:val="20"/>
                <w:color w:val="auto"/>
              </w:rPr>
            </w:pPr>
            <w:r>
              <w:rPr>
                <w:rFonts w:ascii="Arial" w:cs="Arial" w:eastAsia="Arial" w:hAnsi="Arial"/>
                <w:sz w:val="14"/>
                <w:szCs w:val="14"/>
                <w:b w:val="1"/>
                <w:bCs w:val="1"/>
                <w:color w:val="auto"/>
                <w:w w:val="96"/>
              </w:rPr>
              <w:t>Debt</w:t>
            </w:r>
          </w:p>
        </w:tc>
      </w:tr>
      <w:tr>
        <w:trPr>
          <w:trHeight w:val="205"/>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30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amounts presented in our condensed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55"/>
        </w:trPr>
        <w:tc>
          <w:tcPr>
            <w:tcW w:w="30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consolidated statements of operations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2"/>
        </w:trPr>
        <w:tc>
          <w:tcPr>
            <w:tcW w:w="2960" w:type="dxa"/>
            <w:vAlign w:val="bottom"/>
            <w:tcBorders>
              <w:bottom w:val="single" w:sz="8" w:color="2C6937"/>
            </w:tcBorders>
          </w:tcPr>
          <w:p>
            <w:pPr>
              <w:ind w:left="180"/>
              <w:spacing w:after="0"/>
              <w:rPr>
                <w:sz w:val="20"/>
                <w:szCs w:val="20"/>
                <w:color w:val="auto"/>
              </w:rPr>
            </w:pPr>
            <w:r>
              <w:rPr>
                <w:rFonts w:ascii="Arial" w:cs="Arial" w:eastAsia="Arial" w:hAnsi="Arial"/>
                <w:sz w:val="14"/>
                <w:szCs w:val="14"/>
                <w:b w:val="1"/>
                <w:bCs w:val="1"/>
                <w:color w:val="auto"/>
              </w:rPr>
              <w:t>and comprehensive income</w:t>
            </w:r>
          </w:p>
        </w:tc>
        <w:tc>
          <w:tcPr>
            <w:tcW w:w="100" w:type="dxa"/>
            <w:vAlign w:val="bottom"/>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39,962</w:t>
            </w:r>
          </w:p>
        </w:tc>
        <w:tc>
          <w:tcPr>
            <w:tcW w:w="80" w:type="dxa"/>
            <w:vAlign w:val="bottom"/>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(33,740)</w:t>
            </w:r>
          </w:p>
        </w:tc>
        <w:tc>
          <w:tcPr>
            <w:tcW w:w="80" w:type="dxa"/>
            <w:vAlign w:val="bottom"/>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38,344</w:t>
            </w:r>
          </w:p>
        </w:tc>
        <w:tc>
          <w:tcPr>
            <w:tcW w:w="100" w:type="dxa"/>
            <w:vAlign w:val="bottom"/>
          </w:tcPr>
          <w:p>
            <w:pPr>
              <w:spacing w:after="0"/>
              <w:rPr>
                <w:sz w:val="17"/>
                <w:szCs w:val="17"/>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(32,639)</w:t>
            </w:r>
          </w:p>
        </w:tc>
        <w:tc>
          <w:tcPr>
            <w:tcW w:w="80" w:type="dxa"/>
            <w:vAlign w:val="bottom"/>
          </w:tcPr>
          <w:p>
            <w:pPr>
              <w:spacing w:after="0"/>
              <w:rPr>
                <w:sz w:val="17"/>
                <w:szCs w:val="17"/>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118,161</w:t>
            </w:r>
          </w:p>
        </w:tc>
        <w:tc>
          <w:tcPr>
            <w:tcW w:w="100" w:type="dxa"/>
            <w:vAlign w:val="bottom"/>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(99,631)</w:t>
            </w:r>
          </w:p>
        </w:tc>
        <w:tc>
          <w:tcPr>
            <w:tcW w:w="100" w:type="dxa"/>
            <w:vAlign w:val="bottom"/>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113,436</w:t>
            </w:r>
          </w:p>
        </w:tc>
        <w:tc>
          <w:tcPr>
            <w:tcW w:w="100" w:type="dxa"/>
            <w:vAlign w:val="bottom"/>
          </w:tcPr>
          <w:p>
            <w:pPr>
              <w:spacing w:after="0"/>
              <w:rPr>
                <w:sz w:val="17"/>
                <w:szCs w:val="17"/>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(96,702)</w:t>
            </w:r>
          </w:p>
        </w:tc>
      </w:tr>
      <w:tr>
        <w:trPr>
          <w:trHeight w:val="435"/>
        </w:trPr>
        <w:tc>
          <w:tcPr>
            <w:tcW w:w="306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 (losses) from fair value hedging</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8"/>
        </w:trPr>
        <w:tc>
          <w:tcPr>
            <w:tcW w:w="3060" w:type="dxa"/>
            <w:vAlign w:val="bottom"/>
            <w:gridSpan w:val="2"/>
          </w:tcPr>
          <w:p>
            <w:pPr>
              <w:ind w:left="180"/>
              <w:spacing w:after="0"/>
              <w:rPr>
                <w:sz w:val="20"/>
                <w:szCs w:val="20"/>
                <w:color w:val="auto"/>
              </w:rPr>
            </w:pPr>
            <w:r>
              <w:rPr>
                <w:rFonts w:ascii="Arial" w:cs="Arial" w:eastAsia="Arial" w:hAnsi="Arial"/>
                <w:sz w:val="14"/>
                <w:szCs w:val="14"/>
                <w:b w:val="1"/>
                <w:bCs w:val="1"/>
                <w:color w:val="auto"/>
              </w:rPr>
              <w:t>relationships: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3"/>
        </w:trPr>
        <w:tc>
          <w:tcPr>
            <w:tcW w:w="3060" w:type="dxa"/>
            <w:vAlign w:val="bottom"/>
            <w:gridSpan w:val="2"/>
          </w:tcPr>
          <w:p>
            <w:pPr>
              <w:ind w:left="120"/>
              <w:spacing w:after="0"/>
              <w:rPr>
                <w:sz w:val="20"/>
                <w:szCs w:val="20"/>
                <w:color w:val="auto"/>
              </w:rPr>
            </w:pPr>
            <w:r>
              <w:rPr>
                <w:rFonts w:ascii="Arial" w:cs="Arial" w:eastAsia="Arial" w:hAnsi="Arial"/>
                <w:sz w:val="14"/>
                <w:szCs w:val="14"/>
                <w:color w:val="auto"/>
              </w:rPr>
              <w:t>Mortgage loans HFI and related interest-rate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0"/>
        </w:trPr>
        <w:tc>
          <w:tcPr>
            <w:tcW w:w="3060" w:type="dxa"/>
            <w:vAlign w:val="bottom"/>
            <w:gridSpan w:val="2"/>
          </w:tcPr>
          <w:p>
            <w:pPr>
              <w:ind w:left="220"/>
              <w:spacing w:after="0"/>
              <w:rPr>
                <w:sz w:val="20"/>
                <w:szCs w:val="20"/>
                <w:color w:val="auto"/>
              </w:rPr>
            </w:pPr>
            <w:r>
              <w:rPr>
                <w:rFonts w:ascii="Arial" w:cs="Arial" w:eastAsia="Arial" w:hAnsi="Arial"/>
                <w:sz w:val="14"/>
                <w:szCs w:val="14"/>
                <w:color w:val="auto"/>
              </w:rPr>
              <w:t>contracts: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5"/>
        </w:trPr>
        <w:tc>
          <w:tcPr>
            <w:tcW w:w="3060" w:type="dxa"/>
            <w:vAlign w:val="bottom"/>
            <w:gridSpan w:val="2"/>
          </w:tcPr>
          <w:p>
            <w:pPr>
              <w:ind w:left="320"/>
              <w:spacing w:after="0"/>
              <w:rPr>
                <w:sz w:val="20"/>
                <w:szCs w:val="20"/>
                <w:color w:val="auto"/>
              </w:rPr>
            </w:pPr>
            <w:r>
              <w:rPr>
                <w:rFonts w:ascii="Arial" w:cs="Arial" w:eastAsia="Arial" w:hAnsi="Arial"/>
                <w:sz w:val="14"/>
                <w:szCs w:val="14"/>
                <w:color w:val="auto"/>
              </w:rPr>
              <w:t>Hedged items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(3,133)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(3,626)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3060" w:type="dxa"/>
            <w:vAlign w:val="bottom"/>
            <w:gridSpan w:val="2"/>
          </w:tcPr>
          <w:p>
            <w:pPr>
              <w:ind w:left="320"/>
              <w:spacing w:after="0"/>
              <w:rPr>
                <w:sz w:val="20"/>
                <w:szCs w:val="20"/>
                <w:color w:val="auto"/>
              </w:rPr>
            </w:pPr>
            <w:r>
              <w:rPr>
                <w:rFonts w:ascii="Arial" w:cs="Arial" w:eastAsia="Arial" w:hAnsi="Arial"/>
                <w:sz w:val="14"/>
                <w:szCs w:val="14"/>
                <w:color w:val="auto"/>
              </w:rPr>
              <w:t>Discontinued hedge related basis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3060" w:type="dxa"/>
            <w:vAlign w:val="bottom"/>
            <w:gridSpan w:val="2"/>
          </w:tcPr>
          <w:p>
            <w:pPr>
              <w:ind w:left="440"/>
              <w:spacing w:after="0"/>
              <w:rPr>
                <w:sz w:val="20"/>
                <w:szCs w:val="20"/>
                <w:color w:val="auto"/>
              </w:rPr>
            </w:pPr>
            <w:r>
              <w:rPr>
                <w:rFonts w:ascii="Arial" w:cs="Arial" w:eastAsia="Arial" w:hAnsi="Arial"/>
                <w:sz w:val="14"/>
                <w:szCs w:val="14"/>
                <w:color w:val="auto"/>
              </w:rPr>
              <w:t>adjustment amortization</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3060" w:type="dxa"/>
            <w:vAlign w:val="bottom"/>
            <w:gridSpan w:val="2"/>
          </w:tcPr>
          <w:p>
            <w:pPr>
              <w:ind w:left="320"/>
              <w:spacing w:after="0"/>
              <w:rPr>
                <w:sz w:val="20"/>
                <w:szCs w:val="20"/>
                <w:color w:val="auto"/>
              </w:rPr>
            </w:pPr>
            <w:r>
              <w:rPr>
                <w:rFonts w:ascii="Arial" w:cs="Arial" w:eastAsia="Arial" w:hAnsi="Arial"/>
                <w:sz w:val="14"/>
                <w:szCs w:val="14"/>
                <w:color w:val="auto"/>
              </w:rPr>
              <w:t>Derivatives designated as hedging</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3060" w:type="dxa"/>
            <w:vAlign w:val="bottom"/>
            <w:gridSpan w:val="2"/>
          </w:tcPr>
          <w:p>
            <w:pPr>
              <w:ind w:left="440"/>
              <w:spacing w:after="0"/>
              <w:rPr>
                <w:sz w:val="20"/>
                <w:szCs w:val="20"/>
                <w:color w:val="auto"/>
              </w:rPr>
            </w:pPr>
            <w:r>
              <w:rPr>
                <w:rFonts w:ascii="Arial" w:cs="Arial" w:eastAsia="Arial" w:hAnsi="Arial"/>
                <w:sz w:val="14"/>
                <w:szCs w:val="14"/>
                <w:color w:val="auto"/>
              </w:rPr>
              <w:t>instruments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3,116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3,580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3060" w:type="dxa"/>
            <w:vAlign w:val="bottom"/>
            <w:gridSpan w:val="2"/>
          </w:tcPr>
          <w:p>
            <w:pPr>
              <w:ind w:left="320"/>
              <w:spacing w:after="0"/>
              <w:rPr>
                <w:sz w:val="20"/>
                <w:szCs w:val="20"/>
                <w:color w:val="auto"/>
              </w:rPr>
            </w:pPr>
            <w:r>
              <w:rPr>
                <w:rFonts w:ascii="Arial" w:cs="Arial" w:eastAsia="Arial" w:hAnsi="Arial"/>
                <w:sz w:val="14"/>
                <w:szCs w:val="14"/>
                <w:color w:val="auto"/>
              </w:rPr>
              <w:t>Interest accruals on hedging instruments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3060" w:type="dxa"/>
            <w:vAlign w:val="bottom"/>
            <w:gridSpan w:val="2"/>
          </w:tcPr>
          <w:p>
            <w:pPr>
              <w:ind w:left="120"/>
              <w:spacing w:after="0"/>
              <w:rPr>
                <w:sz w:val="20"/>
                <w:szCs w:val="20"/>
                <w:color w:val="auto"/>
              </w:rPr>
            </w:pPr>
            <w:r>
              <w:rPr>
                <w:rFonts w:ascii="Arial" w:cs="Arial" w:eastAsia="Arial" w:hAnsi="Arial"/>
                <w:sz w:val="14"/>
                <w:szCs w:val="14"/>
                <w:color w:val="auto"/>
              </w:rPr>
              <w:t>Debt of Fannie Mae and related interest-rate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0"/>
        </w:trPr>
        <w:tc>
          <w:tcPr>
            <w:tcW w:w="3060" w:type="dxa"/>
            <w:vAlign w:val="bottom"/>
            <w:gridSpan w:val="2"/>
          </w:tcPr>
          <w:p>
            <w:pPr>
              <w:ind w:left="220"/>
              <w:spacing w:after="0"/>
              <w:rPr>
                <w:sz w:val="20"/>
                <w:szCs w:val="20"/>
                <w:color w:val="auto"/>
              </w:rPr>
            </w:pPr>
            <w:r>
              <w:rPr>
                <w:rFonts w:ascii="Arial" w:cs="Arial" w:eastAsia="Arial" w:hAnsi="Arial"/>
                <w:sz w:val="14"/>
                <w:szCs w:val="14"/>
                <w:color w:val="auto"/>
              </w:rPr>
              <w:t>contracts: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5"/>
        </w:trPr>
        <w:tc>
          <w:tcPr>
            <w:tcW w:w="3060" w:type="dxa"/>
            <w:vAlign w:val="bottom"/>
            <w:gridSpan w:val="2"/>
          </w:tcPr>
          <w:p>
            <w:pPr>
              <w:ind w:left="320"/>
              <w:spacing w:after="0"/>
              <w:rPr>
                <w:sz w:val="20"/>
                <w:szCs w:val="20"/>
                <w:color w:val="auto"/>
              </w:rPr>
            </w:pPr>
            <w:r>
              <w:rPr>
                <w:rFonts w:ascii="Arial" w:cs="Arial" w:eastAsia="Arial" w:hAnsi="Arial"/>
                <w:sz w:val="14"/>
                <w:szCs w:val="14"/>
                <w:color w:val="auto"/>
              </w:rPr>
              <w:t>Hedged items</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b w:val="1"/>
                <w:bCs w:val="1"/>
                <w:color w:val="auto"/>
              </w:rPr>
              <w:t>393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(259)</w:t>
            </w:r>
          </w:p>
        </w:tc>
      </w:tr>
      <w:tr>
        <w:trPr>
          <w:trHeight w:val="200"/>
        </w:trPr>
        <w:tc>
          <w:tcPr>
            <w:tcW w:w="3060" w:type="dxa"/>
            <w:vAlign w:val="bottom"/>
            <w:gridSpan w:val="2"/>
          </w:tcPr>
          <w:p>
            <w:pPr>
              <w:ind w:left="320"/>
              <w:spacing w:after="0"/>
              <w:rPr>
                <w:sz w:val="20"/>
                <w:szCs w:val="20"/>
                <w:color w:val="auto"/>
              </w:rPr>
            </w:pPr>
            <w:r>
              <w:rPr>
                <w:rFonts w:ascii="Arial" w:cs="Arial" w:eastAsia="Arial" w:hAnsi="Arial"/>
                <w:sz w:val="14"/>
                <w:szCs w:val="14"/>
                <w:color w:val="auto"/>
              </w:rPr>
              <w:t>Discontinued hedge-related basis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3060" w:type="dxa"/>
            <w:vAlign w:val="bottom"/>
            <w:gridSpan w:val="2"/>
          </w:tcPr>
          <w:p>
            <w:pPr>
              <w:ind w:left="440"/>
              <w:spacing w:after="0"/>
              <w:rPr>
                <w:sz w:val="20"/>
                <w:szCs w:val="20"/>
                <w:color w:val="auto"/>
              </w:rPr>
            </w:pPr>
            <w:r>
              <w:rPr>
                <w:rFonts w:ascii="Arial" w:cs="Arial" w:eastAsia="Arial" w:hAnsi="Arial"/>
                <w:sz w:val="14"/>
                <w:szCs w:val="14"/>
                <w:color w:val="auto"/>
              </w:rPr>
              <w:t>adjustment amortization</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(633)</w:t>
            </w:r>
          </w:p>
        </w:tc>
      </w:tr>
      <w:tr>
        <w:trPr>
          <w:trHeight w:val="200"/>
        </w:trPr>
        <w:tc>
          <w:tcPr>
            <w:tcW w:w="3060" w:type="dxa"/>
            <w:vAlign w:val="bottom"/>
            <w:gridSpan w:val="2"/>
          </w:tcPr>
          <w:p>
            <w:pPr>
              <w:ind w:left="320"/>
              <w:spacing w:after="0"/>
              <w:rPr>
                <w:sz w:val="20"/>
                <w:szCs w:val="20"/>
                <w:color w:val="auto"/>
              </w:rPr>
            </w:pPr>
            <w:r>
              <w:rPr>
                <w:rFonts w:ascii="Arial" w:cs="Arial" w:eastAsia="Arial" w:hAnsi="Arial"/>
                <w:sz w:val="14"/>
                <w:szCs w:val="14"/>
                <w:color w:val="auto"/>
              </w:rPr>
              <w:t>Derivatives designated as hedging</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3060" w:type="dxa"/>
            <w:vAlign w:val="bottom"/>
            <w:gridSpan w:val="2"/>
          </w:tcPr>
          <w:p>
            <w:pPr>
              <w:ind w:left="440"/>
              <w:spacing w:after="0"/>
              <w:rPr>
                <w:sz w:val="20"/>
                <w:szCs w:val="20"/>
                <w:color w:val="auto"/>
              </w:rPr>
            </w:pPr>
            <w:r>
              <w:rPr>
                <w:rFonts w:ascii="Arial" w:cs="Arial" w:eastAsia="Arial" w:hAnsi="Arial"/>
                <w:sz w:val="14"/>
                <w:szCs w:val="14"/>
                <w:color w:val="auto"/>
              </w:rPr>
              <w:t>instruments</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200"/>
        </w:trPr>
        <w:tc>
          <w:tcPr>
            <w:tcW w:w="3060" w:type="dxa"/>
            <w:vAlign w:val="bottom"/>
            <w:gridSpan w:val="2"/>
          </w:tcPr>
          <w:p>
            <w:pPr>
              <w:ind w:left="320"/>
              <w:spacing w:after="0"/>
              <w:rPr>
                <w:sz w:val="20"/>
                <w:szCs w:val="20"/>
                <w:color w:val="auto"/>
              </w:rPr>
            </w:pPr>
            <w:r>
              <w:rPr>
                <w:rFonts w:ascii="Arial" w:cs="Arial" w:eastAsia="Arial" w:hAnsi="Arial"/>
                <w:sz w:val="14"/>
                <w:szCs w:val="14"/>
                <w:color w:val="auto"/>
              </w:rPr>
              <w:t>Interest accruals on derivative hedging</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2960" w:type="dxa"/>
            <w:vAlign w:val="bottom"/>
            <w:tcBorders>
              <w:bottom w:val="single" w:sz="8" w:color="2C6937"/>
            </w:tcBorders>
          </w:tcPr>
          <w:p>
            <w:pPr>
              <w:ind w:left="44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(70)</w:t>
            </w:r>
          </w:p>
        </w:tc>
      </w:tr>
      <w:tr>
        <w:trPr>
          <w:trHeight w:val="192"/>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Gains (losses) recognized in net interest</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0"/>
        </w:trPr>
        <w:tc>
          <w:tcPr>
            <w:tcW w:w="3060" w:type="dxa"/>
            <w:vAlign w:val="bottom"/>
            <w:gridSpan w:val="2"/>
          </w:tcPr>
          <w:p>
            <w:pPr>
              <w:ind w:left="180"/>
              <w:spacing w:after="0"/>
              <w:rPr>
                <w:sz w:val="20"/>
                <w:szCs w:val="20"/>
                <w:color w:val="auto"/>
              </w:rPr>
            </w:pPr>
            <w:r>
              <w:rPr>
                <w:rFonts w:ascii="Arial" w:cs="Arial" w:eastAsia="Arial" w:hAnsi="Arial"/>
                <w:sz w:val="14"/>
                <w:szCs w:val="14"/>
                <w:color w:val="auto"/>
              </w:rPr>
              <w:t>income on fair value hedging relationships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(497)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(704)</w:t>
            </w:r>
          </w:p>
        </w:tc>
      </w:tr>
      <w:tr>
        <w:trPr>
          <w:trHeight w:val="20"/>
        </w:trPr>
        <w:tc>
          <w:tcPr>
            <w:tcW w:w="2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417195</wp:posOffset>
            </wp:positionV>
            <wp:extent cx="680593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89" w:name="page90"/>
    <w:bookmarkEnd w:id="89"/>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Hedged Items in Fair Value Hedging Relationships</w:t>
      </w:r>
    </w:p>
    <w:p>
      <w:pPr>
        <w:spacing w:after="0" w:line="6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following table displays the carrying amounts of the hedged items that have been in qualifying fair value hedges recorded in our condensed consolidated balance sheets, including the hedged item’s cumulative basis adjustments and the closed portfolio balances under the portfolio layer method. The hedged item carrying amounts and total basis adjustments include both open and discontinued hedges. The amortized cost and designated UPB consists only of open hedges as of September 30, 2026 and December 31, 2025.</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86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As of September 30, 2026</w:t>
            </w:r>
          </w:p>
        </w:tc>
        <w:tc>
          <w:tcPr>
            <w:tcW w:w="16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r>
      <w:tr>
        <w:trPr>
          <w:trHeight w:val="332"/>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8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8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167"/>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6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center"/>
              <w:ind w:right="187"/>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48"/>
              <w:spacing w:after="0"/>
              <w:rPr>
                <w:sz w:val="20"/>
                <w:szCs w:val="20"/>
                <w:color w:val="auto"/>
              </w:rPr>
            </w:pPr>
            <w:r>
              <w:rPr>
                <w:rFonts w:ascii="Arial" w:cs="Arial" w:eastAsia="Arial" w:hAnsi="Arial"/>
                <w:sz w:val="14"/>
                <w:szCs w:val="14"/>
                <w:b w:val="1"/>
                <w:bCs w:val="1"/>
                <w:color w:val="auto"/>
                <w:w w:val="95"/>
              </w:rPr>
              <w:t>Adjustments</w:t>
            </w:r>
            <w:r>
              <w:rPr>
                <w:rFonts w:ascii="Arial" w:cs="Arial" w:eastAsia="Arial" w:hAnsi="Arial"/>
                <w:sz w:val="17"/>
                <w:szCs w:val="17"/>
                <w:b w:val="1"/>
                <w:bCs w:val="1"/>
                <w:color w:val="auto"/>
                <w:w w:val="95"/>
                <w:vertAlign w:val="superscript"/>
              </w:rPr>
              <w:t>(1)</w:t>
            </w: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98"/>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27"/>
              <w:spacing w:after="0"/>
              <w:rPr>
                <w:sz w:val="20"/>
                <w:szCs w:val="20"/>
                <w:color w:val="auto"/>
              </w:rPr>
            </w:pPr>
            <w:r>
              <w:rPr>
                <w:rFonts w:ascii="Arial" w:cs="Arial" w:eastAsia="Arial" w:hAnsi="Arial"/>
                <w:sz w:val="15"/>
                <w:szCs w:val="15"/>
                <w:color w:val="auto"/>
              </w:rPr>
              <w:t>1,689,143</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8"/>
              <w:spacing w:after="0"/>
              <w:rPr>
                <w:sz w:val="20"/>
                <w:szCs w:val="20"/>
                <w:color w:val="auto"/>
              </w:rPr>
            </w:pPr>
            <w:r>
              <w:rPr>
                <w:rFonts w:ascii="Arial" w:cs="Arial" w:eastAsia="Arial" w:hAnsi="Arial"/>
                <w:sz w:val="15"/>
                <w:szCs w:val="15"/>
                <w:color w:val="auto"/>
              </w:rPr>
              <w:t>(3,899)</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(3,899)</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394,669</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49,590</w:t>
            </w:r>
          </w:p>
        </w:tc>
      </w:tr>
      <w:tr>
        <w:trPr>
          <w:trHeight w:val="245"/>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(21,485)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68"/>
              <w:spacing w:after="0"/>
              <w:rPr>
                <w:sz w:val="20"/>
                <w:szCs w:val="20"/>
                <w:color w:val="auto"/>
              </w:rPr>
            </w:pPr>
            <w:r>
              <w:rPr>
                <w:rFonts w:ascii="Arial" w:cs="Arial" w:eastAsia="Arial" w:hAnsi="Arial"/>
                <w:sz w:val="15"/>
                <w:szCs w:val="15"/>
                <w:color w:val="auto"/>
              </w:rPr>
              <w:t>2,579</w:t>
            </w:r>
          </w:p>
        </w:tc>
        <w:tc>
          <w:tcPr>
            <w:tcW w:w="200" w:type="dxa"/>
            <w:vAlign w:val="bottom"/>
          </w:tcPr>
          <w:p>
            <w:pPr>
              <w:spacing w:after="0"/>
              <w:rPr>
                <w:sz w:val="21"/>
                <w:szCs w:val="21"/>
                <w:color w:val="auto"/>
              </w:rPr>
            </w:pPr>
          </w:p>
        </w:tc>
        <w:tc>
          <w:tcPr>
            <w:tcW w:w="1720" w:type="dxa"/>
            <w:vAlign w:val="bottom"/>
          </w:tcPr>
          <w:p>
            <w:pPr>
              <w:jc w:val="right"/>
              <w:ind w:right="8"/>
              <w:spacing w:after="0"/>
              <w:rPr>
                <w:sz w:val="20"/>
                <w:szCs w:val="20"/>
                <w:color w:val="auto"/>
              </w:rPr>
            </w:pPr>
            <w:r>
              <w:rPr>
                <w:rFonts w:ascii="Arial" w:cs="Arial" w:eastAsia="Arial" w:hAnsi="Arial"/>
                <w:sz w:val="15"/>
                <w:szCs w:val="15"/>
                <w:color w:val="auto"/>
              </w:rPr>
              <w:t>2,579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1"/>
                <w:szCs w:val="21"/>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r>
        <w:trPr>
          <w:trHeight w:val="400"/>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860" w:type="dxa"/>
            <w:vAlign w:val="bottom"/>
            <w:tcBorders>
              <w:bottom w:val="single" w:sz="8" w:color="2C6937"/>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As of December 31, 2025</w:t>
            </w:r>
          </w:p>
        </w:tc>
        <w:tc>
          <w:tcPr>
            <w:tcW w:w="16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r>
      <w:tr>
        <w:trPr>
          <w:trHeight w:val="332"/>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4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6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147"/>
              <w:spacing w:after="0"/>
              <w:rPr>
                <w:sz w:val="20"/>
                <w:szCs w:val="20"/>
                <w:color w:val="auto"/>
              </w:rPr>
            </w:pPr>
            <w:r>
              <w:rPr>
                <w:rFonts w:ascii="Arial" w:cs="Arial" w:eastAsia="Arial" w:hAnsi="Arial"/>
                <w:sz w:val="14"/>
                <w:szCs w:val="14"/>
                <w:b w:val="1"/>
                <w:bCs w:val="1"/>
                <w:color w:val="auto"/>
                <w:w w:val="99"/>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center"/>
              <w:ind w:right="147"/>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28"/>
              <w:spacing w:after="0"/>
              <w:rPr>
                <w:sz w:val="20"/>
                <w:szCs w:val="20"/>
                <w:color w:val="auto"/>
              </w:rPr>
            </w:pPr>
            <w:r>
              <w:rPr>
                <w:rFonts w:ascii="Arial" w:cs="Arial" w:eastAsia="Arial" w:hAnsi="Arial"/>
                <w:sz w:val="14"/>
                <w:szCs w:val="14"/>
                <w:b w:val="1"/>
                <w:bCs w:val="1"/>
                <w:color w:val="auto"/>
                <w:w w:val="97"/>
              </w:rPr>
              <w:t>Adjustments</w:t>
            </w:r>
            <w:r>
              <w:rPr>
                <w:rFonts w:ascii="Arial" w:cs="Arial" w:eastAsia="Arial" w:hAnsi="Arial"/>
                <w:sz w:val="17"/>
                <w:szCs w:val="17"/>
                <w:b w:val="1"/>
                <w:bCs w:val="1"/>
                <w:color w:val="auto"/>
                <w:w w:val="97"/>
                <w:vertAlign w:val="superscript"/>
              </w:rPr>
              <w:t>(1)</w:t>
            </w: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98"/>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27"/>
              <w:spacing w:after="0"/>
              <w:rPr>
                <w:sz w:val="20"/>
                <w:szCs w:val="20"/>
                <w:color w:val="auto"/>
              </w:rPr>
            </w:pPr>
            <w:r>
              <w:rPr>
                <w:rFonts w:ascii="Arial" w:cs="Arial" w:eastAsia="Arial" w:hAnsi="Arial"/>
                <w:sz w:val="15"/>
                <w:szCs w:val="15"/>
                <w:color w:val="auto"/>
              </w:rPr>
              <w:t>1,343,231</w:t>
            </w: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8"/>
              <w:spacing w:after="0"/>
              <w:rPr>
                <w:sz w:val="20"/>
                <w:szCs w:val="20"/>
                <w:color w:val="auto"/>
              </w:rPr>
            </w:pPr>
            <w:r>
              <w:rPr>
                <w:rFonts w:ascii="Arial" w:cs="Arial" w:eastAsia="Arial" w:hAnsi="Arial"/>
                <w:sz w:val="15"/>
                <w:szCs w:val="15"/>
                <w:color w:val="auto"/>
              </w:rPr>
              <w:t>(344)</w:t>
            </w:r>
          </w:p>
        </w:tc>
        <w:tc>
          <w:tcPr>
            <w:tcW w:w="200" w:type="dxa"/>
            <w:vAlign w:val="bottom"/>
          </w:tcPr>
          <w:p>
            <w:pPr>
              <w:jc w:val="center"/>
              <w:ind w:left="7"/>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(344)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251,659</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39,605</w:t>
            </w:r>
          </w:p>
        </w:tc>
      </w:tr>
      <w:tr>
        <w:trPr>
          <w:trHeight w:val="245"/>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67"/>
              <w:spacing w:after="0"/>
              <w:rPr>
                <w:sz w:val="20"/>
                <w:szCs w:val="20"/>
                <w:color w:val="auto"/>
              </w:rPr>
            </w:pPr>
            <w:r>
              <w:rPr>
                <w:rFonts w:ascii="Arial" w:cs="Arial" w:eastAsia="Arial" w:hAnsi="Arial"/>
                <w:sz w:val="15"/>
                <w:szCs w:val="15"/>
                <w:color w:val="auto"/>
              </w:rPr>
              <w:t>(28,764)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48"/>
              <w:spacing w:after="0"/>
              <w:rPr>
                <w:sz w:val="20"/>
                <w:szCs w:val="20"/>
                <w:color w:val="auto"/>
              </w:rPr>
            </w:pPr>
            <w:r>
              <w:rPr>
                <w:rFonts w:ascii="Arial" w:cs="Arial" w:eastAsia="Arial" w:hAnsi="Arial"/>
                <w:sz w:val="15"/>
                <w:szCs w:val="15"/>
                <w:color w:val="auto"/>
              </w:rPr>
              <w:t>2,355</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2,355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1"/>
                <w:szCs w:val="21"/>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bl>
    <w:p>
      <w:pPr>
        <w:spacing w:after="0" w:line="96" w:lineRule="exact"/>
        <w:rPr>
          <w:sz w:val="20"/>
          <w:szCs w:val="20"/>
          <w:color w:val="auto"/>
        </w:rPr>
      </w:pPr>
    </w:p>
    <w:p>
      <w:pPr>
        <w:ind w:left="220" w:hanging="217"/>
        <w:spacing w:after="0"/>
        <w:tabs>
          <w:tab w:leader="none" w:pos="2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No basis adjustment associated with open hedges, as all hedges are designated at the close of business, with a one-day term.</w:t>
      </w:r>
    </w:p>
    <w:p>
      <w:pPr>
        <w:spacing w:after="0" w:line="135"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Derivative Counterparty Credit Exposure</w:t>
      </w:r>
    </w:p>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Our derivative counterparty credit exposure relates principally to interest-rate derivative contracts. We manage our derivative counterparty credit exposure relating to our risk management derivative transactions mainly through enforceable master netting arrangements and collateral requirements. See “Note 12, Netting Arrangements” for information on our rights to offset assets and liabilities as of September 30, 2026 and December 31, 2025.</w:t>
      </w:r>
    </w:p>
    <w:p>
      <w:pPr>
        <w:spacing w:after="0" w:line="3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For certain over-the-counter (“OTC”) derivatives, the amount of collateral we pledge to counterparties related to our derivative instruments is determined after considering our credit ratings. Currently, our long-term senior debt is rated AA+ or above by the three major rating agencies, S&amp;P Global Ratings, Moody’s Ratings, and Fitch Ratings. If our long-term senior debt credit ratings were downgraded to established thresholds in our OTC derivative contracts, which range from A3/A- to Baa2/BBB or below, we would be required to provide additional collateral to certain counterparties. The aggregate fair value of our OTC derivative instruments with credit-risk-related contingent features that were in a net liability position was $1.1 billion and $651 million, for which we posted collateral of $756 million and $552 million as of September 30, 2026 and December 31, 2025, respectively. If our credit ratings were downgraded to Baa2/BBB or below, the maximum additional collateral we would have been required to post to our counterparties as of September 30, 2026 and December 31, 2025 would have been $740 million and $316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352425</wp:posOffset>
            </wp:positionV>
            <wp:extent cx="680593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90" w:name="page91"/>
    <w:bookmarkEnd w:id="90"/>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10. Segment Reporting</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have two reportable business segments, which are based on the type of business activities each perform: Single-Family and Multifamily. Results of our two business segments are intended to reflect each segment as if it were a stand-alone business. Our Acting Chief Executive Officer is the chief operating decision maker (“CODM”) for our two reportable business segments. The CODM uses both net revenues and income before federal income taxes, on a quarterly basis, to assess the financial performance of the segments and for purposes of allocating resources. The accounting policies of our two reportable business segments are the same as those described in “Note 1, Summary of Significant Accounting Policies” in our 2025 Form 10-K. Also see “Note 11, Segment Reporting” in our 2025 Form 10-K for additional information related to our business segments.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Segment Allocations and Results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majority of our assets, revenues and expenses are directly associated with each respective business segment and are included in determining its asset balance and operating results. Those assets, revenues and expenses that are not directly attributable to a particular business segment are allocated based on the size of each segment’s guaranty book of business. As a result, the sum of each income statement line item for the two reportable segments is equal to that same income statement line item for the consolidated entity. In addition, the sum of the total assets for the two reportable segments is equal to the total assets of the consolidated entity.</w:t>
      </w:r>
    </w:p>
    <w:p>
      <w:pPr>
        <w:spacing w:after="0" w:line="38"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color w:val="auto"/>
        </w:rPr>
        <w:t>The substantial majority of the gains and losses associated with our risk management derivatives are allocated to our Single-Family business segment. During the third quarter of 2026, we changed our methodology for allocating certain components of these gains and losses between our two business segments. The revised methodology better reflects each segment’s exposure to changes in fair value. We did not recast prior-year segment results to conform to the new basis because the effect of applying the revised methodology to those periods was not significant.</w:t>
      </w:r>
    </w:p>
    <w:p>
      <w:pPr>
        <w:sectPr>
          <w:pgSz w:w="11900" w:h="16838" w:orient="portrait"/>
          <w:cols w:equalWidth="0" w:num="1">
            <w:col w:w="11240"/>
          </w:cols>
          <w:pgMar w:left="320" w:top="261" w:right="3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total assets by segment.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4043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404360" cy="8255"/>
                    </a:xfrm>
                    <a:prstGeom prst="rect">
                      <a:avLst/>
                    </a:prstGeom>
                    <a:noFill/>
                  </pic:spPr>
                </pic:pic>
              </a:graphicData>
            </a:graphic>
          </wp:anchor>
        </w:drawing>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4043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4043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44043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404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63588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0" w:type="dxa"/>
            <w:vAlign w:val="bottom"/>
            <w:tcBorders>
              <w:bottom w:val="single" w:sz="8" w:color="2C6937"/>
            </w:tcBorders>
          </w:tcPr>
          <w:p>
            <w:pPr>
              <w:spacing w:after="0"/>
              <w:rPr>
                <w:sz w:val="18"/>
                <w:szCs w:val="18"/>
                <w:color w:val="auto"/>
              </w:rPr>
            </w:pPr>
          </w:p>
        </w:tc>
        <w:tc>
          <w:tcPr>
            <w:tcW w:w="1960" w:type="dxa"/>
            <w:vAlign w:val="bottom"/>
            <w:tcBorders>
              <w:bottom w:val="single" w:sz="8" w:color="2C6937"/>
            </w:tcBorders>
            <w:gridSpan w:val="2"/>
          </w:tcPr>
          <w:p>
            <w:pPr>
              <w:ind w:left="100"/>
              <w:spacing w:after="0"/>
              <w:rPr>
                <w:sz w:val="20"/>
                <w:szCs w:val="20"/>
                <w:color w:val="auto"/>
              </w:rPr>
            </w:pPr>
            <w:r>
              <w:rPr>
                <w:rFonts w:ascii="Arial" w:cs="Arial" w:eastAsia="Arial" w:hAnsi="Arial"/>
                <w:sz w:val="15"/>
                <w:szCs w:val="15"/>
                <w:b w:val="1"/>
                <w:bCs w:val="1"/>
                <w:color w:val="auto"/>
              </w:rPr>
              <w:t>September 30, 2026</w:t>
            </w:r>
          </w:p>
        </w:tc>
        <w:tc>
          <w:tcPr>
            <w:tcW w:w="200" w:type="dxa"/>
            <w:vAlign w:val="bottom"/>
            <w:tcBorders>
              <w:bottom w:val="single" w:sz="8" w:color="2C6937"/>
            </w:tcBorders>
          </w:tcPr>
          <w:p>
            <w:pPr>
              <w:spacing w:after="0"/>
              <w:rPr>
                <w:sz w:val="18"/>
                <w:szCs w:val="18"/>
                <w:color w:val="auto"/>
              </w:rPr>
            </w:pPr>
          </w:p>
        </w:tc>
        <w:tc>
          <w:tcPr>
            <w:tcW w:w="180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b w:val="1"/>
                <w:bCs w:val="1"/>
                <w:color w:val="auto"/>
              </w:rPr>
              <w:t>December 31, 2025</w:t>
            </w:r>
          </w:p>
        </w:tc>
      </w:tr>
      <w:tr>
        <w:trPr>
          <w:trHeight w:val="218"/>
        </w:trPr>
        <w:tc>
          <w:tcPr>
            <w:tcW w:w="180" w:type="dxa"/>
            <w:vAlign w:val="bottom"/>
          </w:tcPr>
          <w:p>
            <w:pPr>
              <w:spacing w:after="0"/>
              <w:rPr>
                <w:sz w:val="18"/>
                <w:szCs w:val="18"/>
                <w:color w:val="auto"/>
              </w:rPr>
            </w:pPr>
          </w:p>
        </w:tc>
        <w:tc>
          <w:tcPr>
            <w:tcW w:w="396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219"/>
        </w:trPr>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3,740,283</w:t>
            </w:r>
          </w:p>
        </w:tc>
        <w:tc>
          <w:tcPr>
            <w:tcW w:w="14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3,757,261</w:t>
            </w:r>
          </w:p>
        </w:tc>
      </w:tr>
      <w:tr>
        <w:trPr>
          <w:trHeight w:val="213"/>
        </w:trPr>
        <w:tc>
          <w:tcPr>
            <w:tcW w:w="180" w:type="dxa"/>
            <w:vAlign w:val="bottom"/>
            <w:tcBorders>
              <w:bottom w:val="single" w:sz="8" w:color="2C6937"/>
            </w:tcBorders>
          </w:tcPr>
          <w:p>
            <w:pPr>
              <w:spacing w:after="0"/>
              <w:rPr>
                <w:sz w:val="18"/>
                <w:szCs w:val="18"/>
                <w:color w:val="auto"/>
              </w:rPr>
            </w:pPr>
          </w:p>
        </w:tc>
        <w:tc>
          <w:tcPr>
            <w:tcW w:w="1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577,604</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560,277</w:t>
            </w:r>
          </w:p>
        </w:tc>
      </w:tr>
      <w:tr>
        <w:trPr>
          <w:trHeight w:val="212"/>
        </w:trPr>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4,317,887</w:t>
            </w:r>
          </w:p>
        </w:tc>
        <w:tc>
          <w:tcPr>
            <w:tcW w:w="140" w:type="dxa"/>
            <w:vAlign w:val="bottom"/>
          </w:tcPr>
          <w:p>
            <w:pPr>
              <w:spacing w:after="0"/>
              <w:rPr>
                <w:sz w:val="18"/>
                <w:szCs w:val="18"/>
                <w:color w:val="auto"/>
              </w:rPr>
            </w:pPr>
          </w:p>
        </w:tc>
        <w:tc>
          <w:tcPr>
            <w:tcW w:w="20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4,317,538</w:t>
            </w:r>
          </w:p>
        </w:tc>
      </w:tr>
      <w:tr>
        <w:trPr>
          <w:trHeight w:val="20"/>
        </w:trPr>
        <w:tc>
          <w:tcPr>
            <w:tcW w:w="180" w:type="dxa"/>
            <w:vAlign w:val="bottom"/>
            <w:tcBorders>
              <w:bottom w:val="single" w:sz="8" w:color="2C6937"/>
            </w:tcBorders>
          </w:tcPr>
          <w:p>
            <w:pPr>
              <w:spacing w:after="0" w:line="20" w:lineRule="exact"/>
              <w:rPr>
                <w:sz w:val="1"/>
                <w:szCs w:val="1"/>
                <w:color w:val="auto"/>
              </w:rPr>
            </w:pPr>
          </w:p>
        </w:tc>
        <w:tc>
          <w:tcPr>
            <w:tcW w:w="182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800" w:type="dxa"/>
            <w:vAlign w:val="bottom"/>
            <w:tcBorders>
              <w:bottom w:val="single" w:sz="8" w:color="2C6937"/>
            </w:tcBorders>
          </w:tcPr>
          <w:p>
            <w:pPr>
              <w:spacing w:after="0" w:line="20" w:lineRule="exact"/>
              <w:rPr>
                <w:sz w:val="1"/>
                <w:szCs w:val="1"/>
                <w:color w:val="auto"/>
              </w:rPr>
            </w:pPr>
          </w:p>
        </w:tc>
      </w:tr>
    </w:tbl>
    <w:p>
      <w:pPr>
        <w:spacing w:after="0" w:line="146" w:lineRule="exact"/>
        <w:rPr>
          <w:sz w:val="20"/>
          <w:szCs w:val="20"/>
          <w:color w:val="auto"/>
        </w:rPr>
      </w:pPr>
    </w:p>
    <w:p>
      <w:pPr>
        <w:sectPr>
          <w:pgSz w:w="11900" w:h="16838" w:orient="portrait"/>
          <w:cols w:equalWidth="0" w:num="2">
            <w:col w:w="6380" w:space="720"/>
            <w:col w:w="4140"/>
          </w:cols>
          <w:pgMar w:left="320" w:top="261" w:right="339" w:bottom="1440" w:gutter="0" w:footer="0" w:header="0"/>
          <w:type w:val="continuous"/>
        </w:sectPr>
      </w:pPr>
    </w:p>
    <w:p>
      <w:pPr>
        <w:ind w:right="140"/>
        <w:spacing w:after="0" w:line="293" w:lineRule="auto"/>
        <w:rPr>
          <w:sz w:val="20"/>
          <w:szCs w:val="20"/>
          <w:color w:val="auto"/>
        </w:rPr>
      </w:pPr>
      <w:r>
        <w:rPr>
          <w:rFonts w:ascii="Arial" w:cs="Arial" w:eastAsia="Arial" w:hAnsi="Arial"/>
          <w:sz w:val="16"/>
          <w:szCs w:val="16"/>
          <w:color w:val="auto"/>
        </w:rPr>
        <w:t>We operate our business solely in the United States and its territories, and accordingly, we generate no revenue from and have no long-lived assets, other than financial instruments, in geographic locations other than the United States and its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342900</wp:posOffset>
            </wp:positionV>
            <wp:extent cx="680593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displays our segment results.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4720" w:type="dxa"/>
            <w:vAlign w:val="bottom"/>
            <w:tcBorders>
              <w:bottom w:val="single" w:sz="8" w:color="2C6937"/>
            </w:tcBorders>
            <w:gridSpan w:val="11"/>
          </w:tcPr>
          <w:p>
            <w:pPr>
              <w:jc w:val="center"/>
              <w:ind w:right="180"/>
              <w:spacing w:after="0"/>
              <w:rPr>
                <w:sz w:val="20"/>
                <w:szCs w:val="20"/>
                <w:color w:val="auto"/>
              </w:rPr>
            </w:pPr>
            <w:r>
              <w:rPr>
                <w:rFonts w:ascii="Arial" w:cs="Arial" w:eastAsia="Arial" w:hAnsi="Arial"/>
                <w:sz w:val="15"/>
                <w:szCs w:val="15"/>
                <w:b w:val="1"/>
                <w:bCs w:val="1"/>
                <w:color w:val="auto"/>
                <w:w w:val="97"/>
              </w:rPr>
              <w:t>For the Three Months Ended September 30,</w:t>
            </w: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r>
      <w:tr>
        <w:trPr>
          <w:trHeight w:val="199"/>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w w:val="95"/>
              </w:rPr>
              <w:t>2025</w:t>
            </w:r>
          </w:p>
        </w:tc>
        <w:tc>
          <w:tcPr>
            <w:tcW w:w="10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r>
      <w:tr>
        <w:trPr>
          <w:trHeight w:val="238"/>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5"/>
                <w:szCs w:val="15"/>
                <w:b w:val="1"/>
                <w:bCs w:val="1"/>
                <w:color w:val="auto"/>
                <w:w w:val="96"/>
              </w:rPr>
              <w:t>Multifamily</w:t>
            </w:r>
          </w:p>
        </w:tc>
        <w:tc>
          <w:tcPr>
            <w:tcW w:w="24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5"/>
                <w:szCs w:val="15"/>
                <w:b w:val="1"/>
                <w:bCs w:val="1"/>
                <w:color w:val="auto"/>
                <w:w w:val="96"/>
              </w:rPr>
              <w:t>Multifamily</w:t>
            </w:r>
          </w:p>
        </w:tc>
        <w:tc>
          <w:tcPr>
            <w:tcW w:w="26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Total</w:t>
            </w:r>
          </w:p>
        </w:tc>
      </w:tr>
      <w:tr>
        <w:trPr>
          <w:trHeight w:val="202"/>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w w:val="97"/>
              </w:rPr>
              <w:t>(Dollars in millions)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5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6,268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1,291</w:t>
            </w:r>
          </w:p>
        </w:tc>
        <w:tc>
          <w:tcPr>
            <w:tcW w:w="100" w:type="dxa"/>
            <w:vAlign w:val="bottom"/>
          </w:tcPr>
          <w:p>
            <w:pPr>
              <w:spacing w:after="0"/>
              <w:rPr>
                <w:sz w:val="24"/>
                <w:szCs w:val="24"/>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7,559</w:t>
            </w:r>
          </w:p>
        </w:tc>
        <w:tc>
          <w:tcPr>
            <w:tcW w:w="100" w:type="dxa"/>
            <w:vAlign w:val="bottom"/>
          </w:tcPr>
          <w:p>
            <w:pPr>
              <w:spacing w:after="0"/>
              <w:rPr>
                <w:sz w:val="24"/>
                <w:szCs w:val="24"/>
                <w:color w:val="auto"/>
              </w:rPr>
            </w:pP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5,992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1,192</w:t>
            </w:r>
          </w:p>
        </w:tc>
        <w:tc>
          <w:tcPr>
            <w:tcW w:w="100" w:type="dxa"/>
            <w:vAlign w:val="bottom"/>
          </w:tcPr>
          <w:p>
            <w:pPr>
              <w:spacing w:after="0"/>
              <w:rPr>
                <w:sz w:val="24"/>
                <w:szCs w:val="24"/>
                <w:color w:val="auto"/>
              </w:rPr>
            </w:pPr>
          </w:p>
        </w:tc>
        <w:tc>
          <w:tcPr>
            <w:tcW w:w="2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7,184</w:t>
            </w:r>
          </w:p>
        </w:tc>
      </w:tr>
      <w:tr>
        <w:trPr>
          <w:trHeight w:val="292"/>
        </w:trPr>
        <w:tc>
          <w:tcPr>
            <w:tcW w:w="3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68</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92</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123</w:t>
            </w:r>
          </w:p>
        </w:tc>
      </w:tr>
      <w:tr>
        <w:trPr>
          <w:trHeight w:val="202"/>
        </w:trPr>
        <w:tc>
          <w:tcPr>
            <w:tcW w:w="386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6,336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1,315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7,651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6,096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7,307</w:t>
            </w:r>
          </w:p>
        </w:tc>
      </w:tr>
      <w:tr>
        <w:trPr>
          <w:trHeight w:val="35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(2)</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658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92"/>
        </w:trPr>
        <w:tc>
          <w:tcPr>
            <w:tcW w:w="3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(3)</w:t>
            </w:r>
          </w:p>
        </w:tc>
        <w:tc>
          <w:tcPr>
            <w:tcW w:w="10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92</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94</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120</w:t>
            </w:r>
          </w:p>
        </w:tc>
      </w:tr>
      <w:tr>
        <w:trPr>
          <w:trHeight w:val="202"/>
        </w:trPr>
        <w:tc>
          <w:tcPr>
            <w:tcW w:w="3860" w:type="dxa"/>
            <w:vAlign w:val="bottom"/>
            <w:gridSpan w:val="2"/>
          </w:tcPr>
          <w:p>
            <w:pPr>
              <w:ind w:left="180"/>
              <w:spacing w:after="0"/>
              <w:rPr>
                <w:sz w:val="20"/>
                <w:szCs w:val="20"/>
                <w:color w:val="auto"/>
              </w:rPr>
            </w:pPr>
            <w:r>
              <w:rPr>
                <w:rFonts w:ascii="Arial" w:cs="Arial" w:eastAsia="Arial" w:hAnsi="Arial"/>
                <w:sz w:val="15"/>
                <w:szCs w:val="15"/>
                <w:color w:val="auto"/>
              </w:rPr>
              <w:t>Other gains (losses), net</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133</w:t>
            </w:r>
          </w:p>
        </w:tc>
      </w:tr>
      <w:tr>
        <w:trPr>
          <w:trHeight w:val="21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(Provision) benefit for credit losses</w:t>
            </w:r>
            <w:r>
              <w:rPr>
                <w:rFonts w:ascii="Arial" w:cs="Arial" w:eastAsia="Arial" w:hAnsi="Arial"/>
                <w:sz w:val="18"/>
                <w:szCs w:val="18"/>
                <w:color w:val="auto"/>
                <w:vertAlign w:val="superscript"/>
              </w:rPr>
              <w:t>(4)</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(1,140)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(338)</w:t>
            </w:r>
          </w:p>
        </w:tc>
      </w:tr>
      <w:tr>
        <w:trPr>
          <w:trHeight w:val="19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8"/>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(5)</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(819)</w:t>
            </w:r>
          </w:p>
        </w:tc>
      </w:tr>
      <w:tr>
        <w:trPr>
          <w:trHeight w:val="297"/>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(6)</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(943)</w:t>
            </w:r>
          </w:p>
        </w:tc>
      </w:tr>
      <w:tr>
        <w:trPr>
          <w:trHeight w:val="301"/>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(289)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(371)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(409)</w:t>
            </w:r>
          </w:p>
        </w:tc>
      </w:tr>
      <w:tr>
        <w:trPr>
          <w:trHeight w:val="198"/>
        </w:trPr>
        <w:tc>
          <w:tcPr>
            <w:tcW w:w="3760" w:type="dxa"/>
            <w:vAlign w:val="bottom"/>
            <w:tcBorders>
              <w:bottom w:val="single" w:sz="8" w:color="2C6937"/>
            </w:tcBorders>
          </w:tcPr>
          <w:p>
            <w:pPr>
              <w:ind w:left="12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(8)</w:t>
            </w: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(107)</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63</w:t>
            </w:r>
          </w:p>
        </w:tc>
        <w:tc>
          <w:tcPr>
            <w:tcW w:w="10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(44)</w:t>
            </w: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(96)</w:t>
            </w:r>
          </w:p>
        </w:tc>
      </w:tr>
      <w:tr>
        <w:trPr>
          <w:trHeight w:val="199"/>
        </w:trPr>
        <w:tc>
          <w:tcPr>
            <w:tcW w:w="3760" w:type="dxa"/>
            <w:vAlign w:val="bottom"/>
            <w:tcBorders>
              <w:bottom w:val="single" w:sz="8" w:color="2C6937"/>
            </w:tcBorders>
          </w:tcPr>
          <w:p>
            <w:pPr>
              <w:ind w:left="24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(1,938)</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(185)</w:t>
            </w:r>
          </w:p>
        </w:tc>
        <w:tc>
          <w:tcPr>
            <w:tcW w:w="10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(2,123)</w:t>
            </w: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(2,057)</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(210)</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(2,267)</w:t>
            </w:r>
          </w:p>
        </w:tc>
      </w:tr>
      <w:tr>
        <w:trPr>
          <w:trHeight w:val="20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4,454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5,112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4,835</w:t>
            </w:r>
          </w:p>
        </w:tc>
      </w:tr>
      <w:tr>
        <w:trPr>
          <w:trHeight w:val="204"/>
        </w:trPr>
        <w:tc>
          <w:tcPr>
            <w:tcW w:w="3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(812)</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(123)</w:t>
            </w:r>
          </w:p>
        </w:tc>
        <w:tc>
          <w:tcPr>
            <w:tcW w:w="10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(935)</w:t>
            </w: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(790)</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(186)</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(976)</w:t>
            </w:r>
          </w:p>
        </w:tc>
      </w:tr>
      <w:tr>
        <w:trPr>
          <w:trHeight w:val="199"/>
        </w:trPr>
        <w:tc>
          <w:tcPr>
            <w:tcW w:w="37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7"/>
                <w:szCs w:val="17"/>
                <w:color w:val="auto"/>
              </w:rPr>
            </w:pPr>
          </w:p>
        </w:tc>
        <w:tc>
          <w:tcPr>
            <w:tcW w:w="360" w:type="dxa"/>
            <w:vAlign w:val="bottom"/>
            <w:tcBorders>
              <w:bottom w:val="single" w:sz="8" w:color="2C6937"/>
            </w:tcBorders>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3,642</w:t>
            </w:r>
          </w:p>
        </w:tc>
        <w:tc>
          <w:tcPr>
            <w:tcW w:w="100" w:type="dxa"/>
            <w:vAlign w:val="bottom"/>
          </w:tcPr>
          <w:p>
            <w:pPr>
              <w:spacing w:after="0"/>
              <w:rPr>
                <w:sz w:val="17"/>
                <w:szCs w:val="17"/>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535</w:t>
            </w:r>
          </w:p>
        </w:tc>
        <w:tc>
          <w:tcPr>
            <w:tcW w:w="100" w:type="dxa"/>
            <w:vAlign w:val="bottom"/>
          </w:tcPr>
          <w:p>
            <w:pPr>
              <w:spacing w:after="0"/>
              <w:rPr>
                <w:sz w:val="17"/>
                <w:szCs w:val="17"/>
                <w:color w:val="auto"/>
              </w:rPr>
            </w:pPr>
          </w:p>
        </w:tc>
        <w:tc>
          <w:tcPr>
            <w:tcW w:w="240" w:type="dxa"/>
            <w:vAlign w:val="bottom"/>
            <w:tcBorders>
              <w:bottom w:val="single" w:sz="8" w:color="2C6937"/>
            </w:tcBorders>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4,177</w:t>
            </w:r>
          </w:p>
        </w:tc>
        <w:tc>
          <w:tcPr>
            <w:tcW w:w="100" w:type="dxa"/>
            <w:vAlign w:val="bottom"/>
          </w:tcPr>
          <w:p>
            <w:pPr>
              <w:spacing w:after="0"/>
              <w:rPr>
                <w:sz w:val="17"/>
                <w:szCs w:val="17"/>
                <w:color w:val="auto"/>
              </w:rPr>
            </w:pPr>
          </w:p>
        </w:tc>
        <w:tc>
          <w:tcPr>
            <w:tcW w:w="340" w:type="dxa"/>
            <w:vAlign w:val="bottom"/>
            <w:tcBorders>
              <w:bottom w:val="single" w:sz="8" w:color="2C6937"/>
            </w:tcBorders>
          </w:tcPr>
          <w:p>
            <w:pPr>
              <w:jc w:val="right"/>
              <w:ind w:right="167"/>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3,085</w:t>
            </w:r>
          </w:p>
        </w:tc>
        <w:tc>
          <w:tcPr>
            <w:tcW w:w="100" w:type="dxa"/>
            <w:vAlign w:val="bottom"/>
          </w:tcPr>
          <w:p>
            <w:pPr>
              <w:spacing w:after="0"/>
              <w:rPr>
                <w:sz w:val="17"/>
                <w:szCs w:val="17"/>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774</w:t>
            </w:r>
          </w:p>
        </w:tc>
        <w:tc>
          <w:tcPr>
            <w:tcW w:w="100" w:type="dxa"/>
            <w:vAlign w:val="bottom"/>
          </w:tcPr>
          <w:p>
            <w:pPr>
              <w:spacing w:after="0"/>
              <w:rPr>
                <w:sz w:val="17"/>
                <w:szCs w:val="17"/>
                <w:color w:val="auto"/>
              </w:rPr>
            </w:pPr>
          </w:p>
        </w:tc>
        <w:tc>
          <w:tcPr>
            <w:tcW w:w="260" w:type="dxa"/>
            <w:vAlign w:val="bottom"/>
            <w:tcBorders>
              <w:bottom w:val="single" w:sz="8" w:color="2C6937"/>
            </w:tcBorders>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3,859</w:t>
            </w:r>
          </w:p>
        </w:tc>
      </w:tr>
      <w:tr>
        <w:trPr>
          <w:trHeight w:val="20"/>
        </w:trPr>
        <w:tc>
          <w:tcPr>
            <w:tcW w:w="3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r>
      <w:tr>
        <w:trPr>
          <w:trHeight w:val="688"/>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4720" w:type="dxa"/>
            <w:vAlign w:val="bottom"/>
            <w:tcBorders>
              <w:bottom w:val="single" w:sz="8" w:color="2C6937"/>
            </w:tcBorders>
            <w:gridSpan w:val="11"/>
          </w:tcPr>
          <w:p>
            <w:pPr>
              <w:jc w:val="center"/>
              <w:ind w:right="200"/>
              <w:spacing w:after="0"/>
              <w:rPr>
                <w:sz w:val="20"/>
                <w:szCs w:val="20"/>
                <w:color w:val="auto"/>
              </w:rPr>
            </w:pPr>
            <w:r>
              <w:rPr>
                <w:rFonts w:ascii="Arial" w:cs="Arial" w:eastAsia="Arial" w:hAnsi="Arial"/>
                <w:sz w:val="15"/>
                <w:szCs w:val="15"/>
                <w:b w:val="1"/>
                <w:bCs w:val="1"/>
                <w:color w:val="auto"/>
                <w:w w:val="96"/>
              </w:rPr>
              <w:t>For the Nine Months Ended September 30,</w:t>
            </w:r>
          </w:p>
        </w:tc>
        <w:tc>
          <w:tcPr>
            <w:tcW w:w="2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r>
      <w:tr>
        <w:trPr>
          <w:trHeight w:val="199"/>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w w:val="95"/>
              </w:rPr>
              <w:t>2025</w:t>
            </w:r>
          </w:p>
        </w:tc>
        <w:tc>
          <w:tcPr>
            <w:tcW w:w="10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r>
      <w:tr>
        <w:trPr>
          <w:trHeight w:val="238"/>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5"/>
                <w:szCs w:val="15"/>
                <w:b w:val="1"/>
                <w:bCs w:val="1"/>
                <w:color w:val="auto"/>
                <w:w w:val="96"/>
              </w:rPr>
              <w:t>Multifamily</w:t>
            </w:r>
          </w:p>
        </w:tc>
        <w:tc>
          <w:tcPr>
            <w:tcW w:w="24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5"/>
                <w:szCs w:val="15"/>
                <w:b w:val="1"/>
                <w:bCs w:val="1"/>
                <w:color w:val="auto"/>
                <w:w w:val="96"/>
              </w:rPr>
              <w:t>Multifamily</w:t>
            </w:r>
          </w:p>
        </w:tc>
        <w:tc>
          <w:tcPr>
            <w:tcW w:w="26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Total</w:t>
            </w:r>
          </w:p>
        </w:tc>
      </w:tr>
      <w:tr>
        <w:trPr>
          <w:trHeight w:val="202"/>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w w:val="97"/>
              </w:rPr>
              <w:t>(Dollars in millions)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5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18,494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3,756</w:t>
            </w:r>
          </w:p>
        </w:tc>
        <w:tc>
          <w:tcPr>
            <w:tcW w:w="100" w:type="dxa"/>
            <w:vAlign w:val="bottom"/>
          </w:tcPr>
          <w:p>
            <w:pPr>
              <w:spacing w:after="0"/>
              <w:rPr>
                <w:sz w:val="24"/>
                <w:szCs w:val="24"/>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22,250</w:t>
            </w:r>
          </w:p>
        </w:tc>
        <w:tc>
          <w:tcPr>
            <w:tcW w:w="100" w:type="dxa"/>
            <w:vAlign w:val="bottom"/>
          </w:tcPr>
          <w:p>
            <w:pPr>
              <w:spacing w:after="0"/>
              <w:rPr>
                <w:sz w:val="24"/>
                <w:szCs w:val="24"/>
                <w:color w:val="auto"/>
              </w:rPr>
            </w:pP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17,850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3,490</w:t>
            </w:r>
          </w:p>
        </w:tc>
        <w:tc>
          <w:tcPr>
            <w:tcW w:w="100" w:type="dxa"/>
            <w:vAlign w:val="bottom"/>
          </w:tcPr>
          <w:p>
            <w:pPr>
              <w:spacing w:after="0"/>
              <w:rPr>
                <w:sz w:val="24"/>
                <w:szCs w:val="24"/>
                <w:color w:val="auto"/>
              </w:rPr>
            </w:pPr>
          </w:p>
        </w:tc>
        <w:tc>
          <w:tcPr>
            <w:tcW w:w="2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21,340</w:t>
            </w:r>
          </w:p>
        </w:tc>
      </w:tr>
      <w:tr>
        <w:trPr>
          <w:trHeight w:val="292"/>
        </w:trPr>
        <w:tc>
          <w:tcPr>
            <w:tcW w:w="3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182</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64</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246</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293</w:t>
            </w:r>
          </w:p>
        </w:tc>
      </w:tr>
      <w:tr>
        <w:trPr>
          <w:trHeight w:val="202"/>
        </w:trPr>
        <w:tc>
          <w:tcPr>
            <w:tcW w:w="386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18,676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3,820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22,496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18,088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21,633</w:t>
            </w:r>
          </w:p>
        </w:tc>
      </w:tr>
      <w:tr>
        <w:trPr>
          <w:trHeight w:val="35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(2)</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675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347</w:t>
            </w:r>
          </w:p>
        </w:tc>
      </w:tr>
      <w:tr>
        <w:trPr>
          <w:trHeight w:val="292"/>
        </w:trPr>
        <w:tc>
          <w:tcPr>
            <w:tcW w:w="3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(3)</w:t>
            </w:r>
          </w:p>
        </w:tc>
        <w:tc>
          <w:tcPr>
            <w:tcW w:w="10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(115)</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(130)</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100</w:t>
            </w:r>
          </w:p>
        </w:tc>
      </w:tr>
      <w:tr>
        <w:trPr>
          <w:trHeight w:val="214"/>
        </w:trPr>
        <w:tc>
          <w:tcPr>
            <w:tcW w:w="3860" w:type="dxa"/>
            <w:vAlign w:val="bottom"/>
            <w:gridSpan w:val="2"/>
          </w:tcPr>
          <w:p>
            <w:pPr>
              <w:ind w:left="180"/>
              <w:spacing w:after="0"/>
              <w:rPr>
                <w:sz w:val="20"/>
                <w:szCs w:val="20"/>
                <w:color w:val="auto"/>
              </w:rPr>
            </w:pPr>
            <w:r>
              <w:rPr>
                <w:rFonts w:ascii="Arial" w:cs="Arial" w:eastAsia="Arial" w:hAnsi="Arial"/>
                <w:sz w:val="15"/>
                <w:szCs w:val="15"/>
                <w:color w:val="auto"/>
              </w:rPr>
              <w:t>Other gains (losses), net</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447</w:t>
            </w:r>
          </w:p>
        </w:tc>
      </w:tr>
      <w:tr>
        <w:trPr>
          <w:trHeight w:val="21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(Provision) benefit for credit losses</w:t>
            </w:r>
            <w:r>
              <w:rPr>
                <w:rFonts w:ascii="Arial" w:cs="Arial" w:eastAsia="Arial" w:hAnsi="Arial"/>
                <w:sz w:val="18"/>
                <w:szCs w:val="18"/>
                <w:color w:val="auto"/>
                <w:vertAlign w:val="superscript"/>
              </w:rPr>
              <w:t>(4)</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(1,902)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(1,308)</w:t>
            </w:r>
          </w:p>
        </w:tc>
      </w:tr>
      <w:tr>
        <w:trPr>
          <w:trHeight w:val="19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8"/>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(5)</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(1,881)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(459)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(2,340)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(2,658)</w:t>
            </w:r>
          </w:p>
        </w:tc>
      </w:tr>
      <w:tr>
        <w:trPr>
          <w:trHeight w:val="297"/>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(6)</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(2,754)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(2,789)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(2,767)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(2,813)</w:t>
            </w:r>
          </w:p>
        </w:tc>
      </w:tr>
      <w:tr>
        <w:trPr>
          <w:trHeight w:val="301"/>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(847)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(243)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(1,090)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(1,055)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(1,288)</w:t>
            </w:r>
          </w:p>
        </w:tc>
      </w:tr>
      <w:tr>
        <w:trPr>
          <w:trHeight w:val="198"/>
        </w:trPr>
        <w:tc>
          <w:tcPr>
            <w:tcW w:w="3760" w:type="dxa"/>
            <w:vAlign w:val="bottom"/>
            <w:tcBorders>
              <w:bottom w:val="single" w:sz="8" w:color="2C6937"/>
            </w:tcBorders>
          </w:tcPr>
          <w:p>
            <w:pPr>
              <w:ind w:left="12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(8)</w:t>
            </w: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(284)</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129</w:t>
            </w:r>
          </w:p>
        </w:tc>
        <w:tc>
          <w:tcPr>
            <w:tcW w:w="10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(155)</w:t>
            </w: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(440)</w:t>
            </w:r>
          </w:p>
        </w:tc>
      </w:tr>
      <w:tr>
        <w:trPr>
          <w:trHeight w:val="199"/>
        </w:trPr>
        <w:tc>
          <w:tcPr>
            <w:tcW w:w="3760" w:type="dxa"/>
            <w:vAlign w:val="bottom"/>
            <w:tcBorders>
              <w:bottom w:val="single" w:sz="8" w:color="2C6937"/>
            </w:tcBorders>
          </w:tcPr>
          <w:p>
            <w:pPr>
              <w:ind w:left="24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(5,766)</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(608)</w:t>
            </w:r>
          </w:p>
        </w:tc>
        <w:tc>
          <w:tcPr>
            <w:tcW w:w="10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(6,374)</w:t>
            </w: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(6,423)</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(776)</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(7,199)</w:t>
            </w:r>
          </w:p>
        </w:tc>
      </w:tr>
      <w:tr>
        <w:trPr>
          <w:trHeight w:val="20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12,471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2,294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14,765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13,573</w:t>
            </w:r>
          </w:p>
        </w:tc>
      </w:tr>
      <w:tr>
        <w:trPr>
          <w:trHeight w:val="204"/>
        </w:trPr>
        <w:tc>
          <w:tcPr>
            <w:tcW w:w="3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(2,492)</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(394)</w:t>
            </w:r>
          </w:p>
        </w:tc>
        <w:tc>
          <w:tcPr>
            <w:tcW w:w="10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(2,886)</w:t>
            </w: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(2,261)</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(475)</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(2,736)</w:t>
            </w:r>
          </w:p>
        </w:tc>
      </w:tr>
      <w:tr>
        <w:trPr>
          <w:trHeight w:val="199"/>
        </w:trPr>
        <w:tc>
          <w:tcPr>
            <w:tcW w:w="386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9,979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1,900</w:t>
            </w:r>
          </w:p>
        </w:tc>
        <w:tc>
          <w:tcPr>
            <w:tcW w:w="100" w:type="dxa"/>
            <w:vAlign w:val="bottom"/>
          </w:tcPr>
          <w:p>
            <w:pPr>
              <w:spacing w:after="0"/>
              <w:rPr>
                <w:sz w:val="17"/>
                <w:szCs w:val="17"/>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11,879</w:t>
            </w:r>
          </w:p>
        </w:tc>
        <w:tc>
          <w:tcPr>
            <w:tcW w:w="100" w:type="dxa"/>
            <w:vAlign w:val="bottom"/>
          </w:tcPr>
          <w:p>
            <w:pPr>
              <w:spacing w:after="0"/>
              <w:rPr>
                <w:sz w:val="17"/>
                <w:szCs w:val="17"/>
                <w:color w:val="auto"/>
              </w:rPr>
            </w:pP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8,739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2,098</w:t>
            </w:r>
          </w:p>
        </w:tc>
        <w:tc>
          <w:tcPr>
            <w:tcW w:w="100" w:type="dxa"/>
            <w:vAlign w:val="bottom"/>
          </w:tcPr>
          <w:p>
            <w:pPr>
              <w:spacing w:after="0"/>
              <w:rPr>
                <w:sz w:val="17"/>
                <w:szCs w:val="17"/>
                <w:color w:val="auto"/>
              </w:rPr>
            </w:pPr>
          </w:p>
        </w:tc>
        <w:tc>
          <w:tcPr>
            <w:tcW w:w="2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10,837</w:t>
            </w:r>
          </w:p>
        </w:tc>
      </w:tr>
      <w:tr>
        <w:trPr>
          <w:trHeight w:val="20"/>
        </w:trPr>
        <w:tc>
          <w:tcPr>
            <w:tcW w:w="3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r>
    </w:tbl>
    <w:p>
      <w:pPr>
        <w:spacing w:after="0" w:line="134" w:lineRule="exact"/>
        <w:rPr>
          <w:sz w:val="20"/>
          <w:szCs w:val="20"/>
          <w:color w:val="auto"/>
        </w:rPr>
      </w:pPr>
    </w:p>
    <w:p>
      <w:pPr>
        <w:ind w:left="240" w:right="300" w:hanging="237"/>
        <w:spacing w:after="0" w:line="233" w:lineRule="auto"/>
        <w:tabs>
          <w:tab w:leader="none" w:pos="233"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Net interest income primarily consists of guaranty fees received as compensation for assuming the credit risk on loans underlying Fannie Mae MBS held by third parties for the respective business segment, and the difference between the interest income earned on the respective business segment’s assets in our retained mortgage portfolio and our corporate liquidity portfolio and the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358140</wp:posOffset>
            </wp:positionV>
            <wp:extent cx="680593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140"/>
          </w:cols>
          <w:pgMar w:left="320" w:top="261" w:right="4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61" w:right="439" w:bottom="1440" w:gutter="0" w:footer="0" w:header="0"/>
          <w:type w:val="continuous"/>
        </w:sectPr>
      </w:pPr>
    </w:p>
    <w:bookmarkStart w:id="92" w:name="page93"/>
    <w:bookmarkEnd w:id="92"/>
    <w:p>
      <w:pPr>
        <w:ind w:left="6378"/>
        <w:spacing w:after="0"/>
        <w:rPr>
          <w:sz w:val="20"/>
          <w:szCs w:val="20"/>
          <w:color w:val="auto"/>
        </w:rPr>
      </w:pPr>
      <w:r>
        <w:rPr>
          <w:rFonts w:ascii="Arial" w:cs="Arial" w:eastAsia="Arial" w:hAnsi="Arial"/>
          <w:sz w:val="13"/>
          <w:szCs w:val="13"/>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24130</wp:posOffset>
            </wp:positionV>
            <wp:extent cx="70154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8"/>
        <w:spacing w:after="0" w:line="264" w:lineRule="auto"/>
        <w:rPr>
          <w:sz w:val="20"/>
          <w:szCs w:val="20"/>
          <w:color w:val="auto"/>
        </w:rPr>
      </w:pPr>
      <w:r>
        <w:rPr>
          <w:rFonts w:ascii="Arial" w:cs="Arial" w:eastAsia="Arial" w:hAnsi="Arial"/>
          <w:sz w:val="14"/>
          <w:szCs w:val="14"/>
          <w:color w:val="auto"/>
        </w:rPr>
        <w:t>associated with the debt funding those assets. Revenues from single-family guaranty fees include revenues generated by the 10 basis point increase in guaranty fees pursuant to the TCCA, the incremental revenue from which is paid to Treasury and not retained by us. Also includes yield maintenance revenue we recognized on the prepayment of multifamily loans.</w:t>
      </w:r>
    </w:p>
    <w:p>
      <w:pPr>
        <w:spacing w:after="0" w:line="10" w:lineRule="exact"/>
        <w:rPr>
          <w:sz w:val="20"/>
          <w:szCs w:val="20"/>
          <w:color w:val="auto"/>
        </w:rPr>
      </w:pPr>
    </w:p>
    <w:p>
      <w:pPr>
        <w:jc w:val="both"/>
        <w:ind w:left="198" w:right="20" w:hanging="198"/>
        <w:spacing w:after="0" w:line="264" w:lineRule="auto"/>
        <w:tabs>
          <w:tab w:leader="none" w:pos="191" w:val="left"/>
        </w:tabs>
        <w:numPr>
          <w:ilvl w:val="0"/>
          <w:numId w:val="78"/>
        </w:numPr>
        <w:rPr>
          <w:rFonts w:ascii="Arial" w:cs="Arial" w:eastAsia="Arial" w:hAnsi="Arial"/>
          <w:sz w:val="9"/>
          <w:szCs w:val="9"/>
          <w:color w:val="auto"/>
        </w:rPr>
      </w:pPr>
      <w:r>
        <w:rPr>
          <w:rFonts w:ascii="Arial" w:cs="Arial" w:eastAsia="Arial" w:hAnsi="Arial"/>
          <w:sz w:val="14"/>
          <w:szCs w:val="14"/>
          <w:color w:val="auto"/>
        </w:rPr>
        <w:t>Single-family fair value gains (losses) primarily consist of fair value gains and losses on risk management and mortgage commitment derivatives, trading securities, fair value option debt, and other financial instruments associated with our single-family guaranty book of business. Multifamily fair value gains (losses) primarily consist of fair value gains and losses on trading securities, risk management derivatives, and other financial instruments associated with our multifamily guaranty book of business.</w:t>
      </w:r>
    </w:p>
    <w:p>
      <w:pPr>
        <w:spacing w:after="0" w:line="23" w:lineRule="exact"/>
        <w:rPr>
          <w:rFonts w:ascii="Arial" w:cs="Arial" w:eastAsia="Arial" w:hAnsi="Arial"/>
          <w:sz w:val="9"/>
          <w:szCs w:val="9"/>
          <w:color w:val="auto"/>
        </w:rPr>
      </w:pPr>
    </w:p>
    <w:p>
      <w:pPr>
        <w:ind w:left="198" w:right="280" w:hanging="198"/>
        <w:spacing w:after="0" w:line="226" w:lineRule="auto"/>
        <w:tabs>
          <w:tab w:leader="none" w:pos="191"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Single-family investment gains (losses) primarily consist of gains and losses on the sale of mortgage assets. Multifamily investment gains (losses) primarily consist of gains and losses on resecuritization activity.</w:t>
      </w:r>
    </w:p>
    <w:p>
      <w:pPr>
        <w:spacing w:after="0" w:line="27" w:lineRule="exact"/>
        <w:rPr>
          <w:rFonts w:ascii="Arial" w:cs="Arial" w:eastAsia="Arial" w:hAnsi="Arial"/>
          <w:sz w:val="18"/>
          <w:szCs w:val="18"/>
          <w:color w:val="auto"/>
          <w:vertAlign w:val="superscript"/>
        </w:rPr>
      </w:pPr>
    </w:p>
    <w:p>
      <w:pPr>
        <w:ind w:left="178" w:hanging="178"/>
        <w:spacing w:after="0"/>
        <w:tabs>
          <w:tab w:leader="none" w:pos="178" w:val="left"/>
        </w:tabs>
        <w:numPr>
          <w:ilvl w:val="0"/>
          <w:numId w:val="78"/>
        </w:numPr>
        <w:rPr>
          <w:rFonts w:ascii="Arial" w:cs="Arial" w:eastAsia="Arial" w:hAnsi="Arial"/>
          <w:sz w:val="9"/>
          <w:szCs w:val="9"/>
          <w:color w:val="auto"/>
        </w:rPr>
      </w:pPr>
      <w:r>
        <w:rPr>
          <w:rFonts w:ascii="Arial" w:cs="Arial" w:eastAsia="Arial" w:hAnsi="Arial"/>
          <w:sz w:val="14"/>
          <w:szCs w:val="14"/>
          <w:color w:val="auto"/>
        </w:rPr>
        <w:t>(Provision) benefit for credit losses is based on loans underlying the segment’s guaranty book of business.</w:t>
      </w:r>
    </w:p>
    <w:p>
      <w:pPr>
        <w:spacing w:after="0" w:line="58" w:lineRule="exact"/>
        <w:rPr>
          <w:rFonts w:ascii="Arial" w:cs="Arial" w:eastAsia="Arial" w:hAnsi="Arial"/>
          <w:sz w:val="9"/>
          <w:szCs w:val="9"/>
          <w:color w:val="auto"/>
        </w:rPr>
      </w:pPr>
    </w:p>
    <w:p>
      <w:pPr>
        <w:ind w:left="178" w:hanging="178"/>
        <w:spacing w:after="0"/>
        <w:tabs>
          <w:tab w:leader="none" w:pos="178" w:val="left"/>
        </w:tabs>
        <w:numPr>
          <w:ilvl w:val="0"/>
          <w:numId w:val="78"/>
        </w:numPr>
        <w:rPr>
          <w:rFonts w:ascii="Arial" w:cs="Arial" w:eastAsia="Arial" w:hAnsi="Arial"/>
          <w:sz w:val="9"/>
          <w:szCs w:val="9"/>
          <w:color w:val="auto"/>
        </w:rPr>
      </w:pPr>
      <w:r>
        <w:rPr>
          <w:rFonts w:ascii="Arial" w:cs="Arial" w:eastAsia="Arial" w:hAnsi="Arial"/>
          <w:sz w:val="14"/>
          <w:szCs w:val="14"/>
          <w:color w:val="auto"/>
        </w:rPr>
        <w:t>Consists of salaries and employee benefits and professional services, technology and occupancy expenses.</w:t>
      </w:r>
    </w:p>
    <w:p>
      <w:pPr>
        <w:spacing w:after="0" w:line="58" w:lineRule="exact"/>
        <w:rPr>
          <w:rFonts w:ascii="Arial" w:cs="Arial" w:eastAsia="Arial" w:hAnsi="Arial"/>
          <w:sz w:val="9"/>
          <w:szCs w:val="9"/>
          <w:color w:val="auto"/>
        </w:rPr>
      </w:pPr>
    </w:p>
    <w:p>
      <w:pPr>
        <w:ind w:left="198" w:hanging="198"/>
        <w:spacing w:after="0" w:line="226" w:lineRule="auto"/>
        <w:tabs>
          <w:tab w:leader="none" w:pos="191"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40" w:lineRule="exact"/>
        <w:rPr>
          <w:rFonts w:ascii="Arial" w:cs="Arial" w:eastAsia="Arial" w:hAnsi="Arial"/>
          <w:sz w:val="18"/>
          <w:szCs w:val="18"/>
          <w:color w:val="auto"/>
          <w:vertAlign w:val="superscript"/>
        </w:rPr>
      </w:pPr>
    </w:p>
    <w:p>
      <w:pPr>
        <w:ind w:left="198" w:hanging="198"/>
        <w:spacing w:after="0" w:line="227" w:lineRule="auto"/>
        <w:tabs>
          <w:tab w:leader="none" w:pos="191"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include primarily costs associated with our Credit Insurance Risk Transfer</w:t>
      </w:r>
      <w:r>
        <w:rPr>
          <w:rFonts w:ascii="Arial" w:cs="Arial" w:eastAsia="Arial" w:hAnsi="Arial"/>
          <w:sz w:val="8"/>
          <w:szCs w:val="8"/>
          <w:color w:val="auto"/>
        </w:rPr>
        <w:t>TM</w:t>
      </w:r>
      <w:r>
        <w:rPr>
          <w:rFonts w:ascii="Arial" w:cs="Arial" w:eastAsia="Arial" w:hAnsi="Arial"/>
          <w:sz w:val="14"/>
          <w:szCs w:val="14"/>
          <w:color w:val="auto"/>
        </w:rPr>
        <w:t xml:space="preserve"> (“CIRT</w:t>
      </w:r>
      <w:r>
        <w:rPr>
          <w:rFonts w:ascii="Arial" w:cs="Arial" w:eastAsia="Arial" w:hAnsi="Arial"/>
          <w:sz w:val="8"/>
          <w:szCs w:val="8"/>
          <w:color w:val="auto"/>
        </w:rPr>
        <w:t>TM</w:t>
      </w:r>
      <w:r>
        <w:rPr>
          <w:rFonts w:ascii="Arial" w:cs="Arial" w:eastAsia="Arial" w:hAnsi="Arial"/>
          <w:sz w:val="14"/>
          <w:szCs w:val="14"/>
          <w:color w:val="auto"/>
        </w:rPr>
        <w:t>”), Connecticut Avenue Securities</w:t>
      </w:r>
      <w:r>
        <w:rPr>
          <w:rFonts w:ascii="Arial" w:cs="Arial" w:eastAsia="Arial" w:hAnsi="Arial"/>
          <w:sz w:val="8"/>
          <w:szCs w:val="8"/>
          <w:color w:val="auto"/>
        </w:rPr>
        <w:t>®</w:t>
      </w:r>
      <w:r>
        <w:rPr>
          <w:rFonts w:ascii="Arial" w:cs="Arial" w:eastAsia="Arial" w:hAnsi="Arial"/>
          <w:sz w:val="14"/>
          <w:szCs w:val="14"/>
          <w:color w:val="auto"/>
        </w:rPr>
        <w:t xml:space="preserve"> (“CAS”) and enterprise-paid mortgage insurance (“EPMI”) programs. Multifamily credit enhancement expense 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39" w:lineRule="exact"/>
        <w:rPr>
          <w:rFonts w:ascii="Arial" w:cs="Arial" w:eastAsia="Arial" w:hAnsi="Arial"/>
          <w:sz w:val="18"/>
          <w:szCs w:val="18"/>
          <w:color w:val="auto"/>
          <w:vertAlign w:val="superscript"/>
        </w:rPr>
      </w:pPr>
    </w:p>
    <w:p>
      <w:pPr>
        <w:ind w:left="198" w:right="500" w:hanging="198"/>
        <w:spacing w:after="0" w:line="218" w:lineRule="auto"/>
        <w:tabs>
          <w:tab w:leader="none" w:pos="191"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Primarily consists of foreclosed property income (expense), change in the expected benefits from our freestanding credit enhancements and gains (losses) from partnership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365760</wp:posOffset>
            </wp:positionV>
            <wp:extent cx="680593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98"/>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151765</wp:posOffset>
            </wp:positionV>
            <wp:extent cx="7164070" cy="419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18"/>
          </w:cols>
          <w:pgMar w:left="362" w:top="261" w:right="419" w:bottom="1440" w:gutter="0" w:footer="0" w:header="0"/>
        </w:sectPr>
      </w:pPr>
    </w:p>
    <w:bookmarkStart w:id="93" w:name="page94"/>
    <w:bookmarkEnd w:id="93"/>
    <w:p>
      <w:pPr>
        <w:ind w:left="5820"/>
        <w:spacing w:after="0"/>
        <w:rPr>
          <w:sz w:val="20"/>
          <w:szCs w:val="20"/>
          <w:color w:val="auto"/>
        </w:rPr>
      </w:pPr>
      <w:r>
        <w:rPr>
          <w:rFonts w:ascii="Arial" w:cs="Arial" w:eastAsia="Arial" w:hAnsi="Arial"/>
          <w:sz w:val="13"/>
          <w:szCs w:val="13"/>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11. Concentrations of Credit Risk</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Risk Characteristics of our Guaranty Book of Business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One of the measures by which management gauges our credit risk is the delinquency status of the mortgage loans in our guaranty book of business.</w:t>
      </w:r>
    </w:p>
    <w:p>
      <w:pPr>
        <w:spacing w:after="0" w:line="8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For single-family and multifamily loans, management uses this information, in conjunction with housing market data, other economic data, our capital requirements and our mission objectives, to help inform changes to our eligibility and underwriting criteria, subject to the oversight and direction of FHFA as our conservator. Management also uses this data together with other credit risk measures to identify key trends that guide the development of our loss mitigation strategies.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We report the delinquency status of our single-family and multifamily guaranty books of business below.</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Single-Family Credit Risk Characteristics</w:t>
      </w:r>
    </w:p>
    <w:p>
      <w:pPr>
        <w:spacing w:after="0" w:line="7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 single-family loans, management monitors the serious delinquency rate, which is the percentage of single-family loans, based on number of loans, that are 90 days or more past due or in the foreclosure process, and loans that have higher risk characteristics, such as high mark-to-market LTV ratios.</w:t>
      </w:r>
    </w:p>
    <w:p>
      <w:pPr>
        <w:spacing w:after="0" w:line="1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single-family conventional guaranty book of business.</w:t>
      </w:r>
    </w:p>
    <w:p>
      <w:pPr>
        <w:sectPr>
          <w:pgSz w:w="11900" w:h="16838" w:orient="portrait"/>
          <w:cols w:equalWidth="0" w:num="1">
            <w:col w:w="11200"/>
          </w:cols>
          <w:pgMar w:left="320" w:top="26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80" w:hanging="154"/>
        <w:spacing w:after="0" w:line="304" w:lineRule="auto"/>
        <w:rPr>
          <w:sz w:val="20"/>
          <w:szCs w:val="20"/>
          <w:color w:val="auto"/>
        </w:rPr>
      </w:pPr>
      <w:r>
        <w:rPr>
          <w:rFonts w:ascii="Arial" w:cs="Arial" w:eastAsia="Arial" w:hAnsi="Arial"/>
          <w:sz w:val="15"/>
          <w:szCs w:val="15"/>
          <w:color w:val="auto"/>
        </w:rPr>
        <w:t>Percentage of single-family conventional guaranty book of business based on UPB</w:t>
      </w:r>
    </w:p>
    <w:p>
      <w:pPr>
        <w:spacing w:after="0" w:line="1" w:lineRule="exact"/>
        <w:rPr>
          <w:sz w:val="20"/>
          <w:szCs w:val="20"/>
          <w:color w:val="auto"/>
        </w:rPr>
      </w:pPr>
    </w:p>
    <w:p>
      <w:pPr>
        <w:ind w:left="180" w:right="220" w:hanging="154"/>
        <w:spacing w:after="0" w:line="312" w:lineRule="auto"/>
        <w:rPr>
          <w:sz w:val="20"/>
          <w:szCs w:val="20"/>
          <w:color w:val="auto"/>
        </w:rPr>
      </w:pPr>
      <w:r>
        <w:rPr>
          <w:rFonts w:ascii="Arial" w:cs="Arial" w:eastAsia="Arial" w:hAnsi="Arial"/>
          <w:sz w:val="15"/>
          <w:szCs w:val="15"/>
          <w:color w:val="auto"/>
        </w:rPr>
        <w:t>Percentage of single-family conventional loans based on loan count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485457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8545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gridSpan w:val="4"/>
          </w:tcPr>
          <w:p>
            <w:pPr>
              <w:ind w:left="100"/>
              <w:spacing w:after="0"/>
              <w:rPr>
                <w:sz w:val="20"/>
                <w:szCs w:val="20"/>
                <w:color w:val="auto"/>
              </w:rPr>
            </w:pPr>
            <w:r>
              <w:rPr>
                <w:rFonts w:ascii="Arial" w:cs="Arial" w:eastAsia="Arial" w:hAnsi="Arial"/>
                <w:sz w:val="14"/>
                <w:szCs w:val="14"/>
                <w:b w:val="1"/>
                <w:bCs w:val="1"/>
                <w:color w:val="auto"/>
              </w:rPr>
              <w:t>September 30, 2026</w:t>
            </w:r>
          </w:p>
        </w:tc>
        <w:tc>
          <w:tcPr>
            <w:tcW w:w="110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w w:val="98"/>
              </w:rPr>
              <w:t>December 31, 2025</w:t>
            </w:r>
          </w:p>
        </w:tc>
        <w:tc>
          <w:tcPr>
            <w:tcW w:w="1240" w:type="dxa"/>
            <w:vAlign w:val="bottom"/>
            <w:tcBorders>
              <w:bottom w:val="single" w:sz="8" w:color="2C6937"/>
            </w:tcBorders>
          </w:tcPr>
          <w:p>
            <w:pPr>
              <w:spacing w:after="0"/>
              <w:rPr>
                <w:sz w:val="17"/>
                <w:szCs w:val="17"/>
                <w:color w:val="auto"/>
              </w:rPr>
            </w:pPr>
          </w:p>
        </w:tc>
      </w:tr>
      <w:tr>
        <w:trPr>
          <w:trHeight w:val="197"/>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30 - 59 Days</w:t>
            </w:r>
          </w:p>
        </w:tc>
        <w:tc>
          <w:tcPr>
            <w:tcW w:w="120" w:type="dxa"/>
            <w:vAlign w:val="bottom"/>
          </w:tcPr>
          <w:p>
            <w:pPr>
              <w:spacing w:after="0"/>
              <w:rPr>
                <w:sz w:val="17"/>
                <w:szCs w:val="17"/>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60 - 89 Days</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Seriously</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30 - 59 Days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60 - 89 Days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r>
      <w:tr>
        <w:trPr>
          <w:trHeight w:val="196"/>
        </w:trPr>
        <w:tc>
          <w:tcPr>
            <w:tcW w:w="11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jc w:val="center"/>
              <w:ind w:right="71"/>
              <w:spacing w:after="0"/>
              <w:rPr>
                <w:sz w:val="20"/>
                <w:szCs w:val="20"/>
                <w:color w:val="auto"/>
              </w:rPr>
            </w:pPr>
            <w:r>
              <w:rPr>
                <w:rFonts w:ascii="Arial" w:cs="Arial" w:eastAsia="Arial" w:hAnsi="Arial"/>
                <w:sz w:val="14"/>
                <w:szCs w:val="14"/>
                <w:b w:val="1"/>
                <w:bCs w:val="1"/>
                <w:color w:val="auto"/>
                <w:w w:val="99"/>
              </w:rPr>
              <w:t>Delinquent</w:t>
            </w:r>
          </w:p>
        </w:tc>
        <w:tc>
          <w:tcPr>
            <w:tcW w:w="10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r>
    </w:tbl>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14"/>
        </w:trPr>
        <w:tc>
          <w:tcPr>
            <w:tcW w:w="860" w:type="dxa"/>
            <w:vAlign w:val="bottom"/>
          </w:tcPr>
          <w:p>
            <w:pPr>
              <w:spacing w:after="0"/>
              <w:rPr>
                <w:sz w:val="20"/>
                <w:szCs w:val="20"/>
                <w:color w:val="auto"/>
              </w:rPr>
            </w:pPr>
            <w:r>
              <w:rPr>
                <w:rFonts w:ascii="Arial" w:cs="Arial" w:eastAsia="Arial" w:hAnsi="Arial"/>
                <w:sz w:val="15"/>
                <w:szCs w:val="15"/>
                <w:b w:val="1"/>
                <w:bCs w:val="1"/>
                <w:color w:val="auto"/>
              </w:rPr>
              <w:t>1.04 %</w:t>
            </w:r>
          </w:p>
        </w:tc>
        <w:tc>
          <w:tcPr>
            <w:tcW w:w="1320" w:type="dxa"/>
            <w:vAlign w:val="bottom"/>
          </w:tcPr>
          <w:p>
            <w:pPr>
              <w:ind w:left="400"/>
              <w:spacing w:after="0"/>
              <w:rPr>
                <w:sz w:val="20"/>
                <w:szCs w:val="20"/>
                <w:color w:val="auto"/>
              </w:rPr>
            </w:pPr>
            <w:r>
              <w:rPr>
                <w:rFonts w:ascii="Arial" w:cs="Arial" w:eastAsia="Arial" w:hAnsi="Arial"/>
                <w:sz w:val="15"/>
                <w:szCs w:val="15"/>
                <w:b w:val="1"/>
                <w:bCs w:val="1"/>
                <w:color w:val="auto"/>
              </w:rPr>
              <w:t>0.30 %</w:t>
            </w:r>
          </w:p>
        </w:tc>
        <w:tc>
          <w:tcPr>
            <w:tcW w:w="920" w:type="dxa"/>
            <w:vAlign w:val="bottom"/>
          </w:tcPr>
          <w:p>
            <w:pPr>
              <w:ind w:left="420"/>
              <w:spacing w:after="0"/>
              <w:rPr>
                <w:sz w:val="20"/>
                <w:szCs w:val="20"/>
                <w:color w:val="auto"/>
              </w:rPr>
            </w:pPr>
            <w:r>
              <w:rPr>
                <w:rFonts w:ascii="Arial" w:cs="Arial" w:eastAsia="Arial" w:hAnsi="Arial"/>
                <w:sz w:val="15"/>
                <w:szCs w:val="15"/>
                <w:b w:val="1"/>
                <w:bCs w:val="1"/>
                <w:color w:val="auto"/>
              </w:rPr>
              <w:t>0.68 %</w:t>
            </w:r>
          </w:p>
        </w:tc>
        <w:tc>
          <w:tcPr>
            <w:tcW w:w="1640" w:type="dxa"/>
            <w:vAlign w:val="bottom"/>
          </w:tcPr>
          <w:p>
            <w:pPr>
              <w:ind w:left="780"/>
              <w:spacing w:after="0"/>
              <w:rPr>
                <w:sz w:val="20"/>
                <w:szCs w:val="20"/>
                <w:color w:val="auto"/>
              </w:rPr>
            </w:pPr>
            <w:r>
              <w:rPr>
                <w:rFonts w:ascii="Arial" w:cs="Arial" w:eastAsia="Arial" w:hAnsi="Arial"/>
                <w:sz w:val="15"/>
                <w:szCs w:val="15"/>
                <w:color w:val="auto"/>
              </w:rPr>
              <w:t>1.00 %</w:t>
            </w:r>
          </w:p>
        </w:tc>
        <w:tc>
          <w:tcPr>
            <w:tcW w:w="1320" w:type="dxa"/>
            <w:vAlign w:val="bottom"/>
          </w:tcPr>
          <w:p>
            <w:pPr>
              <w:ind w:left="400"/>
              <w:spacing w:after="0"/>
              <w:rPr>
                <w:sz w:val="20"/>
                <w:szCs w:val="20"/>
                <w:color w:val="auto"/>
              </w:rPr>
            </w:pPr>
            <w:r>
              <w:rPr>
                <w:rFonts w:ascii="Arial" w:cs="Arial" w:eastAsia="Arial" w:hAnsi="Arial"/>
                <w:sz w:val="15"/>
                <w:szCs w:val="15"/>
                <w:color w:val="auto"/>
              </w:rPr>
              <w:t>0.30 %</w:t>
            </w:r>
          </w:p>
        </w:tc>
        <w:tc>
          <w:tcPr>
            <w:tcW w:w="900" w:type="dxa"/>
            <w:vAlign w:val="bottom"/>
          </w:tcPr>
          <w:p>
            <w:pPr>
              <w:ind w:left="420"/>
              <w:spacing w:after="0"/>
              <w:rPr>
                <w:sz w:val="20"/>
                <w:szCs w:val="20"/>
                <w:color w:val="auto"/>
              </w:rPr>
            </w:pPr>
            <w:r>
              <w:rPr>
                <w:rFonts w:ascii="Arial" w:cs="Arial" w:eastAsia="Arial" w:hAnsi="Arial"/>
                <w:sz w:val="15"/>
                <w:szCs w:val="15"/>
                <w:color w:val="auto"/>
                <w:w w:val="98"/>
              </w:rPr>
              <w:t>0.63 %</w:t>
            </w:r>
          </w:p>
        </w:tc>
      </w:tr>
      <w:tr>
        <w:trPr>
          <w:trHeight w:val="438"/>
        </w:trPr>
        <w:tc>
          <w:tcPr>
            <w:tcW w:w="860" w:type="dxa"/>
            <w:vAlign w:val="bottom"/>
          </w:tcPr>
          <w:p>
            <w:pPr>
              <w:spacing w:after="0"/>
              <w:rPr>
                <w:sz w:val="20"/>
                <w:szCs w:val="20"/>
                <w:color w:val="auto"/>
              </w:rPr>
            </w:pPr>
            <w:r>
              <w:rPr>
                <w:rFonts w:ascii="Arial" w:cs="Arial" w:eastAsia="Arial" w:hAnsi="Arial"/>
                <w:sz w:val="15"/>
                <w:szCs w:val="15"/>
                <w:b w:val="1"/>
                <w:bCs w:val="1"/>
                <w:color w:val="auto"/>
              </w:rPr>
              <w:t>1.09</w:t>
            </w:r>
          </w:p>
        </w:tc>
        <w:tc>
          <w:tcPr>
            <w:tcW w:w="1320" w:type="dxa"/>
            <w:vAlign w:val="bottom"/>
          </w:tcPr>
          <w:p>
            <w:pPr>
              <w:ind w:left="400"/>
              <w:spacing w:after="0"/>
              <w:rPr>
                <w:sz w:val="20"/>
                <w:szCs w:val="20"/>
                <w:color w:val="auto"/>
              </w:rPr>
            </w:pPr>
            <w:r>
              <w:rPr>
                <w:rFonts w:ascii="Arial" w:cs="Arial" w:eastAsia="Arial" w:hAnsi="Arial"/>
                <w:sz w:val="15"/>
                <w:szCs w:val="15"/>
                <w:b w:val="1"/>
                <w:bCs w:val="1"/>
                <w:color w:val="auto"/>
              </w:rPr>
              <w:t>0.30</w:t>
            </w:r>
          </w:p>
        </w:tc>
        <w:tc>
          <w:tcPr>
            <w:tcW w:w="920" w:type="dxa"/>
            <w:vAlign w:val="bottom"/>
          </w:tcPr>
          <w:p>
            <w:pPr>
              <w:ind w:left="420"/>
              <w:spacing w:after="0"/>
              <w:rPr>
                <w:sz w:val="20"/>
                <w:szCs w:val="20"/>
                <w:color w:val="auto"/>
              </w:rPr>
            </w:pPr>
            <w:r>
              <w:rPr>
                <w:rFonts w:ascii="Arial" w:cs="Arial" w:eastAsia="Arial" w:hAnsi="Arial"/>
                <w:sz w:val="15"/>
                <w:szCs w:val="15"/>
                <w:b w:val="1"/>
                <w:bCs w:val="1"/>
                <w:color w:val="auto"/>
              </w:rPr>
              <w:t>0.62</w:t>
            </w:r>
          </w:p>
        </w:tc>
        <w:tc>
          <w:tcPr>
            <w:tcW w:w="1640" w:type="dxa"/>
            <w:vAlign w:val="bottom"/>
          </w:tcPr>
          <w:p>
            <w:pPr>
              <w:ind w:left="780"/>
              <w:spacing w:after="0"/>
              <w:rPr>
                <w:sz w:val="20"/>
                <w:szCs w:val="20"/>
                <w:color w:val="auto"/>
              </w:rPr>
            </w:pPr>
            <w:r>
              <w:rPr>
                <w:rFonts w:ascii="Arial" w:cs="Arial" w:eastAsia="Arial" w:hAnsi="Arial"/>
                <w:sz w:val="15"/>
                <w:szCs w:val="15"/>
                <w:color w:val="auto"/>
              </w:rPr>
              <w:t>1.05</w:t>
            </w:r>
          </w:p>
        </w:tc>
        <w:tc>
          <w:tcPr>
            <w:tcW w:w="1320" w:type="dxa"/>
            <w:vAlign w:val="bottom"/>
          </w:tcPr>
          <w:p>
            <w:pPr>
              <w:ind w:left="400"/>
              <w:spacing w:after="0"/>
              <w:rPr>
                <w:sz w:val="20"/>
                <w:szCs w:val="20"/>
                <w:color w:val="auto"/>
              </w:rPr>
            </w:pPr>
            <w:r>
              <w:rPr>
                <w:rFonts w:ascii="Arial" w:cs="Arial" w:eastAsia="Arial" w:hAnsi="Arial"/>
                <w:sz w:val="15"/>
                <w:szCs w:val="15"/>
                <w:color w:val="auto"/>
              </w:rPr>
              <w:t>0.30</w:t>
            </w:r>
          </w:p>
        </w:tc>
        <w:tc>
          <w:tcPr>
            <w:tcW w:w="900" w:type="dxa"/>
            <w:vAlign w:val="bottom"/>
          </w:tcPr>
          <w:p>
            <w:pPr>
              <w:ind w:left="420"/>
              <w:spacing w:after="0"/>
              <w:rPr>
                <w:sz w:val="20"/>
                <w:szCs w:val="20"/>
                <w:color w:val="auto"/>
              </w:rPr>
            </w:pPr>
            <w:r>
              <w:rPr>
                <w:rFonts w:ascii="Arial" w:cs="Arial" w:eastAsia="Arial" w:hAnsi="Arial"/>
                <w:sz w:val="15"/>
                <w:szCs w:val="15"/>
                <w:color w:val="auto"/>
              </w:rPr>
              <w:t>0.58</w:t>
            </w:r>
          </w:p>
        </w:tc>
      </w:tr>
      <w:tr>
        <w:trPr>
          <w:trHeight w:val="34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8890</wp:posOffset>
            </wp:positionV>
            <wp:extent cx="46824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682490" cy="825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3440" w:space="120"/>
            <w:col w:w="7640"/>
          </w:cols>
          <w:pgMar w:left="320" w:top="261" w:right="379" w:bottom="1440" w:gutter="0" w:footer="0" w:header="0"/>
          <w:type w:val="continuous"/>
        </w:sectPr>
      </w:pPr>
    </w:p>
    <w:tbl>
      <w:tblPr>
        <w:tblLayout w:type="fixed"/>
        <w:tblInd w:w="2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3740" w:type="dxa"/>
            <w:vAlign w:val="bottom"/>
            <w:gridSpan w:val="4"/>
          </w:tcPr>
          <w:p>
            <w:pPr>
              <w:ind w:left="1160"/>
              <w:spacing w:after="0"/>
              <w:rPr>
                <w:sz w:val="20"/>
                <w:szCs w:val="20"/>
                <w:color w:val="auto"/>
              </w:rPr>
            </w:pPr>
            <w:r>
              <w:rPr>
                <w:rFonts w:ascii="Arial" w:cs="Arial" w:eastAsia="Arial" w:hAnsi="Arial"/>
                <w:sz w:val="14"/>
                <w:szCs w:val="14"/>
                <w:b w:val="1"/>
                <w:bCs w:val="1"/>
                <w:color w:val="auto"/>
              </w:rPr>
              <w:t>September 30, 2026</w:t>
            </w:r>
          </w:p>
        </w:tc>
        <w:tc>
          <w:tcPr>
            <w:tcW w:w="362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5"/>
                <w:szCs w:val="15"/>
                <w:color w:val="auto"/>
              </w:rPr>
            </w:pPr>
          </w:p>
        </w:tc>
        <w:tc>
          <w:tcPr>
            <w:tcW w:w="1860" w:type="dxa"/>
            <w:vAlign w:val="bottom"/>
            <w:tcBorders>
              <w:top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w:t>
            </w:r>
          </w:p>
        </w:tc>
        <w:tc>
          <w:tcPr>
            <w:tcW w:w="1760" w:type="dxa"/>
            <w:vAlign w:val="bottom"/>
            <w:tcBorders>
              <w:top w:val="single" w:sz="8" w:color="2C6937"/>
            </w:tcBorders>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Borders>
              <w:top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w:t>
            </w:r>
          </w:p>
        </w:tc>
        <w:tc>
          <w:tcPr>
            <w:tcW w:w="1760" w:type="dxa"/>
            <w:vAlign w:val="bottom"/>
            <w:tcBorders>
              <w:top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2"/>
                <w:szCs w:val="12"/>
                <w:color w:val="auto"/>
              </w:rPr>
            </w:pPr>
          </w:p>
        </w:tc>
        <w:tc>
          <w:tcPr>
            <w:tcW w:w="18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9"/>
              </w:rPr>
              <w:t>Conventional</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Conventional</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820" w:type="dxa"/>
            <w:vAlign w:val="bottom"/>
          </w:tcPr>
          <w:p>
            <w:pPr>
              <w:spacing w:after="0"/>
              <w:rPr>
                <w:sz w:val="11"/>
                <w:szCs w:val="11"/>
                <w:color w:val="auto"/>
              </w:rPr>
            </w:pPr>
          </w:p>
        </w:tc>
        <w:tc>
          <w:tcPr>
            <w:tcW w:w="1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Guaranty Book of</w:t>
            </w:r>
          </w:p>
        </w:tc>
        <w:tc>
          <w:tcPr>
            <w:tcW w:w="1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Serious Delinquency</w:t>
            </w:r>
          </w:p>
        </w:tc>
        <w:tc>
          <w:tcPr>
            <w:tcW w:w="1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Guaranty Book of</w:t>
            </w:r>
          </w:p>
        </w:tc>
        <w:tc>
          <w:tcPr>
            <w:tcW w:w="17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Serious Delinquency</w:t>
            </w:r>
          </w:p>
        </w:tc>
        <w:tc>
          <w:tcPr>
            <w:tcW w:w="0" w:type="dxa"/>
            <w:vAlign w:val="bottom"/>
          </w:tcPr>
          <w:p>
            <w:pPr>
              <w:spacing w:after="0"/>
              <w:rPr>
                <w:sz w:val="1"/>
                <w:szCs w:val="1"/>
                <w:color w:val="auto"/>
              </w:rPr>
            </w:pPr>
          </w:p>
        </w:tc>
      </w:tr>
      <w:tr>
        <w:trPr>
          <w:trHeight w:val="140"/>
        </w:trPr>
        <w:tc>
          <w:tcPr>
            <w:tcW w:w="3820" w:type="dxa"/>
            <w:vAlign w:val="bottom"/>
          </w:tcPr>
          <w:p>
            <w:pPr>
              <w:spacing w:after="0"/>
              <w:rPr>
                <w:sz w:val="12"/>
                <w:szCs w:val="12"/>
                <w:color w:val="auto"/>
              </w:rPr>
            </w:pPr>
          </w:p>
        </w:tc>
        <w:tc>
          <w:tcPr>
            <w:tcW w:w="186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w w:val="99"/>
              </w:rPr>
              <w:t>Business</w:t>
            </w:r>
          </w:p>
        </w:tc>
        <w:tc>
          <w:tcPr>
            <w:tcW w:w="188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w w:val="99"/>
              </w:rPr>
              <w:t>Business</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8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Based on UPB</w:t>
            </w:r>
          </w:p>
        </w:tc>
        <w:tc>
          <w:tcPr>
            <w:tcW w:w="1880" w:type="dxa"/>
            <w:vAlign w:val="bottom"/>
            <w:gridSpan w:val="2"/>
          </w:tcPr>
          <w:p>
            <w:pPr>
              <w:ind w:left="68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Based on UPB</w:t>
            </w:r>
          </w:p>
        </w:tc>
        <w:tc>
          <w:tcPr>
            <w:tcW w:w="1760" w:type="dxa"/>
            <w:vAlign w:val="bottom"/>
          </w:tcPr>
          <w:p>
            <w:pPr>
              <w:ind w:left="68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8"/>
        </w:trPr>
        <w:tc>
          <w:tcPr>
            <w:tcW w:w="3820" w:type="dxa"/>
            <w:vAlign w:val="bottom"/>
          </w:tcPr>
          <w:p>
            <w:pPr>
              <w:spacing w:after="0"/>
              <w:rPr>
                <w:sz w:val="20"/>
                <w:szCs w:val="20"/>
                <w:color w:val="auto"/>
              </w:rPr>
            </w:pPr>
            <w:r>
              <w:rPr>
                <w:rFonts w:ascii="Arial" w:cs="Arial" w:eastAsia="Arial" w:hAnsi="Arial"/>
                <w:sz w:val="15"/>
                <w:szCs w:val="15"/>
                <w:b w:val="1"/>
                <w:bCs w:val="1"/>
                <w:color w:val="auto"/>
              </w:rPr>
              <w:t>Estimated mark-to-market LTV ratio:</w:t>
            </w:r>
          </w:p>
        </w:tc>
        <w:tc>
          <w:tcPr>
            <w:tcW w:w="176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2C6937"/>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820" w:type="dxa"/>
            <w:vAlign w:val="bottom"/>
          </w:tcPr>
          <w:p>
            <w:pPr>
              <w:ind w:left="160"/>
              <w:spacing w:after="0"/>
              <w:rPr>
                <w:sz w:val="20"/>
                <w:szCs w:val="20"/>
                <w:color w:val="auto"/>
              </w:rPr>
            </w:pPr>
            <w:r>
              <w:rPr>
                <w:rFonts w:ascii="Arial" w:cs="Arial" w:eastAsia="Arial" w:hAnsi="Arial"/>
                <w:sz w:val="15"/>
                <w:szCs w:val="15"/>
                <w:color w:val="auto"/>
              </w:rPr>
              <w:t>80.01% to 90%</w:t>
            </w: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7 %</w:t>
            </w:r>
          </w:p>
        </w:tc>
        <w:tc>
          <w:tcPr>
            <w:tcW w:w="100" w:type="dxa"/>
            <w:vAlign w:val="bottom"/>
          </w:tcPr>
          <w:p>
            <w:pPr>
              <w:spacing w:after="0"/>
              <w:rPr>
                <w:sz w:val="22"/>
                <w:szCs w:val="22"/>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1.13 %</w:t>
            </w: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7 %</w:t>
            </w:r>
          </w:p>
        </w:tc>
        <w:tc>
          <w:tcPr>
            <w:tcW w:w="100" w:type="dxa"/>
            <w:vAlign w:val="bottom"/>
          </w:tcPr>
          <w:p>
            <w:pPr>
              <w:spacing w:after="0"/>
              <w:rPr>
                <w:sz w:val="22"/>
                <w:szCs w:val="22"/>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1.03 %</w:t>
            </w:r>
          </w:p>
        </w:tc>
        <w:tc>
          <w:tcPr>
            <w:tcW w:w="0" w:type="dxa"/>
            <w:vAlign w:val="bottom"/>
          </w:tcPr>
          <w:p>
            <w:pPr>
              <w:spacing w:after="0"/>
              <w:rPr>
                <w:sz w:val="1"/>
                <w:szCs w:val="1"/>
                <w:color w:val="auto"/>
              </w:rPr>
            </w:pPr>
          </w:p>
        </w:tc>
      </w:tr>
      <w:tr>
        <w:trPr>
          <w:trHeight w:val="245"/>
        </w:trPr>
        <w:tc>
          <w:tcPr>
            <w:tcW w:w="3820" w:type="dxa"/>
            <w:vAlign w:val="bottom"/>
          </w:tcPr>
          <w:p>
            <w:pPr>
              <w:ind w:left="160"/>
              <w:spacing w:after="0"/>
              <w:rPr>
                <w:sz w:val="20"/>
                <w:szCs w:val="20"/>
                <w:color w:val="auto"/>
              </w:rPr>
            </w:pPr>
            <w:r>
              <w:rPr>
                <w:rFonts w:ascii="Arial" w:cs="Arial" w:eastAsia="Arial" w:hAnsi="Arial"/>
                <w:sz w:val="15"/>
                <w:szCs w:val="15"/>
                <w:color w:val="auto"/>
              </w:rPr>
              <w:t>90.01% to 100%</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1.16</w:t>
            </w:r>
          </w:p>
        </w:tc>
        <w:tc>
          <w:tcPr>
            <w:tcW w:w="120" w:type="dxa"/>
            <w:vAlign w:val="bottom"/>
          </w:tcPr>
          <w:p>
            <w:pPr>
              <w:spacing w:after="0"/>
              <w:rPr>
                <w:sz w:val="21"/>
                <w:szCs w:val="21"/>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0.98</w:t>
            </w:r>
          </w:p>
        </w:tc>
        <w:tc>
          <w:tcPr>
            <w:tcW w:w="0" w:type="dxa"/>
            <w:vAlign w:val="bottom"/>
          </w:tcPr>
          <w:p>
            <w:pPr>
              <w:spacing w:after="0"/>
              <w:rPr>
                <w:sz w:val="1"/>
                <w:szCs w:val="1"/>
                <w:color w:val="auto"/>
              </w:rPr>
            </w:pPr>
          </w:p>
        </w:tc>
      </w:tr>
      <w:tr>
        <w:trPr>
          <w:trHeight w:val="245"/>
        </w:trPr>
        <w:tc>
          <w:tcPr>
            <w:tcW w:w="3820" w:type="dxa"/>
            <w:vAlign w:val="bottom"/>
          </w:tcPr>
          <w:p>
            <w:pPr>
              <w:ind w:left="160"/>
              <w:spacing w:after="0"/>
              <w:rPr>
                <w:sz w:val="20"/>
                <w:szCs w:val="20"/>
                <w:color w:val="auto"/>
              </w:rPr>
            </w:pPr>
            <w:r>
              <w:rPr>
                <w:rFonts w:ascii="Arial" w:cs="Arial" w:eastAsia="Arial" w:hAnsi="Arial"/>
                <w:sz w:val="15"/>
                <w:szCs w:val="15"/>
                <w:color w:val="auto"/>
              </w:rPr>
              <w:t>Greater than 100%</w:t>
            </w:r>
          </w:p>
        </w:tc>
        <w:tc>
          <w:tcPr>
            <w:tcW w:w="176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4.39</w:t>
            </w:r>
          </w:p>
        </w:tc>
        <w:tc>
          <w:tcPr>
            <w:tcW w:w="120" w:type="dxa"/>
            <w:vAlign w:val="bottom"/>
          </w:tcPr>
          <w:p>
            <w:pPr>
              <w:spacing w:after="0"/>
              <w:rPr>
                <w:sz w:val="21"/>
                <w:szCs w:val="21"/>
                <w:color w:val="auto"/>
              </w:rPr>
            </w:pPr>
          </w:p>
        </w:tc>
        <w:tc>
          <w:tcPr>
            <w:tcW w:w="17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3.46</w:t>
            </w:r>
          </w:p>
        </w:tc>
        <w:tc>
          <w:tcPr>
            <w:tcW w:w="0" w:type="dxa"/>
            <w:vAlign w:val="bottom"/>
          </w:tcPr>
          <w:p>
            <w:pPr>
              <w:spacing w:after="0"/>
              <w:rPr>
                <w:sz w:val="1"/>
                <w:szCs w:val="1"/>
                <w:color w:val="auto"/>
              </w:rPr>
            </w:pPr>
          </w:p>
        </w:tc>
      </w:tr>
      <w:tr>
        <w:trPr>
          <w:trHeight w:val="232"/>
        </w:trPr>
        <w:tc>
          <w:tcPr>
            <w:tcW w:w="3820" w:type="dxa"/>
            <w:vAlign w:val="bottom"/>
          </w:tcPr>
          <w:p>
            <w:pPr>
              <w:spacing w:after="0"/>
              <w:rPr>
                <w:sz w:val="20"/>
                <w:szCs w:val="20"/>
                <w:color w:val="auto"/>
              </w:rPr>
            </w:pPr>
            <w:r>
              <w:rPr>
                <w:rFonts w:ascii="Arial" w:cs="Arial" w:eastAsia="Arial" w:hAnsi="Arial"/>
                <w:sz w:val="15"/>
                <w:szCs w:val="15"/>
                <w:b w:val="1"/>
                <w:bCs w:val="1"/>
                <w:color w:val="auto"/>
              </w:rPr>
              <w:t>Geographical distribution:</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820" w:type="dxa"/>
            <w:vAlign w:val="bottom"/>
          </w:tcPr>
          <w:p>
            <w:pPr>
              <w:ind w:left="160"/>
              <w:spacing w:after="0"/>
              <w:rPr>
                <w:sz w:val="20"/>
                <w:szCs w:val="20"/>
                <w:color w:val="auto"/>
              </w:rPr>
            </w:pPr>
            <w:r>
              <w:rPr>
                <w:rFonts w:ascii="Arial" w:cs="Arial" w:eastAsia="Arial" w:hAnsi="Arial"/>
                <w:sz w:val="15"/>
                <w:szCs w:val="15"/>
                <w:color w:val="auto"/>
              </w:rPr>
              <w:t>California</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18</w:t>
            </w:r>
          </w:p>
        </w:tc>
        <w:tc>
          <w:tcPr>
            <w:tcW w:w="100" w:type="dxa"/>
            <w:vAlign w:val="bottom"/>
          </w:tcPr>
          <w:p>
            <w:pPr>
              <w:spacing w:after="0"/>
              <w:rPr>
                <w:sz w:val="22"/>
                <w:szCs w:val="22"/>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0.47</w:t>
            </w:r>
          </w:p>
        </w:tc>
        <w:tc>
          <w:tcPr>
            <w:tcW w:w="120" w:type="dxa"/>
            <w:vAlign w:val="bottom"/>
          </w:tcPr>
          <w:p>
            <w:pPr>
              <w:spacing w:after="0"/>
              <w:rPr>
                <w:sz w:val="22"/>
                <w:szCs w:val="22"/>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2"/>
                <w:szCs w:val="22"/>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0.44</w:t>
            </w:r>
          </w:p>
        </w:tc>
        <w:tc>
          <w:tcPr>
            <w:tcW w:w="0" w:type="dxa"/>
            <w:vAlign w:val="bottom"/>
          </w:tcPr>
          <w:p>
            <w:pPr>
              <w:spacing w:after="0"/>
              <w:rPr>
                <w:sz w:val="1"/>
                <w:szCs w:val="1"/>
                <w:color w:val="auto"/>
              </w:rPr>
            </w:pPr>
          </w:p>
        </w:tc>
      </w:tr>
      <w:tr>
        <w:trPr>
          <w:trHeight w:val="245"/>
        </w:trPr>
        <w:tc>
          <w:tcPr>
            <w:tcW w:w="3820" w:type="dxa"/>
            <w:vAlign w:val="bottom"/>
          </w:tcPr>
          <w:p>
            <w:pPr>
              <w:ind w:left="160"/>
              <w:spacing w:after="0"/>
              <w:rPr>
                <w:sz w:val="20"/>
                <w:szCs w:val="20"/>
                <w:color w:val="auto"/>
              </w:rPr>
            </w:pPr>
            <w:r>
              <w:rPr>
                <w:rFonts w:ascii="Arial" w:cs="Arial" w:eastAsia="Arial" w:hAnsi="Arial"/>
                <w:sz w:val="15"/>
                <w:szCs w:val="15"/>
                <w:color w:val="auto"/>
              </w:rPr>
              <w:t>Florida</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0.91</w:t>
            </w:r>
          </w:p>
        </w:tc>
        <w:tc>
          <w:tcPr>
            <w:tcW w:w="120" w:type="dxa"/>
            <w:vAlign w:val="bottom"/>
          </w:tcPr>
          <w:p>
            <w:pPr>
              <w:spacing w:after="0"/>
              <w:rPr>
                <w:sz w:val="21"/>
                <w:szCs w:val="21"/>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0.85</w:t>
            </w:r>
          </w:p>
        </w:tc>
        <w:tc>
          <w:tcPr>
            <w:tcW w:w="0" w:type="dxa"/>
            <w:vAlign w:val="bottom"/>
          </w:tcPr>
          <w:p>
            <w:pPr>
              <w:spacing w:after="0"/>
              <w:rPr>
                <w:sz w:val="1"/>
                <w:szCs w:val="1"/>
                <w:color w:val="auto"/>
              </w:rPr>
            </w:pPr>
          </w:p>
        </w:tc>
      </w:tr>
      <w:tr>
        <w:trPr>
          <w:trHeight w:val="245"/>
        </w:trPr>
        <w:tc>
          <w:tcPr>
            <w:tcW w:w="3820" w:type="dxa"/>
            <w:vAlign w:val="bottom"/>
          </w:tcPr>
          <w:p>
            <w:pPr>
              <w:ind w:left="160"/>
              <w:spacing w:after="0"/>
              <w:rPr>
                <w:sz w:val="20"/>
                <w:szCs w:val="20"/>
                <w:color w:val="auto"/>
              </w:rPr>
            </w:pPr>
            <w:r>
              <w:rPr>
                <w:rFonts w:ascii="Arial" w:cs="Arial" w:eastAsia="Arial" w:hAnsi="Arial"/>
                <w:sz w:val="15"/>
                <w:szCs w:val="15"/>
                <w:color w:val="auto"/>
              </w:rPr>
              <w:t>Illinois</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0.73</w:t>
            </w:r>
          </w:p>
        </w:tc>
        <w:tc>
          <w:tcPr>
            <w:tcW w:w="120" w:type="dxa"/>
            <w:vAlign w:val="bottom"/>
          </w:tcPr>
          <w:p>
            <w:pPr>
              <w:spacing w:after="0"/>
              <w:rPr>
                <w:sz w:val="21"/>
                <w:szCs w:val="21"/>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0.73</w:t>
            </w:r>
          </w:p>
        </w:tc>
        <w:tc>
          <w:tcPr>
            <w:tcW w:w="0" w:type="dxa"/>
            <w:vAlign w:val="bottom"/>
          </w:tcPr>
          <w:p>
            <w:pPr>
              <w:spacing w:after="0"/>
              <w:rPr>
                <w:sz w:val="1"/>
                <w:szCs w:val="1"/>
                <w:color w:val="auto"/>
              </w:rPr>
            </w:pPr>
          </w:p>
        </w:tc>
      </w:tr>
      <w:tr>
        <w:trPr>
          <w:trHeight w:val="245"/>
        </w:trPr>
        <w:tc>
          <w:tcPr>
            <w:tcW w:w="3820" w:type="dxa"/>
            <w:vAlign w:val="bottom"/>
          </w:tcPr>
          <w:p>
            <w:pPr>
              <w:ind w:left="160"/>
              <w:spacing w:after="0"/>
              <w:rPr>
                <w:sz w:val="20"/>
                <w:szCs w:val="20"/>
                <w:color w:val="auto"/>
              </w:rPr>
            </w:pPr>
            <w:r>
              <w:rPr>
                <w:rFonts w:ascii="Arial" w:cs="Arial" w:eastAsia="Arial" w:hAnsi="Arial"/>
                <w:sz w:val="15"/>
                <w:szCs w:val="15"/>
                <w:color w:val="auto"/>
              </w:rPr>
              <w:t>New York</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0.82</w:t>
            </w:r>
          </w:p>
        </w:tc>
        <w:tc>
          <w:tcPr>
            <w:tcW w:w="120" w:type="dxa"/>
            <w:vAlign w:val="bottom"/>
          </w:tcPr>
          <w:p>
            <w:pPr>
              <w:spacing w:after="0"/>
              <w:rPr>
                <w:sz w:val="21"/>
                <w:szCs w:val="21"/>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0.78</w:t>
            </w:r>
          </w:p>
        </w:tc>
        <w:tc>
          <w:tcPr>
            <w:tcW w:w="0" w:type="dxa"/>
            <w:vAlign w:val="bottom"/>
          </w:tcPr>
          <w:p>
            <w:pPr>
              <w:spacing w:after="0"/>
              <w:rPr>
                <w:sz w:val="1"/>
                <w:szCs w:val="1"/>
                <w:color w:val="auto"/>
              </w:rPr>
            </w:pPr>
          </w:p>
        </w:tc>
      </w:tr>
      <w:tr>
        <w:trPr>
          <w:trHeight w:val="245"/>
        </w:trPr>
        <w:tc>
          <w:tcPr>
            <w:tcW w:w="3820" w:type="dxa"/>
            <w:vAlign w:val="bottom"/>
          </w:tcPr>
          <w:p>
            <w:pPr>
              <w:ind w:left="160"/>
              <w:spacing w:after="0"/>
              <w:rPr>
                <w:sz w:val="20"/>
                <w:szCs w:val="20"/>
                <w:color w:val="auto"/>
              </w:rPr>
            </w:pPr>
            <w:r>
              <w:rPr>
                <w:rFonts w:ascii="Arial" w:cs="Arial" w:eastAsia="Arial" w:hAnsi="Arial"/>
                <w:sz w:val="15"/>
                <w:szCs w:val="15"/>
                <w:color w:val="auto"/>
              </w:rPr>
              <w:t>Texas</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0.78</w:t>
            </w:r>
          </w:p>
        </w:tc>
        <w:tc>
          <w:tcPr>
            <w:tcW w:w="120" w:type="dxa"/>
            <w:vAlign w:val="bottom"/>
          </w:tcPr>
          <w:p>
            <w:pPr>
              <w:spacing w:after="0"/>
              <w:rPr>
                <w:sz w:val="21"/>
                <w:szCs w:val="21"/>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0.74</w:t>
            </w:r>
          </w:p>
        </w:tc>
        <w:tc>
          <w:tcPr>
            <w:tcW w:w="0" w:type="dxa"/>
            <w:vAlign w:val="bottom"/>
          </w:tcPr>
          <w:p>
            <w:pPr>
              <w:spacing w:after="0"/>
              <w:rPr>
                <w:sz w:val="1"/>
                <w:szCs w:val="1"/>
                <w:color w:val="auto"/>
              </w:rPr>
            </w:pPr>
          </w:p>
        </w:tc>
      </w:tr>
      <w:tr>
        <w:trPr>
          <w:trHeight w:val="245"/>
        </w:trPr>
        <w:tc>
          <w:tcPr>
            <w:tcW w:w="3820" w:type="dxa"/>
            <w:vAlign w:val="bottom"/>
          </w:tcPr>
          <w:p>
            <w:pPr>
              <w:ind w:left="160"/>
              <w:spacing w:after="0"/>
              <w:rPr>
                <w:sz w:val="20"/>
                <w:szCs w:val="20"/>
                <w:color w:val="auto"/>
              </w:rPr>
            </w:pPr>
            <w:r>
              <w:rPr>
                <w:rFonts w:ascii="Arial" w:cs="Arial" w:eastAsia="Arial" w:hAnsi="Arial"/>
                <w:sz w:val="15"/>
                <w:szCs w:val="15"/>
                <w:color w:val="auto"/>
              </w:rPr>
              <w:t>All other states</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61</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0.58</w:t>
            </w:r>
          </w:p>
        </w:tc>
        <w:tc>
          <w:tcPr>
            <w:tcW w:w="120" w:type="dxa"/>
            <w:vAlign w:val="bottom"/>
          </w:tcPr>
          <w:p>
            <w:pPr>
              <w:spacing w:after="0"/>
              <w:rPr>
                <w:sz w:val="21"/>
                <w:szCs w:val="21"/>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0.54</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00" w:hanging="197"/>
        <w:spacing w:after="0"/>
        <w:tabs>
          <w:tab w:leader="none" w:pos="2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19" w:lineRule="exact"/>
        <w:rPr>
          <w:sz w:val="20"/>
          <w:szCs w:val="20"/>
          <w:color w:val="auto"/>
        </w:rPr>
      </w:pPr>
    </w:p>
    <w:p>
      <w:pPr>
        <w:ind w:left="260" w:hanging="257"/>
        <w:spacing w:after="0"/>
        <w:tabs>
          <w:tab w:leader="none" w:pos="26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Based on loan count.</w:t>
      </w:r>
    </w:p>
    <w:p>
      <w:pPr>
        <w:spacing w:after="0" w:line="97"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Multifamily Credit Risk Characteristics</w:t>
      </w:r>
    </w:p>
    <w:p>
      <w:pPr>
        <w:spacing w:after="0" w:line="6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For multifamily loans, management monitors the serious delinquency rate, which is the percentage of multifamily loans, based on UPB, that are 60 days or more past due, and loans with other higher risk characteristics to determine the overall credit quality of our multifamily book of business. Higher risk characteristics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353695</wp:posOffset>
            </wp:positionV>
            <wp:extent cx="680593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61" w:right="379" w:bottom="1440" w:gutter="0" w:footer="0" w:header="0"/>
          <w:type w:val="continuous"/>
        </w:sectPr>
      </w:pPr>
    </w:p>
    <w:bookmarkStart w:id="94" w:name="page95"/>
    <w:bookmarkEnd w:id="94"/>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current debt service coverage ratio (“DSCR”) below 1.0 and original LTV ratio greater than 80%. We stratify multifamily loans into different internal risk categories based on the credit risk inherent in each individual loan.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multifamily guaranty book of business.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3340" w:type="dxa"/>
            <w:vAlign w:val="bottom"/>
            <w:tcBorders>
              <w:bottom w:val="single" w:sz="8" w:color="2C6937"/>
            </w:tcBorders>
            <w:gridSpan w:val="4"/>
          </w:tcPr>
          <w:p>
            <w:pPr>
              <w:ind w:left="14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September 30, 2026</w:t>
            </w:r>
            <w:r>
              <w:rPr>
                <w:rFonts w:ascii="Arial" w:cs="Arial" w:eastAsia="Arial" w:hAnsi="Arial"/>
                <w:sz w:val="17"/>
                <w:szCs w:val="17"/>
                <w:b w:val="1"/>
                <w:bCs w:val="1"/>
                <w:color w:val="auto"/>
                <w:w w:val="95"/>
                <w:vertAlign w:val="superscript"/>
              </w:rPr>
              <w:t>(1)</w:t>
            </w:r>
          </w:p>
        </w:tc>
        <w:tc>
          <w:tcPr>
            <w:tcW w:w="3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December 31, 2025</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177"/>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top w:val="single" w:sz="8" w:color="2C6937"/>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30 - 59 Days</w:t>
            </w:r>
          </w:p>
        </w:tc>
        <w:tc>
          <w:tcPr>
            <w:tcW w:w="1560" w:type="dxa"/>
            <w:vAlign w:val="bottom"/>
            <w:tcBorders>
              <w:top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6"/>
              </w:rPr>
              <w:t>30 - 59 Days</w:t>
            </w:r>
          </w:p>
        </w:tc>
        <w:tc>
          <w:tcPr>
            <w:tcW w:w="1560" w:type="dxa"/>
            <w:vAlign w:val="bottom"/>
            <w:tcBorders>
              <w:top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Delinquent</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Delinquent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0" w:type="dxa"/>
            <w:vAlign w:val="bottom"/>
          </w:tcPr>
          <w:p>
            <w:pPr>
              <w:spacing w:after="0"/>
              <w:rPr>
                <w:sz w:val="1"/>
                <w:szCs w:val="1"/>
                <w:color w:val="auto"/>
              </w:rPr>
            </w:pPr>
          </w:p>
        </w:tc>
      </w:tr>
      <w:tr>
        <w:trPr>
          <w:trHeight w:val="231"/>
        </w:trPr>
        <w:tc>
          <w:tcPr>
            <w:tcW w:w="4660" w:type="dxa"/>
            <w:vAlign w:val="bottom"/>
            <w:gridSpan w:val="2"/>
          </w:tcPr>
          <w:p>
            <w:pPr>
              <w:spacing w:after="0"/>
              <w:rPr>
                <w:sz w:val="20"/>
                <w:szCs w:val="20"/>
                <w:color w:val="auto"/>
              </w:rPr>
            </w:pPr>
            <w:r>
              <w:rPr>
                <w:rFonts w:ascii="Arial" w:cs="Arial" w:eastAsia="Arial" w:hAnsi="Arial"/>
                <w:sz w:val="15"/>
                <w:szCs w:val="15"/>
                <w:color w:val="auto"/>
              </w:rPr>
              <w:t>Percentage of multifamily guaranty book of business</w:t>
            </w:r>
          </w:p>
        </w:tc>
        <w:tc>
          <w:tcPr>
            <w:tcW w:w="154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0.11 %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b w:val="1"/>
                <w:bCs w:val="1"/>
                <w:color w:val="auto"/>
              </w:rPr>
              <w:t>0.62 %</w:t>
            </w:r>
          </w:p>
        </w:tc>
        <w:tc>
          <w:tcPr>
            <w:tcW w:w="100" w:type="dxa"/>
            <w:vAlign w:val="bottom"/>
          </w:tcPr>
          <w:p>
            <w:pPr>
              <w:spacing w:after="0"/>
              <w:rPr>
                <w:sz w:val="20"/>
                <w:szCs w:val="20"/>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0.10 %</w:t>
            </w:r>
          </w:p>
        </w:tc>
        <w:tc>
          <w:tcPr>
            <w:tcW w:w="120" w:type="dxa"/>
            <w:vAlign w:val="bottom"/>
          </w:tcPr>
          <w:p>
            <w:pPr>
              <w:spacing w:after="0"/>
              <w:rPr>
                <w:sz w:val="20"/>
                <w:szCs w:val="20"/>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0.74 %</w:t>
            </w:r>
          </w:p>
        </w:tc>
        <w:tc>
          <w:tcPr>
            <w:tcW w:w="0" w:type="dxa"/>
            <w:vAlign w:val="bottom"/>
          </w:tcPr>
          <w:p>
            <w:pPr>
              <w:spacing w:after="0"/>
              <w:rPr>
                <w:sz w:val="1"/>
                <w:szCs w:val="1"/>
                <w:color w:val="auto"/>
              </w:rPr>
            </w:pPr>
          </w:p>
        </w:tc>
      </w:tr>
      <w:tr>
        <w:trPr>
          <w:trHeight w:val="399"/>
        </w:trPr>
        <w:tc>
          <w:tcPr>
            <w:tcW w:w="464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5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3340" w:type="dxa"/>
            <w:vAlign w:val="bottom"/>
            <w:tcBorders>
              <w:bottom w:val="single" w:sz="8" w:color="2C6937"/>
            </w:tcBorders>
            <w:gridSpan w:val="4"/>
          </w:tcPr>
          <w:p>
            <w:pPr>
              <w:ind w:left="14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4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322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7"/>
              </w:rPr>
              <w:t>September 30, 2026</w:t>
            </w:r>
          </w:p>
        </w:tc>
        <w:tc>
          <w:tcPr>
            <w:tcW w:w="100" w:type="dxa"/>
            <w:vAlign w:val="bottom"/>
          </w:tcPr>
          <w:p>
            <w:pPr>
              <w:spacing w:after="0"/>
              <w:rPr>
                <w:sz w:val="17"/>
                <w:szCs w:val="17"/>
                <w:color w:val="auto"/>
              </w:rPr>
            </w:pPr>
          </w:p>
        </w:tc>
        <w:tc>
          <w:tcPr>
            <w:tcW w:w="324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December 31, 2025</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Percentage of</w:t>
            </w: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Serious Delinquency</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 Delinquency</w:t>
            </w:r>
          </w:p>
        </w:tc>
        <w:tc>
          <w:tcPr>
            <w:tcW w:w="0" w:type="dxa"/>
            <w:vAlign w:val="bottom"/>
          </w:tcPr>
          <w:p>
            <w:pPr>
              <w:spacing w:after="0"/>
              <w:rPr>
                <w:sz w:val="1"/>
                <w:szCs w:val="1"/>
                <w:color w:val="auto"/>
              </w:rPr>
            </w:pPr>
          </w:p>
        </w:tc>
      </w:tr>
      <w:tr>
        <w:trPr>
          <w:trHeight w:val="153"/>
        </w:trPr>
        <w:tc>
          <w:tcPr>
            <w:tcW w:w="4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8"/>
              </w:rPr>
              <w:t>Multifamily Guaranty</w:t>
            </w:r>
          </w:p>
        </w:tc>
        <w:tc>
          <w:tcPr>
            <w:tcW w:w="1660" w:type="dxa"/>
            <w:vAlign w:val="bottom"/>
            <w:gridSpan w:val="2"/>
            <w:vMerge w:val="continue"/>
          </w:tcPr>
          <w:p>
            <w:pPr>
              <w:spacing w:after="0"/>
              <w:rPr>
                <w:sz w:val="13"/>
                <w:szCs w:val="13"/>
                <w:color w:val="auto"/>
              </w:rPr>
            </w:pPr>
          </w:p>
        </w:tc>
        <w:tc>
          <w:tcPr>
            <w:tcW w:w="16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Multifamily Guaranty</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4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Book of Business</w:t>
            </w:r>
            <w:r>
              <w:rPr>
                <w:rFonts w:ascii="Arial" w:cs="Arial" w:eastAsia="Arial" w:hAnsi="Arial"/>
                <w:sz w:val="17"/>
                <w:szCs w:val="17"/>
                <w:b w:val="1"/>
                <w:bCs w:val="1"/>
                <w:color w:val="auto"/>
                <w:w w:val="96"/>
                <w:vertAlign w:val="superscript"/>
              </w:rPr>
              <w:t>(1)</w:t>
            </w:r>
          </w:p>
        </w:tc>
        <w:tc>
          <w:tcPr>
            <w:tcW w:w="10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center"/>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100" w:type="dxa"/>
            <w:vAlign w:val="bottom"/>
          </w:tcPr>
          <w:p>
            <w:pPr>
              <w:spacing w:after="0"/>
              <w:rPr>
                <w:sz w:val="17"/>
                <w:szCs w:val="17"/>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Book of Business</w:t>
            </w:r>
            <w:r>
              <w:rPr>
                <w:rFonts w:ascii="Arial" w:cs="Arial" w:eastAsia="Arial" w:hAnsi="Arial"/>
                <w:sz w:val="17"/>
                <w:szCs w:val="17"/>
                <w:b w:val="1"/>
                <w:bCs w:val="1"/>
                <w:color w:val="auto"/>
                <w:w w:val="96"/>
                <w:vertAlign w:val="superscript"/>
              </w:rPr>
              <w:t>(1)</w:t>
            </w:r>
          </w:p>
        </w:tc>
        <w:tc>
          <w:tcPr>
            <w:tcW w:w="120" w:type="dxa"/>
            <w:vAlign w:val="bottom"/>
          </w:tcPr>
          <w:p>
            <w:pPr>
              <w:spacing w:after="0"/>
              <w:rPr>
                <w:sz w:val="17"/>
                <w:szCs w:val="17"/>
                <w:color w:val="auto"/>
              </w:rPr>
            </w:pPr>
          </w:p>
        </w:tc>
        <w:tc>
          <w:tcPr>
            <w:tcW w:w="1560" w:type="dxa"/>
            <w:vAlign w:val="bottom"/>
            <w:tcBorders>
              <w:bottom w:val="single" w:sz="8" w:color="2C6937"/>
            </w:tcBorders>
          </w:tcPr>
          <w:p>
            <w:pPr>
              <w:jc w:val="center"/>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0" w:type="dxa"/>
            <w:vAlign w:val="bottom"/>
          </w:tcPr>
          <w:p>
            <w:pPr>
              <w:spacing w:after="0"/>
              <w:rPr>
                <w:sz w:val="1"/>
                <w:szCs w:val="1"/>
                <w:color w:val="auto"/>
              </w:rPr>
            </w:pPr>
          </w:p>
        </w:tc>
      </w:tr>
      <w:tr>
        <w:trPr>
          <w:trHeight w:val="218"/>
        </w:trPr>
        <w:tc>
          <w:tcPr>
            <w:tcW w:w="4660" w:type="dxa"/>
            <w:vAlign w:val="bottom"/>
            <w:gridSpan w:val="2"/>
          </w:tcPr>
          <w:p>
            <w:pPr>
              <w:spacing w:after="0"/>
              <w:rPr>
                <w:sz w:val="20"/>
                <w:szCs w:val="20"/>
                <w:color w:val="auto"/>
              </w:rPr>
            </w:pPr>
            <w:r>
              <w:rPr>
                <w:rFonts w:ascii="Arial" w:cs="Arial" w:eastAsia="Arial" w:hAnsi="Arial"/>
                <w:sz w:val="15"/>
                <w:szCs w:val="15"/>
                <w:b w:val="1"/>
                <w:bCs w:val="1"/>
                <w:color w:val="auto"/>
              </w:rPr>
              <w:t>Original LTV ratio:</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660" w:type="dxa"/>
            <w:vAlign w:val="bottom"/>
            <w:gridSpan w:val="2"/>
          </w:tcPr>
          <w:p>
            <w:pPr>
              <w:ind w:left="160"/>
              <w:spacing w:after="0"/>
              <w:rPr>
                <w:sz w:val="20"/>
                <w:szCs w:val="20"/>
                <w:color w:val="auto"/>
              </w:rPr>
            </w:pPr>
            <w:r>
              <w:rPr>
                <w:rFonts w:ascii="Arial" w:cs="Arial" w:eastAsia="Arial" w:hAnsi="Arial"/>
                <w:sz w:val="15"/>
                <w:szCs w:val="15"/>
                <w:color w:val="auto"/>
              </w:rPr>
              <w:t>Greater than 80%</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ind w:left="1060"/>
              <w:spacing w:after="0"/>
              <w:rPr>
                <w:sz w:val="20"/>
                <w:szCs w:val="20"/>
                <w:color w:val="auto"/>
              </w:rPr>
            </w:pPr>
            <w:r>
              <w:rPr>
                <w:rFonts w:ascii="Arial" w:cs="Arial" w:eastAsia="Arial" w:hAnsi="Arial"/>
                <w:sz w:val="15"/>
                <w:szCs w:val="15"/>
                <w:b w:val="1"/>
                <w:bCs w:val="1"/>
                <w:color w:val="auto"/>
              </w:rPr>
              <w:t>0.47 %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1 %</w:t>
            </w:r>
          </w:p>
        </w:tc>
        <w:tc>
          <w:tcPr>
            <w:tcW w:w="120" w:type="dxa"/>
            <w:vAlign w:val="bottom"/>
          </w:tcPr>
          <w:p>
            <w:pPr>
              <w:spacing w:after="0"/>
              <w:rPr>
                <w:sz w:val="22"/>
                <w:szCs w:val="22"/>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0.12 %</w:t>
            </w:r>
          </w:p>
        </w:tc>
        <w:tc>
          <w:tcPr>
            <w:tcW w:w="0" w:type="dxa"/>
            <w:vAlign w:val="bottom"/>
          </w:tcPr>
          <w:p>
            <w:pPr>
              <w:spacing w:after="0"/>
              <w:rPr>
                <w:sz w:val="1"/>
                <w:szCs w:val="1"/>
                <w:color w:val="auto"/>
              </w:rPr>
            </w:pPr>
          </w:p>
        </w:tc>
      </w:tr>
      <w:tr>
        <w:trPr>
          <w:trHeight w:val="245"/>
        </w:trPr>
        <w:tc>
          <w:tcPr>
            <w:tcW w:w="4660" w:type="dxa"/>
            <w:vAlign w:val="bottom"/>
            <w:gridSpan w:val="2"/>
          </w:tcPr>
          <w:p>
            <w:pPr>
              <w:ind w:left="160"/>
              <w:spacing w:after="0"/>
              <w:rPr>
                <w:sz w:val="20"/>
                <w:szCs w:val="20"/>
                <w:color w:val="auto"/>
              </w:rPr>
            </w:pPr>
            <w:r>
              <w:rPr>
                <w:rFonts w:ascii="Arial" w:cs="Arial" w:eastAsia="Arial" w:hAnsi="Arial"/>
                <w:sz w:val="15"/>
                <w:szCs w:val="15"/>
                <w:color w:val="auto"/>
              </w:rPr>
              <w:t>Less than or equal to 80%</w:t>
            </w:r>
          </w:p>
        </w:tc>
        <w:tc>
          <w:tcPr>
            <w:tcW w:w="1540" w:type="dxa"/>
            <w:vAlign w:val="bottom"/>
          </w:tcPr>
          <w:p>
            <w:pPr>
              <w:jc w:val="right"/>
              <w:ind w:right="128"/>
              <w:spacing w:after="0"/>
              <w:rPr>
                <w:sz w:val="20"/>
                <w:szCs w:val="20"/>
                <w:color w:val="auto"/>
              </w:rPr>
            </w:pPr>
            <w:r>
              <w:rPr>
                <w:rFonts w:ascii="Arial" w:cs="Arial" w:eastAsia="Arial" w:hAnsi="Arial"/>
                <w:sz w:val="15"/>
                <w:szCs w:val="15"/>
                <w:b w:val="1"/>
                <w:bCs w:val="1"/>
                <w:color w:val="auto"/>
              </w:rPr>
              <w:t>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ind w:left="1060"/>
              <w:spacing w:after="0"/>
              <w:rPr>
                <w:sz w:val="20"/>
                <w:szCs w:val="20"/>
                <w:color w:val="auto"/>
              </w:rPr>
            </w:pPr>
            <w:r>
              <w:rPr>
                <w:rFonts w:ascii="Arial" w:cs="Arial" w:eastAsia="Arial" w:hAnsi="Arial"/>
                <w:sz w:val="15"/>
                <w:szCs w:val="15"/>
                <w:b w:val="1"/>
                <w:bCs w:val="1"/>
                <w:color w:val="auto"/>
              </w:rPr>
              <w:t>0.62</w:t>
            </w:r>
          </w:p>
        </w:tc>
        <w:tc>
          <w:tcPr>
            <w:tcW w:w="100" w:type="dxa"/>
            <w:vAlign w:val="bottom"/>
          </w:tcPr>
          <w:p>
            <w:pPr>
              <w:spacing w:after="0"/>
              <w:rPr>
                <w:sz w:val="21"/>
                <w:szCs w:val="21"/>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21"/>
                <w:szCs w:val="21"/>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0.75</w:t>
            </w:r>
          </w:p>
        </w:tc>
        <w:tc>
          <w:tcPr>
            <w:tcW w:w="0" w:type="dxa"/>
            <w:vAlign w:val="bottom"/>
          </w:tcPr>
          <w:p>
            <w:pPr>
              <w:spacing w:after="0"/>
              <w:rPr>
                <w:sz w:val="1"/>
                <w:szCs w:val="1"/>
                <w:color w:val="auto"/>
              </w:rPr>
            </w:pPr>
          </w:p>
        </w:tc>
      </w:tr>
      <w:tr>
        <w:trPr>
          <w:trHeight w:val="295"/>
        </w:trPr>
        <w:tc>
          <w:tcPr>
            <w:tcW w:w="4660" w:type="dxa"/>
            <w:vAlign w:val="bottom"/>
            <w:gridSpan w:val="2"/>
          </w:tcPr>
          <w:p>
            <w:pPr>
              <w:spacing w:after="0"/>
              <w:rPr>
                <w:sz w:val="20"/>
                <w:szCs w:val="20"/>
                <w:color w:val="auto"/>
              </w:rPr>
            </w:pPr>
            <w:r>
              <w:rPr>
                <w:rFonts w:ascii="Arial" w:cs="Arial" w:eastAsia="Arial" w:hAnsi="Arial"/>
                <w:sz w:val="15"/>
                <w:szCs w:val="15"/>
                <w:b w:val="1"/>
                <w:bCs w:val="1"/>
                <w:color w:val="auto"/>
              </w:rPr>
              <w:t>Current DSCR below 1.0</w:t>
            </w:r>
            <w:r>
              <w:rPr>
                <w:rFonts w:ascii="Arial" w:cs="Arial" w:eastAsia="Arial" w:hAnsi="Arial"/>
                <w:sz w:val="20"/>
                <w:szCs w:val="20"/>
                <w:b w:val="1"/>
                <w:bCs w:val="1"/>
                <w:color w:val="auto"/>
                <w:vertAlign w:val="superscript"/>
              </w:rPr>
              <w:t>(4)</w:t>
            </w:r>
          </w:p>
        </w:tc>
        <w:tc>
          <w:tcPr>
            <w:tcW w:w="1540" w:type="dxa"/>
            <w:vAlign w:val="bottom"/>
          </w:tcPr>
          <w:p>
            <w:pPr>
              <w:jc w:val="right"/>
              <w:ind w:right="128"/>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ind w:left="1060"/>
              <w:spacing w:after="0"/>
              <w:rPr>
                <w:sz w:val="20"/>
                <w:szCs w:val="20"/>
                <w:color w:val="auto"/>
              </w:rPr>
            </w:pPr>
            <w:r>
              <w:rPr>
                <w:rFonts w:ascii="Arial" w:cs="Arial" w:eastAsia="Arial" w:hAnsi="Arial"/>
                <w:sz w:val="15"/>
                <w:szCs w:val="15"/>
                <w:b w:val="1"/>
                <w:bCs w:val="1"/>
                <w:color w:val="auto"/>
              </w:rPr>
              <w:t>6.54</w:t>
            </w:r>
          </w:p>
        </w:tc>
        <w:tc>
          <w:tcPr>
            <w:tcW w:w="100" w:type="dxa"/>
            <w:vAlign w:val="bottom"/>
          </w:tcPr>
          <w:p>
            <w:pPr>
              <w:spacing w:after="0"/>
              <w:rPr>
                <w:sz w:val="24"/>
                <w:szCs w:val="24"/>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24"/>
                <w:szCs w:val="24"/>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5.88</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20" w:hanging="217"/>
        <w:spacing w:after="0"/>
        <w:tabs>
          <w:tab w:leader="none" w:pos="2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UPB of multifamily loans for each category divided by the aggregate UPB of loans in our multifamily guaranty book of business.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Consists of multifamily loans that were 60 days or more past due as of the dates indicated.</w:t>
      </w:r>
    </w:p>
    <w:p>
      <w:pPr>
        <w:spacing w:after="0" w:line="38" w:lineRule="exact"/>
        <w:rPr>
          <w:rFonts w:ascii="Arial" w:cs="Arial" w:eastAsia="Arial" w:hAnsi="Arial"/>
          <w:sz w:val="18"/>
          <w:szCs w:val="18"/>
          <w:color w:val="auto"/>
          <w:vertAlign w:val="superscript"/>
        </w:rPr>
      </w:pPr>
    </w:p>
    <w:p>
      <w:pPr>
        <w:ind w:left="240" w:right="360" w:hanging="237"/>
        <w:spacing w:after="0" w:line="210" w:lineRule="auto"/>
        <w:tabs>
          <w:tab w:leader="none" w:pos="233"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UPB of multifamily loans that were seriously delinquent divided by the aggregate UPB of multifamily loans for each category included in our multifamily guaranty book of business.</w:t>
      </w:r>
    </w:p>
    <w:p>
      <w:pPr>
        <w:spacing w:after="0" w:line="26" w:lineRule="exact"/>
        <w:rPr>
          <w:rFonts w:ascii="Arial" w:cs="Arial" w:eastAsia="Arial" w:hAnsi="Arial"/>
          <w:sz w:val="18"/>
          <w:szCs w:val="18"/>
          <w:color w:val="auto"/>
          <w:vertAlign w:val="superscript"/>
        </w:rPr>
      </w:pPr>
    </w:p>
    <w:p>
      <w:pPr>
        <w:ind w:left="240" w:right="380" w:hanging="237"/>
        <w:spacing w:after="0" w:line="278" w:lineRule="auto"/>
        <w:tabs>
          <w:tab w:leader="none" w:pos="233" w:val="left"/>
        </w:tabs>
        <w:numPr>
          <w:ilvl w:val="0"/>
          <w:numId w:val="81"/>
        </w:numPr>
        <w:rPr>
          <w:rFonts w:ascii="Arial" w:cs="Arial" w:eastAsia="Arial" w:hAnsi="Arial"/>
          <w:sz w:val="9"/>
          <w:szCs w:val="9"/>
          <w:color w:val="auto"/>
        </w:rPr>
      </w:pPr>
      <w:r>
        <w:rPr>
          <w:rFonts w:ascii="Arial" w:cs="Arial" w:eastAsia="Arial" w:hAnsi="Arial"/>
          <w:sz w:val="14"/>
          <w:szCs w:val="14"/>
          <w:color w:val="auto"/>
        </w:rPr>
        <w:t>Our estimates of current DSCRs are based on the latest available income information, including the related debt service covering a 12-month period, from quarterly and annual statements for these properties.</w:t>
      </w:r>
    </w:p>
    <w:p>
      <w:pPr>
        <w:spacing w:after="0" w:line="7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Other Concentrations</w:t>
      </w:r>
    </w:p>
    <w:p>
      <w:pPr>
        <w:spacing w:after="0" w:line="6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For information on credit risk associated with our derivative transactions and repurchase agreements see “Note 9, Derivative Instruments” and “Note 12, Netting Arrangements.” For information on concentrations related to mortgage insurers and mortgage servicers and sellers, see “Note 14, Concentrations of Credit Risk—Other Concentrations” in our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340360</wp:posOffset>
            </wp:positionV>
            <wp:extent cx="680593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95" w:name="page96"/>
    <w:bookmarkEnd w:id="95"/>
    <w:p>
      <w:pPr>
        <w:jc w:val="right"/>
        <w:ind w:right="60"/>
        <w:spacing w:after="0"/>
        <w:rPr>
          <w:sz w:val="20"/>
          <w:szCs w:val="20"/>
          <w:color w:val="auto"/>
        </w:rPr>
      </w:pPr>
      <w:r>
        <w:rPr>
          <w:rFonts w:ascii="Arial" w:cs="Arial" w:eastAsia="Arial" w:hAnsi="Arial"/>
          <w:sz w:val="14"/>
          <w:szCs w:val="14"/>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12. Netting Arrangements</w:t>
      </w:r>
    </w:p>
    <w:p>
      <w:pPr>
        <w:spacing w:after="0" w:line="8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We use master netting arrangements, which allow us to offset certain financial instruments and collateral with the same counterparty, to minimize counterparty credit exposure. The tables below display information related to derivatives and securities purchased under agreements to resell, which are subject to an enforceable master netting arrangement or similar agreement that are either offset or not offset in our condensed consolidated balance sheets.</w:t>
      </w:r>
    </w:p>
    <w:p>
      <w:pPr>
        <w:sectPr>
          <w:pgSz w:w="11900" w:h="16838" w:orient="portrait"/>
          <w:cols w:equalWidth="0" w:num="1">
            <w:col w:w="11200"/>
          </w:cols>
          <w:pgMar w:left="320" w:top="26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Assets:</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OTC risk management derivatives</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Cleared risk management derivatives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Total derivative assets</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29210</wp:posOffset>
            </wp:positionV>
            <wp:extent cx="23247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45720</wp:posOffset>
            </wp:positionV>
            <wp:extent cx="23247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Liabilities:</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OTC risk management derivatives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Cleared risk management derivatives</w:t>
      </w:r>
    </w:p>
    <w:p>
      <w:pPr>
        <w:spacing w:after="0" w:line="4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45720</wp:posOffset>
            </wp:positionV>
            <wp:extent cx="23247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Assets: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OTC risk management derivatives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Cleared risk management derivatives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20955</wp:posOffset>
            </wp:positionV>
            <wp:extent cx="234124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Total derivative assets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29210</wp:posOffset>
            </wp:positionV>
            <wp:extent cx="234124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29210</wp:posOffset>
            </wp:positionV>
            <wp:extent cx="234124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341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53975</wp:posOffset>
            </wp:positionV>
            <wp:extent cx="234124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9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Liabilities: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OTC risk management derivatives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Cleared risk management derivatives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20955</wp:posOffset>
            </wp:positionV>
            <wp:extent cx="234124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20955</wp:posOffset>
            </wp:positionV>
            <wp:extent cx="234124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341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45720</wp:posOffset>
            </wp:positionV>
            <wp:extent cx="234124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7"/>
              </w:rPr>
              <w:t>As of September 30, 2026</w:t>
            </w:r>
          </w:p>
        </w:tc>
        <w:tc>
          <w:tcPr>
            <w:tcW w:w="1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2"/>
            <w:vMerge w:val="restart"/>
          </w:tcPr>
          <w:p>
            <w:pPr>
              <w:jc w:val="center"/>
              <w:ind w:right="10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6"/>
                <w:szCs w:val="6"/>
                <w:color w:val="auto"/>
              </w:rPr>
            </w:pPr>
          </w:p>
        </w:tc>
        <w:tc>
          <w:tcPr>
            <w:tcW w:w="2760" w:type="dxa"/>
            <w:vAlign w:val="bottom"/>
            <w:gridSpan w:val="12"/>
            <w:vMerge w:val="continue"/>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20" w:type="dxa"/>
            <w:vAlign w:val="bottom"/>
            <w:gridSpan w:val="9"/>
            <w:vMerge w:val="restart"/>
          </w:tcPr>
          <w:p>
            <w:pPr>
              <w:jc w:val="center"/>
              <w:ind w:right="460"/>
              <w:spacing w:after="0"/>
              <w:rPr>
                <w:sz w:val="20"/>
                <w:szCs w:val="20"/>
                <w:color w:val="auto"/>
              </w:rPr>
            </w:pPr>
            <w:r>
              <w:rPr>
                <w:rFonts w:ascii="Arial" w:cs="Arial" w:eastAsia="Arial" w:hAnsi="Arial"/>
                <w:sz w:val="14"/>
                <w:szCs w:val="14"/>
                <w:b w:val="1"/>
                <w:bCs w:val="1"/>
                <w:color w:val="auto"/>
                <w:w w:val="97"/>
              </w:rPr>
              <w:t>Consolidated Balance Sheets</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Condensed</w:t>
            </w: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20" w:type="dxa"/>
            <w:vAlign w:val="bottom"/>
            <w:gridSpan w:val="9"/>
            <w:vMerge w:val="continue"/>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6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center"/>
              <w:ind w:right="330"/>
              <w:spacing w:after="0" w:line="155" w:lineRule="exact"/>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center"/>
              <w:ind w:right="580"/>
              <w:spacing w:after="0" w:line="155" w:lineRule="exact"/>
              <w:rPr>
                <w:sz w:val="20"/>
                <w:szCs w:val="20"/>
                <w:color w:val="auto"/>
              </w:rPr>
            </w:pPr>
            <w:r>
              <w:rPr>
                <w:rFonts w:ascii="Arial" w:cs="Arial" w:eastAsia="Arial" w:hAnsi="Arial"/>
                <w:sz w:val="14"/>
                <w:szCs w:val="14"/>
                <w:b w:val="1"/>
                <w:bCs w:val="1"/>
                <w:color w:val="auto"/>
                <w:w w:val="98"/>
              </w:rPr>
              <w:t>Financial</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Offset</w:t>
            </w:r>
            <w:r>
              <w:rPr>
                <w:rFonts w:ascii="Arial" w:cs="Arial" w:eastAsia="Arial" w:hAnsi="Arial"/>
                <w:sz w:val="17"/>
                <w:szCs w:val="17"/>
                <w:b w:val="1"/>
                <w:bCs w:val="1"/>
                <w:color w:val="auto"/>
                <w:w w:val="99"/>
                <w:vertAlign w:val="superscript"/>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8"/>
              </w:rPr>
              <w:t>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7"/>
              </w:rPr>
              <w:t>Instruments</w:t>
            </w:r>
            <w:r>
              <w:rPr>
                <w:rFonts w:ascii="Arial" w:cs="Arial" w:eastAsia="Arial" w:hAnsi="Arial"/>
                <w:sz w:val="8"/>
                <w:szCs w:val="8"/>
                <w:b w:val="1"/>
                <w:bCs w:val="1"/>
                <w:color w:val="auto"/>
                <w:w w:val="97"/>
              </w:rPr>
              <w:t>(2)</w:t>
            </w:r>
          </w:p>
        </w:tc>
        <w:tc>
          <w:tcPr>
            <w:tcW w:w="1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720" w:type="dxa"/>
            <w:vAlign w:val="bottom"/>
            <w:tcBorders>
              <w:top w:val="single" w:sz="8" w:color="2C6937"/>
            </w:tcBorders>
          </w:tcPr>
          <w:p>
            <w:pPr>
              <w:spacing w:after="0"/>
              <w:rPr>
                <w:sz w:val="17"/>
                <w:szCs w:val="17"/>
                <w:color w:val="auto"/>
              </w:rPr>
            </w:pPr>
          </w:p>
        </w:tc>
        <w:tc>
          <w:tcPr>
            <w:tcW w:w="40" w:type="dxa"/>
            <w:vAlign w:val="bottom"/>
            <w:tcBorders>
              <w:top w:val="single" w:sz="8" w:color="2C6937"/>
            </w:tcBorders>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40" w:type="dxa"/>
            <w:vAlign w:val="bottom"/>
            <w:tcBorders>
              <w:top w:val="single" w:sz="8" w:color="2C6937"/>
            </w:tcBorders>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700" w:type="dxa"/>
            <w:vAlign w:val="bottom"/>
            <w:tcBorders>
              <w:top w:val="single" w:sz="8" w:color="2C6937"/>
            </w:tcBorders>
          </w:tcPr>
          <w:p>
            <w:pPr>
              <w:spacing w:after="0"/>
              <w:rPr>
                <w:sz w:val="17"/>
                <w:szCs w:val="17"/>
                <w:color w:val="auto"/>
              </w:rPr>
            </w:pPr>
          </w:p>
        </w:tc>
        <w:tc>
          <w:tcPr>
            <w:tcW w:w="40" w:type="dxa"/>
            <w:vAlign w:val="bottom"/>
            <w:tcBorders>
              <w:top w:val="single" w:sz="8" w:color="2C6937"/>
            </w:tcBorders>
          </w:tcPr>
          <w:p>
            <w:pPr>
              <w:spacing w:after="0"/>
              <w:rPr>
                <w:sz w:val="17"/>
                <w:szCs w:val="17"/>
                <w:color w:val="auto"/>
              </w:rPr>
            </w:pPr>
          </w:p>
        </w:tc>
        <w:tc>
          <w:tcPr>
            <w:tcW w:w="280" w:type="dxa"/>
            <w:vAlign w:val="bottom"/>
            <w:tcBorders>
              <w:top w:val="single" w:sz="8" w:color="2C6937"/>
            </w:tcBorders>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900" w:type="dxa"/>
            <w:vAlign w:val="bottom"/>
            <w:tcBorders>
              <w:top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Borders>
              <w:top w:val="single" w:sz="8" w:color="2C6937"/>
            </w:tcBorders>
          </w:tcPr>
          <w:p>
            <w:pPr>
              <w:spacing w:after="0"/>
              <w:rPr>
                <w:sz w:val="17"/>
                <w:szCs w:val="17"/>
                <w:color w:val="auto"/>
              </w:rPr>
            </w:pPr>
          </w:p>
        </w:tc>
        <w:tc>
          <w:tcPr>
            <w:tcW w:w="860" w:type="dxa"/>
            <w:vAlign w:val="bottom"/>
            <w:tcBorders>
              <w:top w:val="single" w:sz="8" w:color="2C6937"/>
            </w:tcBorders>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40" w:type="dxa"/>
            <w:vAlign w:val="bottom"/>
            <w:tcBorders>
              <w:top w:val="single" w:sz="8" w:color="2C6937"/>
            </w:tcBorders>
          </w:tcPr>
          <w:p>
            <w:pPr>
              <w:spacing w:after="0"/>
              <w:rPr>
                <w:sz w:val="17"/>
                <w:szCs w:val="17"/>
                <w:color w:val="auto"/>
              </w:rPr>
            </w:pPr>
          </w:p>
        </w:tc>
        <w:tc>
          <w:tcPr>
            <w:tcW w:w="320" w:type="dxa"/>
            <w:vAlign w:val="bottom"/>
            <w:tcBorders>
              <w:top w:val="single" w:sz="8" w:color="2C6937"/>
            </w:tcBorders>
          </w:tcPr>
          <w:p>
            <w:pPr>
              <w:spacing w:after="0"/>
              <w:rPr>
                <w:sz w:val="17"/>
                <w:szCs w:val="17"/>
                <w:color w:val="auto"/>
              </w:rPr>
            </w:pPr>
          </w:p>
        </w:tc>
        <w:tc>
          <w:tcPr>
            <w:tcW w:w="580" w:type="dxa"/>
            <w:vAlign w:val="bottom"/>
            <w:tcBorders>
              <w:top w:val="single" w:sz="8" w:color="2C6937"/>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0"/>
        </w:trPr>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416</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(406)</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200</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200</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1"/>
                <w:szCs w:val="21"/>
                <w:color w:val="auto"/>
              </w:rPr>
            </w:pP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241</w:t>
            </w:r>
          </w:p>
        </w:tc>
        <w:tc>
          <w:tcPr>
            <w:tcW w:w="40" w:type="dxa"/>
            <w:vAlign w:val="bottom"/>
            <w:tcBorders>
              <w:bottom w:val="single" w:sz="8" w:color="2C6937"/>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241</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center"/>
              <w:ind w:left="324"/>
              <w:spacing w:after="0"/>
              <w:rPr>
                <w:sz w:val="20"/>
                <w:szCs w:val="20"/>
                <w:color w:val="auto"/>
              </w:rPr>
            </w:pPr>
            <w:r>
              <w:rPr>
                <w:rFonts w:ascii="Arial" w:cs="Arial" w:eastAsia="Arial" w:hAnsi="Arial"/>
                <w:sz w:val="15"/>
                <w:szCs w:val="15"/>
                <w:color w:val="auto"/>
              </w:rPr>
              <w:t>(202)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657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(206)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451</w:t>
            </w:r>
          </w:p>
        </w:tc>
        <w:tc>
          <w:tcPr>
            <w:tcW w:w="4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left="324"/>
              <w:spacing w:after="0"/>
              <w:rPr>
                <w:sz w:val="20"/>
                <w:szCs w:val="20"/>
                <w:color w:val="auto"/>
              </w:rPr>
            </w:pPr>
            <w:r>
              <w:rPr>
                <w:rFonts w:ascii="Arial" w:cs="Arial" w:eastAsia="Arial" w:hAnsi="Arial"/>
                <w:sz w:val="15"/>
                <w:szCs w:val="15"/>
                <w:color w:val="auto"/>
              </w:rPr>
              <w:t>(202)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33,450</w:t>
            </w:r>
          </w:p>
        </w:tc>
        <w:tc>
          <w:tcPr>
            <w:tcW w:w="40" w:type="dxa"/>
            <w:vAlign w:val="bottom"/>
            <w:tcBorders>
              <w:bottom w:val="single" w:sz="8" w:color="2C6937"/>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8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33,450</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(33,450)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320" w:type="dxa"/>
            <w:vAlign w:val="bottom"/>
            <w:tcBorders>
              <w:bottom w:val="single" w:sz="8" w:color="2C6937"/>
            </w:tcBorders>
          </w:tcPr>
          <w:p>
            <w:pPr>
              <w:spacing w:after="0"/>
              <w:rPr>
                <w:sz w:val="21"/>
                <w:szCs w:val="21"/>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34,107</w:t>
            </w:r>
          </w:p>
        </w:tc>
        <w:tc>
          <w:tcPr>
            <w:tcW w:w="40" w:type="dxa"/>
            <w:vAlign w:val="bottom"/>
            <w:tcBorders>
              <w:bottom w:val="single" w:sz="8" w:color="2C6937"/>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(206)</w:t>
            </w:r>
          </w:p>
        </w:tc>
        <w:tc>
          <w:tcPr>
            <w:tcW w:w="280" w:type="dxa"/>
            <w:vAlign w:val="bottom"/>
          </w:tcPr>
          <w:p>
            <w:pPr>
              <w:spacing w:after="0"/>
              <w:rPr>
                <w:sz w:val="18"/>
                <w:szCs w:val="18"/>
                <w:color w:val="auto"/>
              </w:rPr>
            </w:pPr>
          </w:p>
        </w:tc>
        <w:tc>
          <w:tcPr>
            <w:tcW w:w="10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33,901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6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324"/>
              <w:spacing w:after="0"/>
              <w:rPr>
                <w:sz w:val="20"/>
                <w:szCs w:val="20"/>
                <w:color w:val="auto"/>
              </w:rPr>
            </w:pPr>
            <w:r>
              <w:rPr>
                <w:rFonts w:ascii="Arial" w:cs="Arial" w:eastAsia="Arial" w:hAnsi="Arial"/>
                <w:sz w:val="15"/>
                <w:szCs w:val="15"/>
                <w:color w:val="auto"/>
              </w:rPr>
              <w:t>(202)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(33,486)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2C6937"/>
            </w:tcBorders>
            <w:gridSpan w:val="2"/>
          </w:tcPr>
          <w:p>
            <w:pPr>
              <w:jc w:val="right"/>
              <w:ind w:right="188"/>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(2,665)</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2,643</w:t>
            </w:r>
          </w:p>
        </w:tc>
        <w:tc>
          <w:tcPr>
            <w:tcW w:w="40" w:type="dxa"/>
            <w:vAlign w:val="bottom"/>
          </w:tcPr>
          <w:p>
            <w:pPr>
              <w:spacing w:after="0"/>
              <w:rPr>
                <w:sz w:val="24"/>
                <w:szCs w:val="24"/>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76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(529)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(529)</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center"/>
              <w:ind w:left="344"/>
              <w:spacing w:after="0"/>
              <w:rPr>
                <w:sz w:val="20"/>
                <w:szCs w:val="20"/>
                <w:color w:val="auto"/>
              </w:rPr>
            </w:pPr>
            <w:r>
              <w:rPr>
                <w:rFonts w:ascii="Arial" w:cs="Arial" w:eastAsia="Arial" w:hAnsi="Arial"/>
                <w:sz w:val="15"/>
                <w:szCs w:val="15"/>
                <w:color w:val="auto"/>
              </w:rPr>
              <w:t>202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(3,194)</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2,641</w:t>
            </w:r>
          </w:p>
        </w:tc>
        <w:tc>
          <w:tcPr>
            <w:tcW w:w="40" w:type="dxa"/>
            <w:vAlign w:val="bottom"/>
          </w:tcPr>
          <w:p>
            <w:pPr>
              <w:spacing w:after="0"/>
              <w:rPr>
                <w:sz w:val="18"/>
                <w:szCs w:val="18"/>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(553)</w:t>
            </w:r>
          </w:p>
        </w:tc>
        <w:tc>
          <w:tcPr>
            <w:tcW w:w="440" w:type="dxa"/>
            <w:vAlign w:val="bottom"/>
            <w:gridSpan w:val="2"/>
            <w:vMerge w:val="continue"/>
          </w:tcPr>
          <w:p>
            <w:pPr>
              <w:spacing w:after="0"/>
              <w:rPr>
                <w:sz w:val="18"/>
                <w:szCs w:val="18"/>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344"/>
              <w:spacing w:after="0"/>
              <w:rPr>
                <w:sz w:val="20"/>
                <w:szCs w:val="20"/>
                <w:color w:val="auto"/>
              </w:rPr>
            </w:pPr>
            <w:r>
              <w:rPr>
                <w:rFonts w:ascii="Arial" w:cs="Arial" w:eastAsia="Arial" w:hAnsi="Arial"/>
                <w:sz w:val="15"/>
                <w:szCs w:val="15"/>
                <w:color w:val="auto"/>
              </w:rPr>
              <w:t>202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8"/>
              </w:rPr>
              <w:t>As of December 31, 2025</w:t>
            </w:r>
          </w:p>
        </w:tc>
        <w:tc>
          <w:tcPr>
            <w:tcW w:w="1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5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60" w:type="dxa"/>
            <w:vAlign w:val="bottom"/>
            <w:gridSpan w:val="12"/>
            <w:vMerge w:val="restart"/>
          </w:tcPr>
          <w:p>
            <w:pPr>
              <w:jc w:val="center"/>
              <w:ind w:right="6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6"/>
                <w:szCs w:val="6"/>
                <w:color w:val="auto"/>
              </w:rPr>
            </w:pPr>
          </w:p>
        </w:tc>
        <w:tc>
          <w:tcPr>
            <w:tcW w:w="2760" w:type="dxa"/>
            <w:vAlign w:val="bottom"/>
            <w:gridSpan w:val="12"/>
            <w:vMerge w:val="continue"/>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20" w:type="dxa"/>
            <w:vAlign w:val="bottom"/>
            <w:gridSpan w:val="9"/>
            <w:vMerge w:val="restart"/>
          </w:tcPr>
          <w:p>
            <w:pPr>
              <w:jc w:val="center"/>
              <w:ind w:right="400"/>
              <w:spacing w:after="0"/>
              <w:rPr>
                <w:sz w:val="20"/>
                <w:szCs w:val="20"/>
                <w:color w:val="auto"/>
              </w:rPr>
            </w:pPr>
            <w:r>
              <w:rPr>
                <w:rFonts w:ascii="Arial" w:cs="Arial" w:eastAsia="Arial" w:hAnsi="Arial"/>
                <w:sz w:val="14"/>
                <w:szCs w:val="14"/>
                <w:b w:val="1"/>
                <w:bCs w:val="1"/>
                <w:color w:val="auto"/>
                <w:w w:val="98"/>
              </w:rPr>
              <w:t>Consolidated Balance Sheets</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Condensed</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2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top w:val="single" w:sz="8" w:color="2C6937"/>
            </w:tcBorders>
          </w:tcPr>
          <w:p>
            <w:pPr>
              <w:spacing w:after="0"/>
              <w:rPr>
                <w:sz w:val="3"/>
                <w:szCs w:val="3"/>
                <w:color w:val="auto"/>
              </w:rPr>
            </w:pPr>
          </w:p>
        </w:tc>
        <w:tc>
          <w:tcPr>
            <w:tcW w:w="20" w:type="dxa"/>
            <w:vAlign w:val="bottom"/>
            <w:tcBorders>
              <w:top w:val="single" w:sz="8" w:color="2C6937"/>
            </w:tcBorders>
          </w:tcPr>
          <w:p>
            <w:pPr>
              <w:spacing w:after="0"/>
              <w:rPr>
                <w:sz w:val="3"/>
                <w:szCs w:val="3"/>
                <w:color w:val="auto"/>
              </w:rPr>
            </w:pPr>
          </w:p>
        </w:tc>
        <w:tc>
          <w:tcPr>
            <w:tcW w:w="140" w:type="dxa"/>
            <w:vAlign w:val="bottom"/>
            <w:tcBorders>
              <w:top w:val="single" w:sz="8" w:color="2C6937"/>
            </w:tcBorders>
          </w:tcPr>
          <w:p>
            <w:pPr>
              <w:spacing w:after="0"/>
              <w:rPr>
                <w:sz w:val="3"/>
                <w:szCs w:val="3"/>
                <w:color w:val="auto"/>
              </w:rPr>
            </w:pPr>
          </w:p>
        </w:tc>
        <w:tc>
          <w:tcPr>
            <w:tcW w:w="1260" w:type="dxa"/>
            <w:vAlign w:val="bottom"/>
            <w:tcBorders>
              <w:top w:val="single" w:sz="8" w:color="2C6937"/>
            </w:tcBorders>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Borders>
              <w:top w:val="single" w:sz="8" w:color="2C6937"/>
            </w:tcBorders>
          </w:tcPr>
          <w:p>
            <w:pPr>
              <w:spacing w:after="0"/>
              <w:rPr>
                <w:sz w:val="3"/>
                <w:szCs w:val="3"/>
                <w:color w:val="auto"/>
              </w:rPr>
            </w:pPr>
          </w:p>
        </w:tc>
        <w:tc>
          <w:tcPr>
            <w:tcW w:w="860" w:type="dxa"/>
            <w:vAlign w:val="bottom"/>
            <w:tcBorders>
              <w:top w:val="single" w:sz="8" w:color="2C6937"/>
            </w:tcBorders>
          </w:tcPr>
          <w:p>
            <w:pPr>
              <w:spacing w:after="0"/>
              <w:rPr>
                <w:sz w:val="3"/>
                <w:szCs w:val="3"/>
                <w:color w:val="auto"/>
              </w:rPr>
            </w:pPr>
          </w:p>
        </w:tc>
        <w:tc>
          <w:tcPr>
            <w:tcW w:w="20" w:type="dxa"/>
            <w:vAlign w:val="bottom"/>
            <w:tcBorders>
              <w:top w:val="single" w:sz="8" w:color="2C6937"/>
            </w:tcBorders>
          </w:tcPr>
          <w:p>
            <w:pPr>
              <w:spacing w:after="0"/>
              <w:rPr>
                <w:sz w:val="3"/>
                <w:szCs w:val="3"/>
                <w:color w:val="auto"/>
              </w:rPr>
            </w:pPr>
          </w:p>
        </w:tc>
        <w:tc>
          <w:tcPr>
            <w:tcW w:w="80" w:type="dxa"/>
            <w:vAlign w:val="bottom"/>
            <w:tcBorders>
              <w:top w:val="single" w:sz="8" w:color="2C6937"/>
            </w:tcBorders>
          </w:tcPr>
          <w:p>
            <w:pPr>
              <w:spacing w:after="0"/>
              <w:rPr>
                <w:sz w:val="3"/>
                <w:szCs w:val="3"/>
                <w:color w:val="auto"/>
              </w:rPr>
            </w:pPr>
          </w:p>
        </w:tc>
        <w:tc>
          <w:tcPr>
            <w:tcW w:w="20" w:type="dxa"/>
            <w:vAlign w:val="bottom"/>
            <w:tcBorders>
              <w:top w:val="single" w:sz="8" w:color="2C6937"/>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6"/>
          </w:tcPr>
          <w:p>
            <w:pPr>
              <w:jc w:val="center"/>
              <w:spacing w:after="0" w:line="153" w:lineRule="exact"/>
              <w:rPr>
                <w:sz w:val="20"/>
                <w:szCs w:val="20"/>
                <w:color w:val="auto"/>
              </w:rPr>
            </w:pPr>
            <w:r>
              <w:rPr>
                <w:rFonts w:ascii="Arial" w:cs="Arial" w:eastAsia="Arial" w:hAnsi="Arial"/>
                <w:sz w:val="14"/>
                <w:szCs w:val="14"/>
                <w:b w:val="1"/>
                <w:bCs w:val="1"/>
                <w:color w:val="auto"/>
                <w:w w:val="98"/>
              </w:rPr>
              <w:t>Consolidated Balance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1"/>
              </w:rPr>
              <w:t>Offset</w:t>
            </w:r>
            <w:r>
              <w:rPr>
                <w:rFonts w:ascii="Arial" w:cs="Arial" w:eastAsia="Arial" w:hAnsi="Arial"/>
                <w:sz w:val="17"/>
                <w:szCs w:val="17"/>
                <w:b w:val="1"/>
                <w:bCs w:val="1"/>
                <w:color w:val="auto"/>
                <w:w w:val="91"/>
                <w:vertAlign w:val="superscript"/>
              </w:rPr>
              <w:t>(1)</w:t>
            </w:r>
          </w:p>
        </w:tc>
        <w:tc>
          <w:tcPr>
            <w:tcW w:w="2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5"/>
              </w:rPr>
              <w:t>Sheets</w:t>
            </w:r>
          </w:p>
        </w:tc>
        <w:tc>
          <w:tcPr>
            <w:tcW w:w="2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gridSpan w:val="4"/>
          </w:tcPr>
          <w:p>
            <w:pPr>
              <w:jc w:val="center"/>
              <w:ind w:right="400"/>
              <w:spacing w:after="0"/>
              <w:rPr>
                <w:sz w:val="20"/>
                <w:szCs w:val="20"/>
                <w:color w:val="auto"/>
              </w:rPr>
            </w:pPr>
            <w:r>
              <w:rPr>
                <w:rFonts w:ascii="Arial" w:cs="Arial" w:eastAsia="Arial" w:hAnsi="Arial"/>
                <w:sz w:val="14"/>
                <w:szCs w:val="14"/>
                <w:b w:val="1"/>
                <w:bCs w:val="1"/>
                <w:color w:val="auto"/>
                <w:w w:val="93"/>
              </w:rPr>
              <w:t>Instruments</w:t>
            </w:r>
            <w:r>
              <w:rPr>
                <w:rFonts w:ascii="Arial" w:cs="Arial" w:eastAsia="Arial" w:hAnsi="Arial"/>
                <w:sz w:val="17"/>
                <w:szCs w:val="17"/>
                <w:b w:val="1"/>
                <w:bCs w:val="1"/>
                <w:color w:val="auto"/>
                <w:w w:val="93"/>
                <w:vertAlign w:val="superscript"/>
              </w:rPr>
              <w:t>(2)</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5"/>
          </w:tcPr>
          <w:p>
            <w:pPr>
              <w:ind w:left="20"/>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gridSpan w:val="3"/>
          </w:tcPr>
          <w:p>
            <w:pPr>
              <w:jc w:val="right"/>
              <w:ind w:right="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277</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(266)</w:t>
            </w:r>
          </w:p>
        </w:tc>
        <w:tc>
          <w:tcPr>
            <w:tcW w:w="40" w:type="dxa"/>
            <w:vAlign w:val="bottom"/>
          </w:tcPr>
          <w:p>
            <w:pPr>
              <w:spacing w:after="0"/>
              <w:rPr>
                <w:sz w:val="24"/>
                <w:szCs w:val="24"/>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64"/>
              <w:spacing w:after="0"/>
              <w:rPr>
                <w:sz w:val="20"/>
                <w:szCs w:val="20"/>
                <w:color w:val="auto"/>
              </w:rPr>
            </w:pPr>
            <w:r>
              <w:rPr>
                <w:rFonts w:ascii="Arial" w:cs="Arial" w:eastAsia="Arial" w:hAnsi="Arial"/>
                <w:sz w:val="15"/>
                <w:szCs w:val="15"/>
                <w:color w:val="auto"/>
                <w:w w:val="97"/>
              </w:rPr>
              <w:t>(24)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2C6937"/>
            </w:tcBorders>
          </w:tcPr>
          <w:p>
            <w:pPr>
              <w:spacing w:after="0"/>
              <w:rPr>
                <w:sz w:val="20"/>
                <w:szCs w:val="20"/>
                <w:color w:val="auto"/>
              </w:rPr>
            </w:pPr>
          </w:p>
        </w:tc>
        <w:tc>
          <w:tcPr>
            <w:tcW w:w="120" w:type="dxa"/>
            <w:vAlign w:val="bottom"/>
            <w:tcBorders>
              <w:top w:val="single" w:sz="8" w:color="2C6937"/>
            </w:tcBorders>
          </w:tcPr>
          <w:p>
            <w:pPr>
              <w:spacing w:after="0"/>
              <w:rPr>
                <w:sz w:val="20"/>
                <w:szCs w:val="20"/>
                <w:color w:val="auto"/>
              </w:rPr>
            </w:pPr>
          </w:p>
        </w:tc>
        <w:tc>
          <w:tcPr>
            <w:tcW w:w="720" w:type="dxa"/>
            <w:vAlign w:val="bottom"/>
            <w:tcBorders>
              <w:top w:val="single" w:sz="8" w:color="2C6937"/>
            </w:tcBorders>
          </w:tcPr>
          <w:p>
            <w:pPr>
              <w:jc w:val="right"/>
              <w:ind w:right="4"/>
              <w:spacing w:after="0"/>
              <w:rPr>
                <w:sz w:val="20"/>
                <w:szCs w:val="20"/>
                <w:color w:val="auto"/>
              </w:rPr>
            </w:pPr>
            <w:r>
              <w:rPr>
                <w:rFonts w:ascii="Arial" w:cs="Arial" w:eastAsia="Arial" w:hAnsi="Arial"/>
                <w:sz w:val="15"/>
                <w:szCs w:val="15"/>
                <w:color w:val="auto"/>
              </w:rPr>
              <w:t>332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2C6937"/>
            </w:tcBorders>
          </w:tcPr>
          <w:p>
            <w:pPr>
              <w:spacing w:after="0"/>
              <w:rPr>
                <w:sz w:val="20"/>
                <w:szCs w:val="20"/>
                <w:color w:val="auto"/>
              </w:rPr>
            </w:pPr>
          </w:p>
        </w:tc>
        <w:tc>
          <w:tcPr>
            <w:tcW w:w="120" w:type="dxa"/>
            <w:vAlign w:val="bottom"/>
            <w:tcBorders>
              <w:top w:val="single" w:sz="8" w:color="2C6937"/>
            </w:tcBorders>
          </w:tcPr>
          <w:p>
            <w:pPr>
              <w:spacing w:after="0"/>
              <w:rPr>
                <w:sz w:val="20"/>
                <w:szCs w:val="20"/>
                <w:color w:val="auto"/>
              </w:rPr>
            </w:pPr>
          </w:p>
        </w:tc>
        <w:tc>
          <w:tcPr>
            <w:tcW w:w="7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(199)</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2C6937"/>
            </w:tcBorders>
          </w:tcPr>
          <w:p>
            <w:pPr>
              <w:spacing w:after="0"/>
              <w:rPr>
                <w:sz w:val="20"/>
                <w:szCs w:val="20"/>
                <w:color w:val="auto"/>
              </w:rPr>
            </w:pPr>
          </w:p>
        </w:tc>
        <w:tc>
          <w:tcPr>
            <w:tcW w:w="84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133</w:t>
            </w:r>
          </w:p>
        </w:tc>
        <w:tc>
          <w:tcPr>
            <w:tcW w:w="20" w:type="dxa"/>
            <w:vAlign w:val="bottom"/>
            <w:tcBorders>
              <w:top w:val="single" w:sz="8" w:color="2C6937"/>
            </w:tcBorders>
          </w:tcPr>
          <w:p>
            <w:pPr>
              <w:spacing w:after="0"/>
              <w:rPr>
                <w:sz w:val="20"/>
                <w:szCs w:val="20"/>
                <w:color w:val="auto"/>
              </w:rPr>
            </w:pPr>
          </w:p>
        </w:tc>
        <w:tc>
          <w:tcPr>
            <w:tcW w:w="420" w:type="dxa"/>
            <w:vAlign w:val="bottom"/>
          </w:tcPr>
          <w:p>
            <w:pPr>
              <w:jc w:val="right"/>
              <w:ind w:right="25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2C6937"/>
            </w:tcBorders>
          </w:tcPr>
          <w:p>
            <w:pPr>
              <w:spacing w:after="0"/>
              <w:rPr>
                <w:sz w:val="20"/>
                <w:szCs w:val="20"/>
                <w:color w:val="auto"/>
              </w:rPr>
            </w:pPr>
          </w:p>
        </w:tc>
        <w:tc>
          <w:tcPr>
            <w:tcW w:w="840" w:type="dxa"/>
            <w:vAlign w:val="bottom"/>
            <w:tcBorders>
              <w:top w:val="single" w:sz="8" w:color="2C6937"/>
            </w:tcBorders>
          </w:tcPr>
          <w:p>
            <w:pPr>
              <w:jc w:val="center"/>
              <w:ind w:left="464"/>
              <w:spacing w:after="0"/>
              <w:rPr>
                <w:sz w:val="20"/>
                <w:szCs w:val="20"/>
                <w:color w:val="auto"/>
              </w:rPr>
            </w:pPr>
            <w:r>
              <w:rPr>
                <w:rFonts w:ascii="Arial" w:cs="Arial" w:eastAsia="Arial" w:hAnsi="Arial"/>
                <w:sz w:val="15"/>
                <w:szCs w:val="15"/>
                <w:color w:val="auto"/>
                <w:w w:val="97"/>
              </w:rPr>
              <w:t>(24)</w:t>
            </w:r>
          </w:p>
        </w:tc>
        <w:tc>
          <w:tcPr>
            <w:tcW w:w="20" w:type="dxa"/>
            <w:vAlign w:val="bottom"/>
            <w:tcBorders>
              <w:top w:val="single" w:sz="8" w:color="2C6937"/>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2C6937"/>
            </w:tcBorders>
          </w:tcPr>
          <w:p>
            <w:pPr>
              <w:spacing w:after="0"/>
              <w:rPr>
                <w:sz w:val="20"/>
                <w:szCs w:val="20"/>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20" w:type="dxa"/>
            <w:vAlign w:val="bottom"/>
            <w:tcBorders>
              <w:top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2C6937"/>
            </w:tcBorders>
          </w:tcPr>
          <w:p>
            <w:pPr>
              <w:spacing w:after="0"/>
              <w:rPr>
                <w:sz w:val="20"/>
                <w:szCs w:val="20"/>
                <w:color w:val="auto"/>
              </w:rPr>
            </w:pP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108</w:t>
            </w:r>
          </w:p>
        </w:tc>
        <w:tc>
          <w:tcPr>
            <w:tcW w:w="40" w:type="dxa"/>
            <w:vAlign w:val="bottom"/>
            <w:tcBorders>
              <w:top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Borders>
              <w:bottom w:val="single" w:sz="8" w:color="2C6937"/>
            </w:tcBorders>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45,650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45,650</w:t>
            </w:r>
          </w:p>
        </w:tc>
        <w:tc>
          <w:tcPr>
            <w:tcW w:w="20" w:type="dxa"/>
            <w:vAlign w:val="bottom"/>
            <w:tcBorders>
              <w:bottom w:val="single" w:sz="8" w:color="2C6937"/>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(45,650)</w:t>
            </w:r>
          </w:p>
        </w:tc>
        <w:tc>
          <w:tcPr>
            <w:tcW w:w="20" w:type="dxa"/>
            <w:vAlign w:val="bottom"/>
            <w:tcBorders>
              <w:bottom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bottom w:val="single" w:sz="8" w:color="2C6937"/>
            </w:tcBorders>
          </w:tcPr>
          <w:p>
            <w:pPr>
              <w:spacing w:after="0"/>
              <w:rPr>
                <w:sz w:val="21"/>
                <w:szCs w:val="21"/>
                <w:color w:val="auto"/>
              </w:rPr>
            </w:pPr>
          </w:p>
        </w:tc>
        <w:tc>
          <w:tcPr>
            <w:tcW w:w="62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8"/>
        </w:trPr>
        <w:tc>
          <w:tcPr>
            <w:tcW w:w="14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45,982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(199)</w:t>
            </w:r>
          </w:p>
        </w:tc>
        <w:tc>
          <w:tcPr>
            <w:tcW w:w="4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45,783</w:t>
            </w:r>
          </w:p>
        </w:tc>
        <w:tc>
          <w:tcPr>
            <w:tcW w:w="20" w:type="dxa"/>
            <w:vAlign w:val="bottom"/>
            <w:tcBorders>
              <w:bottom w:val="single" w:sz="8" w:color="2C6937"/>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(24)</w:t>
            </w:r>
          </w:p>
        </w:tc>
        <w:tc>
          <w:tcPr>
            <w:tcW w:w="20" w:type="dxa"/>
            <w:vAlign w:val="bottom"/>
            <w:tcBorders>
              <w:bottom w:val="single" w:sz="8" w:color="2C6937"/>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(45,651)</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108</w:t>
            </w:r>
          </w:p>
        </w:tc>
        <w:tc>
          <w:tcPr>
            <w:tcW w:w="40" w:type="dxa"/>
            <w:vAlign w:val="bottom"/>
            <w:tcBorders>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2C6937"/>
            </w:tcBorders>
            <w:gridSpan w:val="2"/>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gridSpan w:val="2"/>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(1,256)</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1,244</w:t>
            </w:r>
          </w:p>
        </w:tc>
        <w:tc>
          <w:tcPr>
            <w:tcW w:w="40" w:type="dxa"/>
            <w:vAlign w:val="bottom"/>
          </w:tcPr>
          <w:p>
            <w:pPr>
              <w:spacing w:after="0"/>
              <w:rPr>
                <w:sz w:val="24"/>
                <w:szCs w:val="24"/>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(131)</w:t>
            </w:r>
          </w:p>
        </w:tc>
        <w:tc>
          <w:tcPr>
            <w:tcW w:w="20" w:type="dxa"/>
            <w:vAlign w:val="bottom"/>
            <w:tcBorders>
              <w:bottom w:val="single" w:sz="8" w:color="2C6937"/>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w:t>
            </w:r>
          </w:p>
        </w:tc>
        <w:tc>
          <w:tcPr>
            <w:tcW w:w="20" w:type="dxa"/>
            <w:vAlign w:val="bottom"/>
            <w:tcBorders>
              <w:bottom w:val="single" w:sz="8" w:color="2C6937"/>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101</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62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3"/>
        </w:trPr>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(1,387)</w:t>
            </w:r>
          </w:p>
        </w:tc>
        <w:tc>
          <w:tcPr>
            <w:tcW w:w="4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1,242</w:t>
            </w:r>
          </w:p>
        </w:tc>
        <w:tc>
          <w:tcPr>
            <w:tcW w:w="40" w:type="dxa"/>
            <w:vAlign w:val="bottom"/>
          </w:tcPr>
          <w:p>
            <w:pPr>
              <w:spacing w:after="0"/>
              <w:rPr>
                <w:sz w:val="18"/>
                <w:szCs w:val="18"/>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50"/>
              <w:spacing w:after="0" w:line="213" w:lineRule="exact"/>
              <w:rPr>
                <w:sz w:val="20"/>
                <w:szCs w:val="20"/>
                <w:color w:val="auto"/>
              </w:rPr>
            </w:pPr>
            <w:r>
              <w:rPr>
                <w:rFonts w:ascii="Arial" w:cs="Arial" w:eastAsia="Arial" w:hAnsi="Arial"/>
                <w:sz w:val="15"/>
                <w:szCs w:val="15"/>
                <w:color w:val="auto"/>
              </w:rPr>
              <w:t xml:space="preserve">(145) </w:t>
            </w:r>
            <w:r>
              <w:rPr>
                <w:rFonts w:ascii="Arial" w:cs="Arial" w:eastAsia="Arial" w:hAnsi="Arial"/>
                <w:sz w:val="20"/>
                <w:szCs w:val="20"/>
                <w:color w:val="auto"/>
                <w:vertAlign w:val="superscript"/>
              </w:rPr>
              <w:t>(4)</w:t>
            </w: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
        </w:trPr>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ectPr>
          <w:pgSz w:w="11900" w:h="16838" w:orient="portrait"/>
          <w:cols w:equalWidth="0" w:num="2">
            <w:col w:w="3620" w:space="260"/>
            <w:col w:w="7320"/>
          </w:cols>
          <w:pgMar w:left="320" w:top="261" w:right="379" w:bottom="1440" w:gutter="0" w:footer="0" w:header="0"/>
          <w:type w:val="continuous"/>
        </w:sectPr>
      </w:pPr>
    </w:p>
    <w:p>
      <w:pPr>
        <w:ind w:left="240" w:hanging="237"/>
        <w:spacing w:after="0" w:line="226" w:lineRule="auto"/>
        <w:tabs>
          <w:tab w:leader="none" w:pos="233"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Represents the effect of the right to offset under legally enforceable master netting arrangements to settle with the same counterparty on a net basis, including cash collateral posted and received and accrued interest.</w:t>
      </w:r>
    </w:p>
    <w:p>
      <w:pPr>
        <w:spacing w:after="0" w:line="27" w:lineRule="exact"/>
        <w:rPr>
          <w:rFonts w:ascii="Arial" w:cs="Arial" w:eastAsia="Arial" w:hAnsi="Arial"/>
          <w:sz w:val="18"/>
          <w:szCs w:val="18"/>
          <w:color w:val="auto"/>
          <w:vertAlign w:val="superscript"/>
        </w:rPr>
      </w:pPr>
    </w:p>
    <w:p>
      <w:pPr>
        <w:ind w:left="240" w:right="700" w:hanging="237"/>
        <w:spacing w:after="0" w:line="226" w:lineRule="auto"/>
        <w:tabs>
          <w:tab w:leader="none" w:pos="233"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Mortgage commitment derivative amounts reflect where we have recognized both an asset and a liability with the same counterparty under an enforceable master netting arrangement but we have not elected to offset the related amounts in our condensed consolidated balance sheets.</w:t>
      </w:r>
    </w:p>
    <w:p>
      <w:pPr>
        <w:spacing w:after="0" w:line="14" w:lineRule="exact"/>
        <w:rPr>
          <w:rFonts w:ascii="Arial" w:cs="Arial" w:eastAsia="Arial" w:hAnsi="Arial"/>
          <w:sz w:val="18"/>
          <w:szCs w:val="18"/>
          <w:color w:val="auto"/>
          <w:vertAlign w:val="superscript"/>
        </w:rPr>
      </w:pPr>
    </w:p>
    <w:p>
      <w:pPr>
        <w:ind w:left="240" w:right="380" w:hanging="237"/>
        <w:spacing w:after="0" w:line="278" w:lineRule="auto"/>
        <w:tabs>
          <w:tab w:leader="none" w:pos="233" w:val="left"/>
        </w:tabs>
        <w:numPr>
          <w:ilvl w:val="0"/>
          <w:numId w:val="82"/>
        </w:numPr>
        <w:rPr>
          <w:rFonts w:ascii="Arial" w:cs="Arial" w:eastAsia="Arial" w:hAnsi="Arial"/>
          <w:sz w:val="9"/>
          <w:szCs w:val="9"/>
          <w:color w:val="auto"/>
        </w:rPr>
      </w:pPr>
      <w:r>
        <w:rPr>
          <w:rFonts w:ascii="Arial" w:cs="Arial" w:eastAsia="Arial" w:hAnsi="Arial"/>
          <w:sz w:val="14"/>
          <w:szCs w:val="14"/>
          <w:color w:val="auto"/>
        </w:rPr>
        <w:t>Represents collateral received that has not been recognized and has not been offset in our condensed consolidated balance sheets, as well as collateral posted that has been recognized but not offset in our condensed consolidated balance sheets. Does not include collateral held or posted in excess of our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340995</wp:posOffset>
            </wp:positionV>
            <wp:extent cx="680593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00"/>
          </w:cols>
          <w:pgMar w:left="320" w:top="261" w:right="37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61" w:right="379" w:bottom="1440" w:gutter="0" w:footer="0" w:header="0"/>
          <w:type w:val="continuous"/>
        </w:sectPr>
      </w:pPr>
    </w:p>
    <w:bookmarkStart w:id="96" w:name="page97"/>
    <w:bookmarkEnd w:id="96"/>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40" w:right="40" w:hanging="237"/>
        <w:spacing w:after="0" w:line="233" w:lineRule="auto"/>
        <w:tabs>
          <w:tab w:leader="none" w:pos="233"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Excludes derivative assets of $48 million and $44 million as of September 30, 2026 and December 31, 2025, respectively, and derivative liabilities of $87 million and $7 million as of September 30, 2026 and December 31, 2025, respectively, recognized in our condensed consolidated balance sheets, that were not subject to enforceable master netting arrangements.</w:t>
      </w:r>
    </w:p>
    <w:p>
      <w:pPr>
        <w:spacing w:after="0" w:line="39"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Derivative instruments are recorded at fair value and securities purchased under agreements to resell are recorded at amortized cost in our condensed consolidated balance sheets. For a discussion of how we determine our rights to offset the assets and liabilities presented above with the same counterparty, including collateral posted or received, see “Note 15, Netting Arrangements” in our 2025 Form 10-K.</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13. Fair Value</w:t>
      </w:r>
    </w:p>
    <w:p>
      <w:pPr>
        <w:spacing w:after="0" w:line="8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use fair value measurements for the initial recording of certain assets and liabilities and periodic remeasurement of certain assets and liabilities on a recurring or nonrecurring basis.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Measurement</w:t>
      </w:r>
    </w:p>
    <w:p>
      <w:pPr>
        <w:spacing w:after="0" w:line="81" w:lineRule="exact"/>
        <w:rPr>
          <w:sz w:val="20"/>
          <w:szCs w:val="20"/>
          <w:color w:val="auto"/>
        </w:rPr>
      </w:pPr>
    </w:p>
    <w:p>
      <w:pPr>
        <w:ind w:right="500"/>
        <w:spacing w:after="0" w:line="272" w:lineRule="auto"/>
        <w:rPr>
          <w:sz w:val="20"/>
          <w:szCs w:val="20"/>
          <w:color w:val="auto"/>
        </w:rPr>
      </w:pPr>
      <w:r>
        <w:rPr>
          <w:rFonts w:ascii="Arial" w:cs="Arial" w:eastAsia="Arial" w:hAnsi="Arial"/>
          <w:sz w:val="16"/>
          <w:szCs w:val="16"/>
          <w:color w:val="auto"/>
        </w:rPr>
        <w:t>Fair value measurement guidance defines fair value, establishes a framework for measuring fair value and sets forth disclosures around fair value measurements. This guidance applies whenever other accounting guidance requires or permits assets or liabilities to be measured at fair value. The guidance establishes a three-level fair value hierarchy that prioritizes the inputs into the valuation techniques used to measure fair value as follows:</w:t>
      </w:r>
    </w:p>
    <w:p>
      <w:pPr>
        <w:spacing w:after="0" w:line="32" w:lineRule="exact"/>
        <w:rPr>
          <w:sz w:val="20"/>
          <w:szCs w:val="20"/>
          <w:color w:val="auto"/>
        </w:rPr>
      </w:pPr>
    </w:p>
    <w:p>
      <w:pPr>
        <w:ind w:left="620" w:hanging="307"/>
        <w:spacing w:after="0"/>
        <w:tabs>
          <w:tab w:leader="none" w:pos="6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for identical assets or liabilities.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Level 2: Limited observable inputs or observable inputs for similar assets and liabilities.</w:t>
      </w:r>
    </w:p>
    <w:p>
      <w:pPr>
        <w:spacing w:after="0" w:line="98" w:lineRule="exact"/>
        <w:rPr>
          <w:rFonts w:ascii="Times New Roman" w:cs="Times New Roman" w:eastAsia="Times New Roman" w:hAnsi="Times New Roman"/>
          <w:sz w:val="16"/>
          <w:szCs w:val="16"/>
          <w:color w:val="auto"/>
        </w:rPr>
      </w:pPr>
    </w:p>
    <w:p>
      <w:pPr>
        <w:ind w:left="620" w:hanging="307"/>
        <w:spacing w:after="0"/>
        <w:tabs>
          <w:tab w:leader="none" w:pos="62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Level 3: Unobservable inputs.</w:t>
      </w:r>
    </w:p>
    <w:p>
      <w:pPr>
        <w:spacing w:after="0" w:line="8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See “Note 16, Fair Value” in our 2025 Form 10-K for information on the valuation control processes and the valuation techniques we use for fair value measurement and disclosure as well as our basis for classifying these measurements as Level 1, Level 2 or Level 3 of the valuation hierarchy in more specific situations. If the inputs used to measure assets or liabilities at fair value change, it may also result in a change in classification among Levels 1, 2, and 3. We made no material changes to the valuation control processes or the valuation techniques for the 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61" w:right="399" w:bottom="1440" w:gutter="0" w:footer="0" w:header="0"/>
        </w:sectPr>
      </w:pPr>
    </w:p>
    <w:bookmarkStart w:id="97" w:name="page98"/>
    <w:bookmarkEnd w:id="97"/>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Recurring Changes in Fair Value</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tables display our assets and liabilities measured in our condensed consolidated balance sheets at fair value on a recurring basis subsequent to initial recognition, including instruments for which we have elected the fair value option.</w:t>
      </w:r>
    </w:p>
    <w:p>
      <w:pPr>
        <w:sectPr>
          <w:pgSz w:w="11900" w:h="16838" w:orient="portrait"/>
          <w:cols w:equalWidth="0" w:num="1">
            <w:col w:w="11200"/>
          </w:cols>
          <w:pgMar w:left="320" w:top="26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r>
        <w:rPr>
          <w:rFonts w:ascii="Arial" w:cs="Arial" w:eastAsia="Arial" w:hAnsi="Arial"/>
          <w:sz w:val="15"/>
          <w:szCs w:val="15"/>
          <w:color w:val="auto"/>
          <w:vertAlign w:val="superscript"/>
        </w:rPr>
        <w:t>(2)</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36601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trading securities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r>
        <w:rPr>
          <w:rFonts w:ascii="Arial" w:cs="Arial" w:eastAsia="Arial" w:hAnsi="Arial"/>
          <w:sz w:val="15"/>
          <w:szCs w:val="15"/>
          <w:color w:val="auto"/>
          <w:vertAlign w:val="superscript"/>
        </w:rPr>
        <w:t>(2)</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236601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r>
        <w:rPr>
          <w:rFonts w:ascii="Arial" w:cs="Arial" w:eastAsia="Arial" w:hAnsi="Arial"/>
          <w:sz w:val="15"/>
          <w:szCs w:val="15"/>
          <w:color w:val="auto"/>
          <w:vertAlign w:val="superscript"/>
        </w:rPr>
        <w:t>(2)</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236601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trading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r>
        <w:rPr>
          <w:rFonts w:ascii="Arial" w:cs="Arial" w:eastAsia="Arial" w:hAnsi="Arial"/>
          <w:sz w:val="15"/>
          <w:szCs w:val="15"/>
          <w:color w:val="auto"/>
          <w:vertAlign w:val="superscript"/>
        </w:rPr>
        <w:t>(2)</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236601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2200"/>
        <w:spacing w:after="0"/>
        <w:rPr>
          <w:sz w:val="20"/>
          <w:szCs w:val="20"/>
          <w:color w:val="auto"/>
        </w:rPr>
      </w:pPr>
      <w:r>
        <w:rPr>
          <w:rFonts w:ascii="Arial" w:cs="Arial" w:eastAsia="Arial" w:hAnsi="Arial"/>
          <w:sz w:val="12"/>
          <w:szCs w:val="12"/>
          <w:b w:val="1"/>
          <w:bCs w:val="1"/>
          <w:color w:val="auto"/>
        </w:rPr>
        <w:t>Fair Value Measurements 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46577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65772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Quoted Prices 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100" w:type="dxa"/>
            <w:vAlign w:val="bottom"/>
          </w:tcPr>
          <w:p>
            <w:pPr>
              <w:spacing w:after="0"/>
              <w:rPr>
                <w:sz w:val="13"/>
                <w:szCs w:val="13"/>
                <w:color w:val="auto"/>
              </w:rPr>
            </w:pPr>
          </w:p>
        </w:tc>
        <w:tc>
          <w:tcPr>
            <w:tcW w:w="108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580" w:type="dxa"/>
            <w:vAlign w:val="bottom"/>
            <w:gridSpan w:val="4"/>
          </w:tcPr>
          <w:p>
            <w:pPr>
              <w:jc w:val="center"/>
              <w:ind w:right="200"/>
              <w:spacing w:after="0" w:line="129" w:lineRule="exact"/>
              <w:rPr>
                <w:sz w:val="20"/>
                <w:szCs w:val="20"/>
                <w:color w:val="auto"/>
              </w:rPr>
            </w:pPr>
            <w:r>
              <w:rPr>
                <w:rFonts w:ascii="Arial" w:cs="Arial" w:eastAsia="Arial" w:hAnsi="Arial"/>
                <w:sz w:val="12"/>
                <w:szCs w:val="12"/>
                <w:b w:val="1"/>
                <w:bCs w:val="1"/>
                <w:color w:val="auto"/>
              </w:rPr>
              <w:t>Identical Assets (Level</w:t>
            </w:r>
          </w:p>
        </w:tc>
        <w:tc>
          <w:tcPr>
            <w:tcW w:w="11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9"/>
              </w:rPr>
              <w:t>Observable Inputs</w:t>
            </w:r>
          </w:p>
        </w:tc>
        <w:tc>
          <w:tcPr>
            <w:tcW w:w="1640" w:type="dxa"/>
            <w:vAlign w:val="bottom"/>
            <w:gridSpan w:val="4"/>
          </w:tcPr>
          <w:p>
            <w:pPr>
              <w:jc w:val="center"/>
              <w:ind w:left="80"/>
              <w:spacing w:after="0" w:line="129"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13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42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93"/>
        </w:trPr>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rPr>
              <w:t>1)</w:t>
            </w:r>
          </w:p>
        </w:tc>
        <w:tc>
          <w:tcPr>
            <w:tcW w:w="3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center"/>
              <w:ind w:right="6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2"/>
          </w:tcPr>
          <w:p>
            <w:pPr>
              <w:jc w:val="center"/>
              <w:ind w:right="340"/>
              <w:spacing w:after="0"/>
              <w:rPr>
                <w:sz w:val="20"/>
                <w:szCs w:val="20"/>
                <w:color w:val="auto"/>
              </w:rPr>
            </w:pPr>
            <w:r>
              <w:rPr>
                <w:rFonts w:ascii="Arial" w:cs="Arial" w:eastAsia="Arial" w:hAnsi="Arial"/>
                <w:sz w:val="12"/>
                <w:szCs w:val="12"/>
                <w:b w:val="1"/>
                <w:bCs w:val="1"/>
                <w:color w:val="auto"/>
              </w:rPr>
              <w:t>(Level 3)</w:t>
            </w:r>
          </w:p>
        </w:tc>
        <w:tc>
          <w:tcPr>
            <w:tcW w:w="160" w:type="dxa"/>
            <w:vAlign w:val="bottom"/>
            <w:tcBorders>
              <w:bottom w:val="single" w:sz="8" w:color="2C6937"/>
            </w:tcBorders>
          </w:tcPr>
          <w:p>
            <w:pPr>
              <w:spacing w:after="0"/>
              <w:rPr>
                <w:sz w:val="16"/>
                <w:szCs w:val="16"/>
                <w:color w:val="auto"/>
              </w:rPr>
            </w:pPr>
          </w:p>
        </w:tc>
        <w:tc>
          <w:tcPr>
            <w:tcW w:w="1340" w:type="dxa"/>
            <w:vAlign w:val="bottom"/>
            <w:tcBorders>
              <w:bottom w:val="single" w:sz="8" w:color="2C6937"/>
            </w:tcBorders>
            <w:gridSpan w:val="3"/>
            <w:vMerge w:val="continue"/>
          </w:tcPr>
          <w:p>
            <w:pPr>
              <w:spacing w:after="0"/>
              <w:rPr>
                <w:sz w:val="16"/>
                <w:szCs w:val="16"/>
                <w:color w:val="auto"/>
              </w:rPr>
            </w:pPr>
          </w:p>
        </w:tc>
        <w:tc>
          <w:tcPr>
            <w:tcW w:w="1420" w:type="dxa"/>
            <w:vAlign w:val="bottom"/>
            <w:tcBorders>
              <w:bottom w:val="single" w:sz="8" w:color="2C6937"/>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6"/>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23,047</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22</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23,069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40,068</w:t>
            </w:r>
          </w:p>
        </w:tc>
        <w:tc>
          <w:tcPr>
            <w:tcW w:w="3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40,087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40,068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23,066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63,156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301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36,997</w:t>
            </w:r>
          </w:p>
        </w:tc>
        <w:tc>
          <w:tcPr>
            <w:tcW w:w="3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36,997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36,997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37,567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5,935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374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6,309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658</w:t>
            </w:r>
          </w:p>
        </w:tc>
        <w:tc>
          <w:tcPr>
            <w:tcW w:w="3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77,065</w:t>
            </w:r>
          </w:p>
        </w:tc>
        <w:tc>
          <w:tcPr>
            <w:tcW w:w="320" w:type="dxa"/>
            <w:vAlign w:val="bottom"/>
          </w:tcPr>
          <w:p>
            <w:pPr>
              <w:spacing w:after="0"/>
              <w:rPr>
                <w:sz w:val="15"/>
                <w:szCs w:val="15"/>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29,928</w:t>
            </w:r>
          </w:p>
        </w:tc>
        <w:tc>
          <w:tcPr>
            <w:tcW w:w="300" w:type="dxa"/>
            <w:vAlign w:val="bottom"/>
          </w:tcPr>
          <w:p>
            <w:pPr>
              <w:spacing w:after="0"/>
              <w:rPr>
                <w:sz w:val="15"/>
                <w:szCs w:val="15"/>
                <w:color w:val="auto"/>
              </w:rPr>
            </w:pPr>
          </w:p>
        </w:tc>
        <w:tc>
          <w:tcPr>
            <w:tcW w:w="180" w:type="dxa"/>
            <w:vAlign w:val="bottom"/>
            <w:tcBorders>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744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2C6937"/>
            </w:tcBorders>
          </w:tcPr>
          <w:p>
            <w:pPr>
              <w:jc w:val="right"/>
              <w:ind w:right="24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107,531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7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235</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14,649</w:t>
            </w:r>
          </w:p>
        </w:tc>
        <w:tc>
          <w:tcPr>
            <w:tcW w:w="3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14,728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14,649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14,963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3,269</w:t>
            </w:r>
          </w:p>
        </w:tc>
        <w:tc>
          <w:tcPr>
            <w:tcW w:w="3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(2,641)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17,918</w:t>
            </w:r>
          </w:p>
        </w:tc>
        <w:tc>
          <w:tcPr>
            <w:tcW w:w="300" w:type="dxa"/>
            <w:vAlign w:val="bottom"/>
          </w:tcPr>
          <w:p>
            <w:pPr>
              <w:spacing w:after="0"/>
              <w:rPr>
                <w:sz w:val="15"/>
                <w:szCs w:val="15"/>
                <w:color w:val="auto"/>
              </w:rPr>
            </w:pPr>
          </w:p>
        </w:tc>
        <w:tc>
          <w:tcPr>
            <w:tcW w:w="180" w:type="dxa"/>
            <w:vAlign w:val="bottom"/>
            <w:tcBorders>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(2,641)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2C6937"/>
            </w:tcBorders>
          </w:tcPr>
          <w:p>
            <w:pPr>
              <w:jc w:val="right"/>
              <w:ind w:right="24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15,603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Borders>
              <w:bottom w:val="single" w:sz="8" w:color="2C6937"/>
            </w:tcBorders>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7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540" w:type="dxa"/>
            <w:vAlign w:val="bottom"/>
            <w:tcBorders>
              <w:bottom w:val="single" w:sz="8" w:color="2C6937"/>
            </w:tcBorders>
            <w:gridSpan w:val="7"/>
          </w:tcPr>
          <w:p>
            <w:pPr>
              <w:jc w:val="center"/>
              <w:ind w:left="360"/>
              <w:spacing w:after="0"/>
              <w:rPr>
                <w:sz w:val="20"/>
                <w:szCs w:val="20"/>
                <w:color w:val="auto"/>
              </w:rPr>
            </w:pPr>
            <w:r>
              <w:rPr>
                <w:rFonts w:ascii="Arial" w:cs="Arial" w:eastAsia="Arial" w:hAnsi="Arial"/>
                <w:sz w:val="12"/>
                <w:szCs w:val="12"/>
                <w:b w:val="1"/>
                <w:bCs w:val="1"/>
                <w:color w:val="auto"/>
              </w:rPr>
              <w:t>Fair Value Measurements as of December 31, 2025</w:t>
            </w:r>
          </w:p>
        </w:tc>
        <w:tc>
          <w:tcPr>
            <w:tcW w:w="52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Quoted Prices in</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100" w:type="dxa"/>
            <w:vAlign w:val="bottom"/>
          </w:tcPr>
          <w:p>
            <w:pPr>
              <w:spacing w:after="0"/>
              <w:rPr>
                <w:sz w:val="13"/>
                <w:szCs w:val="13"/>
                <w:color w:val="auto"/>
              </w:rPr>
            </w:pPr>
          </w:p>
        </w:tc>
        <w:tc>
          <w:tcPr>
            <w:tcW w:w="108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80" w:type="dxa"/>
            <w:vAlign w:val="bottom"/>
            <w:gridSpan w:val="4"/>
          </w:tcPr>
          <w:p>
            <w:pPr>
              <w:jc w:val="center"/>
              <w:ind w:right="200"/>
              <w:spacing w:after="0" w:line="137" w:lineRule="exact"/>
              <w:rPr>
                <w:sz w:val="20"/>
                <w:szCs w:val="20"/>
                <w:color w:val="auto"/>
              </w:rPr>
            </w:pPr>
            <w:r>
              <w:rPr>
                <w:rFonts w:ascii="Arial" w:cs="Arial" w:eastAsia="Arial" w:hAnsi="Arial"/>
                <w:sz w:val="12"/>
                <w:szCs w:val="12"/>
                <w:b w:val="1"/>
                <w:bCs w:val="1"/>
                <w:color w:val="auto"/>
              </w:rPr>
              <w:t>Identical Assets (Level</w:t>
            </w:r>
          </w:p>
        </w:tc>
        <w:tc>
          <w:tcPr>
            <w:tcW w:w="118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9"/>
              </w:rPr>
              <w:t>Observable Inputs</w:t>
            </w:r>
          </w:p>
        </w:tc>
        <w:tc>
          <w:tcPr>
            <w:tcW w:w="1640" w:type="dxa"/>
            <w:vAlign w:val="bottom"/>
            <w:gridSpan w:val="4"/>
          </w:tcPr>
          <w:p>
            <w:pPr>
              <w:jc w:val="center"/>
              <w:ind w:left="80"/>
              <w:spacing w:after="0" w:line="137"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rPr>
              <w:t>1)</w:t>
            </w:r>
          </w:p>
        </w:tc>
        <w:tc>
          <w:tcPr>
            <w:tcW w:w="3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center"/>
              <w:ind w:right="6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2"/>
          </w:tcPr>
          <w:p>
            <w:pPr>
              <w:jc w:val="center"/>
              <w:ind w:right="340"/>
              <w:spacing w:after="0"/>
              <w:rPr>
                <w:sz w:val="20"/>
                <w:szCs w:val="20"/>
                <w:color w:val="auto"/>
              </w:rPr>
            </w:pPr>
            <w:r>
              <w:rPr>
                <w:rFonts w:ascii="Arial" w:cs="Arial" w:eastAsia="Arial" w:hAnsi="Arial"/>
                <w:sz w:val="12"/>
                <w:szCs w:val="12"/>
                <w:b w:val="1"/>
                <w:bCs w:val="1"/>
                <w:color w:val="auto"/>
              </w:rPr>
              <w:t>(Level 3)</w:t>
            </w:r>
          </w:p>
        </w:tc>
        <w:tc>
          <w:tcPr>
            <w:tcW w:w="1500" w:type="dxa"/>
            <w:vAlign w:val="bottom"/>
            <w:tcBorders>
              <w:bottom w:val="single" w:sz="8" w:color="2C6937"/>
            </w:tcBorders>
            <w:gridSpan w:val="4"/>
          </w:tcPr>
          <w:p>
            <w:pPr>
              <w:ind w:left="14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420" w:type="dxa"/>
            <w:vAlign w:val="bottom"/>
            <w:tcBorders>
              <w:bottom w:val="single" w:sz="8" w:color="2C6937"/>
            </w:tcBorders>
            <w:gridSpan w:val="4"/>
          </w:tcPr>
          <w:p>
            <w:pPr>
              <w:ind w:left="14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6"/>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14,264</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27</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14,291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55,205</w:t>
            </w:r>
          </w:p>
        </w:tc>
        <w:tc>
          <w:tcPr>
            <w:tcW w:w="3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w:t>
            </w:r>
          </w:p>
        </w:tc>
        <w:tc>
          <w:tcPr>
            <w:tcW w:w="3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55,223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55,205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14,282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69,514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341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341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5,076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388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5,464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304</w:t>
            </w:r>
          </w:p>
        </w:tc>
        <w:tc>
          <w:tcPr>
            <w:tcW w:w="3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55,205</w:t>
            </w:r>
          </w:p>
        </w:tc>
        <w:tc>
          <w:tcPr>
            <w:tcW w:w="320" w:type="dxa"/>
            <w:vAlign w:val="bottom"/>
          </w:tcPr>
          <w:p>
            <w:pPr>
              <w:spacing w:after="0"/>
              <w:rPr>
                <w:sz w:val="15"/>
                <w:szCs w:val="15"/>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19,696</w:t>
            </w:r>
          </w:p>
        </w:tc>
        <w:tc>
          <w:tcPr>
            <w:tcW w:w="300" w:type="dxa"/>
            <w:vAlign w:val="bottom"/>
          </w:tcPr>
          <w:p>
            <w:pPr>
              <w:spacing w:after="0"/>
              <w:rPr>
                <w:sz w:val="15"/>
                <w:szCs w:val="15"/>
                <w:color w:val="auto"/>
              </w:rPr>
            </w:pPr>
          </w:p>
        </w:tc>
        <w:tc>
          <w:tcPr>
            <w:tcW w:w="180" w:type="dxa"/>
            <w:vAlign w:val="bottom"/>
            <w:tcBorders>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828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2C6937"/>
            </w:tcBorders>
          </w:tcPr>
          <w:p>
            <w:pPr>
              <w:jc w:val="right"/>
              <w:ind w:right="24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75,530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7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256</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14,969</w:t>
            </w:r>
          </w:p>
        </w:tc>
        <w:tc>
          <w:tcPr>
            <w:tcW w:w="3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15,060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14,969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347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15,316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1,387</w:t>
            </w:r>
          </w:p>
        </w:tc>
        <w:tc>
          <w:tcPr>
            <w:tcW w:w="3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(1,242)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16,356</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354</w:t>
            </w:r>
          </w:p>
        </w:tc>
        <w:tc>
          <w:tcPr>
            <w:tcW w:w="16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(1,242)</w:t>
            </w:r>
          </w:p>
        </w:tc>
        <w:tc>
          <w:tcPr>
            <w:tcW w:w="16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15,468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1060" w:type="dxa"/>
            <w:vAlign w:val="bottom"/>
            <w:tcBorders>
              <w:top w:val="single" w:sz="8" w:color="2C6937"/>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1080" w:type="dxa"/>
            <w:vAlign w:val="bottom"/>
            <w:tcBorders>
              <w:top w:val="single" w:sz="8" w:color="2C6937"/>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2C6937"/>
              <w:bottom w:val="single" w:sz="8" w:color="2C6937"/>
            </w:tcBorders>
          </w:tcPr>
          <w:p>
            <w:pPr>
              <w:spacing w:after="0"/>
              <w:rPr>
                <w:sz w:val="2"/>
                <w:szCs w:val="2"/>
                <w:color w:val="auto"/>
              </w:rPr>
            </w:pPr>
          </w:p>
        </w:tc>
        <w:tc>
          <w:tcPr>
            <w:tcW w:w="1000" w:type="dxa"/>
            <w:vAlign w:val="bottom"/>
            <w:tcBorders>
              <w:top w:val="single" w:sz="8" w:color="2C6937"/>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top w:val="single" w:sz="8" w:color="2C6937"/>
              <w:bottom w:val="single" w:sz="8" w:color="2C6937"/>
            </w:tcBorders>
          </w:tcPr>
          <w:p>
            <w:pPr>
              <w:spacing w:after="0"/>
              <w:rPr>
                <w:sz w:val="2"/>
                <w:szCs w:val="2"/>
                <w:color w:val="auto"/>
              </w:rPr>
            </w:pPr>
          </w:p>
        </w:tc>
        <w:tc>
          <w:tcPr>
            <w:tcW w:w="7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433705</wp:posOffset>
            </wp:positionV>
            <wp:extent cx="680593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7360"/>
          </w:cols>
          <w:pgMar w:left="320" w:top="261" w:right="37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61" w:right="379" w:bottom="1440" w:gutter="0" w:footer="0" w:header="0"/>
          <w:type w:val="continuous"/>
        </w:sectPr>
      </w:pPr>
    </w:p>
    <w:bookmarkStart w:id="98" w:name="page99"/>
    <w:bookmarkEnd w:id="98"/>
    <w:p>
      <w:pPr>
        <w:jc w:val="right"/>
        <w:ind w:right="10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right="700" w:hanging="237"/>
        <w:spacing w:after="0" w:line="226" w:lineRule="auto"/>
        <w:tabs>
          <w:tab w:leader="none" w:pos="233"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Derivative contracts are reported on a gross basis by level. The netting adjustment represents the effect of the legal right to offset under legally enforceable master netting arrangements to settle with the same counterparty on a net basis, including cash collateral posted and received.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Mortgage-related securities primarily consist of securities issued by Fannie Mae, Freddie Mac, or Ginnie Mae.</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Non-mortgage related securities consist of U.S. Treasury securities.</w:t>
      </w:r>
    </w:p>
    <w:p>
      <w:pPr>
        <w:spacing w:after="0" w:line="63"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The following tables display a reconciliation of all assets and liabilities measured at fair value on a recurring basis using significant unobservable inputs (Level 3).</w:t>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June 30, 2026</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Sales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Settlements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transfers</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Total gains (losses) realized &amp; unrealized</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262763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262763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62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262763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December 31, 2025</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Sales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Settlements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transfers</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Total gains (losses) realized &amp; unrealized</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262763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262763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62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262763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4453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453255"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Available-for-Sale</w:t>
            </w:r>
          </w:p>
        </w:tc>
        <w:tc>
          <w:tcPr>
            <w:tcW w:w="120" w:type="dxa"/>
            <w:vAlign w:val="bottom"/>
          </w:tcPr>
          <w:p>
            <w:pPr>
              <w:spacing w:after="0"/>
              <w:rPr>
                <w:sz w:val="14"/>
                <w:szCs w:val="14"/>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Mortgage Loans</w:t>
            </w: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4"/>
                <w:szCs w:val="14"/>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80"/>
        </w:trPr>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367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600" w:type="dxa"/>
            <w:vAlign w:val="bottom"/>
            <w:tcBorders>
              <w:bottom w:val="single" w:sz="8" w:color="216C2B"/>
            </w:tcBorders>
          </w:tcPr>
          <w:p>
            <w:pPr>
              <w:spacing w:after="0"/>
              <w:rPr>
                <w:sz w:val="20"/>
                <w:szCs w:val="20"/>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0"/>
                <w:szCs w:val="20"/>
                <w:color w:val="auto"/>
              </w:rPr>
            </w:pPr>
          </w:p>
        </w:tc>
        <w:tc>
          <w:tcPr>
            <w:tcW w:w="220" w:type="dxa"/>
            <w:vAlign w:val="bottom"/>
            <w:tcBorders>
              <w:bottom w:val="single" w:sz="8" w:color="216C2B"/>
            </w:tcBorders>
          </w:tcPr>
          <w:p>
            <w:pPr>
              <w:spacing w:after="0"/>
              <w:rPr>
                <w:sz w:val="20"/>
                <w:szCs w:val="20"/>
                <w:color w:val="auto"/>
              </w:rPr>
            </w:pPr>
          </w:p>
        </w:tc>
        <w:tc>
          <w:tcPr>
            <w:tcW w:w="11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20"/>
                <w:szCs w:val="20"/>
                <w:color w:val="auto"/>
              </w:rPr>
            </w:pPr>
          </w:p>
        </w:tc>
        <w:tc>
          <w:tcPr>
            <w:tcW w:w="120" w:type="dxa"/>
            <w:vAlign w:val="bottom"/>
            <w:tcBorders>
              <w:bottom w:val="single" w:sz="8" w:color="216C2B"/>
            </w:tcBorders>
          </w:tcPr>
          <w:p>
            <w:pPr>
              <w:spacing w:after="0"/>
              <w:rPr>
                <w:sz w:val="20"/>
                <w:szCs w:val="20"/>
                <w:color w:val="auto"/>
              </w:rPr>
            </w:pPr>
          </w:p>
        </w:tc>
        <w:tc>
          <w:tcPr>
            <w:tcW w:w="12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0"/>
                <w:szCs w:val="20"/>
                <w:color w:val="auto"/>
              </w:rPr>
            </w:pPr>
          </w:p>
        </w:tc>
        <w:tc>
          <w:tcPr>
            <w:tcW w:w="140" w:type="dxa"/>
            <w:vAlign w:val="bottom"/>
            <w:tcBorders>
              <w:bottom w:val="single" w:sz="8" w:color="216C2B"/>
            </w:tcBorders>
          </w:tcPr>
          <w:p>
            <w:pPr>
              <w:spacing w:after="0"/>
              <w:rPr>
                <w:sz w:val="20"/>
                <w:szCs w:val="20"/>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0"/>
                <w:szCs w:val="20"/>
                <w:color w:val="auto"/>
              </w:rPr>
            </w:pPr>
          </w:p>
        </w:tc>
        <w:tc>
          <w:tcPr>
            <w:tcW w:w="120" w:type="dxa"/>
            <w:vAlign w:val="bottom"/>
            <w:tcBorders>
              <w:bottom w:val="single" w:sz="8" w:color="216C2B"/>
            </w:tcBorders>
          </w:tcPr>
          <w:p>
            <w:pPr>
              <w:spacing w:after="0"/>
              <w:rPr>
                <w:sz w:val="20"/>
                <w:szCs w:val="20"/>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2"/>
        </w:trPr>
        <w:tc>
          <w:tcPr>
            <w:tcW w:w="600" w:type="dxa"/>
            <w:vAlign w:val="bottom"/>
            <w:tcBorders>
              <w:bottom w:val="single" w:sz="8" w:color="2C6937"/>
            </w:tcBorders>
          </w:tcPr>
          <w:p>
            <w:pPr>
              <w:jc w:val="right"/>
              <w:ind w:right="45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7"/>
                <w:szCs w:val="17"/>
                <w:color w:val="auto"/>
              </w:rPr>
            </w:pPr>
          </w:p>
        </w:tc>
        <w:tc>
          <w:tcPr>
            <w:tcW w:w="2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301</w:t>
            </w:r>
          </w:p>
        </w:tc>
        <w:tc>
          <w:tcPr>
            <w:tcW w:w="80" w:type="dxa"/>
            <w:vAlign w:val="bottom"/>
          </w:tcPr>
          <w:p>
            <w:pPr>
              <w:spacing w:after="0"/>
              <w:rPr>
                <w:sz w:val="17"/>
                <w:szCs w:val="17"/>
                <w:color w:val="auto"/>
              </w:rPr>
            </w:pPr>
          </w:p>
        </w:tc>
        <w:tc>
          <w:tcPr>
            <w:tcW w:w="12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374</w:t>
            </w:r>
          </w:p>
        </w:tc>
        <w:tc>
          <w:tcPr>
            <w:tcW w:w="80" w:type="dxa"/>
            <w:vAlign w:val="bottom"/>
          </w:tcPr>
          <w:p>
            <w:pPr>
              <w:spacing w:after="0"/>
              <w:rPr>
                <w:sz w:val="17"/>
                <w:szCs w:val="17"/>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(314)</w:t>
            </w:r>
          </w:p>
        </w:tc>
        <w:tc>
          <w:tcPr>
            <w:tcW w:w="0" w:type="dxa"/>
            <w:vAlign w:val="bottom"/>
          </w:tcPr>
          <w:p>
            <w:pPr>
              <w:spacing w:after="0"/>
              <w:rPr>
                <w:sz w:val="1"/>
                <w:szCs w:val="1"/>
                <w:color w:val="auto"/>
              </w:rPr>
            </w:pPr>
          </w:p>
        </w:tc>
      </w:tr>
      <w:tr>
        <w:trPr>
          <w:trHeight w:val="20"/>
        </w:trPr>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2C693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00" w:type="dxa"/>
            <w:vAlign w:val="bottom"/>
            <w:tcBorders>
              <w:bottom w:val="single" w:sz="8" w:color="2C6937"/>
            </w:tcBorders>
          </w:tcPr>
          <w:p>
            <w:pPr>
              <w:spacing w:after="0"/>
              <w:rPr>
                <w:sz w:val="24"/>
                <w:szCs w:val="24"/>
                <w:color w:val="auto"/>
              </w:rPr>
            </w:pPr>
          </w:p>
        </w:tc>
        <w:tc>
          <w:tcPr>
            <w:tcW w:w="6400" w:type="dxa"/>
            <w:vAlign w:val="bottom"/>
            <w:tcBorders>
              <w:bottom w:val="single" w:sz="8" w:color="2C6937"/>
            </w:tcBorders>
            <w:gridSpan w:val="13"/>
          </w:tcPr>
          <w:p>
            <w:pPr>
              <w:jc w:val="center"/>
              <w:ind w:right="531"/>
              <w:spacing w:after="0"/>
              <w:rPr>
                <w:sz w:val="20"/>
                <w:szCs w:val="20"/>
                <w:color w:val="auto"/>
              </w:rPr>
            </w:pPr>
            <w:r>
              <w:rPr>
                <w:rFonts w:ascii="Arial" w:cs="Arial" w:eastAsia="Arial" w:hAnsi="Arial"/>
                <w:sz w:val="14"/>
                <w:szCs w:val="14"/>
                <w:b w:val="1"/>
                <w:bCs w:val="1"/>
                <w:color w:val="auto"/>
                <w:w w:val="97"/>
              </w:rPr>
              <w:t>Fair Value Measurements Using Significant Unobservable Inputs (Level 3)</w:t>
            </w:r>
          </w:p>
        </w:tc>
        <w:tc>
          <w:tcPr>
            <w:tcW w:w="0" w:type="dxa"/>
            <w:vAlign w:val="bottom"/>
          </w:tcPr>
          <w:p>
            <w:pPr>
              <w:spacing w:after="0"/>
              <w:rPr>
                <w:sz w:val="1"/>
                <w:szCs w:val="1"/>
                <w:color w:val="auto"/>
              </w:rPr>
            </w:pPr>
          </w:p>
        </w:tc>
      </w:tr>
      <w:tr>
        <w:trPr>
          <w:trHeight w:val="148"/>
        </w:trPr>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Available-for-Sale</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Mortgage Loans</w:t>
            </w:r>
          </w:p>
        </w:tc>
        <w:tc>
          <w:tcPr>
            <w:tcW w:w="14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2"/>
                <w:szCs w:val="12"/>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80"/>
        </w:trPr>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600" w:type="dxa"/>
            <w:vAlign w:val="bottom"/>
            <w:tcBorders>
              <w:bottom w:val="single" w:sz="8" w:color="216C2B"/>
            </w:tcBorders>
          </w:tcPr>
          <w:p>
            <w:pPr>
              <w:spacing w:after="0"/>
              <w:rPr>
                <w:sz w:val="20"/>
                <w:szCs w:val="20"/>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0"/>
                <w:szCs w:val="20"/>
                <w:color w:val="auto"/>
              </w:rPr>
            </w:pPr>
          </w:p>
        </w:tc>
        <w:tc>
          <w:tcPr>
            <w:tcW w:w="220" w:type="dxa"/>
            <w:vAlign w:val="bottom"/>
            <w:tcBorders>
              <w:bottom w:val="single" w:sz="8" w:color="216C2B"/>
            </w:tcBorders>
          </w:tcPr>
          <w:p>
            <w:pPr>
              <w:spacing w:after="0"/>
              <w:rPr>
                <w:sz w:val="20"/>
                <w:szCs w:val="20"/>
                <w:color w:val="auto"/>
              </w:rPr>
            </w:pPr>
          </w:p>
        </w:tc>
        <w:tc>
          <w:tcPr>
            <w:tcW w:w="11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0"/>
                <w:szCs w:val="20"/>
                <w:color w:val="auto"/>
              </w:rPr>
            </w:pPr>
          </w:p>
        </w:tc>
        <w:tc>
          <w:tcPr>
            <w:tcW w:w="120" w:type="dxa"/>
            <w:vAlign w:val="bottom"/>
            <w:tcBorders>
              <w:bottom w:val="single" w:sz="8" w:color="216C2B"/>
            </w:tcBorders>
          </w:tcPr>
          <w:p>
            <w:pPr>
              <w:spacing w:after="0"/>
              <w:rPr>
                <w:sz w:val="20"/>
                <w:szCs w:val="20"/>
                <w:color w:val="auto"/>
              </w:rPr>
            </w:pPr>
          </w:p>
        </w:tc>
        <w:tc>
          <w:tcPr>
            <w:tcW w:w="12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0"/>
                <w:szCs w:val="20"/>
                <w:color w:val="auto"/>
              </w:rPr>
            </w:pPr>
          </w:p>
        </w:tc>
        <w:tc>
          <w:tcPr>
            <w:tcW w:w="140" w:type="dxa"/>
            <w:vAlign w:val="bottom"/>
            <w:tcBorders>
              <w:bottom w:val="single" w:sz="8" w:color="216C2B"/>
            </w:tcBorders>
          </w:tcPr>
          <w:p>
            <w:pPr>
              <w:spacing w:after="0"/>
              <w:rPr>
                <w:sz w:val="20"/>
                <w:szCs w:val="20"/>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0"/>
                <w:szCs w:val="20"/>
                <w:color w:val="auto"/>
              </w:rPr>
            </w:pPr>
          </w:p>
        </w:tc>
        <w:tc>
          <w:tcPr>
            <w:tcW w:w="120" w:type="dxa"/>
            <w:vAlign w:val="bottom"/>
            <w:tcBorders>
              <w:bottom w:val="single" w:sz="8" w:color="216C2B"/>
            </w:tcBorders>
          </w:tcPr>
          <w:p>
            <w:pPr>
              <w:spacing w:after="0"/>
              <w:rPr>
                <w:sz w:val="20"/>
                <w:szCs w:val="20"/>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2"/>
        </w:trPr>
        <w:tc>
          <w:tcPr>
            <w:tcW w:w="600" w:type="dxa"/>
            <w:vAlign w:val="bottom"/>
            <w:tcBorders>
              <w:bottom w:val="single" w:sz="8" w:color="2C6937"/>
            </w:tcBorders>
          </w:tcPr>
          <w:p>
            <w:pPr>
              <w:jc w:val="right"/>
              <w:ind w:right="45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7"/>
                <w:szCs w:val="17"/>
                <w:color w:val="auto"/>
              </w:rPr>
            </w:pPr>
          </w:p>
        </w:tc>
        <w:tc>
          <w:tcPr>
            <w:tcW w:w="2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301</w:t>
            </w:r>
          </w:p>
        </w:tc>
        <w:tc>
          <w:tcPr>
            <w:tcW w:w="80" w:type="dxa"/>
            <w:vAlign w:val="bottom"/>
          </w:tcPr>
          <w:p>
            <w:pPr>
              <w:spacing w:after="0"/>
              <w:rPr>
                <w:sz w:val="17"/>
                <w:szCs w:val="17"/>
                <w:color w:val="auto"/>
              </w:rPr>
            </w:pPr>
          </w:p>
        </w:tc>
        <w:tc>
          <w:tcPr>
            <w:tcW w:w="12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374</w:t>
            </w:r>
          </w:p>
        </w:tc>
        <w:tc>
          <w:tcPr>
            <w:tcW w:w="80" w:type="dxa"/>
            <w:vAlign w:val="bottom"/>
          </w:tcPr>
          <w:p>
            <w:pPr>
              <w:spacing w:after="0"/>
              <w:rPr>
                <w:sz w:val="17"/>
                <w:szCs w:val="17"/>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(314)</w:t>
            </w:r>
          </w:p>
        </w:tc>
        <w:tc>
          <w:tcPr>
            <w:tcW w:w="0" w:type="dxa"/>
            <w:vAlign w:val="bottom"/>
          </w:tcPr>
          <w:p>
            <w:pPr>
              <w:spacing w:after="0"/>
              <w:rPr>
                <w:sz w:val="1"/>
                <w:szCs w:val="1"/>
                <w:color w:val="auto"/>
              </w:rPr>
            </w:pPr>
          </w:p>
        </w:tc>
      </w:tr>
      <w:tr>
        <w:trPr>
          <w:trHeight w:val="20"/>
        </w:trPr>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-2296795</wp:posOffset>
            </wp:positionH>
            <wp:positionV relativeFrom="paragraph">
              <wp:posOffset>450215</wp:posOffset>
            </wp:positionV>
            <wp:extent cx="680593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000"/>
          </w:cols>
          <w:pgMar w:left="320" w:top="261"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99" w:name="page100"/>
    <w:bookmarkEnd w:id="99"/>
    <w:p>
      <w:pPr>
        <w:jc w:val="right"/>
        <w:ind w:right="10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18415</wp:posOffset>
            </wp:positionV>
            <wp:extent cx="4453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453255"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June 30, 2025</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Sales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Settlements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transfers</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Total gains (losses) realized &amp; unrealized</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262763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262763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62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262763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Available-for-Sale</w:t>
            </w: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Loans</w:t>
            </w: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4"/>
                <w:szCs w:val="14"/>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77"/>
        </w:trPr>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399</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600" w:type="dxa"/>
            <w:vAlign w:val="bottom"/>
            <w:tcBorders>
              <w:bottom w:val="single" w:sz="8" w:color="216C2B"/>
            </w:tcBorders>
          </w:tcPr>
          <w:p>
            <w:pPr>
              <w:spacing w:after="0"/>
              <w:rPr>
                <w:sz w:val="20"/>
                <w:szCs w:val="20"/>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p>
        </w:tc>
        <w:tc>
          <w:tcPr>
            <w:tcW w:w="220" w:type="dxa"/>
            <w:vAlign w:val="bottom"/>
            <w:tcBorders>
              <w:bottom w:val="single" w:sz="8" w:color="216C2B"/>
            </w:tcBorders>
          </w:tcPr>
          <w:p>
            <w:pPr>
              <w:spacing w:after="0"/>
              <w:rPr>
                <w:sz w:val="20"/>
                <w:szCs w:val="20"/>
                <w:color w:val="auto"/>
              </w:rPr>
            </w:pPr>
          </w:p>
        </w:tc>
        <w:tc>
          <w:tcPr>
            <w:tcW w:w="11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0"/>
                <w:szCs w:val="20"/>
                <w:color w:val="auto"/>
              </w:rPr>
            </w:pPr>
          </w:p>
        </w:tc>
        <w:tc>
          <w:tcPr>
            <w:tcW w:w="120" w:type="dxa"/>
            <w:vAlign w:val="bottom"/>
            <w:tcBorders>
              <w:bottom w:val="single" w:sz="8" w:color="216C2B"/>
            </w:tcBorders>
          </w:tcPr>
          <w:p>
            <w:pPr>
              <w:spacing w:after="0"/>
              <w:rPr>
                <w:sz w:val="20"/>
                <w:szCs w:val="20"/>
                <w:color w:val="auto"/>
              </w:rPr>
            </w:pPr>
          </w:p>
        </w:tc>
        <w:tc>
          <w:tcPr>
            <w:tcW w:w="12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20"/>
                <w:szCs w:val="20"/>
                <w:color w:val="auto"/>
              </w:rPr>
            </w:pPr>
          </w:p>
        </w:tc>
        <w:tc>
          <w:tcPr>
            <w:tcW w:w="140" w:type="dxa"/>
            <w:vAlign w:val="bottom"/>
            <w:tcBorders>
              <w:bottom w:val="single" w:sz="8" w:color="216C2B"/>
            </w:tcBorders>
          </w:tcPr>
          <w:p>
            <w:pPr>
              <w:spacing w:after="0"/>
              <w:rPr>
                <w:sz w:val="20"/>
                <w:szCs w:val="20"/>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0"/>
                <w:szCs w:val="20"/>
                <w:color w:val="auto"/>
              </w:rPr>
            </w:pPr>
          </w:p>
        </w:tc>
        <w:tc>
          <w:tcPr>
            <w:tcW w:w="120" w:type="dxa"/>
            <w:vAlign w:val="bottom"/>
            <w:tcBorders>
              <w:bottom w:val="single" w:sz="8" w:color="216C2B"/>
            </w:tcBorders>
          </w:tcPr>
          <w:p>
            <w:pPr>
              <w:spacing w:after="0"/>
              <w:rPr>
                <w:sz w:val="20"/>
                <w:szCs w:val="20"/>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9"/>
        </w:trPr>
        <w:tc>
          <w:tcPr>
            <w:tcW w:w="600" w:type="dxa"/>
            <w:vAlign w:val="bottom"/>
            <w:tcBorders>
              <w:bottom w:val="single" w:sz="8" w:color="2C6937"/>
            </w:tcBorders>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c>
          <w:tcPr>
            <w:tcW w:w="2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17"/>
                <w:szCs w:val="17"/>
                <w:color w:val="auto"/>
              </w:rPr>
            </w:pPr>
          </w:p>
        </w:tc>
        <w:tc>
          <w:tcPr>
            <w:tcW w:w="1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371</w:t>
            </w:r>
          </w:p>
        </w:tc>
        <w:tc>
          <w:tcPr>
            <w:tcW w:w="80" w:type="dxa"/>
            <w:vAlign w:val="bottom"/>
          </w:tcPr>
          <w:p>
            <w:pPr>
              <w:spacing w:after="0"/>
              <w:rPr>
                <w:sz w:val="17"/>
                <w:szCs w:val="17"/>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2"/>
        </w:trPr>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4453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453255"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3520" w:space="720"/>
            <w:col w:w="7000"/>
          </w:cols>
          <w:pgMar w:left="320" w:top="26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Available-for-Sale</w:t>
            </w: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Loans</w:t>
            </w: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4"/>
                <w:szCs w:val="14"/>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77"/>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399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26"/>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Purchases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Sales</w:t>
            </w:r>
          </w:p>
        </w:tc>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Issuances</w:t>
            </w:r>
          </w:p>
        </w:tc>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Settlements</w:t>
            </w:r>
          </w:p>
        </w:tc>
        <w:tc>
          <w:tcPr>
            <w:tcW w:w="6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32"/>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Net transfers</w:t>
            </w:r>
          </w:p>
        </w:tc>
        <w:tc>
          <w:tcPr>
            <w:tcW w:w="6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0"/>
        </w:trPr>
        <w:tc>
          <w:tcPr>
            <w:tcW w:w="4140" w:type="dxa"/>
            <w:vAlign w:val="bottom"/>
            <w:tcBorders>
              <w:bottom w:val="single" w:sz="8" w:color="216C2B"/>
            </w:tcBorders>
          </w:tcPr>
          <w:p>
            <w:pPr>
              <w:ind w:left="220"/>
              <w:spacing w:after="0"/>
              <w:rPr>
                <w:sz w:val="20"/>
                <w:szCs w:val="20"/>
                <w:color w:val="auto"/>
              </w:rPr>
            </w:pPr>
            <w:r>
              <w:rPr>
                <w:rFonts w:ascii="Arial" w:cs="Arial" w:eastAsia="Arial" w:hAnsi="Arial"/>
                <w:sz w:val="14"/>
                <w:szCs w:val="14"/>
                <w:color w:val="auto"/>
              </w:rPr>
              <w:t>Total gains (losses) realized &amp; unrealized</w:t>
            </w:r>
            <w:r>
              <w:rPr>
                <w:rFonts w:ascii="Arial" w:cs="Arial" w:eastAsia="Arial" w:hAnsi="Arial"/>
                <w:sz w:val="17"/>
                <w:szCs w:val="17"/>
                <w:color w:val="auto"/>
                <w:vertAlign w:val="superscript"/>
              </w:rPr>
              <w:t>(1)</w:t>
            </w:r>
          </w:p>
        </w:tc>
        <w:tc>
          <w:tcPr>
            <w:tcW w:w="100" w:type="dxa"/>
            <w:vAlign w:val="bottom"/>
          </w:tcPr>
          <w:p>
            <w:pPr>
              <w:spacing w:after="0"/>
              <w:rPr>
                <w:sz w:val="20"/>
                <w:szCs w:val="20"/>
                <w:color w:val="auto"/>
              </w:rPr>
            </w:pPr>
          </w:p>
        </w:tc>
        <w:tc>
          <w:tcPr>
            <w:tcW w:w="600" w:type="dxa"/>
            <w:vAlign w:val="bottom"/>
            <w:tcBorders>
              <w:bottom w:val="single" w:sz="8" w:color="216C2B"/>
            </w:tcBorders>
          </w:tcPr>
          <w:p>
            <w:pPr>
              <w:spacing w:after="0"/>
              <w:rPr>
                <w:sz w:val="20"/>
                <w:szCs w:val="20"/>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p>
        </w:tc>
        <w:tc>
          <w:tcPr>
            <w:tcW w:w="220" w:type="dxa"/>
            <w:vAlign w:val="bottom"/>
            <w:tcBorders>
              <w:bottom w:val="single" w:sz="8" w:color="216C2B"/>
            </w:tcBorders>
          </w:tcPr>
          <w:p>
            <w:pPr>
              <w:spacing w:after="0"/>
              <w:rPr>
                <w:sz w:val="20"/>
                <w:szCs w:val="20"/>
                <w:color w:val="auto"/>
              </w:rPr>
            </w:pPr>
          </w:p>
        </w:tc>
        <w:tc>
          <w:tcPr>
            <w:tcW w:w="11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p>
        </w:tc>
        <w:tc>
          <w:tcPr>
            <w:tcW w:w="120" w:type="dxa"/>
            <w:vAlign w:val="bottom"/>
            <w:tcBorders>
              <w:bottom w:val="single" w:sz="8" w:color="216C2B"/>
            </w:tcBorders>
          </w:tcPr>
          <w:p>
            <w:pPr>
              <w:spacing w:after="0"/>
              <w:rPr>
                <w:sz w:val="20"/>
                <w:szCs w:val="20"/>
                <w:color w:val="auto"/>
              </w:rPr>
            </w:pPr>
          </w:p>
        </w:tc>
        <w:tc>
          <w:tcPr>
            <w:tcW w:w="12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0"/>
                <w:szCs w:val="20"/>
                <w:color w:val="auto"/>
              </w:rPr>
            </w:pPr>
          </w:p>
        </w:tc>
        <w:tc>
          <w:tcPr>
            <w:tcW w:w="140" w:type="dxa"/>
            <w:vAlign w:val="bottom"/>
            <w:tcBorders>
              <w:bottom w:val="single" w:sz="8" w:color="216C2B"/>
            </w:tcBorders>
          </w:tcPr>
          <w:p>
            <w:pPr>
              <w:spacing w:after="0"/>
              <w:rPr>
                <w:sz w:val="20"/>
                <w:szCs w:val="20"/>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120" w:type="dxa"/>
            <w:vAlign w:val="bottom"/>
            <w:tcBorders>
              <w:bottom w:val="single" w:sz="8" w:color="216C2B"/>
            </w:tcBorders>
          </w:tcPr>
          <w:p>
            <w:pPr>
              <w:spacing w:after="0"/>
              <w:rPr>
                <w:sz w:val="20"/>
                <w:szCs w:val="20"/>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September 30, 2025</w:t>
            </w:r>
          </w:p>
        </w:tc>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371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0"/>
        </w:trPr>
        <w:tc>
          <w:tcPr>
            <w:tcW w:w="41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40" w:right="80" w:hanging="237"/>
        <w:spacing w:after="0" w:line="218" w:lineRule="auto"/>
        <w:tabs>
          <w:tab w:leader="none" w:pos="233"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We had no significant unrealized gains or losses related to assets and liabilities still held in either “Net income” or “Other comprehensive income (loss)” as of September 30, 2026 or September 30, 2025.</w:t>
      </w:r>
    </w:p>
    <w:p>
      <w:pPr>
        <w:spacing w:after="0" w:line="51" w:lineRule="exact"/>
        <w:rPr>
          <w:sz w:val="20"/>
          <w:szCs w:val="20"/>
          <w:color w:val="auto"/>
        </w:rPr>
      </w:pPr>
    </w:p>
    <w:p>
      <w:pPr>
        <w:jc w:val="both"/>
        <w:ind w:right="440"/>
        <w:spacing w:after="0" w:line="281" w:lineRule="auto"/>
        <w:rPr>
          <w:sz w:val="20"/>
          <w:szCs w:val="20"/>
          <w:color w:val="auto"/>
        </w:rPr>
      </w:pPr>
      <w:r>
        <w:rPr>
          <w:rFonts w:ascii="Arial" w:cs="Arial" w:eastAsia="Arial" w:hAnsi="Arial"/>
          <w:sz w:val="16"/>
          <w:szCs w:val="16"/>
          <w:color w:val="auto"/>
        </w:rPr>
        <w:t>The following tables display significant valuation techniques for our Level 3 assets and liabilities measured at fair value on a recurring basis, excluding instruments for which we have elected the fair value option. Changes in these unobservable inputs can result in significantly higher or lower fair value measurements of these assets and liabilities as of the reporting date.</w:t>
      </w:r>
    </w:p>
    <w:p>
      <w:pPr>
        <w:spacing w:after="0" w:line="96"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spacing w:after="0"/>
              <w:rPr>
                <w:sz w:val="18"/>
                <w:szCs w:val="18"/>
                <w:color w:val="auto"/>
              </w:rPr>
            </w:pPr>
          </w:p>
        </w:tc>
        <w:tc>
          <w:tcPr>
            <w:tcW w:w="6020" w:type="dxa"/>
            <w:vAlign w:val="bottom"/>
            <w:tcBorders>
              <w:bottom w:val="single" w:sz="8" w:color="2C6937"/>
            </w:tcBorders>
          </w:tcPr>
          <w:p>
            <w:pPr>
              <w:jc w:val="center"/>
              <w:ind w:right="1303"/>
              <w:spacing w:after="0"/>
              <w:rPr>
                <w:sz w:val="20"/>
                <w:szCs w:val="20"/>
                <w:color w:val="auto"/>
              </w:rPr>
            </w:pPr>
            <w:r>
              <w:rPr>
                <w:rFonts w:ascii="Arial" w:cs="Arial" w:eastAsia="Arial" w:hAnsi="Arial"/>
                <w:sz w:val="15"/>
                <w:szCs w:val="15"/>
                <w:b w:val="1"/>
                <w:bCs w:val="1"/>
                <w:color w:val="auto"/>
              </w:rPr>
              <w:t>Fair Value Measurements as of September 30, 2026</w:t>
            </w:r>
          </w:p>
        </w:tc>
      </w:tr>
      <w:tr>
        <w:trPr>
          <w:trHeight w:val="238"/>
        </w:trPr>
        <w:tc>
          <w:tcPr>
            <w:tcW w:w="35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ind w:right="263"/>
              <w:spacing w:after="0"/>
              <w:rPr>
                <w:sz w:val="20"/>
                <w:szCs w:val="20"/>
                <w:color w:val="auto"/>
              </w:rPr>
            </w:pPr>
            <w:r>
              <w:rPr>
                <w:rFonts w:ascii="Arial" w:cs="Arial" w:eastAsia="Arial" w:hAnsi="Arial"/>
                <w:sz w:val="15"/>
                <w:szCs w:val="15"/>
                <w:b w:val="1"/>
                <w:bCs w:val="1"/>
                <w:color w:val="auto"/>
              </w:rPr>
              <w:t>Fair Value</w:t>
            </w:r>
          </w:p>
        </w:tc>
        <w:tc>
          <w:tcPr>
            <w:tcW w:w="6020" w:type="dxa"/>
            <w:vAlign w:val="bottom"/>
            <w:tcBorders>
              <w:bottom w:val="single" w:sz="8" w:color="2C6937"/>
            </w:tcBorders>
          </w:tcPr>
          <w:p>
            <w:pPr>
              <w:ind w:left="1840"/>
              <w:spacing w:after="0"/>
              <w:rPr>
                <w:sz w:val="20"/>
                <w:szCs w:val="20"/>
                <w:color w:val="auto"/>
              </w:rPr>
            </w:pPr>
            <w:r>
              <w:rPr>
                <w:rFonts w:ascii="Arial" w:cs="Arial" w:eastAsia="Arial" w:hAnsi="Arial"/>
                <w:sz w:val="15"/>
                <w:szCs w:val="15"/>
                <w:b w:val="1"/>
                <w:bCs w:val="1"/>
                <w:color w:val="auto"/>
              </w:rPr>
              <w:t>Significant Valuation Techniques</w:t>
            </w:r>
          </w:p>
        </w:tc>
      </w:tr>
      <w:tr>
        <w:trPr>
          <w:trHeight w:val="222"/>
        </w:trPr>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20" w:type="dxa"/>
            <w:vAlign w:val="bottom"/>
          </w:tcPr>
          <w:p>
            <w:pPr>
              <w:jc w:val="center"/>
              <w:ind w:right="1303"/>
              <w:spacing w:after="0"/>
              <w:rPr>
                <w:sz w:val="20"/>
                <w:szCs w:val="20"/>
                <w:color w:val="auto"/>
              </w:rPr>
            </w:pPr>
            <w:r>
              <w:rPr>
                <w:rFonts w:ascii="Arial" w:cs="Arial" w:eastAsia="Arial" w:hAnsi="Arial"/>
                <w:sz w:val="15"/>
                <w:szCs w:val="15"/>
                <w:b w:val="1"/>
                <w:bCs w:val="1"/>
                <w:color w:val="auto"/>
              </w:rPr>
              <w:t>(Dollars in millions)</w:t>
            </w:r>
          </w:p>
        </w:tc>
      </w:tr>
      <w:tr>
        <w:trPr>
          <w:trHeight w:val="232"/>
        </w:trPr>
        <w:tc>
          <w:tcPr>
            <w:tcW w:w="3560" w:type="dxa"/>
            <w:vAlign w:val="bottom"/>
          </w:tcPr>
          <w:p>
            <w:pPr>
              <w:spacing w:after="0"/>
              <w:rPr>
                <w:sz w:val="20"/>
                <w:szCs w:val="20"/>
                <w:color w:val="auto"/>
              </w:rPr>
            </w:pPr>
            <w:r>
              <w:rPr>
                <w:rFonts w:ascii="Arial" w:cs="Arial" w:eastAsia="Arial" w:hAnsi="Arial"/>
                <w:sz w:val="15"/>
                <w:szCs w:val="15"/>
                <w:b w:val="1"/>
                <w:bCs w:val="1"/>
                <w:color w:val="auto"/>
              </w:rPr>
              <w:t>Recurring fair value measurements: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20" w:type="dxa"/>
            <w:vAlign w:val="bottom"/>
          </w:tcPr>
          <w:p>
            <w:pPr>
              <w:spacing w:after="0"/>
              <w:rPr>
                <w:sz w:val="20"/>
                <w:szCs w:val="20"/>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5"/>
                <w:szCs w:val="15"/>
                <w:color w:val="auto"/>
              </w:rPr>
              <w:t>Trading securities: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20" w:type="dxa"/>
            <w:vAlign w:val="bottom"/>
          </w:tcPr>
          <w:p>
            <w:pPr>
              <w:spacing w:after="0"/>
              <w:rPr>
                <w:sz w:val="20"/>
                <w:szCs w:val="20"/>
                <w:color w:val="auto"/>
              </w:rPr>
            </w:pPr>
          </w:p>
        </w:tc>
      </w:tr>
      <w:tr>
        <w:trPr>
          <w:trHeight w:val="258"/>
        </w:trPr>
        <w:tc>
          <w:tcPr>
            <w:tcW w:w="3560" w:type="dxa"/>
            <w:vAlign w:val="bottom"/>
          </w:tcPr>
          <w:p>
            <w:pPr>
              <w:ind w:left="100"/>
              <w:spacing w:after="0"/>
              <w:rPr>
                <w:sz w:val="20"/>
                <w:szCs w:val="20"/>
                <w:color w:val="auto"/>
              </w:rPr>
            </w:pPr>
            <w:r>
              <w:rPr>
                <w:rFonts w:ascii="Arial" w:cs="Arial" w:eastAsia="Arial" w:hAnsi="Arial"/>
                <w:sz w:val="15"/>
                <w:szCs w:val="15"/>
                <w:color w:val="auto"/>
              </w:rPr>
              <w:t>Mortgage-related</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22</w:t>
            </w:r>
          </w:p>
        </w:tc>
        <w:tc>
          <w:tcPr>
            <w:tcW w:w="6020" w:type="dxa"/>
            <w:vAlign w:val="bottom"/>
          </w:tcPr>
          <w:p>
            <w:pPr>
              <w:ind w:left="100"/>
              <w:spacing w:after="0"/>
              <w:rPr>
                <w:sz w:val="20"/>
                <w:szCs w:val="20"/>
                <w:color w:val="auto"/>
              </w:rPr>
            </w:pPr>
            <w:r>
              <w:rPr>
                <w:rFonts w:ascii="Arial" w:cs="Arial" w:eastAsia="Arial" w:hAnsi="Arial"/>
                <w:sz w:val="15"/>
                <w:szCs w:val="15"/>
                <w:color w:val="auto"/>
              </w:rPr>
              <w:t>Single Vendor</w:t>
            </w:r>
          </w:p>
        </w:tc>
      </w:tr>
      <w:tr>
        <w:trPr>
          <w:trHeight w:val="232"/>
        </w:trPr>
        <w:tc>
          <w:tcPr>
            <w:tcW w:w="3560" w:type="dxa"/>
            <w:vAlign w:val="bottom"/>
          </w:tcPr>
          <w:p>
            <w:pPr>
              <w:spacing w:after="0"/>
              <w:rPr>
                <w:sz w:val="20"/>
                <w:szCs w:val="20"/>
                <w:color w:val="auto"/>
              </w:rPr>
            </w:pPr>
            <w:r>
              <w:rPr>
                <w:rFonts w:ascii="Arial" w:cs="Arial" w:eastAsia="Arial" w:hAnsi="Arial"/>
                <w:sz w:val="15"/>
                <w:szCs w:val="15"/>
                <w:color w:val="auto"/>
              </w:rPr>
              <w:t>Available-for-sale securities: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20" w:type="dxa"/>
            <w:vAlign w:val="bottom"/>
          </w:tcPr>
          <w:p>
            <w:pPr>
              <w:spacing w:after="0"/>
              <w:rPr>
                <w:sz w:val="20"/>
                <w:szCs w:val="20"/>
                <w:color w:val="auto"/>
              </w:rPr>
            </w:pPr>
          </w:p>
        </w:tc>
      </w:tr>
      <w:tr>
        <w:trPr>
          <w:trHeight w:val="258"/>
        </w:trPr>
        <w:tc>
          <w:tcPr>
            <w:tcW w:w="3560" w:type="dxa"/>
            <w:vAlign w:val="bottom"/>
          </w:tcPr>
          <w:p>
            <w:pPr>
              <w:ind w:left="100"/>
              <w:spacing w:after="0"/>
              <w:rPr>
                <w:sz w:val="20"/>
                <w:szCs w:val="20"/>
                <w:color w:val="auto"/>
              </w:rPr>
            </w:pPr>
            <w:r>
              <w:rPr>
                <w:rFonts w:ascii="Arial" w:cs="Arial" w:eastAsia="Arial" w:hAnsi="Arial"/>
                <w:sz w:val="15"/>
                <w:szCs w:val="15"/>
                <w:color w:val="auto"/>
              </w:rPr>
              <w:t>Mortgage-related</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301</w:t>
            </w:r>
          </w:p>
        </w:tc>
        <w:tc>
          <w:tcPr>
            <w:tcW w:w="6020" w:type="dxa"/>
            <w:vAlign w:val="bottom"/>
          </w:tcPr>
          <w:p>
            <w:pPr>
              <w:ind w:left="100"/>
              <w:spacing w:after="0"/>
              <w:rPr>
                <w:sz w:val="20"/>
                <w:szCs w:val="20"/>
                <w:color w:val="auto"/>
              </w:rPr>
            </w:pPr>
            <w:r>
              <w:rPr>
                <w:rFonts w:ascii="Arial" w:cs="Arial" w:eastAsia="Arial" w:hAnsi="Arial"/>
                <w:sz w:val="15"/>
                <w:szCs w:val="15"/>
                <w:color w:val="auto"/>
              </w:rPr>
              <w:t>Primarily Consensus and Single Vendor</w:t>
            </w:r>
          </w:p>
        </w:tc>
      </w:tr>
      <w:tr>
        <w:trPr>
          <w:trHeight w:val="245"/>
        </w:trPr>
        <w:tc>
          <w:tcPr>
            <w:tcW w:w="3560" w:type="dxa"/>
            <w:vAlign w:val="bottom"/>
          </w:tcPr>
          <w:p>
            <w:pPr>
              <w:spacing w:after="0"/>
              <w:rPr>
                <w:sz w:val="20"/>
                <w:szCs w:val="20"/>
                <w:color w:val="auto"/>
              </w:rPr>
            </w:pPr>
            <w:r>
              <w:rPr>
                <w:rFonts w:ascii="Arial" w:cs="Arial" w:eastAsia="Arial" w:hAnsi="Arial"/>
                <w:sz w:val="15"/>
                <w:szCs w:val="15"/>
                <w:color w:val="auto"/>
              </w:rPr>
              <w:t>Net derivatives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35</w:t>
            </w:r>
          </w:p>
        </w:tc>
        <w:tc>
          <w:tcPr>
            <w:tcW w:w="6020" w:type="dxa"/>
            <w:vAlign w:val="bottom"/>
          </w:tcPr>
          <w:p>
            <w:pPr>
              <w:ind w:left="100"/>
              <w:spacing w:after="0"/>
              <w:rPr>
                <w:sz w:val="20"/>
                <w:szCs w:val="20"/>
                <w:color w:val="auto"/>
              </w:rPr>
            </w:pPr>
            <w:r>
              <w:rPr>
                <w:rFonts w:ascii="Arial" w:cs="Arial" w:eastAsia="Arial" w:hAnsi="Arial"/>
                <w:sz w:val="15"/>
                <w:szCs w:val="15"/>
                <w:color w:val="auto"/>
              </w:rPr>
              <w:t>Dealer Mark and Discounted Cash Flow</w:t>
            </w:r>
          </w:p>
        </w:tc>
      </w:tr>
    </w:tbl>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spacing w:after="0"/>
              <w:rPr>
                <w:sz w:val="18"/>
                <w:szCs w:val="18"/>
                <w:color w:val="auto"/>
              </w:rPr>
            </w:pPr>
          </w:p>
        </w:tc>
        <w:tc>
          <w:tcPr>
            <w:tcW w:w="6020" w:type="dxa"/>
            <w:vAlign w:val="bottom"/>
            <w:tcBorders>
              <w:bottom w:val="single" w:sz="8" w:color="2C6937"/>
            </w:tcBorders>
          </w:tcPr>
          <w:p>
            <w:pPr>
              <w:jc w:val="center"/>
              <w:ind w:right="1323"/>
              <w:spacing w:after="0"/>
              <w:rPr>
                <w:sz w:val="20"/>
                <w:szCs w:val="20"/>
                <w:color w:val="auto"/>
              </w:rPr>
            </w:pPr>
            <w:r>
              <w:rPr>
                <w:rFonts w:ascii="Arial" w:cs="Arial" w:eastAsia="Arial" w:hAnsi="Arial"/>
                <w:sz w:val="15"/>
                <w:szCs w:val="15"/>
                <w:b w:val="1"/>
                <w:bCs w:val="1"/>
                <w:color w:val="auto"/>
              </w:rPr>
              <w:t>Fair Value Measurements as of December 31, 2025</w:t>
            </w:r>
          </w:p>
        </w:tc>
      </w:tr>
      <w:tr>
        <w:trPr>
          <w:trHeight w:val="238"/>
        </w:trPr>
        <w:tc>
          <w:tcPr>
            <w:tcW w:w="35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ind w:right="263"/>
              <w:spacing w:after="0"/>
              <w:rPr>
                <w:sz w:val="20"/>
                <w:szCs w:val="20"/>
                <w:color w:val="auto"/>
              </w:rPr>
            </w:pPr>
            <w:r>
              <w:rPr>
                <w:rFonts w:ascii="Arial" w:cs="Arial" w:eastAsia="Arial" w:hAnsi="Arial"/>
                <w:sz w:val="15"/>
                <w:szCs w:val="15"/>
                <w:b w:val="1"/>
                <w:bCs w:val="1"/>
                <w:color w:val="auto"/>
              </w:rPr>
              <w:t>Fair Value</w:t>
            </w:r>
          </w:p>
        </w:tc>
        <w:tc>
          <w:tcPr>
            <w:tcW w:w="6020" w:type="dxa"/>
            <w:vAlign w:val="bottom"/>
            <w:tcBorders>
              <w:bottom w:val="single" w:sz="8" w:color="2C6937"/>
            </w:tcBorders>
          </w:tcPr>
          <w:p>
            <w:pPr>
              <w:ind w:left="1840"/>
              <w:spacing w:after="0"/>
              <w:rPr>
                <w:sz w:val="20"/>
                <w:szCs w:val="20"/>
                <w:color w:val="auto"/>
              </w:rPr>
            </w:pPr>
            <w:r>
              <w:rPr>
                <w:rFonts w:ascii="Arial" w:cs="Arial" w:eastAsia="Arial" w:hAnsi="Arial"/>
                <w:sz w:val="15"/>
                <w:szCs w:val="15"/>
                <w:b w:val="1"/>
                <w:bCs w:val="1"/>
                <w:color w:val="auto"/>
              </w:rPr>
              <w:t>Significant Valuation Techniques</w:t>
            </w:r>
          </w:p>
        </w:tc>
      </w:tr>
      <w:tr>
        <w:trPr>
          <w:trHeight w:val="222"/>
        </w:trPr>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20" w:type="dxa"/>
            <w:vAlign w:val="bottom"/>
          </w:tcPr>
          <w:p>
            <w:pPr>
              <w:jc w:val="center"/>
              <w:ind w:right="1303"/>
              <w:spacing w:after="0"/>
              <w:rPr>
                <w:sz w:val="20"/>
                <w:szCs w:val="20"/>
                <w:color w:val="auto"/>
              </w:rPr>
            </w:pPr>
            <w:r>
              <w:rPr>
                <w:rFonts w:ascii="Arial" w:cs="Arial" w:eastAsia="Arial" w:hAnsi="Arial"/>
                <w:sz w:val="15"/>
                <w:szCs w:val="15"/>
                <w:b w:val="1"/>
                <w:bCs w:val="1"/>
                <w:color w:val="auto"/>
              </w:rPr>
              <w:t>(Dollars in millions)</w:t>
            </w:r>
          </w:p>
        </w:tc>
      </w:tr>
      <w:tr>
        <w:trPr>
          <w:trHeight w:val="232"/>
        </w:trPr>
        <w:tc>
          <w:tcPr>
            <w:tcW w:w="3560" w:type="dxa"/>
            <w:vAlign w:val="bottom"/>
          </w:tcPr>
          <w:p>
            <w:pPr>
              <w:spacing w:after="0"/>
              <w:rPr>
                <w:sz w:val="20"/>
                <w:szCs w:val="20"/>
                <w:color w:val="auto"/>
              </w:rPr>
            </w:pPr>
            <w:r>
              <w:rPr>
                <w:rFonts w:ascii="Arial" w:cs="Arial" w:eastAsia="Arial" w:hAnsi="Arial"/>
                <w:sz w:val="15"/>
                <w:szCs w:val="15"/>
                <w:b w:val="1"/>
                <w:bCs w:val="1"/>
                <w:color w:val="auto"/>
              </w:rPr>
              <w:t>Recurring fair value measurements: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20" w:type="dxa"/>
            <w:vAlign w:val="bottom"/>
          </w:tcPr>
          <w:p>
            <w:pPr>
              <w:spacing w:after="0"/>
              <w:rPr>
                <w:sz w:val="20"/>
                <w:szCs w:val="20"/>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5"/>
                <w:szCs w:val="15"/>
                <w:color w:val="auto"/>
              </w:rPr>
              <w:t>Trading securities: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20" w:type="dxa"/>
            <w:vAlign w:val="bottom"/>
          </w:tcPr>
          <w:p>
            <w:pPr>
              <w:spacing w:after="0"/>
              <w:rPr>
                <w:sz w:val="20"/>
                <w:szCs w:val="20"/>
                <w:color w:val="auto"/>
              </w:rPr>
            </w:pPr>
          </w:p>
        </w:tc>
      </w:tr>
      <w:tr>
        <w:trPr>
          <w:trHeight w:val="258"/>
        </w:trPr>
        <w:tc>
          <w:tcPr>
            <w:tcW w:w="3560" w:type="dxa"/>
            <w:vAlign w:val="bottom"/>
          </w:tcPr>
          <w:p>
            <w:pPr>
              <w:ind w:left="100"/>
              <w:spacing w:after="0"/>
              <w:rPr>
                <w:sz w:val="20"/>
                <w:szCs w:val="20"/>
                <w:color w:val="auto"/>
              </w:rPr>
            </w:pPr>
            <w:r>
              <w:rPr>
                <w:rFonts w:ascii="Arial" w:cs="Arial" w:eastAsia="Arial" w:hAnsi="Arial"/>
                <w:sz w:val="15"/>
                <w:szCs w:val="15"/>
                <w:color w:val="auto"/>
              </w:rPr>
              <w:t>Mortgage-related</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27</w:t>
            </w:r>
          </w:p>
        </w:tc>
        <w:tc>
          <w:tcPr>
            <w:tcW w:w="6020" w:type="dxa"/>
            <w:vAlign w:val="bottom"/>
          </w:tcPr>
          <w:p>
            <w:pPr>
              <w:ind w:left="100"/>
              <w:spacing w:after="0"/>
              <w:rPr>
                <w:sz w:val="20"/>
                <w:szCs w:val="20"/>
                <w:color w:val="auto"/>
              </w:rPr>
            </w:pPr>
            <w:r>
              <w:rPr>
                <w:rFonts w:ascii="Arial" w:cs="Arial" w:eastAsia="Arial" w:hAnsi="Arial"/>
                <w:sz w:val="15"/>
                <w:szCs w:val="15"/>
                <w:color w:val="auto"/>
              </w:rPr>
              <w:t>Single Vendor</w:t>
            </w:r>
          </w:p>
        </w:tc>
      </w:tr>
      <w:tr>
        <w:trPr>
          <w:trHeight w:val="232"/>
        </w:trPr>
        <w:tc>
          <w:tcPr>
            <w:tcW w:w="3560" w:type="dxa"/>
            <w:vAlign w:val="bottom"/>
          </w:tcPr>
          <w:p>
            <w:pPr>
              <w:spacing w:after="0"/>
              <w:rPr>
                <w:sz w:val="20"/>
                <w:szCs w:val="20"/>
                <w:color w:val="auto"/>
              </w:rPr>
            </w:pPr>
            <w:r>
              <w:rPr>
                <w:rFonts w:ascii="Arial" w:cs="Arial" w:eastAsia="Arial" w:hAnsi="Arial"/>
                <w:sz w:val="15"/>
                <w:szCs w:val="15"/>
                <w:color w:val="auto"/>
              </w:rPr>
              <w:t>Available-for-sale securities: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20" w:type="dxa"/>
            <w:vAlign w:val="bottom"/>
          </w:tcPr>
          <w:p>
            <w:pPr>
              <w:spacing w:after="0"/>
              <w:rPr>
                <w:sz w:val="20"/>
                <w:szCs w:val="20"/>
                <w:color w:val="auto"/>
              </w:rPr>
            </w:pPr>
          </w:p>
        </w:tc>
      </w:tr>
      <w:tr>
        <w:trPr>
          <w:trHeight w:val="258"/>
        </w:trPr>
        <w:tc>
          <w:tcPr>
            <w:tcW w:w="3560" w:type="dxa"/>
            <w:vAlign w:val="bottom"/>
          </w:tcPr>
          <w:p>
            <w:pPr>
              <w:ind w:left="100"/>
              <w:spacing w:after="0"/>
              <w:rPr>
                <w:sz w:val="20"/>
                <w:szCs w:val="20"/>
                <w:color w:val="auto"/>
              </w:rPr>
            </w:pPr>
            <w:r>
              <w:rPr>
                <w:rFonts w:ascii="Arial" w:cs="Arial" w:eastAsia="Arial" w:hAnsi="Arial"/>
                <w:sz w:val="15"/>
                <w:szCs w:val="15"/>
                <w:color w:val="auto"/>
              </w:rPr>
              <w:t>Mortgage-related</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341</w:t>
            </w:r>
          </w:p>
        </w:tc>
        <w:tc>
          <w:tcPr>
            <w:tcW w:w="6020" w:type="dxa"/>
            <w:vAlign w:val="bottom"/>
          </w:tcPr>
          <w:p>
            <w:pPr>
              <w:ind w:left="100"/>
              <w:spacing w:after="0"/>
              <w:rPr>
                <w:sz w:val="20"/>
                <w:szCs w:val="20"/>
                <w:color w:val="auto"/>
              </w:rPr>
            </w:pPr>
            <w:r>
              <w:rPr>
                <w:rFonts w:ascii="Arial" w:cs="Arial" w:eastAsia="Arial" w:hAnsi="Arial"/>
                <w:sz w:val="15"/>
                <w:szCs w:val="15"/>
                <w:color w:val="auto"/>
              </w:rPr>
              <w:t>Primarily Consensus, Single Vendor, and Discounted Cash Flow</w:t>
            </w:r>
          </w:p>
        </w:tc>
      </w:tr>
      <w:tr>
        <w:trPr>
          <w:trHeight w:val="245"/>
        </w:trPr>
        <w:tc>
          <w:tcPr>
            <w:tcW w:w="3560" w:type="dxa"/>
            <w:vAlign w:val="bottom"/>
          </w:tcPr>
          <w:p>
            <w:pPr>
              <w:spacing w:after="0"/>
              <w:rPr>
                <w:sz w:val="20"/>
                <w:szCs w:val="20"/>
                <w:color w:val="auto"/>
              </w:rPr>
            </w:pPr>
            <w:r>
              <w:rPr>
                <w:rFonts w:ascii="Arial" w:cs="Arial" w:eastAsia="Arial" w:hAnsi="Arial"/>
                <w:sz w:val="15"/>
                <w:szCs w:val="15"/>
                <w:color w:val="auto"/>
              </w:rPr>
              <w:t>Net derivatives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65</w:t>
            </w:r>
          </w:p>
        </w:tc>
        <w:tc>
          <w:tcPr>
            <w:tcW w:w="6020" w:type="dxa"/>
            <w:vAlign w:val="bottom"/>
          </w:tcPr>
          <w:p>
            <w:pPr>
              <w:ind w:left="100"/>
              <w:spacing w:after="0"/>
              <w:rPr>
                <w:sz w:val="20"/>
                <w:szCs w:val="20"/>
                <w:color w:val="auto"/>
              </w:rPr>
            </w:pPr>
            <w:r>
              <w:rPr>
                <w:rFonts w:ascii="Arial" w:cs="Arial" w:eastAsia="Arial" w:hAnsi="Arial"/>
                <w:sz w:val="15"/>
                <w:szCs w:val="15"/>
                <w:color w:val="auto"/>
              </w:rPr>
              <w:t>Dealer Mark and Discounted Cash Flow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434975</wp:posOffset>
            </wp:positionV>
            <wp:extent cx="680593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100" w:name="page101"/>
    <w:bookmarkEnd w:id="100"/>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Nonrecurring Changes in Fair Value</w:t>
      </w:r>
    </w:p>
    <w:p>
      <w:pPr>
        <w:spacing w:after="0" w:line="63"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In our condensed consolidated balance sheets, certain assets and liabilities are measured at fair value on a nonrecurring basis; that is, the instruments are not measured at fair value on an ongoing basis but are subject to fair value adjustments in certain circumstances (for example, when we evaluate loans for impairment).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valuation techniques for our Level 3 assets measured at fair value on a nonrecurring basis.</w:t>
      </w:r>
    </w:p>
    <w:p>
      <w:pPr>
        <w:sectPr>
          <w:pgSz w:w="11900" w:h="16838" w:orient="portrait"/>
          <w:cols w:equalWidth="0" w:num="1">
            <w:col w:w="11240"/>
          </w:cols>
          <w:pgMar w:left="320" w:top="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Nonrecurring fair value measurements: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Mortgage loans:</w:t>
      </w:r>
      <w:r>
        <w:rPr>
          <w:rFonts w:ascii="Arial" w:cs="Arial" w:eastAsia="Arial" w:hAnsi="Arial"/>
          <w:sz w:val="20"/>
          <w:szCs w:val="20"/>
          <w:color w:val="auto"/>
          <w:vertAlign w:val="superscript"/>
        </w:rPr>
        <w:t>(1)</w:t>
      </w:r>
    </w:p>
    <w:p>
      <w:pPr>
        <w:spacing w:after="0" w:line="16" w:lineRule="exact"/>
        <w:rPr>
          <w:sz w:val="20"/>
          <w:szCs w:val="20"/>
          <w:color w:val="auto"/>
        </w:rPr>
      </w:pPr>
    </w:p>
    <w:p>
      <w:pPr>
        <w:ind w:left="100" w:right="840"/>
        <w:spacing w:after="0" w:line="365" w:lineRule="auto"/>
        <w:rPr>
          <w:sz w:val="20"/>
          <w:szCs w:val="20"/>
          <w:color w:val="auto"/>
        </w:rPr>
      </w:pPr>
      <w:r>
        <w:rPr>
          <w:rFonts w:ascii="Arial" w:cs="Arial" w:eastAsia="Arial" w:hAnsi="Arial"/>
          <w:sz w:val="15"/>
          <w:szCs w:val="15"/>
          <w:color w:val="auto"/>
        </w:rPr>
        <w:t>Mortgage loans held for sale, at lower of cost or fair value Single-family mortgage loans held for investment, at amortized cost</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Multifamily mortgage loans held for investment, at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446405</wp:posOffset>
            </wp:positionV>
            <wp:extent cx="390461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904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multifamily mortgage loans held for investment, at amortized cost</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Acquired property, net:</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Single-family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266700</wp:posOffset>
            </wp:positionV>
            <wp:extent cx="390461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90461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single-family</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90461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904615" cy="82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nonrecurring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390461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9046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390461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904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7"/>
              </w:rPr>
              <w:t>Fair Value Measurements</w:t>
            </w:r>
          </w:p>
        </w:tc>
      </w:tr>
      <w:tr>
        <w:trPr>
          <w:trHeight w:val="196"/>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7"/>
              </w:rPr>
              <w:t>as of</w:t>
            </w:r>
          </w:p>
        </w:tc>
      </w:tr>
      <w:tr>
        <w:trPr>
          <w:trHeight w:val="205"/>
        </w:trPr>
        <w:tc>
          <w:tcPr>
            <w:tcW w:w="2100" w:type="dxa"/>
            <w:vAlign w:val="bottom"/>
            <w:gridSpan w:val="2"/>
          </w:tcPr>
          <w:p>
            <w:pPr>
              <w:ind w:left="300"/>
              <w:spacing w:after="0"/>
              <w:rPr>
                <w:sz w:val="20"/>
                <w:szCs w:val="20"/>
                <w:color w:val="auto"/>
              </w:rPr>
            </w:pPr>
            <w:r>
              <w:rPr>
                <w:rFonts w:ascii="Arial" w:cs="Arial" w:eastAsia="Arial" w:hAnsi="Arial"/>
                <w:sz w:val="14"/>
                <w:szCs w:val="14"/>
                <w:b w:val="1"/>
                <w:bCs w:val="1"/>
                <w:color w:val="auto"/>
              </w:rPr>
              <w:t>Valuation Techniques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rPr>
              <w:t>September 30, 2026   December 31, 2025</w:t>
            </w:r>
          </w:p>
        </w:tc>
      </w:tr>
      <w:tr>
        <w:trPr>
          <w:trHeight w:val="198"/>
        </w:trPr>
        <w:tc>
          <w:tcPr>
            <w:tcW w:w="20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(Dollars in millions)</w:t>
            </w: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00" w:type="dxa"/>
            <w:vAlign w:val="bottom"/>
            <w:gridSpan w:val="2"/>
          </w:tcPr>
          <w:p>
            <w:pPr>
              <w:ind w:left="20"/>
              <w:spacing w:after="0"/>
              <w:rPr>
                <w:sz w:val="20"/>
                <w:szCs w:val="20"/>
                <w:color w:val="auto"/>
              </w:rPr>
            </w:pPr>
            <w:r>
              <w:rPr>
                <w:rFonts w:ascii="Arial" w:cs="Arial" w:eastAsia="Arial" w:hAnsi="Arial"/>
                <w:sz w:val="15"/>
                <w:szCs w:val="15"/>
                <w:color w:val="auto"/>
              </w:rPr>
              <w:t>Consensus</w:t>
            </w:r>
          </w:p>
        </w:tc>
        <w:tc>
          <w:tcPr>
            <w:tcW w:w="520" w:type="dxa"/>
            <w:vAlign w:val="bottom"/>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172</w:t>
            </w:r>
          </w:p>
        </w:tc>
        <w:tc>
          <w:tcPr>
            <w:tcW w:w="100" w:type="dxa"/>
            <w:vAlign w:val="bottom"/>
          </w:tcPr>
          <w:p>
            <w:pPr>
              <w:spacing w:after="0"/>
              <w:rPr>
                <w:sz w:val="18"/>
                <w:szCs w:val="18"/>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45"/>
        </w:trPr>
        <w:tc>
          <w:tcPr>
            <w:tcW w:w="2100" w:type="dxa"/>
            <w:vAlign w:val="bottom"/>
            <w:gridSpan w:val="2"/>
          </w:tcPr>
          <w:p>
            <w:pPr>
              <w:ind w:left="20"/>
              <w:spacing w:after="0"/>
              <w:rPr>
                <w:sz w:val="20"/>
                <w:szCs w:val="20"/>
                <w:color w:val="auto"/>
              </w:rPr>
            </w:pPr>
            <w:r>
              <w:rPr>
                <w:rFonts w:ascii="Arial" w:cs="Arial" w:eastAsia="Arial" w:hAnsi="Arial"/>
                <w:sz w:val="15"/>
                <w:szCs w:val="15"/>
                <w:color w:val="auto"/>
              </w:rPr>
              <w:t>Internal Model</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335"/>
        </w:trPr>
        <w:tc>
          <w:tcPr>
            <w:tcW w:w="210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159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19"/>
        </w:trPr>
        <w:tc>
          <w:tcPr>
            <w:tcW w:w="2100" w:type="dxa"/>
            <w:vAlign w:val="bottom"/>
            <w:gridSpan w:val="2"/>
          </w:tcPr>
          <w:p>
            <w:pPr>
              <w:ind w:left="20"/>
              <w:spacing w:after="0"/>
              <w:rPr>
                <w:sz w:val="20"/>
                <w:szCs w:val="20"/>
                <w:color w:val="auto"/>
              </w:rPr>
            </w:pPr>
            <w:r>
              <w:rPr>
                <w:rFonts w:ascii="Arial" w:cs="Arial" w:eastAsia="Arial" w:hAnsi="Arial"/>
                <w:sz w:val="15"/>
                <w:szCs w:val="15"/>
                <w:color w:val="auto"/>
              </w:rPr>
              <w:t>Asset Manager Estimate</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9"/>
        </w:trPr>
        <w:tc>
          <w:tcPr>
            <w:tcW w:w="2100" w:type="dxa"/>
            <w:vAlign w:val="bottom"/>
            <w:gridSpan w:val="2"/>
          </w:tcPr>
          <w:p>
            <w:pPr>
              <w:ind w:left="20"/>
              <w:spacing w:after="0"/>
              <w:rPr>
                <w:sz w:val="20"/>
                <w:szCs w:val="20"/>
                <w:color w:val="auto"/>
              </w:rPr>
            </w:pPr>
            <w:r>
              <w:rPr>
                <w:rFonts w:ascii="Arial" w:cs="Arial" w:eastAsia="Arial" w:hAnsi="Arial"/>
                <w:sz w:val="15"/>
                <w:szCs w:val="15"/>
                <w:color w:val="auto"/>
              </w:rPr>
              <w:t>Broker Price Opinion</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1,631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1,586</w:t>
            </w: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5"/>
                <w:szCs w:val="15"/>
                <w:color w:val="auto"/>
              </w:rPr>
              <w:t>Internal Model</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352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44"/>
        </w:trPr>
        <w:tc>
          <w:tcPr>
            <w:tcW w:w="2000" w:type="dxa"/>
            <w:vAlign w:val="bottom"/>
            <w:tcBorders>
              <w:top w:val="single" w:sz="8" w:color="2C6937"/>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top w:val="single" w:sz="8" w:color="2C6937"/>
            </w:tcBorders>
          </w:tcPr>
          <w:p>
            <w:pPr>
              <w:spacing w:after="0"/>
              <w:rPr>
                <w:sz w:val="21"/>
                <w:szCs w:val="21"/>
                <w:color w:val="auto"/>
              </w:rPr>
            </w:pPr>
          </w:p>
        </w:tc>
        <w:tc>
          <w:tcPr>
            <w:tcW w:w="8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2,155</w:t>
            </w:r>
          </w:p>
        </w:tc>
        <w:tc>
          <w:tcPr>
            <w:tcW w:w="100" w:type="dxa"/>
            <w:vAlign w:val="bottom"/>
          </w:tcPr>
          <w:p>
            <w:pPr>
              <w:spacing w:after="0"/>
              <w:rPr>
                <w:sz w:val="21"/>
                <w:szCs w:val="21"/>
                <w:color w:val="auto"/>
              </w:rPr>
            </w:pPr>
          </w:p>
        </w:tc>
        <w:tc>
          <w:tcPr>
            <w:tcW w:w="520" w:type="dxa"/>
            <w:vAlign w:val="bottom"/>
            <w:tcBorders>
              <w:top w:val="single" w:sz="8" w:color="2C6937"/>
            </w:tcBorders>
          </w:tcPr>
          <w:p>
            <w:pPr>
              <w:spacing w:after="0"/>
              <w:rPr>
                <w:sz w:val="21"/>
                <w:szCs w:val="21"/>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2,068</w:t>
            </w:r>
          </w:p>
        </w:tc>
        <w:tc>
          <w:tcPr>
            <w:tcW w:w="0" w:type="dxa"/>
            <w:vAlign w:val="bottom"/>
          </w:tcPr>
          <w:p>
            <w:pPr>
              <w:spacing w:after="0"/>
              <w:rPr>
                <w:sz w:val="1"/>
                <w:szCs w:val="1"/>
                <w:color w:val="auto"/>
              </w:rPr>
            </w:pPr>
          </w:p>
        </w:tc>
      </w:tr>
      <w:tr>
        <w:trPr>
          <w:trHeight w:val="381"/>
        </w:trPr>
        <w:tc>
          <w:tcPr>
            <w:tcW w:w="2100" w:type="dxa"/>
            <w:vAlign w:val="bottom"/>
            <w:gridSpan w:val="2"/>
          </w:tcPr>
          <w:p>
            <w:pPr>
              <w:ind w:left="20"/>
              <w:spacing w:after="0"/>
              <w:rPr>
                <w:sz w:val="20"/>
                <w:szCs w:val="20"/>
                <w:color w:val="auto"/>
              </w:rPr>
            </w:pPr>
            <w:r>
              <w:rPr>
                <w:rFonts w:ascii="Arial" w:cs="Arial" w:eastAsia="Arial" w:hAnsi="Arial"/>
                <w:sz w:val="15"/>
                <w:szCs w:val="15"/>
                <w:color w:val="auto"/>
              </w:rPr>
              <w:t>Accepted Offer and</w:t>
            </w:r>
          </w:p>
        </w:tc>
        <w:tc>
          <w:tcPr>
            <w:tcW w:w="52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217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12"/>
        </w:trPr>
        <w:tc>
          <w:tcPr>
            <w:tcW w:w="210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5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Internal Model and Walk</w:t>
            </w:r>
          </w:p>
        </w:tc>
        <w:tc>
          <w:tcPr>
            <w:tcW w:w="5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324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263</w:t>
            </w:r>
          </w:p>
        </w:tc>
        <w:tc>
          <w:tcPr>
            <w:tcW w:w="0" w:type="dxa"/>
            <w:vAlign w:val="bottom"/>
          </w:tcPr>
          <w:p>
            <w:pPr>
              <w:spacing w:after="0"/>
              <w:rPr>
                <w:sz w:val="1"/>
                <w:szCs w:val="1"/>
                <w:color w:val="auto"/>
              </w:rPr>
            </w:pPr>
          </w:p>
        </w:tc>
      </w:tr>
      <w:tr>
        <w:trPr>
          <w:trHeight w:val="206"/>
        </w:trPr>
        <w:tc>
          <w:tcPr>
            <w:tcW w:w="2100" w:type="dxa"/>
            <w:vAlign w:val="bottom"/>
            <w:gridSpan w:val="2"/>
          </w:tcPr>
          <w:p>
            <w:pPr>
              <w:ind w:left="20"/>
              <w:spacing w:after="0"/>
              <w:rPr>
                <w:sz w:val="20"/>
                <w:szCs w:val="20"/>
                <w:color w:val="auto"/>
              </w:rPr>
            </w:pPr>
            <w:r>
              <w:rPr>
                <w:rFonts w:ascii="Arial" w:cs="Arial" w:eastAsia="Arial" w:hAnsi="Arial"/>
                <w:sz w:val="15"/>
                <w:szCs w:val="15"/>
                <w:color w:val="auto"/>
              </w:rPr>
              <w:t>Forward</w:t>
            </w:r>
          </w:p>
        </w:tc>
        <w:tc>
          <w:tcPr>
            <w:tcW w:w="5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0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2C6937"/>
            </w:tcBorders>
          </w:tcPr>
          <w:p>
            <w:pPr>
              <w:spacing w:after="0"/>
              <w:rPr>
                <w:sz w:val="18"/>
                <w:szCs w:val="18"/>
                <w:color w:val="auto"/>
              </w:rPr>
            </w:pPr>
          </w:p>
        </w:tc>
        <w:tc>
          <w:tcPr>
            <w:tcW w:w="8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541</w:t>
            </w:r>
          </w:p>
        </w:tc>
        <w:tc>
          <w:tcPr>
            <w:tcW w:w="100" w:type="dxa"/>
            <w:vAlign w:val="bottom"/>
          </w:tcPr>
          <w:p>
            <w:pPr>
              <w:spacing w:after="0"/>
              <w:rPr>
                <w:sz w:val="18"/>
                <w:szCs w:val="18"/>
                <w:color w:val="auto"/>
              </w:rPr>
            </w:pPr>
          </w:p>
        </w:tc>
        <w:tc>
          <w:tcPr>
            <w:tcW w:w="520" w:type="dxa"/>
            <w:vAlign w:val="bottom"/>
            <w:tcBorders>
              <w:top w:val="single" w:sz="8" w:color="2C6937"/>
            </w:tcBorders>
          </w:tcPr>
          <w:p>
            <w:pPr>
              <w:spacing w:after="0"/>
              <w:rPr>
                <w:sz w:val="18"/>
                <w:szCs w:val="18"/>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188"/>
        </w:trPr>
        <w:tc>
          <w:tcPr>
            <w:tcW w:w="2100" w:type="dxa"/>
            <w:vAlign w:val="bottom"/>
            <w:gridSpan w:val="2"/>
          </w:tcPr>
          <w:p>
            <w:pPr>
              <w:ind w:left="20"/>
              <w:spacing w:after="0"/>
              <w:rPr>
                <w:sz w:val="20"/>
                <w:szCs w:val="20"/>
                <w:color w:val="auto"/>
              </w:rPr>
            </w:pPr>
            <w:r>
              <w:rPr>
                <w:rFonts w:ascii="Arial" w:cs="Arial" w:eastAsia="Arial" w:hAnsi="Arial"/>
                <w:sz w:val="15"/>
                <w:szCs w:val="15"/>
                <w:color w:val="auto"/>
              </w:rPr>
              <w:t>Broker Price Opinion and</w:t>
            </w:r>
          </w:p>
        </w:tc>
        <w:tc>
          <w:tcPr>
            <w:tcW w:w="5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298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06"/>
        </w:trPr>
        <w:tc>
          <w:tcPr>
            <w:tcW w:w="210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5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3,375</w:t>
            </w:r>
          </w:p>
        </w:tc>
        <w:tc>
          <w:tcPr>
            <w:tcW w:w="100" w:type="dxa"/>
            <w:vAlign w:val="bottom"/>
          </w:tcPr>
          <w:p>
            <w:pPr>
              <w:spacing w:after="0"/>
              <w:rPr>
                <w:sz w:val="18"/>
                <w:szCs w:val="18"/>
                <w:color w:val="auto"/>
              </w:rPr>
            </w:pPr>
          </w:p>
        </w:tc>
        <w:tc>
          <w:tcPr>
            <w:tcW w:w="52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2,902</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5540" w:space="720"/>
            <w:col w:w="4980"/>
          </w:cols>
          <w:pgMar w:left="320" w:top="261" w:right="339" w:bottom="1440" w:gutter="0" w:footer="0" w:header="0"/>
          <w:type w:val="continuous"/>
        </w:sectPr>
      </w:pPr>
    </w:p>
    <w:p>
      <w:pPr>
        <w:ind w:left="240" w:right="140" w:hanging="237"/>
        <w:spacing w:after="0" w:line="228" w:lineRule="auto"/>
        <w:tabs>
          <w:tab w:leader="none" w:pos="233"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When we measure impairment, including recoveries, based on the fair value of the loan or the underlying collateral and impairment is recorded on any component of the mortgage loan, including accrued interest receivable and amounts due from the borrower for advances of taxes and insurance, we present the entire fair value measurement amount with the corresponding mortgage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356870</wp:posOffset>
            </wp:positionV>
            <wp:extent cx="680593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of Financial Instruments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displays the carrying value and estimated fair value of our financial instruments. The fair value of financial instruments we disclose includes commitments to purchase multifamily and single-family mortgage loans that we do not record in our condensed consolidated balance sheets. The fair values of these commitments are included as “Mortgage loans held for investment, net of allowance for loan losses.” The disclosure excludes all non-financial instruments; therefore, the fair value of our financial assets and liabilities does not represent the underlying fair value of our total consolidated assets and liabilities.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5"/>
          </w:tcPr>
          <w:p>
            <w:pPr>
              <w:jc w:val="center"/>
              <w:ind w:right="180"/>
              <w:spacing w:after="0"/>
              <w:rPr>
                <w:sz w:val="20"/>
                <w:szCs w:val="20"/>
                <w:color w:val="auto"/>
              </w:rPr>
            </w:pPr>
            <w:r>
              <w:rPr>
                <w:rFonts w:ascii="Arial" w:cs="Arial" w:eastAsia="Arial" w:hAnsi="Arial"/>
                <w:sz w:val="14"/>
                <w:szCs w:val="14"/>
                <w:b w:val="1"/>
                <w:bCs w:val="1"/>
                <w:color w:val="auto"/>
                <w:w w:val="97"/>
              </w:rPr>
              <w:t>As of September 30, 2026</w:t>
            </w: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Quoted Prices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 Active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Markets for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Unobservable</w:t>
            </w:r>
          </w:p>
        </w:tc>
        <w:tc>
          <w:tcPr>
            <w:tcW w:w="14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80" w:type="dxa"/>
            <w:vAlign w:val="bottom"/>
          </w:tcPr>
          <w:p>
            <w:pPr>
              <w:spacing w:after="0"/>
              <w:rPr>
                <w:sz w:val="14"/>
                <w:szCs w:val="14"/>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Identical Assets</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Observable</w:t>
            </w:r>
          </w:p>
        </w:tc>
        <w:tc>
          <w:tcPr>
            <w:tcW w:w="140" w:type="dxa"/>
            <w:vAlign w:val="bottom"/>
          </w:tcPr>
          <w:p>
            <w:pPr>
              <w:spacing w:after="0"/>
              <w:rPr>
                <w:sz w:val="13"/>
                <w:szCs w:val="13"/>
                <w:color w:val="auto"/>
              </w:rPr>
            </w:pPr>
          </w:p>
        </w:tc>
        <w:tc>
          <w:tcPr>
            <w:tcW w:w="12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Inputs (Level 2)</w:t>
            </w:r>
          </w:p>
        </w:tc>
        <w:tc>
          <w:tcPr>
            <w:tcW w:w="1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Cash, including restricted cash</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36,343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36,343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36,343</w:t>
            </w:r>
          </w:p>
        </w:tc>
        <w:tc>
          <w:tcPr>
            <w:tcW w:w="0" w:type="dxa"/>
            <w:vAlign w:val="bottom"/>
          </w:tcPr>
          <w:p>
            <w:pPr>
              <w:spacing w:after="0"/>
              <w:rPr>
                <w:sz w:val="1"/>
                <w:szCs w:val="1"/>
                <w:color w:val="auto"/>
              </w:rPr>
            </w:pPr>
          </w:p>
        </w:tc>
      </w:tr>
      <w:tr>
        <w:trPr>
          <w:trHeight w:val="232"/>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33,450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33,450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33,450</w:t>
            </w:r>
          </w:p>
        </w:tc>
        <w:tc>
          <w:tcPr>
            <w:tcW w:w="0" w:type="dxa"/>
            <w:vAlign w:val="bottom"/>
          </w:tcPr>
          <w:p>
            <w:pPr>
              <w:spacing w:after="0"/>
              <w:rPr>
                <w:sz w:val="1"/>
                <w:szCs w:val="1"/>
                <w:color w:val="auto"/>
              </w:rPr>
            </w:pPr>
          </w:p>
        </w:tc>
      </w:tr>
      <w:tr>
        <w:trPr>
          <w:trHeight w:val="232"/>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63,156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40,068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23,066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63,156</w:t>
            </w:r>
          </w:p>
        </w:tc>
        <w:tc>
          <w:tcPr>
            <w:tcW w:w="0" w:type="dxa"/>
            <w:vAlign w:val="bottom"/>
          </w:tcPr>
          <w:p>
            <w:pPr>
              <w:spacing w:after="0"/>
              <w:rPr>
                <w:sz w:val="1"/>
                <w:szCs w:val="1"/>
                <w:color w:val="auto"/>
              </w:rPr>
            </w:pPr>
          </w:p>
        </w:tc>
      </w:tr>
      <w:tr>
        <w:trPr>
          <w:trHeight w:val="232"/>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37,567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36,997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37,567</w:t>
            </w:r>
          </w:p>
        </w:tc>
        <w:tc>
          <w:tcPr>
            <w:tcW w:w="0" w:type="dxa"/>
            <w:vAlign w:val="bottom"/>
          </w:tcPr>
          <w:p>
            <w:pPr>
              <w:spacing w:after="0"/>
              <w:rPr>
                <w:sz w:val="1"/>
                <w:szCs w:val="1"/>
                <w:color w:val="auto"/>
              </w:rPr>
            </w:pPr>
          </w:p>
        </w:tc>
      </w:tr>
      <w:tr>
        <w:trPr>
          <w:trHeight w:val="232"/>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0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4,106,299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3,437,626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154,860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3,592,486</w:t>
            </w:r>
          </w:p>
        </w:tc>
        <w:tc>
          <w:tcPr>
            <w:tcW w:w="0" w:type="dxa"/>
            <w:vAlign w:val="bottom"/>
          </w:tcPr>
          <w:p>
            <w:pPr>
              <w:spacing w:after="0"/>
              <w:rPr>
                <w:sz w:val="1"/>
                <w:szCs w:val="1"/>
                <w:color w:val="auto"/>
              </w:rPr>
            </w:pPr>
          </w:p>
        </w:tc>
      </w:tr>
      <w:tr>
        <w:trPr>
          <w:trHeight w:val="232"/>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232"/>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9"/>
                <w:szCs w:val="19"/>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4,278,947</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113,408</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3,496,490</w:t>
            </w:r>
          </w:p>
        </w:tc>
        <w:tc>
          <w:tcPr>
            <w:tcW w:w="120" w:type="dxa"/>
            <w:vAlign w:val="bottom"/>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155,551</w:t>
            </w:r>
          </w:p>
        </w:tc>
        <w:tc>
          <w:tcPr>
            <w:tcW w:w="100" w:type="dxa"/>
            <w:vAlign w:val="bottom"/>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9"/>
                <w:szCs w:val="19"/>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3,765,243</w:t>
            </w:r>
          </w:p>
        </w:tc>
        <w:tc>
          <w:tcPr>
            <w:tcW w:w="0" w:type="dxa"/>
            <w:vAlign w:val="bottom"/>
          </w:tcPr>
          <w:p>
            <w:pPr>
              <w:spacing w:after="0"/>
              <w:rPr>
                <w:sz w:val="1"/>
                <w:szCs w:val="1"/>
                <w:color w:val="auto"/>
              </w:rPr>
            </w:pPr>
          </w:p>
        </w:tc>
      </w:tr>
      <w:tr>
        <w:trPr>
          <w:trHeight w:val="22"/>
        </w:trPr>
        <w:tc>
          <w:tcPr>
            <w:tcW w:w="34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31,120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31,117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31,117</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137,611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137,415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137,650</w:t>
            </w:r>
          </w:p>
        </w:tc>
        <w:tc>
          <w:tcPr>
            <w:tcW w:w="0" w:type="dxa"/>
            <w:vAlign w:val="bottom"/>
          </w:tcPr>
          <w:p>
            <w:pPr>
              <w:spacing w:after="0"/>
              <w:rPr>
                <w:sz w:val="1"/>
                <w:szCs w:val="1"/>
                <w:color w:val="auto"/>
              </w:rPr>
            </w:pPr>
          </w:p>
        </w:tc>
      </w:tr>
      <w:tr>
        <w:trPr>
          <w:trHeight w:val="232"/>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4,000,518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3,440,818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3,441,048</w:t>
            </w:r>
          </w:p>
        </w:tc>
        <w:tc>
          <w:tcPr>
            <w:tcW w:w="0" w:type="dxa"/>
            <w:vAlign w:val="bottom"/>
          </w:tcPr>
          <w:p>
            <w:pPr>
              <w:spacing w:after="0"/>
              <w:rPr>
                <w:sz w:val="1"/>
                <w:szCs w:val="1"/>
                <w:color w:val="auto"/>
              </w:rPr>
            </w:pPr>
          </w:p>
        </w:tc>
      </w:tr>
      <w:tr>
        <w:trPr>
          <w:trHeight w:val="20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25"/>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4,169,989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3,612,619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(2,641)</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3,610,506</w:t>
            </w:r>
          </w:p>
        </w:tc>
        <w:tc>
          <w:tcPr>
            <w:tcW w:w="0" w:type="dxa"/>
            <w:vAlign w:val="bottom"/>
          </w:tcPr>
          <w:p>
            <w:pPr>
              <w:spacing w:after="0"/>
              <w:rPr>
                <w:sz w:val="1"/>
                <w:szCs w:val="1"/>
                <w:color w:val="auto"/>
              </w:rPr>
            </w:pPr>
          </w:p>
        </w:tc>
      </w:tr>
      <w:tr>
        <w:trPr>
          <w:trHeight w:val="22"/>
        </w:trPr>
        <w:tc>
          <w:tcPr>
            <w:tcW w:w="3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466725</wp:posOffset>
            </wp:positionV>
            <wp:extent cx="680593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61" w:right="439" w:bottom="1440" w:gutter="0" w:footer="0" w:header="0"/>
        </w:sectPr>
      </w:pPr>
    </w:p>
    <w:bookmarkStart w:id="102" w:name="page103"/>
    <w:bookmarkEnd w:id="102"/>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660" w:type="dxa"/>
            <w:vAlign w:val="bottom"/>
            <w:tcBorders>
              <w:bottom w:val="single" w:sz="8" w:color="2C6937"/>
            </w:tcBorders>
            <w:gridSpan w:val="5"/>
          </w:tcPr>
          <w:p>
            <w:pPr>
              <w:jc w:val="center"/>
              <w:ind w:right="160"/>
              <w:spacing w:after="0"/>
              <w:rPr>
                <w:sz w:val="20"/>
                <w:szCs w:val="20"/>
                <w:color w:val="auto"/>
              </w:rPr>
            </w:pPr>
            <w:r>
              <w:rPr>
                <w:rFonts w:ascii="Arial" w:cs="Arial" w:eastAsia="Arial" w:hAnsi="Arial"/>
                <w:sz w:val="14"/>
                <w:szCs w:val="14"/>
                <w:b w:val="1"/>
                <w:bCs w:val="1"/>
                <w:color w:val="auto"/>
                <w:w w:val="98"/>
              </w:rPr>
              <w:t>As of December 31, 2025</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w:t>
            </w:r>
          </w:p>
        </w:tc>
        <w:tc>
          <w:tcPr>
            <w:tcW w:w="8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Significant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Unobservable</w:t>
            </w:r>
          </w:p>
        </w:tc>
        <w:tc>
          <w:tcPr>
            <w:tcW w:w="14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120" w:type="dxa"/>
            <w:vAlign w:val="bottom"/>
          </w:tcPr>
          <w:p>
            <w:pPr>
              <w:spacing w:after="0"/>
              <w:rPr>
                <w:sz w:val="14"/>
                <w:szCs w:val="14"/>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for Identical</w:t>
            </w:r>
          </w:p>
        </w:tc>
        <w:tc>
          <w:tcPr>
            <w:tcW w:w="8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Observable</w:t>
            </w:r>
          </w:p>
        </w:tc>
        <w:tc>
          <w:tcPr>
            <w:tcW w:w="160" w:type="dxa"/>
            <w:vAlign w:val="bottom"/>
          </w:tcPr>
          <w:p>
            <w:pPr>
              <w:spacing w:after="0"/>
              <w:rPr>
                <w:sz w:val="13"/>
                <w:szCs w:val="13"/>
                <w:color w:val="auto"/>
              </w:rPr>
            </w:pPr>
          </w:p>
        </w:tc>
        <w:tc>
          <w:tcPr>
            <w:tcW w:w="12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Carrying Value</w:t>
            </w:r>
          </w:p>
        </w:tc>
        <w:tc>
          <w:tcPr>
            <w:tcW w:w="1240" w:type="dxa"/>
            <w:vAlign w:val="bottom"/>
            <w:tcBorders>
              <w:bottom w:val="single" w:sz="8" w:color="2C6937"/>
            </w:tcBorders>
            <w:gridSpan w:val="3"/>
          </w:tcPr>
          <w:p>
            <w:pPr>
              <w:jc w:val="center"/>
              <w:ind w:right="120"/>
              <w:spacing w:after="0"/>
              <w:rPr>
                <w:sz w:val="20"/>
                <w:szCs w:val="20"/>
                <w:color w:val="auto"/>
              </w:rPr>
            </w:pPr>
            <w:r>
              <w:rPr>
                <w:rFonts w:ascii="Arial" w:cs="Arial" w:eastAsia="Arial" w:hAnsi="Arial"/>
                <w:sz w:val="14"/>
                <w:szCs w:val="14"/>
                <w:b w:val="1"/>
                <w:bCs w:val="1"/>
                <w:color w:val="auto"/>
                <w:w w:val="97"/>
              </w:rPr>
              <w:t>Assets (Level 1)</w:t>
            </w:r>
          </w:p>
        </w:tc>
        <w:tc>
          <w:tcPr>
            <w:tcW w:w="8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Inputs (Level 2)</w:t>
            </w:r>
          </w:p>
        </w:tc>
        <w:tc>
          <w:tcPr>
            <w:tcW w:w="16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5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Cash, including restricted cash</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42,583</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42,583</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42,583</w:t>
            </w:r>
          </w:p>
        </w:tc>
        <w:tc>
          <w:tcPr>
            <w:tcW w:w="0" w:type="dxa"/>
            <w:vAlign w:val="bottom"/>
          </w:tcPr>
          <w:p>
            <w:pPr>
              <w:spacing w:after="0"/>
              <w:rPr>
                <w:sz w:val="1"/>
                <w:szCs w:val="1"/>
                <w:color w:val="auto"/>
              </w:rPr>
            </w:pPr>
          </w:p>
        </w:tc>
      </w:tr>
      <w:tr>
        <w:trPr>
          <w:trHeight w:val="232"/>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45,650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45,650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45,650</w:t>
            </w:r>
          </w:p>
        </w:tc>
        <w:tc>
          <w:tcPr>
            <w:tcW w:w="0" w:type="dxa"/>
            <w:vAlign w:val="bottom"/>
          </w:tcPr>
          <w:p>
            <w:pPr>
              <w:spacing w:after="0"/>
              <w:rPr>
                <w:sz w:val="1"/>
                <w:szCs w:val="1"/>
                <w:color w:val="auto"/>
              </w:rPr>
            </w:pPr>
          </w:p>
        </w:tc>
      </w:tr>
      <w:tr>
        <w:trPr>
          <w:trHeight w:val="232"/>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69,514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55,205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14,282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69,514</w:t>
            </w:r>
          </w:p>
        </w:tc>
        <w:tc>
          <w:tcPr>
            <w:tcW w:w="0" w:type="dxa"/>
            <w:vAlign w:val="bottom"/>
          </w:tcPr>
          <w:p>
            <w:pPr>
              <w:spacing w:after="0"/>
              <w:rPr>
                <w:sz w:val="1"/>
                <w:szCs w:val="1"/>
                <w:color w:val="auto"/>
              </w:rPr>
            </w:pPr>
          </w:p>
        </w:tc>
      </w:tr>
      <w:tr>
        <w:trPr>
          <w:trHeight w:val="232"/>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32"/>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06"/>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4,119,104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3,656,465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137,864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3,794,329</w:t>
            </w:r>
          </w:p>
        </w:tc>
        <w:tc>
          <w:tcPr>
            <w:tcW w:w="0" w:type="dxa"/>
            <w:vAlign w:val="bottom"/>
          </w:tcPr>
          <w:p>
            <w:pPr>
              <w:spacing w:after="0"/>
              <w:rPr>
                <w:sz w:val="1"/>
                <w:szCs w:val="1"/>
                <w:color w:val="auto"/>
              </w:rPr>
            </w:pPr>
          </w:p>
        </w:tc>
      </w:tr>
      <w:tr>
        <w:trPr>
          <w:trHeight w:val="232"/>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3,595</w:t>
            </w:r>
          </w:p>
        </w:tc>
        <w:tc>
          <w:tcPr>
            <w:tcW w:w="0" w:type="dxa"/>
            <w:vAlign w:val="bottom"/>
          </w:tcPr>
          <w:p>
            <w:pPr>
              <w:spacing w:after="0"/>
              <w:rPr>
                <w:sz w:val="1"/>
                <w:szCs w:val="1"/>
                <w:color w:val="auto"/>
              </w:rPr>
            </w:pPr>
          </w:p>
        </w:tc>
      </w:tr>
      <w:tr>
        <w:trPr>
          <w:trHeight w:val="232"/>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10"/>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w:t>
            </w:r>
          </w:p>
        </w:tc>
        <w:tc>
          <w:tcPr>
            <w:tcW w:w="1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25"/>
        </w:trPr>
        <w:tc>
          <w:tcPr>
            <w:tcW w:w="348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4,281,297</w:t>
            </w:r>
          </w:p>
        </w:tc>
        <w:tc>
          <w:tcPr>
            <w:tcW w:w="100" w:type="dxa"/>
            <w:vAlign w:val="bottom"/>
          </w:tcPr>
          <w:p>
            <w:pPr>
              <w:spacing w:after="0"/>
              <w:rPr>
                <w:sz w:val="19"/>
                <w:szCs w:val="19"/>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97,788</w:t>
            </w:r>
          </w:p>
        </w:tc>
        <w:tc>
          <w:tcPr>
            <w:tcW w:w="100" w:type="dxa"/>
            <w:vAlign w:val="bottom"/>
          </w:tcPr>
          <w:p>
            <w:pPr>
              <w:spacing w:after="0"/>
              <w:rPr>
                <w:sz w:val="19"/>
                <w:szCs w:val="19"/>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3,720,353</w:t>
            </w:r>
          </w:p>
        </w:tc>
        <w:tc>
          <w:tcPr>
            <w:tcW w:w="100" w:type="dxa"/>
            <w:vAlign w:val="bottom"/>
          </w:tcPr>
          <w:p>
            <w:pPr>
              <w:spacing w:after="0"/>
              <w:rPr>
                <w:sz w:val="19"/>
                <w:szCs w:val="19"/>
                <w:color w:val="auto"/>
              </w:rPr>
            </w:pPr>
          </w:p>
        </w:tc>
        <w:tc>
          <w:tcPr>
            <w:tcW w:w="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138,677</w:t>
            </w:r>
          </w:p>
        </w:tc>
        <w:tc>
          <w:tcPr>
            <w:tcW w:w="100" w:type="dxa"/>
            <w:vAlign w:val="bottom"/>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3,956,619</w:t>
            </w:r>
          </w:p>
        </w:tc>
        <w:tc>
          <w:tcPr>
            <w:tcW w:w="0" w:type="dxa"/>
            <w:vAlign w:val="bottom"/>
          </w:tcPr>
          <w:p>
            <w:pPr>
              <w:spacing w:after="0"/>
              <w:rPr>
                <w:sz w:val="1"/>
                <w:szCs w:val="1"/>
                <w:color w:val="auto"/>
              </w:rPr>
            </w:pPr>
          </w:p>
        </w:tc>
      </w:tr>
      <w:tr>
        <w:trPr>
          <w:trHeight w:val="22"/>
        </w:trPr>
        <w:tc>
          <w:tcPr>
            <w:tcW w:w="34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24,538</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24,548</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24,548</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104,784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105,386</w:t>
            </w: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4,053,140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3,701,675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3,701,910</w:t>
            </w:r>
          </w:p>
        </w:tc>
        <w:tc>
          <w:tcPr>
            <w:tcW w:w="0" w:type="dxa"/>
            <w:vAlign w:val="bottom"/>
          </w:tcPr>
          <w:p>
            <w:pPr>
              <w:spacing w:after="0"/>
              <w:rPr>
                <w:sz w:val="1"/>
                <w:szCs w:val="1"/>
                <w:color w:val="auto"/>
              </w:rPr>
            </w:pPr>
          </w:p>
        </w:tc>
      </w:tr>
      <w:tr>
        <w:trPr>
          <w:trHeight w:val="206"/>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10"/>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4,180,677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3,832,394</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3,832,050</w:t>
            </w:r>
          </w:p>
        </w:tc>
        <w:tc>
          <w:tcPr>
            <w:tcW w:w="0" w:type="dxa"/>
            <w:vAlign w:val="bottom"/>
          </w:tcPr>
          <w:p>
            <w:pPr>
              <w:spacing w:after="0"/>
              <w:rPr>
                <w:sz w:val="1"/>
                <w:szCs w:val="1"/>
                <w:color w:val="auto"/>
              </w:rPr>
            </w:pPr>
          </w:p>
        </w:tc>
      </w:tr>
      <w:tr>
        <w:trPr>
          <w:trHeight w:val="22"/>
        </w:trPr>
        <w:tc>
          <w:tcPr>
            <w:tcW w:w="3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For a detailed description and classification of our financial instruments, see “Note 16, Fair Value” in our 2025 Form 10-K.</w:t>
      </w:r>
    </w:p>
    <w:p>
      <w:pPr>
        <w:spacing w:after="0" w:line="14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Option</w:t>
      </w:r>
    </w:p>
    <w:p>
      <w:pPr>
        <w:spacing w:after="0" w:line="6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generally elect the fair value option on a financial instrument when the accounting guidance would otherwise require us to separately account for a derivative that is embedded in the instrument at fair value. Under the fair value option, we carry this type of instrument, in its entirety, at fair value instead of separately accounting for the derivative.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from the mortgage loans is recorded in “Interest income: Mortgage loans” and interest expense for the debt instruments is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Long-term debt” in our condensed consolidated statements of operations and comprehensive income.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fair value and UPB of the financial instruments for which we have elected the fair value option.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7"/>
              </w:rPr>
              <w:t>As of</w:t>
            </w: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6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gridSpan w:val="2"/>
          </w:tcPr>
          <w:p>
            <w:pPr>
              <w:ind w:left="240"/>
              <w:spacing w:after="0"/>
              <w:rPr>
                <w:sz w:val="20"/>
                <w:szCs w:val="20"/>
                <w:color w:val="auto"/>
              </w:rPr>
            </w:pPr>
            <w:r>
              <w:rPr>
                <w:rFonts w:ascii="Arial" w:cs="Arial" w:eastAsia="Arial" w:hAnsi="Arial"/>
                <w:sz w:val="14"/>
                <w:szCs w:val="14"/>
                <w:b w:val="1"/>
                <w:bCs w:val="1"/>
                <w:color w:val="auto"/>
                <w:w w:val="99"/>
              </w:rPr>
              <w:t>September 30, 2026</w:t>
            </w:r>
          </w:p>
        </w:tc>
        <w:tc>
          <w:tcPr>
            <w:tcW w:w="50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50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60" w:type="dxa"/>
            <w:vAlign w:val="bottom"/>
            <w:gridSpan w:val="2"/>
          </w:tcPr>
          <w:p>
            <w:pPr>
              <w:jc w:val="right"/>
              <w:ind w:right="106"/>
              <w:spacing w:after="0" w:line="152" w:lineRule="exact"/>
              <w:rPr>
                <w:sz w:val="20"/>
                <w:szCs w:val="20"/>
                <w:color w:val="auto"/>
              </w:rPr>
            </w:pPr>
            <w:r>
              <w:rPr>
                <w:rFonts w:ascii="Arial" w:cs="Arial" w:eastAsia="Arial" w:hAnsi="Arial"/>
                <w:sz w:val="14"/>
                <w:szCs w:val="14"/>
                <w:b w:val="1"/>
                <w:bCs w:val="1"/>
                <w:color w:val="auto"/>
              </w:rPr>
              <w:t>Long-Term Debt of</w:t>
            </w:r>
          </w:p>
        </w:tc>
        <w:tc>
          <w:tcPr>
            <w:tcW w:w="1380" w:type="dxa"/>
            <w:vAlign w:val="bottom"/>
            <w:gridSpan w:val="2"/>
          </w:tcPr>
          <w:p>
            <w:pPr>
              <w:ind w:left="100"/>
              <w:spacing w:after="0" w:line="152" w:lineRule="exact"/>
              <w:rPr>
                <w:sz w:val="20"/>
                <w:szCs w:val="20"/>
                <w:color w:val="auto"/>
              </w:rPr>
            </w:pPr>
            <w:r>
              <w:rPr>
                <w:rFonts w:ascii="Arial" w:cs="Arial" w:eastAsia="Arial" w:hAnsi="Arial"/>
                <w:sz w:val="14"/>
                <w:szCs w:val="14"/>
                <w:b w:val="1"/>
                <w:bCs w:val="1"/>
                <w:color w:val="auto"/>
              </w:rPr>
              <w:t>Long-Term Debt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80" w:type="dxa"/>
            <w:vAlign w:val="bottom"/>
            <w:gridSpan w:val="2"/>
          </w:tcPr>
          <w:p>
            <w:pPr>
              <w:jc w:val="right"/>
              <w:ind w:right="126"/>
              <w:spacing w:after="0" w:line="152" w:lineRule="exact"/>
              <w:rPr>
                <w:sz w:val="20"/>
                <w:szCs w:val="20"/>
                <w:color w:val="auto"/>
              </w:rPr>
            </w:pPr>
            <w:r>
              <w:rPr>
                <w:rFonts w:ascii="Arial" w:cs="Arial" w:eastAsia="Arial" w:hAnsi="Arial"/>
                <w:sz w:val="14"/>
                <w:szCs w:val="14"/>
                <w:b w:val="1"/>
                <w:bCs w:val="1"/>
                <w:color w:val="auto"/>
              </w:rPr>
              <w:t>Long-Term Debt of</w:t>
            </w:r>
          </w:p>
        </w:tc>
        <w:tc>
          <w:tcPr>
            <w:tcW w:w="1480" w:type="dxa"/>
            <w:vAlign w:val="bottom"/>
            <w:gridSpan w:val="2"/>
          </w:tcPr>
          <w:p>
            <w:pPr>
              <w:ind w:left="100"/>
              <w:spacing w:after="0" w:line="152" w:lineRule="exact"/>
              <w:rPr>
                <w:sz w:val="20"/>
                <w:szCs w:val="20"/>
                <w:color w:val="auto"/>
              </w:rPr>
            </w:pPr>
            <w:r>
              <w:rPr>
                <w:rFonts w:ascii="Arial" w:cs="Arial" w:eastAsia="Arial" w:hAnsi="Arial"/>
                <w:sz w:val="14"/>
                <w:szCs w:val="14"/>
                <w:b w:val="1"/>
                <w:bCs w:val="1"/>
                <w:color w:val="auto"/>
              </w:rPr>
              <w:t>Long-Term Debt of</w:t>
            </w:r>
          </w:p>
        </w:tc>
        <w:tc>
          <w:tcPr>
            <w:tcW w:w="0" w:type="dxa"/>
            <w:vAlign w:val="bottom"/>
          </w:tcPr>
          <w:p>
            <w:pPr>
              <w:spacing w:after="0"/>
              <w:rPr>
                <w:sz w:val="1"/>
                <w:szCs w:val="1"/>
                <w:color w:val="auto"/>
              </w:rPr>
            </w:pPr>
          </w:p>
        </w:tc>
      </w:tr>
      <w:tr>
        <w:trPr>
          <w:trHeight w:val="177"/>
        </w:trPr>
        <w:tc>
          <w:tcPr>
            <w:tcW w:w="2460" w:type="dxa"/>
            <w:vAlign w:val="bottom"/>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tcPr>
          <w:p>
            <w:pPr>
              <w:jc w:val="right"/>
              <w:ind w:right="346"/>
              <w:spacing w:after="0"/>
              <w:rPr>
                <w:sz w:val="20"/>
                <w:szCs w:val="20"/>
                <w:color w:val="auto"/>
              </w:rPr>
            </w:pPr>
            <w:r>
              <w:rPr>
                <w:rFonts w:ascii="Arial" w:cs="Arial" w:eastAsia="Arial" w:hAnsi="Arial"/>
                <w:sz w:val="14"/>
                <w:szCs w:val="14"/>
                <w:b w:val="1"/>
                <w:bCs w:val="1"/>
                <w:color w:val="auto"/>
                <w:w w:val="99"/>
              </w:rPr>
              <w:t>Fannie Mae</w:t>
            </w:r>
          </w:p>
        </w:tc>
        <w:tc>
          <w:tcPr>
            <w:tcW w:w="138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w w:val="97"/>
              </w:rPr>
              <w:t>Consolidated Trusts</w:t>
            </w: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tcPr>
          <w:p>
            <w:pPr>
              <w:jc w:val="right"/>
              <w:ind w:right="346"/>
              <w:spacing w:after="0"/>
              <w:rPr>
                <w:sz w:val="20"/>
                <w:szCs w:val="20"/>
                <w:color w:val="auto"/>
              </w:rPr>
            </w:pPr>
            <w:r>
              <w:rPr>
                <w:rFonts w:ascii="Arial" w:cs="Arial" w:eastAsia="Arial" w:hAnsi="Arial"/>
                <w:sz w:val="14"/>
                <w:szCs w:val="14"/>
                <w:b w:val="1"/>
                <w:bCs w:val="1"/>
                <w:color w:val="auto"/>
              </w:rPr>
              <w:t>Fannie Mae</w:t>
            </w:r>
          </w:p>
        </w:tc>
        <w:tc>
          <w:tcPr>
            <w:tcW w:w="14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Consolidated Trusts</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60" w:type="dxa"/>
            <w:vAlign w:val="bottom"/>
            <w:gridSpan w:val="5"/>
          </w:tcPr>
          <w:p>
            <w:pPr>
              <w:jc w:val="center"/>
              <w:ind w:right="206"/>
              <w:spacing w:after="0"/>
              <w:rPr>
                <w:sz w:val="20"/>
                <w:szCs w:val="20"/>
                <w:color w:val="auto"/>
              </w:rPr>
            </w:pPr>
            <w:r>
              <w:rPr>
                <w:rFonts w:ascii="Arial" w:cs="Arial" w:eastAsia="Arial" w:hAnsi="Arial"/>
                <w:sz w:val="14"/>
                <w:szCs w:val="14"/>
                <w:b w:val="1"/>
                <w:bCs w:val="1"/>
                <w:color w:val="auto"/>
                <w:w w:val="98"/>
              </w:rPr>
              <w:t>(Dollars in millions)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460" w:type="dxa"/>
            <w:vAlign w:val="bottom"/>
          </w:tcPr>
          <w:p>
            <w:pPr>
              <w:spacing w:after="0"/>
              <w:rPr>
                <w:sz w:val="20"/>
                <w:szCs w:val="20"/>
                <w:color w:val="auto"/>
              </w:rPr>
            </w:pPr>
            <w:r>
              <w:rPr>
                <w:rFonts w:ascii="Arial" w:cs="Arial" w:eastAsia="Arial" w:hAnsi="Arial"/>
                <w:sz w:val="15"/>
                <w:szCs w:val="15"/>
                <w:color w:val="auto"/>
              </w:rPr>
              <w:t>Fair value</w:t>
            </w:r>
          </w:p>
        </w:tc>
        <w:tc>
          <w:tcPr>
            <w:tcW w:w="30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6,309</w:t>
            </w:r>
          </w:p>
        </w:tc>
        <w:tc>
          <w:tcPr>
            <w:tcW w:w="360" w:type="dxa"/>
            <w:vAlign w:val="bottom"/>
          </w:tcPr>
          <w:p>
            <w:pPr>
              <w:ind w:left="240"/>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266"/>
              <w:spacing w:after="0"/>
              <w:rPr>
                <w:sz w:val="20"/>
                <w:szCs w:val="20"/>
                <w:color w:val="auto"/>
              </w:rPr>
            </w:pPr>
            <w:r>
              <w:rPr>
                <w:rFonts w:ascii="Arial" w:cs="Arial" w:eastAsia="Arial" w:hAnsi="Arial"/>
                <w:sz w:val="15"/>
                <w:szCs w:val="15"/>
                <w:b w:val="1"/>
                <w:bCs w:val="1"/>
                <w:color w:val="auto"/>
              </w:rPr>
              <w:t>235</w:t>
            </w:r>
          </w:p>
        </w:tc>
        <w:tc>
          <w:tcPr>
            <w:tcW w:w="50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14,728</w:t>
            </w:r>
          </w:p>
        </w:tc>
        <w:tc>
          <w:tcPr>
            <w:tcW w:w="5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5,464</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256</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15,060</w:t>
            </w:r>
          </w:p>
        </w:tc>
        <w:tc>
          <w:tcPr>
            <w:tcW w:w="0" w:type="dxa"/>
            <w:vAlign w:val="bottom"/>
          </w:tcPr>
          <w:p>
            <w:pPr>
              <w:spacing w:after="0"/>
              <w:rPr>
                <w:sz w:val="1"/>
                <w:szCs w:val="1"/>
                <w:color w:val="auto"/>
              </w:rPr>
            </w:pPr>
          </w:p>
        </w:tc>
      </w:tr>
      <w:tr>
        <w:trPr>
          <w:trHeight w:val="219"/>
        </w:trPr>
        <w:tc>
          <w:tcPr>
            <w:tcW w:w="2460" w:type="dxa"/>
            <w:vAlign w:val="bottom"/>
          </w:tcPr>
          <w:p>
            <w:pPr>
              <w:spacing w:after="0"/>
              <w:rPr>
                <w:sz w:val="20"/>
                <w:szCs w:val="20"/>
                <w:color w:val="auto"/>
              </w:rPr>
            </w:pPr>
            <w:r>
              <w:rPr>
                <w:rFonts w:ascii="Arial" w:cs="Arial" w:eastAsia="Arial" w:hAnsi="Arial"/>
                <w:sz w:val="15"/>
                <w:szCs w:val="15"/>
                <w:color w:val="auto"/>
              </w:rPr>
              <w:t>UPB</w:t>
            </w:r>
          </w:p>
        </w:tc>
        <w:tc>
          <w:tcPr>
            <w:tcW w:w="30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7,242</w:t>
            </w:r>
          </w:p>
        </w:tc>
        <w:tc>
          <w:tcPr>
            <w:tcW w:w="360" w:type="dxa"/>
            <w:vAlign w:val="bottom"/>
          </w:tcPr>
          <w:p>
            <w:pPr>
              <w:spacing w:after="0"/>
              <w:rPr>
                <w:sz w:val="19"/>
                <w:szCs w:val="19"/>
                <w:color w:val="auto"/>
              </w:rPr>
            </w:pPr>
          </w:p>
        </w:tc>
        <w:tc>
          <w:tcPr>
            <w:tcW w:w="1200" w:type="dxa"/>
            <w:vAlign w:val="bottom"/>
          </w:tcPr>
          <w:p>
            <w:pPr>
              <w:jc w:val="right"/>
              <w:ind w:right="266"/>
              <w:spacing w:after="0"/>
              <w:rPr>
                <w:sz w:val="20"/>
                <w:szCs w:val="20"/>
                <w:color w:val="auto"/>
              </w:rPr>
            </w:pPr>
            <w:r>
              <w:rPr>
                <w:rFonts w:ascii="Arial" w:cs="Arial" w:eastAsia="Arial" w:hAnsi="Arial"/>
                <w:sz w:val="15"/>
                <w:szCs w:val="15"/>
                <w:b w:val="1"/>
                <w:bCs w:val="1"/>
                <w:color w:val="auto"/>
              </w:rPr>
              <w:t>250</w:t>
            </w:r>
          </w:p>
        </w:tc>
        <w:tc>
          <w:tcPr>
            <w:tcW w:w="500" w:type="dxa"/>
            <w:vAlign w:val="bottom"/>
          </w:tcPr>
          <w:p>
            <w:pPr>
              <w:spacing w:after="0"/>
              <w:rPr>
                <w:sz w:val="19"/>
                <w:szCs w:val="19"/>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16,346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5,808</w:t>
            </w:r>
          </w:p>
        </w:tc>
        <w:tc>
          <w:tcPr>
            <w:tcW w:w="360" w:type="dxa"/>
            <w:vAlign w:val="bottom"/>
          </w:tcPr>
          <w:p>
            <w:pPr>
              <w:spacing w:after="0"/>
              <w:rPr>
                <w:sz w:val="19"/>
                <w:szCs w:val="19"/>
                <w:color w:val="auto"/>
              </w:rPr>
            </w:pP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250</w:t>
            </w:r>
          </w:p>
        </w:tc>
        <w:tc>
          <w:tcPr>
            <w:tcW w:w="500" w:type="dxa"/>
            <w:vAlign w:val="bottom"/>
          </w:tcPr>
          <w:p>
            <w:pPr>
              <w:spacing w:after="0"/>
              <w:rPr>
                <w:sz w:val="19"/>
                <w:szCs w:val="19"/>
                <w:color w:val="auto"/>
              </w:rPr>
            </w:pP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15,516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421640</wp:posOffset>
            </wp:positionV>
            <wp:extent cx="680593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3" w:name="page104"/>
    <w:bookmarkEnd w:id="103"/>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right="80" w:hanging="237"/>
        <w:spacing w:after="0" w:line="226" w:lineRule="auto"/>
        <w:tabs>
          <w:tab w:leader="none" w:pos="233"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 with a fair value of $30 million as of both September 30, 2026 and December 31, 2025. Includes loans that are 90 days or more past due with a fair value of $25 million and $26 million as of September 30, 2026 and December 31, 2025, respectively.</w:t>
      </w:r>
    </w:p>
    <w:p>
      <w:pPr>
        <w:spacing w:after="0" w:line="98"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Changes in Fair Value under the Fair Value Option Election</w:t>
      </w:r>
    </w:p>
    <w:p>
      <w:pPr>
        <w:spacing w:after="0" w:line="6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recorded losses of $370 million and $392 million for the three and nine months ended September 30, 2026, and gains of $87 million and $248 million for the three and nine months ended September 30, 2025, from changes in the fair value of loans recorded at fair value in “Fair value gains (losses), net” in our condensed consolidated statements of operations and comprehensive income.</w:t>
      </w:r>
    </w:p>
    <w:p>
      <w:pPr>
        <w:spacing w:after="0" w:line="3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We recorded gains of $730 million and $849 million for the three and nine months ended September 30, 2026, and losses of $203 million and $582 million for the three and nine months ended September 30, 2025, from changes in the fair value of long-term debt recorded at fair value in “Fair value gains (losses), net” in our condensed consolidated statements of operations and comprehensive income.</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14. Commitments and Contingencies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are party to various types of legal actions and proceedings, including actions brought on behalf of various classes of claimants. We also are subject to regulatory examinations, inquiries and investigations, and other information gathering requests. In some of the matters, indeterminate amounts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This variability in pleadings, together with our and our counsel’s actual experience in litigating or settling claims, leads us to conclude that the monetary relief that may be sought by plaintiffs bears little relevance to the merits or disposition value of claims.</w:t>
      </w:r>
    </w:p>
    <w:p>
      <w:pPr>
        <w:spacing w:after="0" w:line="4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Legal actions and proceedings of all types are subject to many uncertain factors that generally cannot be predicted with assurance. Accordingly, the outcome of any given matter and the amount or range of potential loss at particular points in time is frequently difficult to ascertain. Uncertainties can include how fact finders will evaluate documentary evidence and the credibility and effectiveness of witness testimony, and how the court will apply the law. Disposition valuations are also subject to the uncertainty of how opposing parties and their counsel may view the evidence and applicable law.</w:t>
      </w:r>
    </w:p>
    <w:p>
      <w:pPr>
        <w:spacing w:after="0" w:line="4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On a quarterly basis, we review relevant information about pending legal actions and proceedings for the purpose of evaluating and revising our contingencies, accruals and disclosures. We establish an accrual only for matters when the likelihood of a loss is probable and we can reasonably estimate the amount of such loss. We are often unable to estimate the possible losses or ranges of losses, particularly for proceedings that are in their early stages of development, where plaintiffs seek indeterminate or unspecified damages, where there may be novel or unsettled legal questions relevant to the proceedings, or where settlement negotiations have not occurred or progressed. Given the uncertainties involved in any action or proceeding, regardless of whether we have established an accrual, the ultimate resolution of certain of these matters may be material to our operating results for a particular period, depending on, among other factors, the size of the loss or liability imposed and the level of our net income or loss for that period.</w:t>
      </w:r>
    </w:p>
    <w:p>
      <w:pPr>
        <w:spacing w:after="0" w:line="43"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addition to the matters specifically described below, we are involved in a number of legal and regulatory proceedings that arise in the ordinary course of business that we do not expect will have a material impact on our business or financial condition. Our bylaws provide that we indemnify officers and directors for certain liabilities incurred in connection with legal proceedings and, pursuant to our bylaws and related indemnification agreements, we have advanced costs and expenses.</w:t>
      </w:r>
    </w:p>
    <w:p>
      <w:pPr>
        <w:spacing w:after="0" w:line="7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Agreements Litigation</w:t>
      </w:r>
    </w:p>
    <w:p>
      <w:pPr>
        <w:spacing w:after="0" w:line="68"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A consolidated class action (</w:t>
      </w:r>
      <w:r>
        <w:rPr>
          <w:rFonts w:ascii="Arial" w:cs="Arial" w:eastAsia="Arial" w:hAnsi="Arial"/>
          <w:sz w:val="16"/>
          <w:szCs w:val="16"/>
          <w:i w:val="1"/>
          <w:iCs w:val="1"/>
          <w:color w:val="auto"/>
        </w:rPr>
        <w:t>“In re Fannie Mae/Freddie Mac Senior Preferred Stock Purchase Agreement Class Action Litigations”</w:t>
      </w:r>
      <w:r>
        <w:rPr>
          <w:rFonts w:ascii="Arial" w:cs="Arial" w:eastAsia="Arial" w:hAnsi="Arial"/>
          <w:sz w:val="16"/>
          <w:szCs w:val="16"/>
          <w:color w:val="auto"/>
        </w:rPr>
        <w:t xml:space="preserve">) and a non-class action lawsuit, </w:t>
      </w:r>
      <w:r>
        <w:rPr>
          <w:rFonts w:ascii="Arial" w:cs="Arial" w:eastAsia="Arial" w:hAnsi="Arial"/>
          <w:sz w:val="16"/>
          <w:szCs w:val="16"/>
          <w:i w:val="1"/>
          <w:iCs w:val="1"/>
          <w:color w:val="auto"/>
        </w:rPr>
        <w:t>Fairholme Funds v. FHFA</w:t>
      </w:r>
      <w:r>
        <w:rPr>
          <w:rFonts w:ascii="Arial" w:cs="Arial" w:eastAsia="Arial" w:hAnsi="Arial"/>
          <w:sz w:val="16"/>
          <w:szCs w:val="16"/>
          <w:color w:val="auto"/>
        </w:rPr>
        <w:t>, filed by Fannie Mae and Freddie Mac stockholders against us, FHFA as our conservator, and Freddie Mac were filed in the U.S. District Court for the District of Columbia. The lawsuits challenge the August 2012 amendment to each company’s senior preferred stock purchase agreement with Treasury.</w:t>
      </w:r>
    </w:p>
    <w:p>
      <w:pPr>
        <w:spacing w:after="0" w:line="3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Plaintiffs in these lawsuits allege that the net worth sweep dividend provisions of the senior preferred stock that were implemented pursuant to the August 2012 amendments nullified certain of the stockholders’ rights and caused them harm. Plaintiffs in the class action represent a class of Fannie Mae preferred stockholders and classes of Freddie Mac common and preferred stockholders. The cases were tried before a jury at a trial that commenced on July 24, 2023. On August 14, 2023, the jury returned a verdict for the plaintiffs and awarded damages of $299.4 million to Fannie Mae preferred stockholders. On October 24, 2023, the court held that these stockholders were entitled to receive prejudgment interest on the damage award. On March 20, 2024, the court entered final judgment and set the amount of prejudgment interest owed by Fannie Mae at $199.7 million. On April 17, 2024, the defendants filed a motion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476885</wp:posOffset>
            </wp:positionV>
            <wp:extent cx="680593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61" w:right="359" w:bottom="1440" w:gutter="0" w:footer="0" w:header="0"/>
        </w:sectPr>
      </w:pPr>
    </w:p>
    <w:bookmarkStart w:id="104" w:name="page105"/>
    <w:bookmarkEnd w:id="104"/>
    <w:p>
      <w:pPr>
        <w:ind w:left="5620"/>
        <w:spacing w:after="0"/>
        <w:rPr>
          <w:sz w:val="20"/>
          <w:szCs w:val="20"/>
          <w:color w:val="auto"/>
        </w:rPr>
      </w:pPr>
      <w:r>
        <w:rPr>
          <w:rFonts w:ascii="Arial" w:cs="Arial" w:eastAsia="Arial" w:hAnsi="Arial"/>
          <w:sz w:val="13"/>
          <w:szCs w:val="13"/>
          <w:color w:val="05314D"/>
        </w:rPr>
        <w:t>Notes to Condensed Consolidated Financial Statements |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24130</wp:posOffset>
            </wp:positionV>
            <wp:extent cx="706501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judgment as a matter of law, which the court denied on March 14, 2025. The defendants filed a notice of appeal on April 11, 2025. On April 25, 2025, plaintiffs filed a notice of cross-appeal challenging several of the court’s pretrial rulings, which they contend prevented them from seeking the full measure of their alleged damages. After briefing and oral argument, the U.S. Court of Appeals for the District of Columbia Circuit (the “D.C. Circuit”) affirmed the district court’s final judgment on July 24, 2026. Defendants filed a petition for rehearing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with the D.C. Circuit on September 8, 2026. On October 16, 2026, the D.C. Circuit denied the petition. Defendants may seek review by the U.S. Supreme Court by filing a petition within 90 days of the D.C. Circuit’s denial. Until the appeal is resolved and any final judgment amount has been paid, post-judgment interest on the damages and prejudgment interest awards will accrue at a rate of 5.01%, starting on March 20, 2024, to be computed daily and compounded annually. We recognized $495 million in 2023 related to the jury verdict and estimated prejudgment interest through December 31, 2023 in “Other expenses, net.” We recognized an additional $24 million and $26 million of expense in 2024 and 2025, respectively, and $7 million and $20 million of expense for the three and nine months ended September 30, 2026, respectively, related to the prejudgment and post-judgment interest.</w:t>
      </w:r>
    </w:p>
    <w:p>
      <w:pPr>
        <w:spacing w:after="0" w:line="140"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15. Regulatory Capital Requirements</w:t>
      </w:r>
    </w:p>
    <w:p>
      <w:pPr>
        <w:spacing w:after="0" w:line="105" w:lineRule="exact"/>
        <w:rPr>
          <w:sz w:val="20"/>
          <w:szCs w:val="20"/>
          <w:color w:val="auto"/>
        </w:rPr>
      </w:pPr>
    </w:p>
    <w:p>
      <w:pPr>
        <w:jc w:val="both"/>
        <w:ind w:right="300"/>
        <w:spacing w:after="0" w:line="272" w:lineRule="auto"/>
        <w:rPr>
          <w:sz w:val="20"/>
          <w:szCs w:val="20"/>
          <w:color w:val="auto"/>
        </w:rPr>
      </w:pPr>
      <w:r>
        <w:rPr>
          <w:rFonts w:ascii="Arial" w:cs="Arial" w:eastAsia="Arial" w:hAnsi="Arial"/>
          <w:sz w:val="16"/>
          <w:szCs w:val="16"/>
          <w:color w:val="auto"/>
        </w:rPr>
        <w:t>The enterprise regulatory capital framework went into effect in February 2021; however, we are not required to hold capital according to the framework’s requirements until the date of termination of our conservatorship, or such later date as may be ordered by FHFA. The following table displays our capital requirements under the standardized approach of the enterprise regulatory capital framework.</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September 30, 2026</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billions)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Risk-weighted assets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40" w:type="dxa"/>
            <w:vAlign w:val="bottom"/>
            <w:tcBorders>
              <w:top w:val="single" w:sz="8" w:color="2C6937"/>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2C6937"/>
              <w:bottom w:val="single" w:sz="8" w:color="2C6937"/>
            </w:tcBorders>
          </w:tcPr>
          <w:p>
            <w:pPr>
              <w:spacing w:after="0"/>
              <w:rPr>
                <w:sz w:val="20"/>
                <w:szCs w:val="20"/>
                <w:color w:val="auto"/>
              </w:rPr>
            </w:pPr>
          </w:p>
        </w:tc>
        <w:tc>
          <w:tcPr>
            <w:tcW w:w="1020" w:type="dxa"/>
            <w:vAlign w:val="bottom"/>
            <w:tcBorders>
              <w:top w:val="single" w:sz="8" w:color="2C6937"/>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40" w:type="dxa"/>
            <w:vAlign w:val="bottom"/>
            <w:tcBorders>
              <w:bottom w:val="single" w:sz="8" w:color="2C6937"/>
            </w:tcBorders>
          </w:tcPr>
          <w:p>
            <w:pPr>
              <w:spacing w:after="0"/>
              <w:rPr>
                <w:sz w:val="20"/>
                <w:szCs w:val="20"/>
                <w:color w:val="auto"/>
              </w:rPr>
            </w:pPr>
          </w:p>
        </w:tc>
        <w:tc>
          <w:tcPr>
            <w:tcW w:w="1100" w:type="dxa"/>
            <w:vAlign w:val="bottom"/>
            <w:tcBorders>
              <w:bottom w:val="single" w:sz="8" w:color="2C6937"/>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20" w:type="dxa"/>
            <w:vAlign w:val="bottom"/>
            <w:tcBorders>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 Capital</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Available</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20" w:type="dxa"/>
            <w:vAlign w:val="bottom"/>
          </w:tcPr>
          <w:p>
            <w:pPr>
              <w:jc w:val="right"/>
              <w:ind w:right="326"/>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(including</w:t>
            </w:r>
          </w:p>
        </w:tc>
        <w:tc>
          <w:tcPr>
            <w:tcW w:w="142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20" w:type="dxa"/>
            <w:vAlign w:val="bottom"/>
          </w:tcPr>
          <w:p>
            <w:pPr>
              <w:jc w:val="right"/>
              <w:ind w:right="126"/>
              <w:spacing w:after="0" w:line="153" w:lineRule="exact"/>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Capital (Deficit)</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Buffers)</w:t>
            </w:r>
            <w:r>
              <w:rPr>
                <w:rFonts w:ascii="Arial" w:cs="Arial" w:eastAsia="Arial" w:hAnsi="Arial"/>
                <w:sz w:val="17"/>
                <w:szCs w:val="17"/>
                <w:b w:val="1"/>
                <w:bCs w:val="1"/>
                <w:color w:val="auto"/>
                <w:w w:val="94"/>
                <w:vertAlign w:val="superscript"/>
              </w:rPr>
              <w:t>(3)</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(Deficit) Ratio</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2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18"/>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Borders>
              <w:top w:val="single" w:sz="8" w:color="2C6937"/>
            </w:tcBorders>
          </w:tcPr>
          <w:p>
            <w:pPr>
              <w:spacing w:after="0"/>
              <w:rPr>
                <w:sz w:val="18"/>
                <w:szCs w:val="18"/>
                <w:color w:val="auto"/>
              </w:rPr>
            </w:pPr>
          </w:p>
        </w:tc>
        <w:tc>
          <w:tcPr>
            <w:tcW w:w="102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2C6937"/>
            </w:tcBorders>
          </w:tcPr>
          <w:p>
            <w:pPr>
              <w:spacing w:after="0"/>
              <w:rPr>
                <w:sz w:val="18"/>
                <w:szCs w:val="18"/>
                <w:color w:val="auto"/>
              </w:rPr>
            </w:pPr>
          </w:p>
        </w:tc>
        <w:tc>
          <w:tcPr>
            <w:tcW w:w="110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2C6937"/>
            </w:tcBorders>
          </w:tcPr>
          <w:p>
            <w:pPr>
              <w:spacing w:after="0"/>
              <w:rPr>
                <w:sz w:val="18"/>
                <w:szCs w:val="18"/>
                <w:color w:val="auto"/>
              </w:rPr>
            </w:pPr>
          </w:p>
        </w:tc>
        <w:tc>
          <w:tcPr>
            <w:tcW w:w="110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top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top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(4)</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0.7 %</w:t>
            </w:r>
          </w:p>
        </w:tc>
        <w:tc>
          <w:tcPr>
            <w:tcW w:w="80" w:type="dxa"/>
            <w:vAlign w:val="bottom"/>
          </w:tcPr>
          <w:p>
            <w:pPr>
              <w:spacing w:after="0"/>
              <w:rPr>
                <w:sz w:val="24"/>
                <w:szCs w:val="24"/>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1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Common equity tier 1 capital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8"/>
                <w:szCs w:val="18"/>
                <w:color w:val="auto"/>
              </w:rPr>
            </w:pP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8"/>
                <w:szCs w:val="18"/>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245"/>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21"/>
                <w:szCs w:val="21"/>
                <w:color w:val="auto"/>
              </w:rPr>
            </w:pP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1"/>
                <w:szCs w:val="21"/>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45"/>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Adjusted total capital</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194</w:t>
            </w:r>
          </w:p>
        </w:tc>
        <w:tc>
          <w:tcPr>
            <w:tcW w:w="100" w:type="dxa"/>
            <w:vAlign w:val="bottom"/>
          </w:tcPr>
          <w:p>
            <w:pPr>
              <w:spacing w:after="0"/>
              <w:rPr>
                <w:sz w:val="21"/>
                <w:szCs w:val="21"/>
                <w:color w:val="auto"/>
              </w:rPr>
            </w:pP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1"/>
                <w:szCs w:val="21"/>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240"/>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4"/>
                <w:szCs w:val="2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4"/>
                <w:szCs w:val="24"/>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1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8"/>
                <w:szCs w:val="18"/>
                <w:color w:val="auto"/>
              </w:rPr>
            </w:pPr>
          </w:p>
        </w:tc>
        <w:tc>
          <w:tcPr>
            <w:tcW w:w="1340" w:type="dxa"/>
            <w:vAlign w:val="bottom"/>
          </w:tcPr>
          <w:p>
            <w:pPr>
              <w:jc w:val="right"/>
              <w:ind w:right="85"/>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8"/>
                <w:szCs w:val="18"/>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418465</wp:posOffset>
            </wp:positionV>
            <wp:extent cx="680593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5" w:name="page106"/>
    <w:bookmarkEnd w:id="105"/>
    <w:p>
      <w:pPr>
        <w:ind w:left="5660"/>
        <w:spacing w:after="0"/>
        <w:rPr>
          <w:sz w:val="20"/>
          <w:szCs w:val="20"/>
          <w:color w:val="auto"/>
        </w:rPr>
      </w:pPr>
      <w:r>
        <w:rPr>
          <w:rFonts w:ascii="Arial" w:cs="Arial" w:eastAsia="Arial" w:hAnsi="Arial"/>
          <w:sz w:val="13"/>
          <w:szCs w:val="13"/>
          <w:color w:val="05314D"/>
        </w:rPr>
        <w:t>Notes to Condensed Consolidated Financial Statements | Regulatory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2025</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billions)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Risk-weighted assets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40" w:type="dxa"/>
            <w:vAlign w:val="bottom"/>
            <w:tcBorders>
              <w:top w:val="single" w:sz="8" w:color="2C6937"/>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2C6937"/>
              <w:bottom w:val="single" w:sz="8" w:color="2C6937"/>
            </w:tcBorders>
          </w:tcPr>
          <w:p>
            <w:pPr>
              <w:spacing w:after="0"/>
              <w:rPr>
                <w:sz w:val="20"/>
                <w:szCs w:val="20"/>
                <w:color w:val="auto"/>
              </w:rPr>
            </w:pPr>
          </w:p>
        </w:tc>
        <w:tc>
          <w:tcPr>
            <w:tcW w:w="1020" w:type="dxa"/>
            <w:vAlign w:val="bottom"/>
            <w:tcBorders>
              <w:top w:val="single" w:sz="8" w:color="2C6937"/>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40" w:type="dxa"/>
            <w:vAlign w:val="bottom"/>
            <w:tcBorders>
              <w:bottom w:val="single" w:sz="8" w:color="2C6937"/>
            </w:tcBorders>
          </w:tcPr>
          <w:p>
            <w:pPr>
              <w:spacing w:after="0"/>
              <w:rPr>
                <w:sz w:val="20"/>
                <w:szCs w:val="20"/>
                <w:color w:val="auto"/>
              </w:rPr>
            </w:pPr>
          </w:p>
        </w:tc>
        <w:tc>
          <w:tcPr>
            <w:tcW w:w="1100" w:type="dxa"/>
            <w:vAlign w:val="bottom"/>
            <w:tcBorders>
              <w:bottom w:val="single" w:sz="8" w:color="2C6937"/>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20" w:type="dxa"/>
            <w:vAlign w:val="bottom"/>
            <w:tcBorders>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 Capital</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Available</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20" w:type="dxa"/>
            <w:vAlign w:val="bottom"/>
          </w:tcPr>
          <w:p>
            <w:pPr>
              <w:jc w:val="right"/>
              <w:ind w:right="326"/>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(including</w:t>
            </w:r>
          </w:p>
        </w:tc>
        <w:tc>
          <w:tcPr>
            <w:tcW w:w="142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20" w:type="dxa"/>
            <w:vAlign w:val="bottom"/>
          </w:tcPr>
          <w:p>
            <w:pPr>
              <w:jc w:val="right"/>
              <w:ind w:right="126"/>
              <w:spacing w:after="0" w:line="153" w:lineRule="exact"/>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Capital (Deficit)</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8"/>
                <w:szCs w:val="8"/>
                <w:b w:val="1"/>
                <w:bCs w:val="1"/>
                <w:color w:val="auto"/>
              </w:rPr>
              <w:t>(3)</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 Ratio</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2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18"/>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Borders>
              <w:top w:val="single" w:sz="8" w:color="2C6937"/>
            </w:tcBorders>
          </w:tcPr>
          <w:p>
            <w:pPr>
              <w:spacing w:after="0"/>
              <w:rPr>
                <w:sz w:val="19"/>
                <w:szCs w:val="19"/>
                <w:color w:val="auto"/>
              </w:rPr>
            </w:pPr>
          </w:p>
        </w:tc>
        <w:tc>
          <w:tcPr>
            <w:tcW w:w="102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2C6937"/>
            </w:tcBorders>
          </w:tcPr>
          <w:p>
            <w:pPr>
              <w:spacing w:after="0"/>
              <w:rPr>
                <w:sz w:val="19"/>
                <w:szCs w:val="19"/>
                <w:color w:val="auto"/>
              </w:rPr>
            </w:pPr>
          </w:p>
        </w:tc>
        <w:tc>
          <w:tcPr>
            <w:tcW w:w="110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2C6937"/>
            </w:tcBorders>
          </w:tcPr>
          <w:p>
            <w:pPr>
              <w:spacing w:after="0"/>
              <w:rPr>
                <w:sz w:val="19"/>
                <w:szCs w:val="19"/>
                <w:color w:val="auto"/>
              </w:rPr>
            </w:pPr>
          </w:p>
        </w:tc>
        <w:tc>
          <w:tcPr>
            <w:tcW w:w="110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Borders>
              <w:top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Borders>
              <w:top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(4)</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21"/>
                <w:szCs w:val="21"/>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1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Common equity tier 1 capital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8"/>
                <w:szCs w:val="18"/>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45"/>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21"/>
                <w:szCs w:val="21"/>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1"/>
                <w:szCs w:val="21"/>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45"/>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Adjusted total capital</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21"/>
                <w:szCs w:val="21"/>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1"/>
                <w:szCs w:val="21"/>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40"/>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(5)</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1"/>
                <w:szCs w:val="21"/>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1"/>
                <w:szCs w:val="21"/>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1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8"/>
                <w:szCs w:val="18"/>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 Represents amounts less than $500 million.</w:t>
      </w:r>
    </w:p>
    <w:p>
      <w:pPr>
        <w:spacing w:after="0" w:line="19" w:lineRule="exact"/>
        <w:rPr>
          <w:sz w:val="20"/>
          <w:szCs w:val="20"/>
          <w:color w:val="auto"/>
        </w:rPr>
      </w:pPr>
    </w:p>
    <w:p>
      <w:pPr>
        <w:ind w:left="220" w:hanging="217"/>
        <w:spacing w:after="0"/>
        <w:tabs>
          <w:tab w:leader="none" w:pos="22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9"/>
        </w:numPr>
        <w:rPr>
          <w:rFonts w:ascii="Arial" w:cs="Arial" w:eastAsia="Arial" w:hAnsi="Arial"/>
          <w:sz w:val="9"/>
          <w:szCs w:val="9"/>
          <w:color w:val="auto"/>
        </w:rPr>
      </w:pPr>
      <w:r>
        <w:rPr>
          <w:rFonts w:ascii="Arial" w:cs="Arial" w:eastAsia="Arial" w:hAnsi="Arial"/>
          <w:sz w:val="14"/>
          <w:szCs w:val="14"/>
          <w:color w:val="auto"/>
        </w:rPr>
        <w:t>Available capital (deficit) for all line items excludes the stated value of the senior preferred stock of $120.8 billion.</w:t>
      </w:r>
    </w:p>
    <w:p>
      <w:pPr>
        <w:spacing w:after="0" w:line="33" w:lineRule="exact"/>
        <w:rPr>
          <w:rFonts w:ascii="Arial" w:cs="Arial" w:eastAsia="Arial" w:hAnsi="Arial"/>
          <w:sz w:val="9"/>
          <w:szCs w:val="9"/>
          <w:color w:val="auto"/>
        </w:rPr>
      </w:pPr>
    </w:p>
    <w:p>
      <w:pPr>
        <w:ind w:left="220" w:hanging="217"/>
        <w:spacing w:after="0"/>
        <w:tabs>
          <w:tab w:leader="none" w:pos="220" w:val="left"/>
        </w:tabs>
        <w:numPr>
          <w:ilvl w:val="0"/>
          <w:numId w:val="89"/>
        </w:numPr>
        <w:rPr>
          <w:rFonts w:ascii="Arial" w:cs="Arial" w:eastAsia="Arial" w:hAnsi="Arial"/>
          <w:sz w:val="9"/>
          <w:szCs w:val="9"/>
          <w:color w:val="auto"/>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The sum of (a) core capital (see definition in footnote 5 below); and (b) a general allowance for foreclosure losses.</w:t>
      </w:r>
    </w:p>
    <w:p>
      <w:pPr>
        <w:spacing w:after="0" w:line="37" w:lineRule="exact"/>
        <w:rPr>
          <w:rFonts w:ascii="Arial" w:cs="Arial" w:eastAsia="Arial" w:hAnsi="Arial"/>
          <w:sz w:val="18"/>
          <w:szCs w:val="18"/>
          <w:color w:val="auto"/>
          <w:vertAlign w:val="superscript"/>
        </w:rPr>
      </w:pPr>
    </w:p>
    <w:p>
      <w:pPr>
        <w:ind w:left="240" w:right="300" w:hanging="237"/>
        <w:spacing w:after="0" w:line="219" w:lineRule="auto"/>
        <w:tabs>
          <w:tab w:leader="none" w:pos="233"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The sum of (a) the stated value of our outstanding common stock (common stock less treasury stock); (b) the stated value of our outstanding perpetual, noncumulative preferred stock; (c) our paid-in capital; and (d) our retained earnings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356870</wp:posOffset>
            </wp:positionV>
            <wp:extent cx="680593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6" w:name="page107"/>
    <w:bookmarkEnd w:id="106"/>
    <w:p>
      <w:pPr>
        <w:ind w:left="7580"/>
        <w:spacing w:after="0"/>
        <w:rPr>
          <w:sz w:val="20"/>
          <w:szCs w:val="20"/>
          <w:color w:val="auto"/>
        </w:rPr>
      </w:pPr>
      <w:r>
        <w:rPr>
          <w:rFonts w:ascii="Arial" w:cs="Arial" w:eastAsia="Arial" w:hAnsi="Arial"/>
          <w:sz w:val="14"/>
          <w:szCs w:val="14"/>
          <w:color w:val="05314D"/>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17145</wp:posOffset>
            </wp:positionV>
            <wp:extent cx="706501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Quantitative and Qualitative Disclosures about Market Risk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market risk is set forth in “MD&amp;A—Risk Management—Market Risk Management, including Interest-Rate Risk Management.”</w:t>
      </w:r>
    </w:p>
    <w:p>
      <w:pPr>
        <w:spacing w:after="0" w:line="192"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Controls and Procedures</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w:t>
      </w:r>
    </w:p>
    <w:p>
      <w:pPr>
        <w:spacing w:after="0" w:line="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are required under applicable laws and regulations to maintain controls and procedures, which include disclosure controls and procedures as well as internal control over financial reporting, as further described below.</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Evaluation of Disclosure Controls and Procedures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Disclosure Controls and Procedures</w:t>
      </w:r>
    </w:p>
    <w:p>
      <w:pPr>
        <w:spacing w:after="0" w:line="8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Disclosure controls and procedures refer to controls and other procedures designed to provide reasonable assurance that information required to be disclosed in the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Evaluation of Disclosure Controls and Procedures</w:t>
      </w:r>
    </w:p>
    <w:p>
      <w:pPr>
        <w:spacing w:after="0" w:line="8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As required by Rule 13a-15 under the Exchange Act, management has evaluated, with the participation of our Chief Executive Officer and Chief Financial Officer, the effectiveness of our disclosure controls and procedures in effect as of September 30, 2026, the end of the period covered by this report. As a result of management’s evaluation, our Chief Executive Officer and Chief Financial Officer concluded that our disclosure controls and procedures were not effective at a reasonable assurance level as of September 30, 2026, or as of the date of filing this report.</w:t>
      </w:r>
    </w:p>
    <w:p>
      <w:pPr>
        <w:spacing w:after="0" w:line="4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Our disclosure controls and procedures were not effective as of September 30, 2026, or as of the date of filing this report because they did not adequately ensure the accumulation and communication to management of information known to FHFA that is needed to meet our disclosure obligations under the federal securities laws. As a result, we were not able to rely upon the disclosure controls and procedures that were in place as of September 30, 2026, or as of the date of this filing, and we continue to have a material weakness in our internal control over financial reporting. This material weakness is described in more detail below under “Description of Material Weakness.” Based on discussions with FHFA and the structural nature of this material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Description of Material Weakness</w:t>
      </w:r>
    </w:p>
    <w:p>
      <w:pPr>
        <w:spacing w:after="0" w:line="6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Public Company Accounting Oversight Board’s Auditing Standard 2201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determined that we continued to have the following material weakness as of September 30, 2026, and as of the date of filing this report:</w:t>
      </w:r>
    </w:p>
    <w:p>
      <w:pPr>
        <w:spacing w:after="0" w:line="100" w:lineRule="exact"/>
        <w:rPr>
          <w:sz w:val="20"/>
          <w:szCs w:val="20"/>
          <w:color w:val="auto"/>
        </w:rPr>
      </w:pPr>
    </w:p>
    <w:p>
      <w:pPr>
        <w:ind w:left="620" w:hanging="307"/>
        <w:spacing w:after="0" w:line="262" w:lineRule="auto"/>
        <w:tabs>
          <w:tab w:leader="none" w:pos="612"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have been under the conservatorship of FHFA since September 2008. Under the GSE Act, FHFA is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agency that currently functions as both our conservator and our regulator with respect to our safety, soundness, and mission. Because of the nature of the conservatorship under the GSE Act, which places us under the “control” of FHFA (as that term is defined by securities laws), some of the information that we may need to meet our disclosure obligations may be solely within the knowledge of FHFA. As our conservator, FHFA has the power to take actions without our knowledge that could be material to our stockholders and other stakeholders, and could significantly affect our financial performance or our continued existence as an ongoing business. Although we and FHFA attempted to design and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492760</wp:posOffset>
            </wp:positionV>
            <wp:extent cx="713867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2026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104</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7" w:name="page108"/>
    <w:bookmarkEnd w:id="107"/>
    <w:p>
      <w:pPr>
        <w:ind w:left="9600"/>
        <w:spacing w:after="0"/>
        <w:rPr>
          <w:sz w:val="20"/>
          <w:szCs w:val="20"/>
          <w:color w:val="auto"/>
        </w:rPr>
      </w:pPr>
      <w:r>
        <w:rPr>
          <w:rFonts w:ascii="Arial" w:cs="Arial" w:eastAsia="Arial" w:hAnsi="Arial"/>
          <w:sz w:val="14"/>
          <w:szCs w:val="14"/>
          <w:color w:val="001543"/>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right="120"/>
        <w:spacing w:after="0" w:line="263" w:lineRule="auto"/>
        <w:rPr>
          <w:sz w:val="20"/>
          <w:szCs w:val="20"/>
          <w:color w:val="auto"/>
        </w:rPr>
      </w:pPr>
      <w:r>
        <w:rPr>
          <w:rFonts w:ascii="Arial" w:cs="Arial" w:eastAsia="Arial" w:hAnsi="Arial"/>
          <w:sz w:val="16"/>
          <w:szCs w:val="16"/>
          <w:color w:val="auto"/>
        </w:rPr>
        <w:t>disclosure policies and procedures that would account for the conservatorship and accomplish the same objectives as a disclosure controls and procedures policy of a typical reporting company, there are inherent structural limitations on our ability to design, implement, operate, and test effective disclosure controls and procedures. As both our regulator and our conservator under the GSE Act, FHFA is limited in its ability to design and implement a complete set of disclosure controls and procedures relating to Fannie Mae, particularly with respect to current reporting pursuant to Form 8-K. Similarly, as a regulated entity, we are limited in our ability to design, implement, operate, and test the controls and procedures for which FHFA is responsible.</w:t>
      </w:r>
    </w:p>
    <w:p>
      <w:pPr>
        <w:spacing w:after="0" w:line="41" w:lineRule="exact"/>
        <w:rPr>
          <w:sz w:val="20"/>
          <w:szCs w:val="20"/>
          <w:color w:val="auto"/>
        </w:rPr>
      </w:pPr>
    </w:p>
    <w:p>
      <w:pPr>
        <w:ind w:right="360"/>
        <w:spacing w:after="0" w:line="263" w:lineRule="auto"/>
        <w:rPr>
          <w:sz w:val="20"/>
          <w:szCs w:val="20"/>
          <w:color w:val="auto"/>
        </w:rPr>
      </w:pPr>
      <w:r>
        <w:rPr>
          <w:rFonts w:ascii="Arial" w:cs="Arial" w:eastAsia="Arial" w:hAnsi="Arial"/>
          <w:sz w:val="16"/>
          <w:szCs w:val="16"/>
          <w:color w:val="auto"/>
        </w:rPr>
        <w:t>Due to these circumstances, we have not been able to update our disclosure controls and procedures in a manner that adequately ensures the accumulation and communication to management of information known to FHFA that is needed to meet our disclosure obligations under the federal securities laws, including disclosures affecting our condensed consolidated financial statements. As a result, we did not maintain effective controls and procedures designed to ensure complete and accurate disclosure as required by GAAP as of September 30, 2026, or as of the date of filing this report. Based on discussions with FHFA and the structural nature of this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Mitigating Actions Related to Material Weakness</w:t>
      </w:r>
    </w:p>
    <w:p>
      <w:pPr>
        <w:spacing w:after="0" w:line="6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We and FHFA have engaged in the following practices intended to permit accumulation and communication to management of information needed to meet our disclosure obligations under the federal securities laws:</w:t>
      </w:r>
    </w:p>
    <w:p>
      <w:pPr>
        <w:spacing w:after="0" w:line="2" w:lineRule="exact"/>
        <w:rPr>
          <w:sz w:val="20"/>
          <w:szCs w:val="20"/>
          <w:color w:val="auto"/>
        </w:rPr>
      </w:pPr>
    </w:p>
    <w:p>
      <w:pPr>
        <w:ind w:left="620" w:hanging="307"/>
        <w:spacing w:after="0"/>
        <w:tabs>
          <w:tab w:leader="none" w:pos="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FHFA has established a process to facilitate operation of the company under the oversight of the conservator.</w:t>
      </w:r>
    </w:p>
    <w:p>
      <w:pPr>
        <w:spacing w:after="0" w:line="86" w:lineRule="exact"/>
        <w:rPr>
          <w:rFonts w:ascii="Arial" w:cs="Arial" w:eastAsia="Arial" w:hAnsi="Arial"/>
          <w:sz w:val="16"/>
          <w:szCs w:val="16"/>
          <w:color w:val="auto"/>
        </w:rPr>
      </w:pPr>
    </w:p>
    <w:p>
      <w:pPr>
        <w:ind w:left="620" w:right="80" w:hanging="307"/>
        <w:spacing w:after="0" w:line="266" w:lineRule="auto"/>
        <w:tabs>
          <w:tab w:leader="none" w:pos="612" w:val="left"/>
        </w:tabs>
        <w:numPr>
          <w:ilvl w:val="0"/>
          <w:numId w:val="91"/>
        </w:numPr>
        <w:rPr>
          <w:rFonts w:ascii="Arial" w:cs="Arial" w:eastAsia="Arial" w:hAnsi="Arial"/>
          <w:sz w:val="16"/>
          <w:szCs w:val="16"/>
          <w:color w:val="auto"/>
        </w:rPr>
      </w:pPr>
      <w:r>
        <w:rPr>
          <w:rFonts w:ascii="Arial" w:cs="Arial" w:eastAsia="Arial" w:hAnsi="Arial"/>
          <w:sz w:val="16"/>
          <w:szCs w:val="16"/>
          <w:color w:val="auto"/>
        </w:rPr>
        <w:t>FHFA personnel, including senior officials, have reviewed our quarterly and annual SEC filings prior to filing, including this quarterly report on Form 10-Q for the quarter ended September 30, 2026 (“Third Quarter 2026 Form 10-Q”), and engaged in discussions regarding issues associated with the information contained in those filings. Prior to filing our Third Quarter 2026 Form 10-Q, FHFA provided Fannie Mae management with written acknowledgment that it had reviewed the Third Quarter 2026 Form 10-Q, and it was not aware of any material misstatements or omissions in the Third Quarter 2026 Form 10-Q and had no objection to our filing the Third Quarter 2026 Form 10-Q.</w:t>
      </w:r>
    </w:p>
    <w:p>
      <w:pPr>
        <w:spacing w:after="0" w:line="37" w:lineRule="exact"/>
        <w:rPr>
          <w:rFonts w:ascii="Arial" w:cs="Arial" w:eastAsia="Arial" w:hAnsi="Arial"/>
          <w:sz w:val="16"/>
          <w:szCs w:val="16"/>
          <w:color w:val="auto"/>
        </w:rPr>
      </w:pPr>
    </w:p>
    <w:p>
      <w:pPr>
        <w:ind w:left="620" w:right="500" w:hanging="307"/>
        <w:spacing w:after="0" w:line="293" w:lineRule="auto"/>
        <w:tabs>
          <w:tab w:leader="none" w:pos="612" w:val="left"/>
        </w:tabs>
        <w:numPr>
          <w:ilvl w:val="0"/>
          <w:numId w:val="91"/>
        </w:numPr>
        <w:rPr>
          <w:rFonts w:ascii="Arial" w:cs="Arial" w:eastAsia="Arial" w:hAnsi="Arial"/>
          <w:sz w:val="16"/>
          <w:szCs w:val="16"/>
          <w:color w:val="auto"/>
        </w:rPr>
      </w:pPr>
      <w:r>
        <w:rPr>
          <w:rFonts w:ascii="Arial" w:cs="Arial" w:eastAsia="Arial" w:hAnsi="Arial"/>
          <w:sz w:val="16"/>
          <w:szCs w:val="16"/>
          <w:color w:val="auto"/>
        </w:rPr>
        <w:t>We have also provided FHFA personnel drafts of our Form 8-K filings, press releases, media statements, and certain executive speeches for review prior to filing or release.</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senior management meets regularly with senior leadership at FHFA. In addition, the FHFA Director serves as Chair of our Board of Directors.</w:t>
      </w:r>
    </w:p>
    <w:p>
      <w:pPr>
        <w:spacing w:after="0" w:line="99" w:lineRule="exact"/>
        <w:rPr>
          <w:rFonts w:ascii="Arial" w:cs="Arial" w:eastAsia="Arial" w:hAnsi="Arial"/>
          <w:sz w:val="16"/>
          <w:szCs w:val="16"/>
          <w:color w:val="auto"/>
        </w:rPr>
      </w:pPr>
    </w:p>
    <w:p>
      <w:pPr>
        <w:ind w:left="620" w:right="620" w:hanging="307"/>
        <w:spacing w:after="0" w:line="293" w:lineRule="auto"/>
        <w:tabs>
          <w:tab w:leader="none" w:pos="612" w:val="left"/>
        </w:tabs>
        <w:numPr>
          <w:ilvl w:val="0"/>
          <w:numId w:val="91"/>
        </w:numPr>
        <w:rPr>
          <w:rFonts w:ascii="Arial" w:cs="Arial" w:eastAsia="Arial" w:hAnsi="Arial"/>
          <w:sz w:val="16"/>
          <w:szCs w:val="16"/>
          <w:color w:val="auto"/>
        </w:rPr>
      </w:pPr>
      <w:r>
        <w:rPr>
          <w:rFonts w:ascii="Arial" w:cs="Arial" w:eastAsia="Arial" w:hAnsi="Arial"/>
          <w:sz w:val="16"/>
          <w:szCs w:val="16"/>
          <w:color w:val="auto"/>
        </w:rPr>
        <w:t>FHFA representatives attend meetings frequently with various groups within the company to enhance the flow of information and to provide oversight on a variety of matters, including accounting, credit and market risk management, external communications, and legal matters.</w:t>
      </w:r>
    </w:p>
    <w:p>
      <w:pPr>
        <w:spacing w:after="0" w:line="14" w:lineRule="exact"/>
        <w:rPr>
          <w:rFonts w:ascii="Arial" w:cs="Arial" w:eastAsia="Arial" w:hAnsi="Arial"/>
          <w:sz w:val="16"/>
          <w:szCs w:val="16"/>
          <w:color w:val="auto"/>
        </w:rPr>
      </w:pPr>
    </w:p>
    <w:p>
      <w:pPr>
        <w:ind w:left="620" w:right="500" w:hanging="307"/>
        <w:spacing w:after="0" w:line="293" w:lineRule="auto"/>
        <w:tabs>
          <w:tab w:leader="none" w:pos="612" w:val="left"/>
        </w:tabs>
        <w:numPr>
          <w:ilvl w:val="0"/>
          <w:numId w:val="91"/>
        </w:numPr>
        <w:rPr>
          <w:rFonts w:ascii="Arial" w:cs="Arial" w:eastAsia="Arial" w:hAnsi="Arial"/>
          <w:sz w:val="16"/>
          <w:szCs w:val="16"/>
          <w:color w:val="auto"/>
        </w:rPr>
      </w:pPr>
      <w:r>
        <w:rPr>
          <w:rFonts w:ascii="Arial" w:cs="Arial" w:eastAsia="Arial" w:hAnsi="Arial"/>
          <w:sz w:val="16"/>
          <w:szCs w:val="16"/>
          <w:color w:val="auto"/>
        </w:rPr>
        <w:t>Senior officials within FHFA’s Office of the Chief Accountant have met frequently with our senior finance executives regarding our accounting policies, practices, and procedures.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Changes in Internal Control Over Financial Reporting</w:t>
      </w:r>
    </w:p>
    <w:p>
      <w:pPr>
        <w:spacing w:after="0" w:line="63"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Management has evaluated, with the participation of our Chief Executive Officer and Chief Financial Officer, whether any changes in our internal control over financial reporting that occurred during our last fiscal quarter have materially affected, or are reasonably likely to materially affect, our internal control over financial reporting. There were no changes in our internal control over financial reporting from July 1, 2026 through September 30, 2026 that management believes have materially affected, or are reasonably likely to materially affect, our internal control over financial reporting.</w:t>
      </w:r>
    </w:p>
    <w:p>
      <w:pPr>
        <w:spacing w:after="0" w:line="33"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that we believe will improve these controls and increase efficiency, while continuing to ensure that we maintain effective internal controls. Changes may include implementing new, more efficient systems, automating manual processes, changes in personnel performing controls, and updating existing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356870</wp:posOffset>
            </wp:positionV>
            <wp:extent cx="713867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2026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105</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8" w:name="page109"/>
    <w:bookmarkEnd w:id="108"/>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940"/>
        <w:spacing w:after="0"/>
        <w:rPr>
          <w:sz w:val="20"/>
          <w:szCs w:val="20"/>
          <w:color w:val="auto"/>
        </w:rPr>
      </w:pPr>
      <w:r>
        <w:rPr>
          <w:rFonts w:ascii="Georgia" w:cs="Georgia" w:eastAsia="Georgia" w:hAnsi="Georgia"/>
          <w:sz w:val="31"/>
          <w:szCs w:val="31"/>
          <w:b w:val="1"/>
          <w:bCs w:val="1"/>
          <w:color w:val="05314D"/>
        </w:rPr>
        <w:t>PART II—OTHER INFORMATION</w:t>
      </w:r>
    </w:p>
    <w:p>
      <w:pPr>
        <w:spacing w:after="0" w:line="185"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Legal Proceedings</w:t>
      </w:r>
    </w:p>
    <w:p>
      <w:pPr>
        <w:spacing w:after="0" w:line="65"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information in this item supplements and updates information regarding certain legal proceedings set forth in “Legal Proceedings” in our 2025 Form 10-K, our Form 10-Q for the quarter ended March 31, 2026 and our Form 10-Q for the quarter ended June 30, 2026. We also provide information regarding material legal proceedings in “Note 14, Commitments and Contingencies,” which is incorporated herein by reference. In addition to the matters specifically described or incorporated by reference in this item, we are involved in legal and regulatory proceedings that arise in the ordinary course of business that we do not expect will have a material impact on our business or financial condition. However, litigation claims and proceedings of all types are subject to many factors and their outcome and effect on our business and financial condition generally cannot be predicted accurately.</w:t>
      </w:r>
    </w:p>
    <w:p>
      <w:pPr>
        <w:spacing w:after="0" w:line="5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establish an accrual for legal claims only when a loss is probable and we can reasonably estimate the amount of such loss. The actual costs of resolving legal claims may be substantially higher or lower than the amounts accrued for those claims. If certain of these matters are determined against us, FHFA or Treasury, it could have a material adverse effect on our results of operations, liquidity and financial condition, including our net worth.</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Senior Preferred Stock Purchase Agreements Litigation</w:t>
      </w:r>
    </w:p>
    <w:p>
      <w:pPr>
        <w:spacing w:after="0" w:line="6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Beginning in June 2013, lawsuits were filed in multiple federal courts by preferred and common stockholders of Fannie Mae and Freddie Mac against one or more of the United States, Treasury and FHFA, and in some cases Fannie Mae and Freddie Mac, challenging actions taken by the defendants relating to the Fannie Mae and Freddie Mac senior preferred stock purchase agreements and other matters. Most of these lawsuits have been resolved. The cases in which Fannie Mae is a defendant or that could impact Fannie Mae that remain pending or were terminated after June 30, 2026 are described below.</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i w:val="1"/>
          <w:iCs w:val="1"/>
          <w:color w:val="auto"/>
        </w:rPr>
        <w:t xml:space="preserve">District of Columbia (In re Fannie Mae/Freddie Mac Senior Preferred Stock Purchase Agreement Class Action Litigations and Fairholme Funds v. FHFA). </w:t>
      </w:r>
      <w:r>
        <w:rPr>
          <w:rFonts w:ascii="Arial" w:cs="Arial" w:eastAsia="Arial" w:hAnsi="Arial"/>
          <w:sz w:val="16"/>
          <w:szCs w:val="16"/>
          <w:color w:val="auto"/>
        </w:rPr>
        <w:t xml:space="preserve">Fannie Mae is a defendant in two cases filed in the U.S. District Court for the District of Columbia, including a consolidated class action. The cases were consolidated for trial, and on August 14, 2023, the jury returned a verdict for the plaintiffs and awarded damages of $299.4 million to Fannie Mae preferred stockholders. On March 20, 2024, the court entered final judgment and set the amount of prejudgment interest owed by Fannie Mae at $199.7 million. Defendants filed a notice of appeal on April 11, 2025, and plaintiffs filed a notice of cross-appeal on April 25, 2025. After briefing and oral argument, the U.S. Court of Appeals for the District of Columbia Circuit (the “D.C. Circuit”) affirmed the district court’s final judgment on July 24, 2026. Defendants filed a petition for rehearing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with the D.C. Circuit on September 8, 2026. On October 16, 2026, the D.C. Circuit denied the petition. Defendants may seek review by the U.S. Supreme Court by filing a petition within 90 days of the D.C. Circuit’s denial. See “Note 14, Commitments and Contingencies” for additional information.</w:t>
      </w:r>
    </w:p>
    <w:p>
      <w:pPr>
        <w:spacing w:after="0" w:line="4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 xml:space="preserve">Western District of Michigan (Rop et al. v. FHFA et al.). </w:t>
      </w:r>
      <w:r>
        <w:rPr>
          <w:rFonts w:ascii="Arial" w:cs="Arial" w:eastAsia="Arial" w:hAnsi="Arial"/>
          <w:sz w:val="16"/>
          <w:szCs w:val="16"/>
          <w:color w:val="auto"/>
        </w:rPr>
        <w:t>On June 1, 2017, preferred and common stockholders of Fannie Mae and Freddie Mac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for declaratory and injunctive relief against FHFA and Treasury in the U.S. District Court for the Western District of Michigan. FHFA and Treasury moved to dismiss the case on September 8, 2017, and plaintiffs filed a motion for summary judgment on October 6, 2017. On September 8, 2020, the court denied plaintiffs’ motion for summary judgment and granted defendants’ motion to dismiss. On October 4, 2022, the U.S. Court of Appeals for the Sixth Circuit reversed the dismissal and remanded the case to the district court to determine whether the stockholders suffered compensable harm. On February 2, 2023, plaintiffs filed a petition with the Supreme Court seeking review of the Sixth Circuit’s decision, which the Supreme Court denied on June 12, 2023. On August 11, 2023, plaintiffs submitted a motion for leave to file an amended complaint in the district court, which the court denied on December 11, 2024. On March 27, 2025, FHFA filed a motion for judgment on the pleadings seeking to dismiss this lawsuit. Treasury likewise filed a motion for judgment on the pleadings on March 28, 2025. On April 1, 2025, plaintiffs filed a motion for leave to amend their complaint. On March 11, 2026, the court denied plaintiffs’ motion for leave to amend their complaint, and granted FHFA’s and Treasury’s motions for judgment on the pleadings, dismissing the lawsuit. Plaintiffs filed a notice of appeal on May 7, 2026.</w:t>
      </w:r>
    </w:p>
    <w:p>
      <w:pPr>
        <w:spacing w:after="0" w:line="10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1A. Risk Factors</w:t>
      </w:r>
    </w:p>
    <w:p>
      <w:pPr>
        <w:spacing w:after="0" w:line="9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In addition to the information in this report, you should carefully consider the risks relating to our business that we identify in “Risk Factors” in our 2025 Form 10-K. Also refer to “MD&amp;A—Risk Management,” “MD&amp;A—Single-Family Business” and “MD&amp;A—Multifamily Business” in our 2025 Form 10-K and in this report for more detailed descriptions of the primary risks to our business and how we seek to manage those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356870</wp:posOffset>
            </wp:positionV>
            <wp:extent cx="713867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2026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106</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9" w:name="page110"/>
    <w:bookmarkEnd w:id="109"/>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risks we face could materially adversely affect our business, results of operations, financial condition, liquidity and net worth, and could cause our actual results to differ materially from our past results or the results contemplated by any forward-looking statements we make. We believe the risks described in the sections of this report and our 2025 Form 10-K referenced above are the most significant we face; however, these are not the only risks we face. We face additional risks and uncertainties not currently known to us or that we currently believe are immaterial.</w:t>
      </w:r>
    </w:p>
    <w:p>
      <w:pPr>
        <w:spacing w:after="0" w:line="86"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2. Unregistered Sales of Equity Securities and Use of Proceeds</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Common Stock</w:t>
      </w:r>
    </w:p>
    <w:p>
      <w:pPr>
        <w:spacing w:after="0" w:line="76"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Our common stock is traded in the over-the-counter market and quoted on the OTCQB, operated by OTC Markets Group Inc., under the ticker symbol “FNMA.”</w:t>
      </w:r>
    </w:p>
    <w:p>
      <w:pPr>
        <w:spacing w:after="0" w:line="3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Recent Sales of Unregistered Equity Securities</w:t>
      </w:r>
    </w:p>
    <w:p>
      <w:pPr>
        <w:spacing w:after="0" w:line="63"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Under the terms of our senior preferred stock purchase agreement with Treasury, we are prohibited from selling or issuing our equity interests without the prior written consent of Treasury except under limited circumstances, which are described in “Business—Conservatorship and Treasury Agreements— Treasury Agreements—Covenants” in our 2025 Form 10-K. During the quarter ended September 30, 2026, we did not sell any equity securities.</w:t>
      </w:r>
    </w:p>
    <w:p>
      <w:pPr>
        <w:spacing w:after="0" w:line="9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Information about Certain Securities Issuances by Fannie Mae</w:t>
      </w:r>
    </w:p>
    <w:p>
      <w:pPr>
        <w:spacing w:after="0" w:line="6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Pursuant to SEC regulations, public companies are required to disclose certain information when they incur a material direct financial obligation or become directly or contingently liable for a material obligation under an off-balance sheet arrangement. The disclosure must be made in a current report on Form 8-K under Item 2.03 or, if the obligation is incurred in connection with certain types of securities offerings, in prospectuses for that offering that are filed with the SEC.</w:t>
      </w:r>
    </w:p>
    <w:p>
      <w:pPr>
        <w:spacing w:after="0" w:line="48"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Because the securities we issue are exempted securities under the Securities Act of 1933, we do not file registration statements or prospectuses with the SEC with respect to our securities offerings. To comply with the disclosure requirements of Form 8-K relating to the incurrence of material financial obligations, in accordance with a “no-action” letter we received from the SEC staff in 2004, we report our incurrence of these types of obligations in offering circulars or prospectuses (or supplements thereto) that we post on our website within the same time period that a prospectus for a non-exempt securities offering would be required to be filed with the SEC. To the extent we incur a material financial obligation that is not disclosed in this manner, we would file a Form 8-K if required to do so under applicable Form 8-K requirements.</w:t>
      </w:r>
    </w:p>
    <w:p>
      <w:pPr>
        <w:spacing w:after="0" w:line="41" w:lineRule="exact"/>
        <w:rPr>
          <w:sz w:val="20"/>
          <w:szCs w:val="20"/>
          <w:color w:val="auto"/>
        </w:rPr>
      </w:pPr>
    </w:p>
    <w:p>
      <w:pPr>
        <w:ind w:right="460"/>
        <w:spacing w:after="0" w:line="272" w:lineRule="auto"/>
        <w:rPr>
          <w:sz w:val="20"/>
          <w:szCs w:val="20"/>
          <w:color w:val="auto"/>
        </w:rPr>
      </w:pPr>
      <w:r>
        <w:rPr>
          <w:rFonts w:ascii="Arial" w:cs="Arial" w:eastAsia="Arial" w:hAnsi="Arial"/>
          <w:sz w:val="16"/>
          <w:szCs w:val="16"/>
          <w:color w:val="auto"/>
        </w:rPr>
        <w:t>The website address for disclosure about our debt securities is www.fanniemae.com/debtsearch. From this address, investors can access the offering circular and related supplements for debt securities offerings under Fannie Mae’s universal debt facility, including pricing supplements for individual issuances of debt securities.</w:t>
      </w:r>
    </w:p>
    <w:p>
      <w:pPr>
        <w:spacing w:after="0" w:line="32"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auto"/>
        </w:rPr>
        <w:t>Disclosure about our obligations pursuant to the MBS we issue, some of which may be off-balance sheet obligations, can be found at www.fanniemae.com/mbsdisclosure. From this address, investors can access information and documents about our MBS, including prospectuses and related prospectus supplements.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We are providing our website address solely for your information. Information appearing on our website is not incorporated into this report.</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Our Purchases of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 did not repurchase any of our equity securities during the third quarter of 2026.</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Dividend Restrictions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Our payment of dividends is subject to the following restrictions:</w:t>
      </w:r>
    </w:p>
    <w:p>
      <w:pPr>
        <w:spacing w:after="0" w:line="8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i w:val="1"/>
          <w:iCs w:val="1"/>
          <w:color w:val="auto"/>
        </w:rPr>
        <w:t xml:space="preserve">Restrictions Relating to Conservatorship. </w:t>
      </w:r>
      <w:r>
        <w:rPr>
          <w:rFonts w:ascii="Arial" w:cs="Arial" w:eastAsia="Arial" w:hAnsi="Arial"/>
          <w:sz w:val="16"/>
          <w:szCs w:val="16"/>
          <w:color w:val="auto"/>
        </w:rPr>
        <w:t>Our conservator announced on September 7, 2008 that we would not pay any dividends on the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on any series of preferred stock, other than the senior preferred stock. In addition, FHFA’s regulations relating to conservatorship and receivership operations prohibit us from paying any dividends while in conservatorship unless authorized by the Director of FHFA. The Director of FHFA has directed us to make dividend payments on the senior preferred stock on a quarterly basis for every dividend period for which dividends were payable.</w:t>
      </w:r>
    </w:p>
    <w:p>
      <w:pPr>
        <w:spacing w:after="0" w:line="4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i w:val="1"/>
          <w:iCs w:val="1"/>
          <w:color w:val="auto"/>
        </w:rPr>
        <w:t xml:space="preserve">Restrictions Under Senior Preferred Stock Purchase Agreement and Senior Preferred Stock. </w:t>
      </w:r>
      <w:r>
        <w:rPr>
          <w:rFonts w:ascii="Arial" w:cs="Arial" w:eastAsia="Arial" w:hAnsi="Arial"/>
          <w:sz w:val="16"/>
          <w:szCs w:val="16"/>
          <w:color w:val="auto"/>
        </w:rPr>
        <w:t>The senior preferred stock purchase agreement prohibits us</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declaring or paying any dividends on Fannie Mae equity securities (other than the senior preferred stock) without the prior written consent of Treasury. In addition, the provisions of the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3867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2026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107</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10" w:name="page111"/>
    <w:bookmarkEnd w:id="110"/>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preferred stock provide for dividends each quarter through and including the capital reserve end date in the amount, if any, by which our net worth as of the end of the immediately preceding fiscal quarter exceeds an applicable capital reserve amount. The applicable capital reserve amount is the amount of adjusted total capital necessary for us to meet the capital requirements and buffers set forth in the enterprise regulatory capital framework. The capital reserve end date is defined as the last day of the second consecutive fiscal quarter during which we have had and maintained capital equal to, or in excess of, all of the capital requirements and buffers under the enterprise regulatory capital framework. After the capital reserve end date, the amount of quarterly dividends to Treasury will be equal to the lesser of any quarterly increase in our net worth and a 10% annual rate on the then-current liquidation preference of the senior preferred stock. For more information on the terms of the senior preferred stock purchase agreement and senior preferred stock, see “Business—Conservatorship and Treasury Agreements” in our 2025 Form 10-K.</w:t>
      </w:r>
    </w:p>
    <w:p>
      <w:pPr>
        <w:spacing w:after="0" w:line="56" w:lineRule="exact"/>
        <w:rPr>
          <w:sz w:val="20"/>
          <w:szCs w:val="20"/>
          <w:color w:val="auto"/>
        </w:rPr>
      </w:pPr>
    </w:p>
    <w:p>
      <w:pPr>
        <w:ind w:right="380"/>
        <w:spacing w:after="0" w:line="272" w:lineRule="auto"/>
        <w:rPr>
          <w:sz w:val="20"/>
          <w:szCs w:val="20"/>
          <w:color w:val="auto"/>
        </w:rPr>
      </w:pPr>
      <w:r>
        <w:rPr>
          <w:rFonts w:ascii="Arial" w:cs="Arial" w:eastAsia="Arial" w:hAnsi="Arial"/>
          <w:sz w:val="16"/>
          <w:szCs w:val="16"/>
          <w:i w:val="1"/>
          <w:iCs w:val="1"/>
          <w:color w:val="auto"/>
        </w:rPr>
        <w:t xml:space="preserve">Additional Restrictions Relating to Preferred Stock. </w:t>
      </w:r>
      <w:r>
        <w:rPr>
          <w:rFonts w:ascii="Arial" w:cs="Arial" w:eastAsia="Arial" w:hAnsi="Arial"/>
          <w:sz w:val="16"/>
          <w:szCs w:val="16"/>
          <w:color w:val="auto"/>
        </w:rPr>
        <w:t>Payment of dividends on our common stock is also subject to the prior payment of dividends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our senior preferred stock. Payment of dividends on all outstanding preferred stock, other than the senior preferred stock, is also subject to the prior payment of dividends on the senior preferred stock.</w:t>
      </w:r>
    </w:p>
    <w:p>
      <w:pPr>
        <w:spacing w:after="0" w:line="3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Statutory Restrictions. </w:t>
      </w:r>
      <w:r>
        <w:rPr>
          <w:rFonts w:ascii="Arial" w:cs="Arial" w:eastAsia="Arial" w:hAnsi="Arial"/>
          <w:sz w:val="16"/>
          <w:szCs w:val="16"/>
          <w:color w:val="auto"/>
        </w:rPr>
        <w:t>Under the GSE Act, we are not permitted to make a capital distribution (including the payment of dividends) if, after making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we would be undercapitalized. The Director of FHFA, however, may permit us to repurchase shares if the repurchase is made in connection with the issuance of additional shares or obligations in at least an equivalent amount and will reduce our financial obligations or otherwise improve our financial condition. The GSE Act also provides that: (1) if we are classified as undercapitalized, we may not make a capital distribution that would result in our reclassification as significantly or critically undercapitalized; and (2) if we are classified as significantly undercapitalized, we may not make a capital distribution that would result in our reclassification as critically undercapitalized and we may not make any other capital distribution without the approval of the Director of FHFA. Our capital classifications have been suspended during conservatorship. In addition, under the Charter Act, we must obtain the prior written approval of FHFA to make a capital distribution that would decrease our total capital to an amount less than the risk-based capital level or that would decrease our core capital to an amount less than the minimum capital level.</w:t>
      </w:r>
    </w:p>
    <w:p>
      <w:pPr>
        <w:spacing w:after="0" w:line="43"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i w:val="1"/>
          <w:iCs w:val="1"/>
          <w:color w:val="auto"/>
        </w:rPr>
        <w:t xml:space="preserve">Restrictions Under Enterprise Regulatory Capital Framework. </w:t>
      </w:r>
      <w:r>
        <w:rPr>
          <w:rFonts w:ascii="Arial" w:cs="Arial" w:eastAsia="Arial" w:hAnsi="Arial"/>
          <w:sz w:val="16"/>
          <w:szCs w:val="16"/>
          <w:color w:val="auto"/>
        </w:rPr>
        <w:t>The enterprise regulatory capital framework rule establishes capital planning and prior notice</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approval requirements for capital distributions. In addition, while not currently applicable, our payment of dividends and capital distributions will be subject to the following restrictions under the enterprise regulatory capital framework effective on the date of termination of our conservatorship:</w:t>
      </w:r>
    </w:p>
    <w:p>
      <w:pPr>
        <w:spacing w:after="0" w:line="3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During a calendar quarter, we will not be permitted to pay dividends or make any other capital distributions (or create an obligation to make such distributions) that, in the aggregate, exceed the amount equal to our eligible retained income for the quarter multiplied by our maximum payout ratio. The maximum payout ratio for a given quarter is the lowest of the payout ratios determined by our capital conservation buffer and our leverage buffer. We will not be subject to this limitation on distributions if we have a capital conservation buffer that is greater than our prescribed capital conservation buffer amount and a leverage buffer that is greater than our prescribed leverage buffer amount. Notwithstanding the above-described limitations, FHFA may permit us to make a distribution upon our request, if FHFA determines that the distribution would not be contrary to the purposes of this section of the enterprise regulatory capital framework or to our safety and soundness. We will not be permitted to make any distributions during a quarter if our eligible retained income is negative and either (a) our capital conservation buffer is less than our stress capital buffer or (b) our leverage buffer is less than our prescribed leverage buffer amount.</w:t>
      </w:r>
    </w:p>
    <w:p>
      <w:pPr>
        <w:spacing w:after="0" w:line="296"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Defaults Upon Senior Securities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Mine Safety Disclosures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53"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5. Other Information</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Trading Arrangements</w:t>
      </w:r>
    </w:p>
    <w:p>
      <w:pPr>
        <w:spacing w:after="0" w:line="63"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auto"/>
        </w:rPr>
        <w:t>During the quarter ended September 30, 2026, no Fannie Mae director or officer (as that term is defined by the SEC in Rule 16a-1(f) under the Exchange Act) adopted or terminated a Rule 10b5-1 trading arrangement or a non-Rule 10b5-1 trading arrangement for transactions in Fannie Mae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342265</wp:posOffset>
            </wp:positionV>
            <wp:extent cx="713867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2026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108</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11" w:name="page112"/>
    <w:bookmarkEnd w:id="111"/>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6. Exhibits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below are being filed or furnished with or incorporated by reference into this report.</w:t>
      </w:r>
    </w:p>
    <w:p>
      <w:pPr>
        <w:spacing w:after="0" w:line="1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Arial" w:cs="Arial" w:eastAsia="Arial" w:hAnsi="Arial"/>
                <w:sz w:val="15"/>
                <w:szCs w:val="15"/>
                <w:b w:val="1"/>
                <w:bCs w:val="1"/>
                <w:color w:val="auto"/>
                <w:w w:val="97"/>
              </w:rPr>
              <w:t>Item</w:t>
            </w:r>
          </w:p>
        </w:tc>
        <w:tc>
          <w:tcPr>
            <w:tcW w:w="1060" w:type="dxa"/>
            <w:vAlign w:val="bottom"/>
          </w:tcPr>
          <w:p>
            <w:pPr>
              <w:spacing w:after="0"/>
              <w:rPr>
                <w:sz w:val="14"/>
                <w:szCs w:val="14"/>
                <w:color w:val="auto"/>
              </w:rPr>
            </w:pPr>
          </w:p>
        </w:tc>
        <w:tc>
          <w:tcPr>
            <w:tcW w:w="9600" w:type="dxa"/>
            <w:vAlign w:val="bottom"/>
            <w:gridSpan w:val="10"/>
          </w:tcPr>
          <w:p>
            <w:pPr>
              <w:ind w:left="4420"/>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9"/>
        </w:trPr>
        <w:tc>
          <w:tcPr>
            <w:tcW w:w="320" w:type="dxa"/>
            <w:vAlign w:val="bottom"/>
          </w:tcPr>
          <w:p>
            <w:pPr>
              <w:spacing w:after="0"/>
              <w:rPr>
                <w:sz w:val="20"/>
                <w:szCs w:val="20"/>
                <w:color w:val="auto"/>
              </w:rPr>
            </w:pPr>
            <w:r>
              <w:rPr>
                <w:rFonts w:ascii="Arial" w:cs="Arial" w:eastAsia="Arial" w:hAnsi="Arial"/>
                <w:sz w:val="15"/>
                <w:szCs w:val="15"/>
                <w:color w:val="auto"/>
              </w:rPr>
              <w:t>3.1</w:t>
            </w:r>
          </w:p>
        </w:tc>
        <w:tc>
          <w:tcPr>
            <w:tcW w:w="1060" w:type="dxa"/>
            <w:vAlign w:val="bottom"/>
          </w:tcPr>
          <w:p>
            <w:pPr>
              <w:spacing w:after="0"/>
              <w:rPr>
                <w:sz w:val="17"/>
                <w:szCs w:val="17"/>
                <w:color w:val="auto"/>
              </w:rPr>
            </w:pPr>
          </w:p>
        </w:tc>
        <w:tc>
          <w:tcPr>
            <w:tcW w:w="9600" w:type="dxa"/>
            <w:vAlign w:val="bottom"/>
            <w:gridSpan w:val="10"/>
          </w:tcPr>
          <w:p>
            <w:pPr>
              <w:spacing w:after="0"/>
              <w:rPr>
                <w:rFonts w:ascii="Arial" w:cs="Arial" w:eastAsia="Arial" w:hAnsi="Arial"/>
                <w:sz w:val="15"/>
                <w:szCs w:val="15"/>
                <w:color w:val="0000FF"/>
              </w:rPr>
            </w:pPr>
            <w:hyperlink r:id="rId608">
              <w:r>
                <w:rPr>
                  <w:rFonts w:ascii="Arial" w:cs="Arial" w:eastAsia="Arial" w:hAnsi="Arial"/>
                  <w:sz w:val="15"/>
                  <w:szCs w:val="15"/>
                  <w:color w:val="0000FF"/>
                </w:rPr>
                <w:t>Fannie Mae Charter Act (12 U.S.C. § 1716 et seq.) as amended through July 25, 2019 (Incorporated by reference to Exhibit 3.1 to Fannie</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0" w:type="dxa"/>
            <w:vAlign w:val="bottom"/>
            <w:tcBorders>
              <w:top w:val="single" w:sz="8" w:color="0000FF"/>
            </w:tcBorders>
            <w:gridSpan w:val="9"/>
          </w:tcPr>
          <w:p>
            <w:pPr>
              <w:spacing w:after="0" w:line="135" w:lineRule="exact"/>
              <w:rPr>
                <w:rFonts w:ascii="Arial" w:cs="Arial" w:eastAsia="Arial" w:hAnsi="Arial"/>
                <w:sz w:val="15"/>
                <w:szCs w:val="15"/>
                <w:color w:val="0000FF"/>
              </w:rPr>
            </w:pPr>
            <w:hyperlink r:id="rId608">
              <w:r>
                <w:rPr>
                  <w:rFonts w:ascii="Arial" w:cs="Arial" w:eastAsia="Arial" w:hAnsi="Arial"/>
                  <w:sz w:val="15"/>
                  <w:szCs w:val="15"/>
                  <w:color w:val="0000FF"/>
                </w:rPr>
                <w:t>Mae’s Quarterly Report on Form 10-Q for the quarter ended September 30, 2019, filed October 31, 2019.)</w:t>
              </w:r>
            </w:hyperlink>
          </w:p>
        </w:tc>
        <w:tc>
          <w:tcPr>
            <w:tcW w:w="200" w:type="dxa"/>
            <w:vAlign w:val="bottom"/>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99"/>
        </w:trPr>
        <w:tc>
          <w:tcPr>
            <w:tcW w:w="320" w:type="dxa"/>
            <w:vAlign w:val="bottom"/>
          </w:tcPr>
          <w:p>
            <w:pPr>
              <w:spacing w:after="0"/>
              <w:rPr>
                <w:sz w:val="20"/>
                <w:szCs w:val="20"/>
                <w:color w:val="auto"/>
              </w:rPr>
            </w:pPr>
            <w:r>
              <w:rPr>
                <w:rFonts w:ascii="Arial" w:cs="Arial" w:eastAsia="Arial" w:hAnsi="Arial"/>
                <w:sz w:val="15"/>
                <w:szCs w:val="15"/>
                <w:color w:val="auto"/>
              </w:rPr>
              <w:t>3.2</w:t>
            </w:r>
          </w:p>
        </w:tc>
        <w:tc>
          <w:tcPr>
            <w:tcW w:w="1060" w:type="dxa"/>
            <w:vAlign w:val="bottom"/>
          </w:tcPr>
          <w:p>
            <w:pPr>
              <w:spacing w:after="0"/>
              <w:rPr>
                <w:sz w:val="17"/>
                <w:szCs w:val="17"/>
                <w:color w:val="auto"/>
              </w:rPr>
            </w:pPr>
          </w:p>
        </w:tc>
        <w:tc>
          <w:tcPr>
            <w:tcW w:w="9600" w:type="dxa"/>
            <w:vAlign w:val="bottom"/>
            <w:gridSpan w:val="10"/>
          </w:tcPr>
          <w:p>
            <w:pPr>
              <w:spacing w:after="0"/>
              <w:rPr>
                <w:rFonts w:ascii="Arial" w:cs="Arial" w:eastAsia="Arial" w:hAnsi="Arial"/>
                <w:sz w:val="15"/>
                <w:szCs w:val="15"/>
                <w:color w:val="0000FF"/>
              </w:rPr>
            </w:pPr>
            <w:hyperlink r:id="rId609">
              <w:r>
                <w:rPr>
                  <w:rFonts w:ascii="Arial" w:cs="Arial" w:eastAsia="Arial" w:hAnsi="Arial"/>
                  <w:sz w:val="15"/>
                  <w:szCs w:val="15"/>
                  <w:color w:val="0000FF"/>
                </w:rPr>
                <w:t>Fannie Mae Bylaws, as amended through January 29, 2019 (Incorporated by reference to Exhibit 3.2 to Fannie Mae’s Annual Report on</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300" w:type="dxa"/>
            <w:vAlign w:val="bottom"/>
            <w:tcBorders>
              <w:top w:val="single" w:sz="8" w:color="0000FF"/>
            </w:tcBorders>
            <w:gridSpan w:val="8"/>
          </w:tcPr>
          <w:p>
            <w:pPr>
              <w:spacing w:after="0" w:line="135" w:lineRule="exact"/>
              <w:rPr>
                <w:rFonts w:ascii="Arial" w:cs="Arial" w:eastAsia="Arial" w:hAnsi="Arial"/>
                <w:sz w:val="15"/>
                <w:szCs w:val="15"/>
                <w:color w:val="0000FF"/>
              </w:rPr>
            </w:pPr>
            <w:hyperlink r:id="rId609">
              <w:r>
                <w:rPr>
                  <w:rFonts w:ascii="Arial" w:cs="Arial" w:eastAsia="Arial" w:hAnsi="Arial"/>
                  <w:sz w:val="15"/>
                  <w:szCs w:val="15"/>
                  <w:color w:val="0000FF"/>
                </w:rPr>
                <w:t>Form 10-K for the year ended December 31, 2018, filed February 14, 2019.)</w:t>
              </w:r>
            </w:hyperlink>
          </w:p>
        </w:tc>
        <w:tc>
          <w:tcPr>
            <w:tcW w:w="300" w:type="dxa"/>
            <w:vAlign w:val="bottom"/>
            <w:gridSpan w:val="2"/>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r>
      <w:tr>
        <w:trPr>
          <w:trHeight w:val="199"/>
        </w:trPr>
        <w:tc>
          <w:tcPr>
            <w:tcW w:w="320" w:type="dxa"/>
            <w:vAlign w:val="bottom"/>
          </w:tcPr>
          <w:p>
            <w:pPr>
              <w:spacing w:after="0"/>
              <w:rPr>
                <w:sz w:val="20"/>
                <w:szCs w:val="20"/>
                <w:color w:val="auto"/>
              </w:rPr>
            </w:pPr>
            <w:r>
              <w:rPr>
                <w:rFonts w:ascii="Arial" w:cs="Arial" w:eastAsia="Arial" w:hAnsi="Arial"/>
                <w:sz w:val="15"/>
                <w:szCs w:val="15"/>
                <w:color w:val="auto"/>
              </w:rPr>
              <w:t>31.1</w:t>
            </w:r>
          </w:p>
        </w:tc>
        <w:tc>
          <w:tcPr>
            <w:tcW w:w="1060" w:type="dxa"/>
            <w:vAlign w:val="bottom"/>
          </w:tcPr>
          <w:p>
            <w:pPr>
              <w:spacing w:after="0"/>
              <w:rPr>
                <w:sz w:val="17"/>
                <w:szCs w:val="17"/>
                <w:color w:val="auto"/>
              </w:rPr>
            </w:pPr>
          </w:p>
        </w:tc>
        <w:tc>
          <w:tcPr>
            <w:tcW w:w="9600" w:type="dxa"/>
            <w:vAlign w:val="bottom"/>
            <w:gridSpan w:val="10"/>
          </w:tcPr>
          <w:p>
            <w:pPr>
              <w:spacing w:after="0"/>
              <w:rPr>
                <w:sz w:val="20"/>
                <w:szCs w:val="20"/>
                <w:color w:val="auto"/>
              </w:rPr>
            </w:pPr>
            <w:r>
              <w:rPr>
                <w:rFonts w:ascii="Arial" w:cs="Arial" w:eastAsia="Arial" w:hAnsi="Arial"/>
                <w:sz w:val="15"/>
                <w:szCs w:val="15"/>
                <w:color w:val="0000FF"/>
              </w:rPr>
              <w:t>Certification of Chief Executive Officer pursuant to Securities Exchange Act Rule 13a-14(a)</w:t>
            </w:r>
          </w:p>
        </w:tc>
      </w:tr>
      <w:tr>
        <w:trPr>
          <w:trHeight w:val="199"/>
        </w:trPr>
        <w:tc>
          <w:tcPr>
            <w:tcW w:w="320" w:type="dxa"/>
            <w:vAlign w:val="bottom"/>
          </w:tcPr>
          <w:p>
            <w:pPr>
              <w:spacing w:after="0"/>
              <w:rPr>
                <w:sz w:val="20"/>
                <w:szCs w:val="20"/>
                <w:color w:val="auto"/>
              </w:rPr>
            </w:pPr>
            <w:r>
              <w:rPr>
                <w:rFonts w:ascii="Arial" w:cs="Arial" w:eastAsia="Arial" w:hAnsi="Arial"/>
                <w:sz w:val="15"/>
                <w:szCs w:val="15"/>
                <w:color w:val="auto"/>
              </w:rPr>
              <w:t>31.2</w:t>
            </w:r>
          </w:p>
        </w:tc>
        <w:tc>
          <w:tcPr>
            <w:tcW w:w="1060" w:type="dxa"/>
            <w:vAlign w:val="bottom"/>
          </w:tcPr>
          <w:p>
            <w:pPr>
              <w:spacing w:after="0"/>
              <w:rPr>
                <w:sz w:val="17"/>
                <w:szCs w:val="17"/>
                <w:color w:val="auto"/>
              </w:rPr>
            </w:pPr>
          </w:p>
        </w:tc>
        <w:tc>
          <w:tcPr>
            <w:tcW w:w="6220" w:type="dxa"/>
            <w:vAlign w:val="bottom"/>
            <w:tcBorders>
              <w:top w:val="single" w:sz="8" w:color="0000FF"/>
            </w:tcBorders>
            <w:gridSpan w:val="6"/>
          </w:tcPr>
          <w:p>
            <w:pPr>
              <w:spacing w:after="0"/>
              <w:rPr>
                <w:sz w:val="20"/>
                <w:szCs w:val="20"/>
                <w:color w:val="auto"/>
              </w:rPr>
            </w:pPr>
            <w:r>
              <w:rPr>
                <w:rFonts w:ascii="Arial" w:cs="Arial" w:eastAsia="Arial" w:hAnsi="Arial"/>
                <w:sz w:val="15"/>
                <w:szCs w:val="15"/>
                <w:color w:val="0000FF"/>
              </w:rPr>
              <w:t>Certification of Chief Financial Officer pursuant to Securities Exchange Act Rule 13a-14(a)</w:t>
            </w:r>
          </w:p>
        </w:tc>
        <w:tc>
          <w:tcPr>
            <w:tcW w:w="3380" w:type="dxa"/>
            <w:vAlign w:val="bottom"/>
            <w:gridSpan w:val="4"/>
          </w:tcPr>
          <w:p>
            <w:pPr>
              <w:spacing w:after="0"/>
              <w:rPr>
                <w:sz w:val="17"/>
                <w:szCs w:val="17"/>
                <w:color w:val="auto"/>
              </w:rPr>
            </w:pPr>
          </w:p>
        </w:tc>
      </w:tr>
      <w:tr>
        <w:trPr>
          <w:trHeight w:val="199"/>
        </w:trPr>
        <w:tc>
          <w:tcPr>
            <w:tcW w:w="320" w:type="dxa"/>
            <w:vAlign w:val="bottom"/>
          </w:tcPr>
          <w:p>
            <w:pPr>
              <w:spacing w:after="0"/>
              <w:rPr>
                <w:sz w:val="20"/>
                <w:szCs w:val="20"/>
                <w:color w:val="auto"/>
              </w:rPr>
            </w:pPr>
            <w:r>
              <w:rPr>
                <w:rFonts w:ascii="Arial" w:cs="Arial" w:eastAsia="Arial" w:hAnsi="Arial"/>
                <w:sz w:val="15"/>
                <w:szCs w:val="15"/>
                <w:color w:val="auto"/>
              </w:rPr>
              <w:t>32.1</w:t>
            </w:r>
          </w:p>
        </w:tc>
        <w:tc>
          <w:tcPr>
            <w:tcW w:w="1060" w:type="dxa"/>
            <w:vAlign w:val="bottom"/>
          </w:tcPr>
          <w:p>
            <w:pPr>
              <w:spacing w:after="0"/>
              <w:rPr>
                <w:sz w:val="17"/>
                <w:szCs w:val="17"/>
                <w:color w:val="auto"/>
              </w:rPr>
            </w:pPr>
          </w:p>
        </w:tc>
        <w:tc>
          <w:tcPr>
            <w:tcW w:w="6160" w:type="dxa"/>
            <w:vAlign w:val="bottom"/>
            <w:tcBorders>
              <w:top w:val="single" w:sz="8" w:color="0000FF"/>
            </w:tcBorders>
            <w:gridSpan w:val="5"/>
          </w:tcPr>
          <w:p>
            <w:pPr>
              <w:spacing w:after="0"/>
              <w:rPr>
                <w:sz w:val="20"/>
                <w:szCs w:val="20"/>
                <w:color w:val="auto"/>
              </w:rPr>
            </w:pPr>
            <w:r>
              <w:rPr>
                <w:rFonts w:ascii="Arial" w:cs="Arial" w:eastAsia="Arial" w:hAnsi="Arial"/>
                <w:sz w:val="15"/>
                <w:szCs w:val="15"/>
                <w:color w:val="0000FF"/>
              </w:rPr>
              <w:t>Certification of Chief Executive Officer pursuant to 18 U.S.C. Section 1350</w:t>
            </w:r>
          </w:p>
        </w:tc>
        <w:tc>
          <w:tcPr>
            <w:tcW w:w="3440" w:type="dxa"/>
            <w:vAlign w:val="bottom"/>
            <w:gridSpan w:val="5"/>
          </w:tcPr>
          <w:p>
            <w:pPr>
              <w:spacing w:after="0"/>
              <w:rPr>
                <w:sz w:val="17"/>
                <w:szCs w:val="17"/>
                <w:color w:val="auto"/>
              </w:rPr>
            </w:pPr>
          </w:p>
        </w:tc>
      </w:tr>
      <w:tr>
        <w:trPr>
          <w:trHeight w:val="199"/>
        </w:trPr>
        <w:tc>
          <w:tcPr>
            <w:tcW w:w="320" w:type="dxa"/>
            <w:vAlign w:val="bottom"/>
          </w:tcPr>
          <w:p>
            <w:pPr>
              <w:spacing w:after="0"/>
              <w:rPr>
                <w:sz w:val="20"/>
                <w:szCs w:val="20"/>
                <w:color w:val="auto"/>
              </w:rPr>
            </w:pPr>
            <w:r>
              <w:rPr>
                <w:rFonts w:ascii="Arial" w:cs="Arial" w:eastAsia="Arial" w:hAnsi="Arial"/>
                <w:sz w:val="15"/>
                <w:szCs w:val="15"/>
                <w:color w:val="auto"/>
              </w:rPr>
              <w:t>32.2</w:t>
            </w:r>
          </w:p>
        </w:tc>
        <w:tc>
          <w:tcPr>
            <w:tcW w:w="1060" w:type="dxa"/>
            <w:vAlign w:val="bottom"/>
          </w:tcPr>
          <w:p>
            <w:pPr>
              <w:spacing w:after="0"/>
              <w:rPr>
                <w:sz w:val="17"/>
                <w:szCs w:val="17"/>
                <w:color w:val="auto"/>
              </w:rPr>
            </w:pPr>
          </w:p>
        </w:tc>
        <w:tc>
          <w:tcPr>
            <w:tcW w:w="50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5"/>
                <w:szCs w:val="15"/>
                <w:color w:val="0000FF"/>
              </w:rPr>
              <w:t>Certification of Chief Financial Officer pursuant to 18 U.S.C. Section 1350</w:t>
            </w:r>
          </w:p>
        </w:tc>
        <w:tc>
          <w:tcPr>
            <w:tcW w:w="40" w:type="dxa"/>
            <w:vAlign w:val="bottom"/>
            <w:tcBorders>
              <w:top w:val="single" w:sz="8" w:color="0000FF"/>
            </w:tcBorders>
          </w:tcPr>
          <w:p>
            <w:pPr>
              <w:spacing w:after="0"/>
              <w:rPr>
                <w:sz w:val="17"/>
                <w:szCs w:val="17"/>
                <w:color w:val="auto"/>
              </w:rPr>
            </w:pPr>
          </w:p>
        </w:tc>
        <w:tc>
          <w:tcPr>
            <w:tcW w:w="4520" w:type="dxa"/>
            <w:vAlign w:val="bottom"/>
            <w:gridSpan w:val="7"/>
          </w:tcPr>
          <w:p>
            <w:pPr>
              <w:spacing w:after="0"/>
              <w:rPr>
                <w:sz w:val="17"/>
                <w:szCs w:val="17"/>
                <w:color w:val="auto"/>
              </w:rPr>
            </w:pPr>
          </w:p>
        </w:tc>
      </w:tr>
      <w:tr>
        <w:trPr>
          <w:trHeight w:val="187"/>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INS</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w:t>
            </w:r>
          </w:p>
        </w:tc>
      </w:tr>
      <w:tr>
        <w:trPr>
          <w:trHeight w:val="204"/>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0" w:type="dxa"/>
            <w:vAlign w:val="bottom"/>
            <w:gridSpan w:val="10"/>
          </w:tcPr>
          <w:p>
            <w:pPr>
              <w:spacing w:after="0"/>
              <w:rPr>
                <w:sz w:val="20"/>
                <w:szCs w:val="20"/>
                <w:color w:val="auto"/>
              </w:rPr>
            </w:pPr>
            <w:r>
              <w:rPr>
                <w:rFonts w:ascii="Arial" w:cs="Arial" w:eastAsia="Arial" w:hAnsi="Arial"/>
                <w:sz w:val="15"/>
                <w:szCs w:val="15"/>
                <w:color w:val="auto"/>
              </w:rPr>
              <w:t>within the Inline XBRL document</w:t>
            </w:r>
          </w:p>
        </w:tc>
      </w:tr>
      <w:tr>
        <w:trPr>
          <w:trHeight w:val="219"/>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SCH</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Schema*</w:t>
            </w:r>
          </w:p>
        </w:tc>
      </w:tr>
      <w:tr>
        <w:trPr>
          <w:trHeight w:val="219"/>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CAL</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Calculation*</w:t>
            </w:r>
          </w:p>
        </w:tc>
      </w:tr>
      <w:tr>
        <w:trPr>
          <w:trHeight w:val="219"/>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DEF</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Definition*</w:t>
            </w:r>
          </w:p>
        </w:tc>
      </w:tr>
      <w:tr>
        <w:trPr>
          <w:trHeight w:val="219"/>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LAB</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Label*</w:t>
            </w:r>
          </w:p>
        </w:tc>
      </w:tr>
      <w:tr>
        <w:trPr>
          <w:trHeight w:val="219"/>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PRE</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Presentation*</w:t>
            </w:r>
          </w:p>
        </w:tc>
      </w:tr>
    </w:tbl>
    <w:p>
      <w:pPr>
        <w:spacing w:after="0" w:line="15" w:lineRule="exact"/>
        <w:rPr>
          <w:sz w:val="20"/>
          <w:szCs w:val="20"/>
          <w:color w:val="auto"/>
        </w:rPr>
      </w:pPr>
    </w:p>
    <w:p>
      <w:pPr>
        <w:ind w:left="160" w:right="4220" w:firstLine="15"/>
        <w:spacing w:after="0" w:line="516" w:lineRule="auto"/>
        <w:tabs>
          <w:tab w:leader="none" w:pos="1569" w:val="left"/>
        </w:tabs>
        <w:numPr>
          <w:ilvl w:val="1"/>
          <w:numId w:val="92"/>
        </w:numPr>
        <w:rPr>
          <w:rFonts w:ascii="Arial" w:cs="Arial" w:eastAsia="Arial" w:hAnsi="Arial"/>
          <w:sz w:val="15"/>
          <w:szCs w:val="15"/>
          <w:color w:val="auto"/>
        </w:rPr>
      </w:pPr>
      <w:r>
        <w:rPr>
          <w:rFonts w:ascii="Arial" w:cs="Arial" w:eastAsia="Arial" w:hAnsi="Arial"/>
          <w:sz w:val="15"/>
          <w:szCs w:val="15"/>
          <w:color w:val="auto"/>
        </w:rPr>
        <w:t xml:space="preserve">Cover Page Interactive Data File* (embedded within the Inline XBRL document) </w:t>
      </w:r>
      <w:r>
        <w:rPr>
          <w:rFonts w:ascii="Arial" w:cs="Arial" w:eastAsia="Arial" w:hAnsi="Arial"/>
          <w:sz w:val="16"/>
          <w:szCs w:val="16"/>
          <w:color w:val="auto"/>
        </w:rPr>
        <w:t>* The financial information contained in these Inline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250190</wp:posOffset>
            </wp:positionV>
            <wp:extent cx="713867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2026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109</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12" w:name="page113"/>
    <w:bookmarkEnd w:id="112"/>
    <w:p>
      <w:pPr>
        <w:jc w:val="right"/>
        <w:ind w:right="120"/>
        <w:spacing w:after="0"/>
        <w:rPr>
          <w:sz w:val="20"/>
          <w:szCs w:val="20"/>
          <w:color w:val="auto"/>
        </w:rPr>
      </w:pPr>
      <w:r>
        <w:rPr>
          <w:rFonts w:ascii="Arial" w:cs="Arial" w:eastAsia="Arial" w:hAnsi="Arial"/>
          <w:sz w:val="14"/>
          <w:szCs w:val="14"/>
          <w:color w:val="05314D"/>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Georgia" w:cs="Georgia" w:eastAsia="Georgia" w:hAnsi="Georgia"/>
          <w:sz w:val="21"/>
          <w:szCs w:val="21"/>
          <w:b w:val="1"/>
          <w:bCs w:val="1"/>
          <w:color w:val="auto"/>
        </w:rPr>
        <w:t>SIGNATURES</w:t>
      </w:r>
    </w:p>
    <w:p>
      <w:pPr>
        <w:spacing w:after="0" w:line="140" w:lineRule="exact"/>
        <w:rPr>
          <w:sz w:val="20"/>
          <w:szCs w:val="20"/>
          <w:color w:val="auto"/>
        </w:rPr>
      </w:pPr>
    </w:p>
    <w:p>
      <w:pPr>
        <w:ind w:right="880"/>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98"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Federal National Mortgage Association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40"/>
        <w:spacing w:after="0"/>
        <w:tabs>
          <w:tab w:leader="none" w:pos="68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Peter Akwaboah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4">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156"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Peter Akwaboah</w:t>
      </w:r>
    </w:p>
    <w:p>
      <w:pPr>
        <w:ind w:left="6820"/>
        <w:spacing w:after="0" w:line="227" w:lineRule="auto"/>
        <w:rPr>
          <w:sz w:val="20"/>
          <w:szCs w:val="20"/>
          <w:color w:val="auto"/>
        </w:rPr>
      </w:pPr>
      <w:r>
        <w:rPr>
          <w:rFonts w:ascii="Arial" w:cs="Arial" w:eastAsia="Arial" w:hAnsi="Arial"/>
          <w:sz w:val="15"/>
          <w:szCs w:val="15"/>
          <w:color w:val="auto"/>
        </w:rPr>
        <w:t>Acting Chief Executive Officer, and</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Executive Vice President and Chief Operating Officer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 October 28, 2026</w:t>
      </w:r>
    </w:p>
    <w:p>
      <w:pPr>
        <w:spacing w:after="0" w:line="148" w:lineRule="exact"/>
        <w:rPr>
          <w:sz w:val="20"/>
          <w:szCs w:val="20"/>
          <w:color w:val="auto"/>
        </w:rPr>
      </w:pPr>
    </w:p>
    <w:p>
      <w:pPr>
        <w:ind w:left="6240"/>
        <w:spacing w:after="0"/>
        <w:tabs>
          <w:tab w:leader="none" w:pos="68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5">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36"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Chryssa C. Halley</w:t>
      </w:r>
    </w:p>
    <w:p>
      <w:pPr>
        <w:ind w:left="6820"/>
        <w:spacing w:after="0" w:line="215" w:lineRule="auto"/>
        <w:rPr>
          <w:sz w:val="20"/>
          <w:szCs w:val="20"/>
          <w:color w:val="auto"/>
        </w:rPr>
      </w:pPr>
      <w:r>
        <w:rPr>
          <w:rFonts w:ascii="Arial" w:cs="Arial" w:eastAsia="Arial" w:hAnsi="Arial"/>
          <w:sz w:val="15"/>
          <w:szCs w:val="15"/>
          <w:color w:val="auto"/>
        </w:rPr>
        <w:t>Executive Vice President and</w:t>
      </w:r>
    </w:p>
    <w:p>
      <w:pPr>
        <w:ind w:left="6820"/>
        <w:spacing w:after="0"/>
        <w:rPr>
          <w:sz w:val="20"/>
          <w:szCs w:val="20"/>
          <w:color w:val="auto"/>
        </w:rPr>
      </w:pPr>
      <w:r>
        <w:rPr>
          <w:rFonts w:ascii="Arial" w:cs="Arial" w:eastAsia="Arial" w:hAnsi="Arial"/>
          <w:sz w:val="15"/>
          <w:szCs w:val="15"/>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Date: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404495</wp:posOffset>
            </wp:positionV>
            <wp:extent cx="713867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2026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110</w:t>
            </w:r>
          </w:p>
        </w:tc>
      </w:tr>
      <w:tr>
        <w:trPr>
          <w:trHeight w:val="207"/>
        </w:trPr>
        <w:tc>
          <w:tcPr>
            <w:tcW w:w="6820" w:type="dxa"/>
            <w:vAlign w:val="bottom"/>
            <w:tcBorders>
              <w:bottom w:val="single" w:sz="8" w:color="9A9A9A"/>
            </w:tcBorders>
          </w:tcPr>
          <w:p>
            <w:pPr>
              <w:spacing w:after="0"/>
              <w:rPr>
                <w:sz w:val="17"/>
                <w:szCs w:val="17"/>
                <w:color w:val="auto"/>
              </w:rPr>
            </w:pPr>
          </w:p>
        </w:tc>
        <w:tc>
          <w:tcPr>
            <w:tcW w:w="44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2219325</wp:posOffset>
            </wp:positionH>
            <wp:positionV relativeFrom="page">
              <wp:posOffset>5000625</wp:posOffset>
            </wp:positionV>
            <wp:extent cx="3110865" cy="916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clrChange>
                        <a:clrFrom>
                          <a:srgbClr val="FFFFFF"/>
                        </a:clrFrom>
                        <a:clrTo>
                          <a:srgbClr val="FFFFFF">
                            <a:alpha val="0"/>
                          </a:srgbClr>
                        </a:clrTo>
                      </a:clrChange>
                      <a:extLst>
                        <a:ext uri="{28A0092B-C50C-407E-A947-70E740481C1C}"/>
                      </a:extLst>
                    </a:blip>
                    <a:srcRect/>
                    <a:stretch>
                      <a:fillRect/>
                    </a:stretch>
                  </pic:blipFill>
                  <pic:spPr bwMode="auto">
                    <a:xfrm>
                      <a:off x="0" y="0"/>
                      <a:ext cx="3110865" cy="916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Peter Akwaboah, certify that:</w:t>
      </w:r>
    </w:p>
    <w:p>
      <w:pPr>
        <w:spacing w:after="0" w:line="55" w:lineRule="exact"/>
        <w:rPr>
          <w:sz w:val="20"/>
          <w:szCs w:val="20"/>
          <w:color w:val="auto"/>
        </w:rPr>
      </w:pPr>
    </w:p>
    <w:p>
      <w:pPr>
        <w:ind w:left="240" w:right="580" w:hanging="198"/>
        <w:spacing w:after="0" w:line="269" w:lineRule="auto"/>
        <w:tabs>
          <w:tab w:leader="none" w:pos="40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September 30, 2026 of Fannie Mae (formally, the Federal National Mortgage Association);</w:t>
      </w:r>
    </w:p>
    <w:p>
      <w:pPr>
        <w:ind w:left="240" w:right="200" w:hanging="198"/>
        <w:spacing w:after="0" w:line="262" w:lineRule="auto"/>
        <w:tabs>
          <w:tab w:leader="none" w:pos="40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9" w:lineRule="auto"/>
        <w:tabs>
          <w:tab w:leader="none" w:pos="65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ind w:left="6000"/>
        <w:spacing w:after="0"/>
        <w:rPr>
          <w:sz w:val="20"/>
          <w:szCs w:val="20"/>
          <w:color w:val="auto"/>
        </w:rPr>
      </w:pPr>
      <w:r>
        <w:rPr>
          <w:rFonts w:ascii="Times New Roman" w:cs="Times New Roman" w:eastAsia="Times New Roman" w:hAnsi="Times New Roman"/>
          <w:sz w:val="21"/>
          <w:szCs w:val="21"/>
          <w:color w:val="auto"/>
        </w:rPr>
        <w:t>/s/ Peter Akwaboah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18415</wp:posOffset>
            </wp:positionV>
            <wp:extent cx="338074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1"/>
          <w:szCs w:val="21"/>
          <w:color w:val="auto"/>
        </w:rPr>
        <w:t>Peter Akwaboah</w:t>
      </w:r>
    </w:p>
    <w:p>
      <w:pPr>
        <w:ind w:left="5840"/>
        <w:spacing w:after="0" w:line="205" w:lineRule="auto"/>
        <w:rPr>
          <w:sz w:val="20"/>
          <w:szCs w:val="20"/>
          <w:color w:val="auto"/>
        </w:rPr>
      </w:pPr>
      <w:r>
        <w:rPr>
          <w:rFonts w:ascii="Times New Roman" w:cs="Times New Roman" w:eastAsia="Times New Roman" w:hAnsi="Times New Roman"/>
          <w:sz w:val="21"/>
          <w:szCs w:val="21"/>
          <w:color w:val="auto"/>
        </w:rPr>
        <w:t>Acting Chief Executive Officer, and Executive Vice President</w:t>
      </w:r>
    </w:p>
    <w:p>
      <w:pPr>
        <w:ind w:left="5840"/>
        <w:spacing w:after="0"/>
        <w:rPr>
          <w:sz w:val="20"/>
          <w:szCs w:val="20"/>
          <w:color w:val="auto"/>
        </w:rPr>
      </w:pPr>
      <w:r>
        <w:rPr>
          <w:rFonts w:ascii="Times New Roman" w:cs="Times New Roman" w:eastAsia="Times New Roman" w:hAnsi="Times New Roman"/>
          <w:sz w:val="21"/>
          <w:szCs w:val="21"/>
          <w:color w:val="auto"/>
        </w:rPr>
        <w:t>and Chief Operating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October 28, 2026</w:t>
      </w:r>
    </w:p>
    <w:p>
      <w:pPr>
        <w:sectPr>
          <w:pgSz w:w="11900" w:h="16838" w:orient="portrait"/>
          <w:cols w:equalWidth="0" w:num="1">
            <w:col w:w="11240"/>
          </w:cols>
          <w:pgMar w:left="320" w:top="858"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Chryssa C. Halley, certify that:</w:t>
      </w:r>
    </w:p>
    <w:p>
      <w:pPr>
        <w:spacing w:after="0" w:line="55" w:lineRule="exact"/>
        <w:rPr>
          <w:sz w:val="20"/>
          <w:szCs w:val="20"/>
          <w:color w:val="auto"/>
        </w:rPr>
      </w:pPr>
    </w:p>
    <w:p>
      <w:pPr>
        <w:ind w:left="240" w:right="580" w:hanging="198"/>
        <w:spacing w:after="0" w:line="269" w:lineRule="auto"/>
        <w:tabs>
          <w:tab w:leader="none" w:pos="40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September 30, 2026 of Fannie Mae (formally, the Federal National Mortgage Association);</w:t>
      </w:r>
    </w:p>
    <w:p>
      <w:pPr>
        <w:ind w:left="240" w:right="200" w:hanging="198"/>
        <w:spacing w:after="0" w:line="262" w:lineRule="auto"/>
        <w:tabs>
          <w:tab w:leader="none" w:pos="40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9" w:lineRule="auto"/>
        <w:tabs>
          <w:tab w:leader="none" w:pos="656"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ind w:left="626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18415</wp:posOffset>
            </wp:positionV>
            <wp:extent cx="266065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1"/>
          <w:szCs w:val="21"/>
          <w:color w:val="auto"/>
        </w:rPr>
        <w:t>Chryssa C. Halley</w:t>
      </w:r>
    </w:p>
    <w:p>
      <w:pPr>
        <w:ind w:left="61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100"/>
        <w:spacing w:after="0"/>
        <w:rPr>
          <w:sz w:val="20"/>
          <w:szCs w:val="20"/>
          <w:color w:val="auto"/>
        </w:rPr>
      </w:pPr>
      <w:r>
        <w:rPr>
          <w:rFonts w:ascii="Times New Roman" w:cs="Times New Roman" w:eastAsia="Times New Roman" w:hAnsi="Times New Roman"/>
          <w:sz w:val="21"/>
          <w:szCs w:val="21"/>
          <w:color w:val="auto"/>
        </w:rPr>
        <w:t>Officer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October 28, 2026</w:t>
      </w:r>
    </w:p>
    <w:p>
      <w:pPr>
        <w:sectPr>
          <w:pgSz w:w="11900" w:h="16838" w:orient="portrait"/>
          <w:cols w:equalWidth="0" w:num="1">
            <w:col w:w="11240"/>
          </w:cols>
          <w:pgMar w:left="320" w:top="858"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1"/>
          <w:szCs w:val="21"/>
          <w:color w:val="auto"/>
        </w:rPr>
        <w:t>In connection with the Quarterly Report on Form 10-Q of Fannie Mae (formally, the Federal National Mortgage Association) for the quarter ended September 30, 2026, as filed with the Securities and Exchange Commission on the date hereof (the “Report”), I, Peter Akwaboah, Acting Chief Executive Officer, and Executive Vice President and Chief Operating Officer of Fannie Mae, certify, pursuant to 18 U.S.C. Section 1350, that to my knowledge:</w:t>
      </w:r>
    </w:p>
    <w:p>
      <w:pPr>
        <w:spacing w:after="0" w:line="194" w:lineRule="exact"/>
        <w:rPr>
          <w:sz w:val="20"/>
          <w:szCs w:val="20"/>
          <w:color w:val="auto"/>
        </w:rPr>
      </w:pPr>
    </w:p>
    <w:p>
      <w:pPr>
        <w:ind w:left="240" w:right="660" w:hanging="198"/>
        <w:spacing w:after="0" w:line="269" w:lineRule="auto"/>
        <w:tabs>
          <w:tab w:leader="none" w:pos="40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93" w:lineRule="exact"/>
        <w:rPr>
          <w:rFonts w:ascii="Times New Roman" w:cs="Times New Roman" w:eastAsia="Times New Roman" w:hAnsi="Times New Roman"/>
          <w:sz w:val="21"/>
          <w:szCs w:val="21"/>
          <w:color w:val="auto"/>
        </w:rPr>
      </w:pPr>
    </w:p>
    <w:p>
      <w:pPr>
        <w:ind w:left="240" w:right="60" w:hanging="198"/>
        <w:spacing w:after="0" w:line="262" w:lineRule="auto"/>
        <w:tabs>
          <w:tab w:leader="none" w:pos="40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/s/ Peter Akwaboah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18415</wp:posOffset>
            </wp:positionV>
            <wp:extent cx="353631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Peter Akwaboah</w:t>
      </w:r>
    </w:p>
    <w:p>
      <w:pPr>
        <w:ind w:left="5700"/>
        <w:spacing w:after="0" w:line="215" w:lineRule="auto"/>
        <w:rPr>
          <w:sz w:val="20"/>
          <w:szCs w:val="20"/>
          <w:color w:val="auto"/>
        </w:rPr>
      </w:pPr>
      <w:r>
        <w:rPr>
          <w:rFonts w:ascii="Times New Roman" w:cs="Times New Roman" w:eastAsia="Times New Roman" w:hAnsi="Times New Roman"/>
          <w:sz w:val="20"/>
          <w:szCs w:val="20"/>
          <w:color w:val="auto"/>
        </w:rPr>
        <w:t>Acting Chief Executive Officer, and Executive Vice President and</w:t>
      </w:r>
    </w:p>
    <w:p>
      <w:pPr>
        <w:ind w:left="5700"/>
        <w:spacing w:after="0"/>
        <w:rPr>
          <w:sz w:val="20"/>
          <w:szCs w:val="20"/>
          <w:color w:val="auto"/>
        </w:rPr>
      </w:pPr>
      <w:r>
        <w:rPr>
          <w:rFonts w:ascii="Times New Roman" w:cs="Times New Roman" w:eastAsia="Times New Roman" w:hAnsi="Times New Roman"/>
          <w:sz w:val="21"/>
          <w:szCs w:val="21"/>
          <w:color w:val="auto"/>
        </w:rPr>
        <w:t>Chief Operating Officer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October 28, 2026</w:t>
      </w:r>
    </w:p>
    <w:p>
      <w:pPr>
        <w:spacing w:after="0" w:line="23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5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1"/>
          <w:szCs w:val="21"/>
          <w:color w:val="auto"/>
        </w:rPr>
        <w:t>In connection with the Quarterly Report on Form 10-Q of Fannie Mae (formally, the Federal National Mortgage Association) for the quarter ended September 30, 2026, as filed with the Securities and Exchange Commission on the date hereof (the “Report”), I, Chryssa C. Halley, Executive Vice President and Chief Financial Officer of Fannie Mae, certify, pursuant to 18 U.S.C. Section 1350, that to my knowledge:</w:t>
      </w:r>
    </w:p>
    <w:p>
      <w:pPr>
        <w:spacing w:after="0" w:line="194" w:lineRule="exact"/>
        <w:rPr>
          <w:sz w:val="20"/>
          <w:szCs w:val="20"/>
          <w:color w:val="auto"/>
        </w:rPr>
      </w:pPr>
    </w:p>
    <w:p>
      <w:pPr>
        <w:ind w:left="240" w:right="660" w:hanging="198"/>
        <w:spacing w:after="0" w:line="269" w:lineRule="auto"/>
        <w:tabs>
          <w:tab w:leader="none" w:pos="404"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93" w:lineRule="exact"/>
        <w:rPr>
          <w:rFonts w:ascii="Times New Roman" w:cs="Times New Roman" w:eastAsia="Times New Roman" w:hAnsi="Times New Roman"/>
          <w:sz w:val="21"/>
          <w:szCs w:val="21"/>
          <w:color w:val="auto"/>
        </w:rPr>
      </w:pPr>
    </w:p>
    <w:p>
      <w:pPr>
        <w:ind w:left="240" w:right="60" w:hanging="198"/>
        <w:spacing w:after="0" w:line="269" w:lineRule="auto"/>
        <w:tabs>
          <w:tab w:leader="none" w:pos="404"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21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18415</wp:posOffset>
            </wp:positionV>
            <wp:extent cx="277495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1"/>
          <w:szCs w:val="21"/>
          <w:color w:val="auto"/>
        </w:rPr>
        <w:t>Chryssa C. Halley</w:t>
      </w:r>
    </w:p>
    <w:p>
      <w:pPr>
        <w:ind w:left="69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900"/>
        <w:spacing w:after="0"/>
        <w:rPr>
          <w:sz w:val="20"/>
          <w:szCs w:val="20"/>
          <w:color w:val="auto"/>
        </w:rPr>
      </w:pPr>
      <w:r>
        <w:rPr>
          <w:rFonts w:ascii="Times New Roman" w:cs="Times New Roman" w:eastAsia="Times New Roman" w:hAnsi="Times New Roman"/>
          <w:sz w:val="21"/>
          <w:szCs w:val="21"/>
          <w:color w:val="auto"/>
        </w:rPr>
        <w:t>Officer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October 28, 2026</w:t>
      </w:r>
    </w:p>
    <w:p>
      <w:pPr>
        <w:spacing w:after="0" w:line="200" w:lineRule="exact"/>
        <w:rPr>
          <w:sz w:val="20"/>
          <w:szCs w:val="20"/>
          <w:color w:val="auto"/>
        </w:rPr>
      </w:pPr>
    </w:p>
    <w:p>
      <w:pPr>
        <w:spacing w:after="0" w:line="26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lvl w:ilvl="1">
      <w:lvlJc w:val="left"/>
      <w:lvlText w:val="◦"/>
      <w:numFmt w:val="bullet"/>
      <w:start w:val="1"/>
    </w:lvl>
  </w:abstractNum>
  <w:abstractNum w:abstractNumId="3">
    <w:nsid w:val="749ABB43"/>
    <w:multiLevelType w:val="hybridMultilevel"/>
    <w:lvl w:ilvl="0">
      <w:lvlJc w:val="left"/>
      <w:lvlText w:val="•"/>
      <w:numFmt w:val="bullet"/>
      <w:start w:val="1"/>
    </w:lvl>
    <w:lvl w:ilvl="1">
      <w:lvlJc w:val="left"/>
      <w:lvlText w:val="◦"/>
      <w:numFmt w:val="bullet"/>
      <w:start w:val="1"/>
    </w:lvl>
  </w:abstractNum>
  <w:abstractNum w:abstractNumId="4">
    <w:nsid w:val="3DC240FB"/>
    <w:multiLevelType w:val="hybridMultilevel"/>
    <w:lvl w:ilvl="0">
      <w:lvlJc w:val="left"/>
      <w:lvlText w:val="•"/>
      <w:numFmt w:val="bullet"/>
      <w:start w:val="1"/>
    </w:lvl>
    <w:lvl w:ilvl="1">
      <w:lvlJc w:val="left"/>
      <w:lvlText w:val="◦"/>
      <w:numFmt w:val="bullet"/>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1)"/>
      <w:numFmt w:val="decimal"/>
      <w:start w:val="1"/>
    </w:lvl>
  </w:abstractNum>
  <w:abstractNum w:abstractNumId="7">
    <w:nsid w:val="75C6C33A"/>
    <w:multiLevelType w:val="hybridMultilevel"/>
    <w:lvl w:ilvl="0">
      <w:lvlJc w:val="left"/>
      <w:lvlText w:val="(%1)"/>
      <w:numFmt w:val="decimal"/>
      <w:start w:val="1"/>
    </w:lvl>
  </w:abstractNum>
  <w:abstractNum w:abstractNumId="8">
    <w:nsid w:val="12E685FB"/>
    <w:multiLevelType w:val="hybridMultilevel"/>
    <w:lvl w:ilvl="0">
      <w:lvlJc w:val="left"/>
      <w:lvlText w:val="(%1)"/>
      <w:numFmt w:val="decimal"/>
      <w:start w:val="1"/>
    </w:lvl>
  </w:abstractNum>
  <w:abstractNum w:abstractNumId="9">
    <w:nsid w:val="70C6A529"/>
    <w:multiLevelType w:val="hybridMultilevel"/>
    <w:lvl w:ilvl="0">
      <w:lvlJc w:val="left"/>
      <w:lvlText w:val="(%1)"/>
      <w:numFmt w:val="decimal"/>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1)"/>
      <w:numFmt w:val="decimal"/>
      <w:start w:val="1"/>
    </w:lvl>
  </w:abstractNum>
  <w:abstractNum w:abstractNumId="12">
    <w:nsid w:val="4F4EF005"/>
    <w:multiLevelType w:val="hybridMultilevel"/>
    <w:lvl w:ilvl="0">
      <w:lvlJc w:val="left"/>
      <w:lvlText w:val="(%1)"/>
      <w:numFmt w:val="decimal"/>
      <w:start w:val="1"/>
    </w:lvl>
  </w:abstractNum>
  <w:abstractNum w:abstractNumId="13">
    <w:nsid w:val="23F9C13C"/>
    <w:multiLevelType w:val="hybridMultilevel"/>
    <w:lvl w:ilvl="0">
      <w:lvlJc w:val="left"/>
      <w:lvlText w:val="(%1)"/>
      <w:numFmt w:val="decimal"/>
      <w:start w:val="1"/>
    </w:lvl>
  </w:abstractNum>
  <w:abstractNum w:abstractNumId="14">
    <w:nsid w:val="649BB77C"/>
    <w:multiLevelType w:val="hybridMultilevel"/>
    <w:lvl w:ilvl="0">
      <w:lvlJc w:val="left"/>
      <w:lvlText w:val="(%1)"/>
      <w:numFmt w:val="decimal"/>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1)"/>
      <w:numFmt w:val="decimal"/>
      <w:start w:val="1"/>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1)"/>
      <w:numFmt w:val="decimal"/>
      <w:start w:val="1"/>
    </w:lvl>
  </w:abstractNum>
  <w:abstractNum w:abstractNumId="19">
    <w:nsid w:val="235BA861"/>
    <w:multiLevelType w:val="hybridMultilevel"/>
    <w:lvl w:ilvl="0">
      <w:lvlJc w:val="left"/>
      <w:lvlText w:val="(%1)"/>
      <w:numFmt w:val="decimal"/>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1)"/>
      <w:numFmt w:val="decimal"/>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1)"/>
      <w:numFmt w:val="decimal"/>
      <w:start w:val="1"/>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decimal"/>
      <w:start w:val="4"/>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1)"/>
      <w:numFmt w:val="decimal"/>
      <w:start w:val="1"/>
    </w:lvl>
  </w:abstractNum>
  <w:abstractNum w:abstractNumId="36">
    <w:nsid w:val="4AD084E9"/>
    <w:multiLevelType w:val="hybridMultilevel"/>
    <w:lvl w:ilvl="0">
      <w:lvlJc w:val="left"/>
      <w:lvlText w:val="(%1)"/>
      <w:numFmt w:val="decimal"/>
      <w:start w:val="1"/>
    </w:lvl>
  </w:abstractNum>
  <w:abstractNum w:abstractNumId="37">
    <w:nsid w:val="1F48EAA1"/>
    <w:multiLevelType w:val="hybridMultilevel"/>
    <w:lvl w:ilvl="0">
      <w:lvlJc w:val="left"/>
      <w:lvlText w:val="(%1)"/>
      <w:numFmt w:val="decimal"/>
      <w:start w:val="1"/>
    </w:lvl>
  </w:abstractNum>
  <w:abstractNum w:abstractNumId="38">
    <w:nsid w:val="1381823A"/>
    <w:multiLevelType w:val="hybridMultilevel"/>
    <w:lvl w:ilvl="0">
      <w:lvlJc w:val="left"/>
      <w:lvlText w:val="(%1)"/>
      <w:numFmt w:val="decimal"/>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1)"/>
      <w:numFmt w:val="decimal"/>
      <w:start w:val="5"/>
    </w:lvl>
  </w:abstractNum>
  <w:abstractNum w:abstractNumId="42">
    <w:nsid w:val="15014ACB"/>
    <w:multiLevelType w:val="hybridMultilevel"/>
    <w:lvl w:ilvl="0">
      <w:lvlJc w:val="left"/>
      <w:lvlText w:val="(%1)"/>
      <w:numFmt w:val="decimal"/>
      <w:start w:val="1"/>
    </w:lvl>
  </w:abstractNum>
  <w:abstractNum w:abstractNumId="43">
    <w:nsid w:val="5F5E7FD0"/>
    <w:multiLevelType w:val="hybridMultilevel"/>
    <w:lvl w:ilvl="0">
      <w:lvlJc w:val="left"/>
      <w:lvlText w:val="(%1)"/>
      <w:numFmt w:val="decimal"/>
      <w:start w:val="1"/>
    </w:lvl>
  </w:abstractNum>
  <w:abstractNum w:abstractNumId="44">
    <w:nsid w:val="98A3148"/>
    <w:multiLevelType w:val="hybridMultilevel"/>
    <w:lvl w:ilvl="0">
      <w:lvlJc w:val="left"/>
      <w:lvlText w:val="(%1)"/>
      <w:numFmt w:val="decimal"/>
      <w:start w:val="1"/>
    </w:lvl>
  </w:abstractNum>
  <w:abstractNum w:abstractNumId="45">
    <w:nsid w:val="799D0247"/>
    <w:multiLevelType w:val="hybridMultilevel"/>
    <w:lvl w:ilvl="0">
      <w:lvlJc w:val="left"/>
      <w:lvlText w:val="(%1)"/>
      <w:numFmt w:val="decimal"/>
      <w:start w:val="3"/>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1."/>
      <w:numFmt w:val="decimal"/>
      <w:start w:val="2"/>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decimal"/>
      <w:start w:val="1"/>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decimal"/>
      <w:start w:val="1"/>
    </w:lvl>
  </w:abstractNum>
  <w:abstractNum w:abstractNumId="60">
    <w:nsid w:val="8F2B15E"/>
    <w:multiLevelType w:val="hybridMultilevel"/>
    <w:lvl w:ilvl="0">
      <w:lvlJc w:val="left"/>
      <w:lvlText w:val="(%1)"/>
      <w:numFmt w:val="decimal"/>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1)"/>
      <w:numFmt w:val="decimal"/>
      <w:start w:val="1"/>
    </w:lvl>
  </w:abstractNum>
  <w:abstractNum w:abstractNumId="63">
    <w:nsid w:val="68EB2F63"/>
    <w:multiLevelType w:val="hybridMultilevel"/>
    <w:lvl w:ilvl="0">
      <w:lvlJc w:val="left"/>
      <w:lvlText w:val="(%1)"/>
      <w:numFmt w:val="decimal"/>
      <w:start w:val="3"/>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1)"/>
      <w:numFmt w:val="decimal"/>
      <w:start w:val="1"/>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1)"/>
      <w:numFmt w:val="decimal"/>
      <w:start w:val="1"/>
    </w:lvl>
  </w:abstractNum>
  <w:abstractNum w:abstractNumId="71">
    <w:nsid w:val="100F59DC"/>
    <w:multiLevelType w:val="hybridMultilevel"/>
    <w:lvl w:ilvl="0">
      <w:lvlJc w:val="left"/>
      <w:lvlText w:val="(%1)"/>
      <w:numFmt w:val="decimal"/>
      <w:start w:val="1"/>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decimal"/>
      <w:start w:val="1"/>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1)"/>
      <w:numFmt w:val="decimal"/>
      <w:start w:val="1"/>
    </w:lvl>
  </w:abstractNum>
  <w:abstractNum w:abstractNumId="77">
    <w:nsid w:val="76272110"/>
    <w:multiLevelType w:val="hybridMultilevel"/>
    <w:lvl w:ilvl="0">
      <w:lvlJc w:val="left"/>
      <w:lvlText w:val="(%1)"/>
      <w:numFmt w:val="decimal"/>
      <w:start w:val="2"/>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1"/>
    </w:lvl>
  </w:abstractNum>
  <w:abstractNum w:abstractNumId="81">
    <w:nsid w:val="3222E7CD"/>
    <w:multiLevelType w:val="hybridMultilevel"/>
    <w:lvl w:ilvl="0">
      <w:lvlJc w:val="left"/>
      <w:lvlText w:val="(%1)"/>
      <w:numFmt w:val="decimal"/>
      <w:start w:val="1"/>
    </w:lvl>
  </w:abstractNum>
  <w:abstractNum w:abstractNumId="82">
    <w:nsid w:val="74DE0EE3"/>
    <w:multiLevelType w:val="hybridMultilevel"/>
    <w:lvl w:ilvl="0">
      <w:lvlJc w:val="left"/>
      <w:lvlText w:val="(%1)"/>
      <w:numFmt w:val="decimal"/>
      <w:start w:val="4"/>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1"/>
    </w:lvl>
  </w:abstractNum>
  <w:abstractNum w:abstractNumId="88">
    <w:nsid w:val="57FC4FBB"/>
    <w:multiLevelType w:val="hybridMultilevel"/>
    <w:lvl w:ilvl="0">
      <w:lvlJc w:val="left"/>
      <w:lvlText w:val="(%1)"/>
      <w:numFmt w:val="decimal"/>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lvl w:ilvl="1">
      <w:lvlJc w:val="left"/>
      <w:lvlText w:val="%2"/>
      <w:numFmt w:val="decimal"/>
      <w:start w:val="104"/>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10" Type="http://schemas.openxmlformats.org/officeDocument/2006/relationships/image" Target="media/image601.png"/><Relationship Id="rId611" Type="http://schemas.openxmlformats.org/officeDocument/2006/relationships/image" Target="media/image602.png"/><Relationship Id="rId612" Type="http://schemas.openxmlformats.org/officeDocument/2006/relationships/image" Target="media/image603.png"/><Relationship Id="rId613" Type="http://schemas.openxmlformats.org/officeDocument/2006/relationships/image" Target="media/image604.png"/><Relationship Id="rId614" Type="http://schemas.openxmlformats.org/officeDocument/2006/relationships/image" Target="media/image605.png"/><Relationship Id="rId615" Type="http://schemas.openxmlformats.org/officeDocument/2006/relationships/image" Target="media/image606.png"/><Relationship Id="rId616"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jpe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608" Type="http://schemas.openxmlformats.org/officeDocument/2006/relationships/hyperlink" Target="https://www.sec.gov/Archives/edgar/data/310522/000031052219000385/fanniemaecharteractex31.htm" TargetMode="External"/><Relationship Id="rId609" Type="http://schemas.openxmlformats.org/officeDocument/2006/relationships/hyperlink" Target="https://www.sec.gov/Archives/edgar/data/310522/000031052219000116/fanniemae2018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2026-10-28T06:21:11Z</dcterms:created>
  <dcterms:modified xsi:type="dcterms:W3CDTF">2026-10-28T06:21:11Z</dcterms:modified>
</cp:coreProperties>
</file>